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AC4" w:rsidRDefault="00414AC4" w:rsidP="00FA1DC4">
      <w:pPr>
        <w:spacing w:after="0" w:line="240" w:lineRule="auto"/>
        <w:rPr>
          <w:rFonts w:cs="Times New Roman"/>
          <w:b/>
          <w:color w:val="222222"/>
          <w:szCs w:val="24"/>
          <w:shd w:val="clear" w:color="auto" w:fill="FFFFFF"/>
        </w:rPr>
      </w:pPr>
    </w:p>
    <w:p w:rsidR="00442F61" w:rsidRDefault="00442F61" w:rsidP="00FA1DC4">
      <w:pPr>
        <w:spacing w:after="0" w:line="240" w:lineRule="auto"/>
        <w:rPr>
          <w:rFonts w:cs="Times New Roman"/>
          <w:b/>
          <w:color w:val="222222"/>
          <w:szCs w:val="24"/>
          <w:shd w:val="clear" w:color="auto" w:fill="FFFFFF"/>
        </w:rPr>
      </w:pPr>
    </w:p>
    <w:p w:rsidR="00442F61" w:rsidRDefault="00442F61" w:rsidP="00FA1DC4">
      <w:pPr>
        <w:spacing w:after="0" w:line="240" w:lineRule="auto"/>
        <w:rPr>
          <w:rFonts w:cs="Times New Roman"/>
          <w:b/>
          <w:color w:val="222222"/>
          <w:szCs w:val="24"/>
          <w:shd w:val="clear" w:color="auto" w:fill="FFFFFF"/>
        </w:rPr>
      </w:pPr>
    </w:p>
    <w:p w:rsidR="008E35E4" w:rsidRDefault="008E35E4" w:rsidP="00FA1DC4">
      <w:pPr>
        <w:spacing w:after="0" w:line="240" w:lineRule="auto"/>
        <w:rPr>
          <w:rFonts w:cs="Times New Roman"/>
          <w:b/>
          <w:color w:val="222222"/>
          <w:szCs w:val="24"/>
          <w:shd w:val="clear" w:color="auto" w:fill="FFFFFF"/>
        </w:rPr>
      </w:pPr>
      <w:bookmarkStart w:id="0" w:name="_GoBack"/>
      <w:bookmarkEnd w:id="0"/>
      <w:r>
        <w:rPr>
          <w:rFonts w:cs="Times New Roman"/>
          <w:b/>
          <w:color w:val="222222"/>
          <w:szCs w:val="24"/>
          <w:shd w:val="clear" w:color="auto" w:fill="FFFFFF"/>
        </w:rPr>
        <w:t xml:space="preserve">AN </w:t>
      </w:r>
      <w:r w:rsidRPr="000C7830">
        <w:rPr>
          <w:rFonts w:cs="Times New Roman"/>
          <w:b/>
          <w:color w:val="222222"/>
          <w:szCs w:val="24"/>
          <w:shd w:val="clear" w:color="auto" w:fill="FFFFFF"/>
        </w:rPr>
        <w:t>INVESTIGAT</w:t>
      </w:r>
      <w:r>
        <w:rPr>
          <w:rFonts w:cs="Times New Roman"/>
          <w:b/>
          <w:color w:val="222222"/>
          <w:szCs w:val="24"/>
          <w:shd w:val="clear" w:color="auto" w:fill="FFFFFF"/>
        </w:rPr>
        <w:t>ION OF</w:t>
      </w:r>
      <w:r w:rsidRPr="000C7830">
        <w:rPr>
          <w:rFonts w:cs="Times New Roman"/>
          <w:b/>
          <w:color w:val="222222"/>
          <w:szCs w:val="24"/>
          <w:shd w:val="clear" w:color="auto" w:fill="FFFFFF"/>
        </w:rPr>
        <w:t xml:space="preserve"> HETEROGENEITY </w:t>
      </w:r>
      <w:r>
        <w:rPr>
          <w:rFonts w:cs="Times New Roman"/>
          <w:b/>
          <w:color w:val="222222"/>
          <w:szCs w:val="24"/>
          <w:shd w:val="clear" w:color="auto" w:fill="FFFFFF"/>
        </w:rPr>
        <w:t xml:space="preserve">IN VEHICLE OWNERSHIP AND USAGE FOR THE MILLENNIAL GENERATION </w:t>
      </w:r>
    </w:p>
    <w:p w:rsidR="00E9661A" w:rsidRDefault="00E9661A" w:rsidP="00FA1DC4">
      <w:pPr>
        <w:spacing w:after="0" w:line="240" w:lineRule="auto"/>
        <w:rPr>
          <w:rFonts w:cs="Times New Roman"/>
          <w:b/>
          <w:color w:val="222222"/>
          <w:szCs w:val="24"/>
          <w:shd w:val="clear" w:color="auto" w:fill="FFFFFF"/>
        </w:rPr>
      </w:pPr>
    </w:p>
    <w:p w:rsidR="00E9661A" w:rsidRDefault="00E9661A" w:rsidP="00FA1DC4">
      <w:pPr>
        <w:spacing w:after="0" w:line="240" w:lineRule="auto"/>
        <w:rPr>
          <w:rFonts w:cs="Times New Roman"/>
          <w:b/>
          <w:color w:val="222222"/>
          <w:szCs w:val="24"/>
          <w:shd w:val="clear" w:color="auto" w:fill="FFFFFF"/>
        </w:rPr>
      </w:pPr>
    </w:p>
    <w:p w:rsidR="00414AC4" w:rsidRDefault="00414AC4" w:rsidP="00FA1DC4">
      <w:pPr>
        <w:spacing w:after="0" w:line="240" w:lineRule="auto"/>
        <w:rPr>
          <w:rFonts w:cs="Times New Roman"/>
          <w:b/>
          <w:color w:val="222222"/>
          <w:szCs w:val="24"/>
          <w:shd w:val="clear" w:color="auto" w:fill="FFFFFF"/>
        </w:rPr>
      </w:pPr>
    </w:p>
    <w:p w:rsidR="008E35E4" w:rsidRPr="009A7A3C" w:rsidRDefault="008E35E4" w:rsidP="00FA1DC4">
      <w:pPr>
        <w:spacing w:after="0" w:line="240" w:lineRule="auto"/>
        <w:rPr>
          <w:b/>
        </w:rPr>
      </w:pPr>
      <w:r w:rsidRPr="009A7A3C">
        <w:rPr>
          <w:b/>
        </w:rPr>
        <w:t xml:space="preserve">Patrícia </w:t>
      </w:r>
      <w:r w:rsidR="00870767">
        <w:rPr>
          <w:b/>
        </w:rPr>
        <w:t xml:space="preserve">S. </w:t>
      </w:r>
      <w:r w:rsidRPr="009A7A3C">
        <w:rPr>
          <w:b/>
        </w:rPr>
        <w:t>Lavieri</w:t>
      </w:r>
    </w:p>
    <w:p w:rsidR="008E35E4" w:rsidRDefault="008E35E4" w:rsidP="00FA1DC4">
      <w:pPr>
        <w:spacing w:after="0" w:line="240" w:lineRule="auto"/>
      </w:pPr>
      <w:r>
        <w:t xml:space="preserve">The University of Texas at Austin </w:t>
      </w:r>
    </w:p>
    <w:p w:rsidR="008E35E4" w:rsidRDefault="008E35E4" w:rsidP="00FA1DC4">
      <w:pPr>
        <w:spacing w:after="0" w:line="240" w:lineRule="auto"/>
      </w:pPr>
      <w:r>
        <w:t>Department of Civil, Architectural and Environmental Engineering</w:t>
      </w:r>
    </w:p>
    <w:p w:rsidR="008E35E4" w:rsidRDefault="008E35E4" w:rsidP="00FA1DC4">
      <w:pPr>
        <w:spacing w:after="0" w:line="240" w:lineRule="auto"/>
      </w:pPr>
      <w:r>
        <w:t>301 E. Dean Keeton St. Stop C1761, Austin</w:t>
      </w:r>
      <w:r w:rsidR="00414AC4">
        <w:t>,</w:t>
      </w:r>
      <w:r>
        <w:t xml:space="preserve"> TX 78712</w:t>
      </w:r>
      <w:r w:rsidR="00414AC4">
        <w:t>, USA</w:t>
      </w:r>
    </w:p>
    <w:p w:rsidR="008E35E4" w:rsidRPr="00F66E90" w:rsidRDefault="008E35E4" w:rsidP="00FA1DC4">
      <w:pPr>
        <w:spacing w:after="0" w:line="240" w:lineRule="auto"/>
        <w:rPr>
          <w:lang w:val="pt-BR"/>
        </w:rPr>
      </w:pPr>
      <w:r w:rsidRPr="00F66E90">
        <w:rPr>
          <w:lang w:val="pt-BR"/>
        </w:rPr>
        <w:t xml:space="preserve">Tel: 512-471-4535; Email: </w:t>
      </w:r>
      <w:r w:rsidR="001F3739">
        <w:fldChar w:fldCharType="begin"/>
      </w:r>
      <w:r w:rsidR="001F3739" w:rsidRPr="00414AC4">
        <w:rPr>
          <w:lang w:val="pt-BR"/>
        </w:rPr>
        <w:instrText xml:space="preserve"> HYPERLINK "mailto:laviepa@gmail.com" </w:instrText>
      </w:r>
      <w:r w:rsidR="001F3739">
        <w:fldChar w:fldCharType="separate"/>
      </w:r>
      <w:r w:rsidR="00161CCD">
        <w:rPr>
          <w:rStyle w:val="Hyperlink"/>
          <w:lang w:val="pt-BR"/>
        </w:rPr>
        <w:t>lavieri@utexas.edu</w:t>
      </w:r>
      <w:r w:rsidR="001F3739">
        <w:rPr>
          <w:rStyle w:val="Hyperlink"/>
          <w:lang w:val="pt-BR"/>
        </w:rPr>
        <w:fldChar w:fldCharType="end"/>
      </w:r>
      <w:r w:rsidRPr="00F66E90">
        <w:rPr>
          <w:lang w:val="pt-BR"/>
        </w:rPr>
        <w:t xml:space="preserve">  </w:t>
      </w:r>
      <w:r w:rsidR="00161CCD">
        <w:rPr>
          <w:lang w:val="pt-BR"/>
        </w:rPr>
        <w:t xml:space="preserve"> </w:t>
      </w:r>
    </w:p>
    <w:p w:rsidR="008E35E4" w:rsidRDefault="008E35E4" w:rsidP="00FA1DC4">
      <w:pPr>
        <w:spacing w:after="0" w:line="240" w:lineRule="auto"/>
        <w:rPr>
          <w:lang w:val="pt-BR"/>
        </w:rPr>
      </w:pPr>
    </w:p>
    <w:p w:rsidR="00414AC4" w:rsidRPr="00F66E90" w:rsidRDefault="00414AC4" w:rsidP="00FA1DC4">
      <w:pPr>
        <w:spacing w:after="0" w:line="240" w:lineRule="auto"/>
        <w:rPr>
          <w:lang w:val="pt-BR"/>
        </w:rPr>
      </w:pPr>
    </w:p>
    <w:p w:rsidR="008E35E4" w:rsidRPr="00F66E90" w:rsidRDefault="008E35E4" w:rsidP="00FA1DC4">
      <w:pPr>
        <w:spacing w:after="0" w:line="240" w:lineRule="auto"/>
        <w:rPr>
          <w:b/>
          <w:lang w:val="pt-BR"/>
        </w:rPr>
      </w:pPr>
      <w:r w:rsidRPr="00F66E90">
        <w:rPr>
          <w:b/>
          <w:lang w:val="pt-BR"/>
        </w:rPr>
        <w:t xml:space="preserve">Venu M. Garikapati </w:t>
      </w:r>
    </w:p>
    <w:p w:rsidR="008E35E4" w:rsidRDefault="008E35E4" w:rsidP="00FA1DC4">
      <w:pPr>
        <w:spacing w:after="0" w:line="240" w:lineRule="auto"/>
      </w:pPr>
      <w:r>
        <w:t>Arizona State University</w:t>
      </w:r>
    </w:p>
    <w:p w:rsidR="008E35E4" w:rsidRDefault="008E35E4" w:rsidP="00FA1DC4">
      <w:pPr>
        <w:spacing w:after="0" w:line="240" w:lineRule="auto"/>
      </w:pPr>
      <w:r>
        <w:t>School of Sustainable Engineering and the Built Environment</w:t>
      </w:r>
    </w:p>
    <w:p w:rsidR="008E35E4" w:rsidRDefault="008E35E4" w:rsidP="00FA1DC4">
      <w:pPr>
        <w:spacing w:after="0" w:line="240" w:lineRule="auto"/>
      </w:pPr>
      <w:r>
        <w:t>660 S. College Avenue, Tempe, AZ 85281</w:t>
      </w:r>
      <w:r w:rsidR="00414AC4">
        <w:t>, USA</w:t>
      </w:r>
      <w:r>
        <w:t xml:space="preserve"> </w:t>
      </w:r>
    </w:p>
    <w:p w:rsidR="008E35E4" w:rsidRDefault="008E35E4" w:rsidP="00FA1DC4">
      <w:pPr>
        <w:spacing w:after="0" w:line="240" w:lineRule="auto"/>
      </w:pPr>
      <w:r>
        <w:t xml:space="preserve">Tel: 480-522-8067; Email: </w:t>
      </w:r>
      <w:hyperlink r:id="rId8" w:history="1">
        <w:r w:rsidRPr="00910636">
          <w:rPr>
            <w:rStyle w:val="Hyperlink"/>
          </w:rPr>
          <w:t>venu.garikapati@asu.edu</w:t>
        </w:r>
      </w:hyperlink>
      <w:r>
        <w:t xml:space="preserve"> </w:t>
      </w:r>
    </w:p>
    <w:p w:rsidR="00E9661A" w:rsidRDefault="00E9661A" w:rsidP="00FA1DC4">
      <w:pPr>
        <w:spacing w:after="0" w:line="240" w:lineRule="auto"/>
      </w:pPr>
    </w:p>
    <w:p w:rsidR="00414AC4" w:rsidRDefault="00414AC4" w:rsidP="00FA1DC4">
      <w:pPr>
        <w:spacing w:after="0" w:line="240" w:lineRule="auto"/>
      </w:pPr>
    </w:p>
    <w:p w:rsidR="008E35E4" w:rsidRPr="0012225D" w:rsidRDefault="008E35E4" w:rsidP="00FA1DC4">
      <w:pPr>
        <w:spacing w:after="0" w:line="240" w:lineRule="auto"/>
        <w:rPr>
          <w:b/>
        </w:rPr>
      </w:pPr>
      <w:r w:rsidRPr="0012225D">
        <w:rPr>
          <w:b/>
        </w:rPr>
        <w:t>Chandra R. Bhat (corresponding author)</w:t>
      </w:r>
    </w:p>
    <w:p w:rsidR="008E35E4" w:rsidRDefault="008E35E4" w:rsidP="00FA1DC4">
      <w:pPr>
        <w:spacing w:after="0" w:line="240" w:lineRule="auto"/>
      </w:pPr>
      <w:r>
        <w:t>The University of Texas at Austin</w:t>
      </w:r>
    </w:p>
    <w:p w:rsidR="008E35E4" w:rsidRDefault="008E35E4" w:rsidP="00FA1DC4">
      <w:pPr>
        <w:spacing w:after="0" w:line="240" w:lineRule="auto"/>
      </w:pPr>
      <w:r>
        <w:t>Department of Civil, Architectural and Environmental Engineering</w:t>
      </w:r>
    </w:p>
    <w:p w:rsidR="008E35E4" w:rsidRDefault="008E35E4" w:rsidP="00FA1DC4">
      <w:pPr>
        <w:spacing w:after="0" w:line="240" w:lineRule="auto"/>
      </w:pPr>
      <w:r>
        <w:t>301 E. Dean Keeton St. Stop C1761, Austin</w:t>
      </w:r>
      <w:r w:rsidR="00414AC4">
        <w:t>,</w:t>
      </w:r>
      <w:r>
        <w:t xml:space="preserve"> TX 78712</w:t>
      </w:r>
      <w:r w:rsidR="00414AC4">
        <w:t>, USA</w:t>
      </w:r>
    </w:p>
    <w:p w:rsidR="008E35E4" w:rsidRDefault="008E35E4" w:rsidP="00FA1DC4">
      <w:pPr>
        <w:spacing w:after="0" w:line="240" w:lineRule="auto"/>
      </w:pPr>
      <w:r>
        <w:t xml:space="preserve">Tel: 512-471-4535; Email: </w:t>
      </w:r>
      <w:hyperlink r:id="rId9" w:history="1">
        <w:r w:rsidRPr="001E2010">
          <w:rPr>
            <w:rStyle w:val="Hyperlink"/>
          </w:rPr>
          <w:t>bhat@mail.utexas.edu</w:t>
        </w:r>
      </w:hyperlink>
      <w:r>
        <w:t xml:space="preserve"> </w:t>
      </w:r>
    </w:p>
    <w:p w:rsidR="008E35E4" w:rsidRDefault="008E35E4" w:rsidP="00FA1DC4">
      <w:pPr>
        <w:spacing w:after="0" w:line="240" w:lineRule="auto"/>
        <w:rPr>
          <w:bCs/>
          <w:kern w:val="32"/>
        </w:rPr>
      </w:pPr>
      <w:proofErr w:type="gramStart"/>
      <w:r>
        <w:rPr>
          <w:bCs/>
          <w:kern w:val="32"/>
        </w:rPr>
        <w:t>and</w:t>
      </w:r>
      <w:proofErr w:type="gramEnd"/>
    </w:p>
    <w:p w:rsidR="008E35E4" w:rsidRPr="00677E53" w:rsidRDefault="00414AC4" w:rsidP="00FA1DC4">
      <w:pPr>
        <w:spacing w:after="0" w:line="240" w:lineRule="auto"/>
      </w:pPr>
      <w:r>
        <w:t>The Hong Kong Polytechnic University</w:t>
      </w:r>
      <w:r w:rsidRPr="00CF5A9A">
        <w:rPr>
          <w:bCs/>
          <w:kern w:val="32"/>
        </w:rPr>
        <w:t xml:space="preserve">, </w:t>
      </w:r>
      <w:r>
        <w:t xml:space="preserve">Hung </w:t>
      </w:r>
      <w:proofErr w:type="spellStart"/>
      <w:r>
        <w:t>Hom</w:t>
      </w:r>
      <w:proofErr w:type="spellEnd"/>
      <w:r>
        <w:t>, Kowloon, Hong Kong</w:t>
      </w:r>
    </w:p>
    <w:p w:rsidR="008E35E4" w:rsidRDefault="008E35E4" w:rsidP="00FA1DC4">
      <w:pPr>
        <w:spacing w:after="0" w:line="240" w:lineRule="auto"/>
      </w:pPr>
    </w:p>
    <w:p w:rsidR="00414AC4" w:rsidRDefault="00414AC4" w:rsidP="00FA1DC4">
      <w:pPr>
        <w:spacing w:after="0" w:line="240" w:lineRule="auto"/>
      </w:pPr>
    </w:p>
    <w:p w:rsidR="008E35E4" w:rsidRPr="0012225D" w:rsidRDefault="008E35E4" w:rsidP="00FA1DC4">
      <w:pPr>
        <w:spacing w:after="0" w:line="240" w:lineRule="auto"/>
        <w:rPr>
          <w:b/>
        </w:rPr>
      </w:pPr>
      <w:r w:rsidRPr="0012225D">
        <w:rPr>
          <w:b/>
        </w:rPr>
        <w:t>Ram M. Pendyala</w:t>
      </w:r>
    </w:p>
    <w:p w:rsidR="008E35E4" w:rsidRDefault="008E35E4" w:rsidP="00FA1DC4">
      <w:pPr>
        <w:spacing w:after="0" w:line="240" w:lineRule="auto"/>
      </w:pPr>
      <w:r>
        <w:t>Arizona State University</w:t>
      </w:r>
    </w:p>
    <w:p w:rsidR="008E35E4" w:rsidRDefault="008E35E4" w:rsidP="00FA1DC4">
      <w:pPr>
        <w:spacing w:after="0" w:line="240" w:lineRule="auto"/>
      </w:pPr>
      <w:r>
        <w:t>School of Sustainable Engineering and the Built Environment</w:t>
      </w:r>
    </w:p>
    <w:p w:rsidR="008E35E4" w:rsidRDefault="008E35E4" w:rsidP="00FA1DC4">
      <w:pPr>
        <w:spacing w:after="0" w:line="240" w:lineRule="auto"/>
      </w:pPr>
      <w:r>
        <w:t>660 S. College Avenue, Tempe, AZ 85281</w:t>
      </w:r>
      <w:r w:rsidR="00414AC4">
        <w:t>, USA</w:t>
      </w:r>
      <w:r>
        <w:t xml:space="preserve"> </w:t>
      </w:r>
    </w:p>
    <w:p w:rsidR="008E35E4" w:rsidRDefault="008E35E4" w:rsidP="00FA1DC4">
      <w:pPr>
        <w:spacing w:after="0" w:line="240" w:lineRule="auto"/>
      </w:pPr>
      <w:r>
        <w:t>Tel: 480-</w:t>
      </w:r>
      <w:r w:rsidR="00023358">
        <w:t>727-4587</w:t>
      </w:r>
      <w:r>
        <w:t xml:space="preserve">; Email: </w:t>
      </w:r>
      <w:hyperlink r:id="rId10" w:history="1">
        <w:r w:rsidRPr="00910636">
          <w:rPr>
            <w:rStyle w:val="Hyperlink"/>
          </w:rPr>
          <w:t>ram.pendyala@asu.edu</w:t>
        </w:r>
      </w:hyperlink>
      <w:r>
        <w:t xml:space="preserve"> </w:t>
      </w:r>
    </w:p>
    <w:p w:rsidR="008E35E4" w:rsidRDefault="008E35E4" w:rsidP="00FA1DC4">
      <w:pPr>
        <w:spacing w:after="0" w:line="240" w:lineRule="auto"/>
      </w:pPr>
    </w:p>
    <w:p w:rsidR="008A352D" w:rsidRDefault="008A352D" w:rsidP="00FA1DC4">
      <w:pPr>
        <w:spacing w:after="0" w:line="240" w:lineRule="auto"/>
      </w:pPr>
    </w:p>
    <w:p w:rsidR="00414AC4" w:rsidRDefault="00414AC4" w:rsidP="00FA1DC4">
      <w:pPr>
        <w:spacing w:after="0" w:line="240" w:lineRule="auto"/>
      </w:pPr>
    </w:p>
    <w:p w:rsidR="008E35E4" w:rsidRPr="00A6140E" w:rsidRDefault="008E35E4" w:rsidP="00414AC4">
      <w:pPr>
        <w:spacing w:after="0" w:line="240" w:lineRule="auto"/>
      </w:pPr>
    </w:p>
    <w:p w:rsidR="004C0742" w:rsidRDefault="008E35E4" w:rsidP="00FA1DC4">
      <w:pPr>
        <w:spacing w:after="0" w:line="240" w:lineRule="auto"/>
        <w:rPr>
          <w:b/>
        </w:rPr>
        <w:sectPr w:rsidR="004C0742" w:rsidSect="00E9661A">
          <w:footerReference w:type="default" r:id="rId11"/>
          <w:pgSz w:w="12240" w:h="15840" w:code="1"/>
          <w:pgMar w:top="1440" w:right="1440" w:bottom="1440" w:left="1440" w:header="720" w:footer="720" w:gutter="0"/>
          <w:cols w:space="720"/>
          <w:titlePg/>
          <w:docGrid w:linePitch="360"/>
        </w:sectPr>
      </w:pPr>
      <w:r>
        <w:rPr>
          <w:b/>
        </w:rPr>
        <w:br w:type="page"/>
      </w:r>
    </w:p>
    <w:p w:rsidR="008E35E4" w:rsidRPr="0012225D" w:rsidRDefault="008E35E4" w:rsidP="00FA1DC4">
      <w:pPr>
        <w:spacing w:after="0" w:line="240" w:lineRule="auto"/>
      </w:pPr>
      <w:r>
        <w:rPr>
          <w:b/>
        </w:rPr>
        <w:lastRenderedPageBreak/>
        <w:t>ABSTRACT</w:t>
      </w:r>
      <w:r>
        <w:t xml:space="preserve">  </w:t>
      </w:r>
    </w:p>
    <w:p w:rsidR="00C42659" w:rsidRDefault="00C42659" w:rsidP="00C42659">
      <w:pPr>
        <w:spacing w:after="0" w:line="240" w:lineRule="auto"/>
        <w:jc w:val="both"/>
        <w:rPr>
          <w:rFonts w:cs="Times New Roman"/>
          <w:szCs w:val="24"/>
          <w:shd w:val="clear" w:color="auto" w:fill="FFFFFF"/>
        </w:rPr>
      </w:pPr>
      <w:r>
        <w:rPr>
          <w:rFonts w:cs="Times New Roman"/>
          <w:szCs w:val="24"/>
          <w:shd w:val="clear" w:color="auto" w:fill="FFFFFF"/>
        </w:rPr>
        <w:t xml:space="preserve">This paper explores differences in activity-travel behavior within the millennial generation with a view to better understand how their choices might shape transportation systems of the future. </w:t>
      </w:r>
      <w:r w:rsidRPr="00570678">
        <w:rPr>
          <w:rFonts w:cs="Times New Roman"/>
          <w:szCs w:val="24"/>
          <w:shd w:val="clear" w:color="auto" w:fill="FFFFFF"/>
        </w:rPr>
        <w:t xml:space="preserve">Through the estimation of a Generalized Heterogeneous Data Model on a </w:t>
      </w:r>
      <w:r>
        <w:rPr>
          <w:rFonts w:cs="Times New Roman"/>
          <w:szCs w:val="24"/>
          <w:shd w:val="clear" w:color="auto" w:fill="FFFFFF"/>
        </w:rPr>
        <w:t xml:space="preserve">special millennial </w:t>
      </w:r>
      <w:r w:rsidRPr="00570678">
        <w:rPr>
          <w:rFonts w:cs="Times New Roman"/>
          <w:szCs w:val="24"/>
          <w:shd w:val="clear" w:color="auto" w:fill="FFFFFF"/>
        </w:rPr>
        <w:t>mobility attitudes survey data set, t</w:t>
      </w:r>
      <w:r w:rsidRPr="00EA2134">
        <w:rPr>
          <w:rFonts w:cs="Times New Roman"/>
          <w:szCs w:val="24"/>
          <w:shd w:val="clear" w:color="auto" w:fill="FFFFFF"/>
        </w:rPr>
        <w:t xml:space="preserve">his </w:t>
      </w:r>
      <w:r>
        <w:rPr>
          <w:rFonts w:cs="Times New Roman"/>
          <w:szCs w:val="24"/>
          <w:shd w:val="clear" w:color="auto" w:fill="FFFFFF"/>
        </w:rPr>
        <w:t xml:space="preserve">study investigates </w:t>
      </w:r>
      <w:r w:rsidRPr="00EA2134">
        <w:rPr>
          <w:rFonts w:cs="Times New Roman"/>
          <w:szCs w:val="24"/>
          <w:shd w:val="clear" w:color="auto" w:fill="FFFFFF"/>
        </w:rPr>
        <w:t>heterogeneity among millennials with respect to their driver’s license holding statu</w:t>
      </w:r>
      <w:r w:rsidRPr="00570678">
        <w:rPr>
          <w:rFonts w:cs="Times New Roman"/>
          <w:szCs w:val="24"/>
          <w:shd w:val="clear" w:color="auto" w:fill="FFFFFF"/>
        </w:rPr>
        <w:t xml:space="preserve">s, vehicle ownership, and commute mode choice.  </w:t>
      </w:r>
      <w:r>
        <w:rPr>
          <w:rFonts w:cs="Times New Roman"/>
          <w:szCs w:val="24"/>
          <w:shd w:val="clear" w:color="auto" w:fill="FFFFFF"/>
        </w:rPr>
        <w:t>A</w:t>
      </w:r>
      <w:r w:rsidRPr="00D3503D">
        <w:rPr>
          <w:rFonts w:cs="Times New Roman"/>
          <w:szCs w:val="24"/>
          <w:shd w:val="clear" w:color="auto" w:fill="FFFFFF"/>
        </w:rPr>
        <w:t xml:space="preserve">fter accounting for self-selection effects, </w:t>
      </w:r>
      <w:r w:rsidR="00597217">
        <w:rPr>
          <w:rFonts w:cs="Times New Roman"/>
          <w:szCs w:val="24"/>
          <w:shd w:val="clear" w:color="auto" w:fill="FFFFFF"/>
        </w:rPr>
        <w:t>a</w:t>
      </w:r>
      <w:r w:rsidR="00597217" w:rsidRPr="0006785E">
        <w:t>g</w:t>
      </w:r>
      <w:r w:rsidR="00597217">
        <w:t xml:space="preserve">e, </w:t>
      </w:r>
      <w:r w:rsidR="00EE4E08">
        <w:t xml:space="preserve">parenting status, </w:t>
      </w:r>
      <w:r w:rsidR="00597217" w:rsidRPr="0006785E">
        <w:t xml:space="preserve">and location of residence have a </w:t>
      </w:r>
      <w:r w:rsidR="00A83511">
        <w:t>substantial and statistically significant</w:t>
      </w:r>
      <w:r w:rsidR="00597217" w:rsidRPr="0006785E">
        <w:t xml:space="preserve"> </w:t>
      </w:r>
      <w:r w:rsidR="00597217">
        <w:t>influence</w:t>
      </w:r>
      <w:r w:rsidR="00597217" w:rsidRPr="0006785E">
        <w:t xml:space="preserve"> on auto-oriented mobility choices. </w:t>
      </w:r>
      <w:r w:rsidR="00597217">
        <w:rPr>
          <w:rFonts w:cs="Times New Roman"/>
          <w:szCs w:val="24"/>
          <w:shd w:val="clear" w:color="auto" w:fill="FFFFFF"/>
        </w:rPr>
        <w:t>M</w:t>
      </w:r>
      <w:r w:rsidR="00597217" w:rsidRPr="00C42659">
        <w:rPr>
          <w:rFonts w:cs="Times New Roman"/>
          <w:szCs w:val="24"/>
          <w:shd w:val="clear" w:color="auto" w:fill="FFFFFF"/>
        </w:rPr>
        <w:t xml:space="preserve">illennials </w:t>
      </w:r>
      <w:r w:rsidR="00597217">
        <w:rPr>
          <w:rFonts w:cs="Times New Roman"/>
          <w:szCs w:val="24"/>
          <w:shd w:val="clear" w:color="auto" w:fill="FFFFFF"/>
        </w:rPr>
        <w:t>seem to</w:t>
      </w:r>
      <w:r w:rsidR="00597217" w:rsidRPr="00C42659">
        <w:rPr>
          <w:rFonts w:cs="Times New Roman"/>
          <w:szCs w:val="24"/>
          <w:shd w:val="clear" w:color="auto" w:fill="FFFFFF"/>
        </w:rPr>
        <w:t xml:space="preserve"> become more auto-oriented as they age</w:t>
      </w:r>
      <w:r w:rsidR="00597217">
        <w:rPr>
          <w:rFonts w:cs="Times New Roman"/>
          <w:szCs w:val="24"/>
          <w:shd w:val="clear" w:color="auto" w:fill="FFFFFF"/>
        </w:rPr>
        <w:t xml:space="preserve"> and</w:t>
      </w:r>
      <w:r w:rsidR="00597217" w:rsidRPr="00C42659">
        <w:rPr>
          <w:rFonts w:cs="Times New Roman"/>
          <w:szCs w:val="24"/>
          <w:shd w:val="clear" w:color="auto" w:fill="FFFFFF"/>
        </w:rPr>
        <w:t xml:space="preserve"> gain economic resources</w:t>
      </w:r>
      <w:r w:rsidR="00597217">
        <w:rPr>
          <w:rFonts w:cs="Times New Roman"/>
          <w:szCs w:val="24"/>
          <w:shd w:val="clear" w:color="auto" w:fill="FFFFFF"/>
        </w:rPr>
        <w:t>. Parenthood is associated with an increase in driver’s license holding and personal vehicle ownership; however, in general, it does not seem to have a direct impact on commute mode choice.</w:t>
      </w:r>
      <w:r w:rsidR="00597217">
        <w:t xml:space="preserve"> For all types of millennials, mode choice seems to be strongly related with residential location. Thus, t</w:t>
      </w:r>
      <w:r w:rsidR="00597217" w:rsidRPr="0006785E">
        <w:t>he development of a well-connected public transit system</w:t>
      </w:r>
      <w:r w:rsidR="00597217">
        <w:t xml:space="preserve"> </w:t>
      </w:r>
      <w:r w:rsidR="00597217" w:rsidRPr="0006785E">
        <w:t xml:space="preserve">and </w:t>
      </w:r>
      <w:r w:rsidR="00597217">
        <w:t>dense, mixed land-use are still the key ingredients</w:t>
      </w:r>
      <w:r w:rsidR="00597217" w:rsidRPr="0006785E">
        <w:t xml:space="preserve"> to </w:t>
      </w:r>
      <w:r w:rsidR="00597217">
        <w:t>reducing car commute. P</w:t>
      </w:r>
      <w:r w:rsidR="00597217" w:rsidRPr="00FE009B">
        <w:t xml:space="preserve">lanning professionals should explore ways </w:t>
      </w:r>
      <w:r w:rsidR="00597217">
        <w:t>to retain millennials</w:t>
      </w:r>
      <w:r w:rsidR="00597217" w:rsidRPr="00FE009B">
        <w:t xml:space="preserve"> in the city core so that their sustainable transportation mode use patterns can be </w:t>
      </w:r>
      <w:r w:rsidR="00597217">
        <w:t>preserved</w:t>
      </w:r>
      <w:r w:rsidR="00597217" w:rsidRPr="0006785E">
        <w:t xml:space="preserve"> into the future.</w:t>
      </w:r>
    </w:p>
    <w:p w:rsidR="00C42659" w:rsidRDefault="00C42659" w:rsidP="00C42659">
      <w:pPr>
        <w:spacing w:after="0" w:line="240" w:lineRule="auto"/>
        <w:jc w:val="both"/>
        <w:rPr>
          <w:rFonts w:cs="Times New Roman"/>
          <w:szCs w:val="24"/>
          <w:shd w:val="clear" w:color="auto" w:fill="FFFFFF"/>
        </w:rPr>
      </w:pPr>
    </w:p>
    <w:p w:rsidR="00FA1DC4" w:rsidRDefault="00FA1DC4" w:rsidP="003773F5">
      <w:pPr>
        <w:spacing w:after="0" w:line="240" w:lineRule="auto"/>
        <w:jc w:val="both"/>
        <w:rPr>
          <w:rFonts w:cs="Times New Roman"/>
          <w:b/>
          <w:color w:val="222222"/>
          <w:szCs w:val="24"/>
          <w:shd w:val="clear" w:color="auto" w:fill="FFFFFF"/>
        </w:rPr>
      </w:pPr>
    </w:p>
    <w:p w:rsidR="00E9661A" w:rsidRPr="00414AC4" w:rsidRDefault="00FA1DC4" w:rsidP="00E9661A">
      <w:pPr>
        <w:spacing w:after="0" w:line="240" w:lineRule="auto"/>
        <w:jc w:val="both"/>
        <w:rPr>
          <w:rFonts w:cs="Times New Roman"/>
          <w:b/>
          <w:szCs w:val="24"/>
          <w:shd w:val="clear" w:color="auto" w:fill="FFFFFF"/>
        </w:rPr>
      </w:pPr>
      <w:r w:rsidRPr="00414AC4">
        <w:rPr>
          <w:rFonts w:cs="Times New Roman"/>
          <w:i/>
          <w:szCs w:val="24"/>
          <w:shd w:val="clear" w:color="auto" w:fill="FFFFFF"/>
        </w:rPr>
        <w:t>Keywords</w:t>
      </w:r>
      <w:r w:rsidRPr="00414AC4">
        <w:rPr>
          <w:rFonts w:cs="Times New Roman"/>
          <w:szCs w:val="24"/>
          <w:shd w:val="clear" w:color="auto" w:fill="FFFFFF"/>
        </w:rPr>
        <w:t xml:space="preserve">: behavioral heterogeneity, millennial generation, travel behavior, vehicle ownership, commute mode choice, driver’s license holding, </w:t>
      </w:r>
      <w:r w:rsidR="00035313" w:rsidRPr="00414AC4">
        <w:rPr>
          <w:rFonts w:cs="Times New Roman"/>
          <w:szCs w:val="24"/>
          <w:shd w:val="clear" w:color="auto" w:fill="FFFFFF"/>
        </w:rPr>
        <w:t>GHDM</w:t>
      </w:r>
      <w:r w:rsidRPr="00414AC4">
        <w:rPr>
          <w:rFonts w:cs="Times New Roman"/>
          <w:szCs w:val="24"/>
          <w:shd w:val="clear" w:color="auto" w:fill="FFFFFF"/>
        </w:rPr>
        <w:t xml:space="preserve">, </w:t>
      </w:r>
      <w:r w:rsidR="00035313" w:rsidRPr="00414AC4">
        <w:rPr>
          <w:rFonts w:cs="Times New Roman"/>
          <w:szCs w:val="24"/>
          <w:shd w:val="clear" w:color="auto" w:fill="FFFFFF"/>
        </w:rPr>
        <w:t>latent variables</w:t>
      </w:r>
      <w:r w:rsidR="00E9661A" w:rsidRPr="00414AC4">
        <w:rPr>
          <w:rFonts w:cs="Times New Roman"/>
          <w:szCs w:val="24"/>
          <w:shd w:val="clear" w:color="auto" w:fill="FFFFFF"/>
        </w:rPr>
        <w:t>.</w:t>
      </w:r>
      <w:r w:rsidRPr="00414AC4">
        <w:rPr>
          <w:rFonts w:cs="Times New Roman"/>
          <w:b/>
          <w:szCs w:val="24"/>
          <w:shd w:val="clear" w:color="auto" w:fill="FFFFFF"/>
        </w:rPr>
        <w:t xml:space="preserve">  </w:t>
      </w:r>
    </w:p>
    <w:p w:rsidR="00E9661A" w:rsidRPr="00414AC4" w:rsidRDefault="00E9661A" w:rsidP="00E9661A">
      <w:pPr>
        <w:spacing w:after="0" w:line="240" w:lineRule="auto"/>
        <w:jc w:val="both"/>
        <w:rPr>
          <w:rFonts w:cs="Times New Roman"/>
          <w:b/>
          <w:szCs w:val="24"/>
          <w:shd w:val="clear" w:color="auto" w:fill="FFFFFF"/>
        </w:rPr>
        <w:sectPr w:rsidR="00E9661A" w:rsidRPr="00414AC4" w:rsidSect="00E9661A">
          <w:headerReference w:type="default" r:id="rId12"/>
          <w:pgSz w:w="12240" w:h="15840" w:code="1"/>
          <w:pgMar w:top="1440" w:right="1440" w:bottom="1440" w:left="1440" w:header="720" w:footer="720" w:gutter="0"/>
          <w:cols w:space="720"/>
          <w:docGrid w:linePitch="360"/>
        </w:sectPr>
      </w:pPr>
    </w:p>
    <w:p w:rsidR="000C7830" w:rsidRDefault="000C7830" w:rsidP="00FA1DC4">
      <w:pPr>
        <w:pStyle w:val="Heading1"/>
        <w:spacing w:before="0" w:line="240" w:lineRule="auto"/>
        <w:rPr>
          <w:shd w:val="clear" w:color="auto" w:fill="FFFFFF"/>
        </w:rPr>
      </w:pPr>
      <w:r>
        <w:rPr>
          <w:shd w:val="clear" w:color="auto" w:fill="FFFFFF"/>
        </w:rPr>
        <w:lastRenderedPageBreak/>
        <w:t>introduction</w:t>
      </w:r>
    </w:p>
    <w:p w:rsidR="00347F4C" w:rsidRPr="003773F5" w:rsidRDefault="00347F4C" w:rsidP="00D00ED2">
      <w:pPr>
        <w:spacing w:after="0" w:line="240" w:lineRule="auto"/>
        <w:jc w:val="both"/>
        <w:rPr>
          <w:rFonts w:cs="Times New Roman"/>
          <w:szCs w:val="24"/>
          <w:shd w:val="clear" w:color="auto" w:fill="FFFFFF"/>
        </w:rPr>
      </w:pPr>
      <w:r w:rsidRPr="003773F5">
        <w:rPr>
          <w:rFonts w:cs="Times New Roman"/>
          <w:szCs w:val="24"/>
          <w:shd w:val="clear" w:color="auto" w:fill="FFFFFF"/>
        </w:rPr>
        <w:t xml:space="preserve">The millennial generation (comprising those </w:t>
      </w:r>
      <w:r w:rsidR="00244A0E" w:rsidRPr="003773F5">
        <w:rPr>
          <w:rFonts w:cs="Times New Roman"/>
          <w:szCs w:val="24"/>
          <w:shd w:val="clear" w:color="auto" w:fill="FFFFFF"/>
        </w:rPr>
        <w:t xml:space="preserve">born between 1980 and 2000) </w:t>
      </w:r>
      <w:r w:rsidR="00183A69" w:rsidRPr="003773F5">
        <w:rPr>
          <w:rFonts w:cs="Times New Roman"/>
          <w:szCs w:val="24"/>
          <w:shd w:val="clear" w:color="auto" w:fill="FFFFFF"/>
        </w:rPr>
        <w:t>recently became the largest population segment in the United States</w:t>
      </w:r>
      <w:r w:rsidR="00317A32">
        <w:rPr>
          <w:rFonts w:cs="Times New Roman"/>
          <w:szCs w:val="24"/>
          <w:shd w:val="clear" w:color="auto" w:fill="FFFFFF"/>
        </w:rPr>
        <w:t xml:space="preserve"> (</w:t>
      </w:r>
      <w:r w:rsidR="00317A32" w:rsidRPr="00B271F1">
        <w:rPr>
          <w:rFonts w:cs="Times New Roman"/>
          <w:i/>
          <w:szCs w:val="24"/>
          <w:shd w:val="clear" w:color="auto" w:fill="FFFFFF"/>
        </w:rPr>
        <w:t>1</w:t>
      </w:r>
      <w:r w:rsidR="00317A32">
        <w:rPr>
          <w:rFonts w:cs="Times New Roman"/>
          <w:szCs w:val="24"/>
          <w:shd w:val="clear" w:color="auto" w:fill="FFFFFF"/>
        </w:rPr>
        <w:t>)</w:t>
      </w:r>
      <w:r w:rsidR="00183A69" w:rsidRPr="003773F5">
        <w:rPr>
          <w:rFonts w:cs="Times New Roman"/>
          <w:szCs w:val="24"/>
          <w:shd w:val="clear" w:color="auto" w:fill="FFFFFF"/>
        </w:rPr>
        <w:t>.</w:t>
      </w:r>
      <w:r w:rsidR="00527346">
        <w:rPr>
          <w:rFonts w:cs="Times New Roman"/>
          <w:szCs w:val="24"/>
          <w:shd w:val="clear" w:color="auto" w:fill="FFFFFF"/>
        </w:rPr>
        <w:t xml:space="preserve"> </w:t>
      </w:r>
      <w:r w:rsidR="00183A69" w:rsidRPr="003773F5">
        <w:rPr>
          <w:rFonts w:cs="Times New Roman"/>
          <w:szCs w:val="24"/>
          <w:shd w:val="clear" w:color="auto" w:fill="FFFFFF"/>
        </w:rPr>
        <w:t xml:space="preserve">Due to the size and influence of the millennial generation, </w:t>
      </w:r>
      <w:r w:rsidR="00A907EA">
        <w:rPr>
          <w:rFonts w:cs="Times New Roman"/>
          <w:szCs w:val="24"/>
          <w:shd w:val="clear" w:color="auto" w:fill="FFFFFF"/>
        </w:rPr>
        <w:t xml:space="preserve">considerable attention is being </w:t>
      </w:r>
      <w:r w:rsidR="00183A69" w:rsidRPr="003773F5">
        <w:rPr>
          <w:rFonts w:cs="Times New Roman"/>
          <w:szCs w:val="24"/>
          <w:shd w:val="clear" w:color="auto" w:fill="FFFFFF"/>
        </w:rPr>
        <w:t xml:space="preserve">paid to this generation’s habits, consumer choices, and mobility patterns. A number of papers and reports have documented the differences in travel and lifestyle choices and preferences </w:t>
      </w:r>
      <w:r w:rsidR="00183A69" w:rsidRPr="00F66E90">
        <w:rPr>
          <w:rFonts w:cs="Times New Roman"/>
          <w:szCs w:val="24"/>
          <w:shd w:val="clear" w:color="auto" w:fill="FFFFFF"/>
        </w:rPr>
        <w:t>between different generations</w:t>
      </w:r>
      <w:r w:rsidR="00183A69" w:rsidRPr="003773F5">
        <w:rPr>
          <w:rFonts w:cs="Times New Roman"/>
          <w:szCs w:val="24"/>
          <w:shd w:val="clear" w:color="auto" w:fill="FFFFFF"/>
        </w:rPr>
        <w:t xml:space="preserve"> using a variety of surveys, aggregate statistics, and cohort analysis techniques.</w:t>
      </w:r>
      <w:r w:rsidR="00527346">
        <w:rPr>
          <w:rFonts w:cs="Times New Roman"/>
          <w:szCs w:val="24"/>
          <w:shd w:val="clear" w:color="auto" w:fill="FFFFFF"/>
        </w:rPr>
        <w:t xml:space="preserve"> </w:t>
      </w:r>
      <w:r w:rsidR="00183A69" w:rsidRPr="003773F5">
        <w:rPr>
          <w:rFonts w:cs="Times New Roman"/>
          <w:szCs w:val="24"/>
          <w:shd w:val="clear" w:color="auto" w:fill="FFFFFF"/>
        </w:rPr>
        <w:t xml:space="preserve">Millennials are said to be driving less, traveling fewer miles, obtaining their driver’s licenses later, and using more public </w:t>
      </w:r>
      <w:r w:rsidR="004B612F" w:rsidRPr="003773F5">
        <w:rPr>
          <w:rFonts w:cs="Times New Roman"/>
          <w:szCs w:val="24"/>
          <w:shd w:val="clear" w:color="auto" w:fill="FFFFFF"/>
        </w:rPr>
        <w:t>trans</w:t>
      </w:r>
      <w:r w:rsidR="004B612F">
        <w:rPr>
          <w:rFonts w:cs="Times New Roman"/>
          <w:szCs w:val="24"/>
          <w:shd w:val="clear" w:color="auto" w:fill="FFFFFF"/>
        </w:rPr>
        <w:t xml:space="preserve">it </w:t>
      </w:r>
      <w:r w:rsidR="00183A69" w:rsidRPr="003773F5">
        <w:rPr>
          <w:rFonts w:cs="Times New Roman"/>
          <w:szCs w:val="24"/>
          <w:shd w:val="clear" w:color="auto" w:fill="FFFFFF"/>
        </w:rPr>
        <w:t xml:space="preserve">and non-motorized modes of transportation </w:t>
      </w:r>
      <w:r w:rsidR="00317A32">
        <w:rPr>
          <w:rFonts w:cs="Times New Roman"/>
          <w:szCs w:val="24"/>
          <w:shd w:val="clear" w:color="auto" w:fill="FFFFFF"/>
        </w:rPr>
        <w:t>(</w:t>
      </w:r>
      <w:r w:rsidR="00317A32" w:rsidRPr="00B271F1">
        <w:rPr>
          <w:rFonts w:cs="Times New Roman"/>
          <w:i/>
          <w:szCs w:val="24"/>
          <w:shd w:val="clear" w:color="auto" w:fill="FFFFFF"/>
        </w:rPr>
        <w:t>2</w:t>
      </w:r>
      <w:r w:rsidR="00317A32">
        <w:rPr>
          <w:rFonts w:cs="Times New Roman"/>
          <w:szCs w:val="24"/>
          <w:shd w:val="clear" w:color="auto" w:fill="FFFFFF"/>
        </w:rPr>
        <w:t>)</w:t>
      </w:r>
      <w:r w:rsidR="00183A69" w:rsidRPr="003773F5">
        <w:rPr>
          <w:rFonts w:cs="Times New Roman"/>
          <w:szCs w:val="24"/>
          <w:shd w:val="clear" w:color="auto" w:fill="FFFFFF"/>
        </w:rPr>
        <w:t>.</w:t>
      </w:r>
      <w:r w:rsidR="00527346">
        <w:rPr>
          <w:rFonts w:cs="Times New Roman"/>
          <w:szCs w:val="24"/>
          <w:shd w:val="clear" w:color="auto" w:fill="FFFFFF"/>
        </w:rPr>
        <w:t xml:space="preserve"> </w:t>
      </w:r>
      <w:r w:rsidR="00183A69" w:rsidRPr="003773F5">
        <w:rPr>
          <w:rFonts w:cs="Times New Roman"/>
          <w:szCs w:val="24"/>
          <w:shd w:val="clear" w:color="auto" w:fill="FFFFFF"/>
        </w:rPr>
        <w:t xml:space="preserve">However, skeptics believe that these observed effects will not necessarily persist over time as the behavioral traits exhibited by millennials may be a result of circumstantial economic conditions and the consequent delayed achievement of various </w:t>
      </w:r>
      <w:r w:rsidR="00F4515B" w:rsidRPr="003773F5">
        <w:rPr>
          <w:rFonts w:cs="Times New Roman"/>
          <w:szCs w:val="24"/>
          <w:shd w:val="clear" w:color="auto" w:fill="FFFFFF"/>
        </w:rPr>
        <w:t>adul</w:t>
      </w:r>
      <w:r w:rsidR="00183A69" w:rsidRPr="003773F5">
        <w:rPr>
          <w:rFonts w:cs="Times New Roman"/>
          <w:szCs w:val="24"/>
          <w:shd w:val="clear" w:color="auto" w:fill="FFFFFF"/>
        </w:rPr>
        <w:t xml:space="preserve">t lifecycle milestones (such as marriage, having children, </w:t>
      </w:r>
      <w:r w:rsidR="00A907EA">
        <w:rPr>
          <w:rFonts w:cs="Times New Roman"/>
          <w:szCs w:val="24"/>
          <w:shd w:val="clear" w:color="auto" w:fill="FFFFFF"/>
        </w:rPr>
        <w:t xml:space="preserve">and </w:t>
      </w:r>
      <w:r w:rsidR="00183A69" w:rsidRPr="003773F5">
        <w:rPr>
          <w:rFonts w:cs="Times New Roman"/>
          <w:szCs w:val="24"/>
          <w:shd w:val="clear" w:color="auto" w:fill="FFFFFF"/>
        </w:rPr>
        <w:t>entering the labor force).</w:t>
      </w:r>
      <w:r w:rsidR="00527346">
        <w:rPr>
          <w:rFonts w:cs="Times New Roman"/>
          <w:szCs w:val="24"/>
          <w:shd w:val="clear" w:color="auto" w:fill="FFFFFF"/>
        </w:rPr>
        <w:t xml:space="preserve"> </w:t>
      </w:r>
      <w:r w:rsidR="00183A69" w:rsidRPr="003773F5">
        <w:rPr>
          <w:rFonts w:cs="Times New Roman"/>
          <w:szCs w:val="24"/>
          <w:shd w:val="clear" w:color="auto" w:fill="FFFFFF"/>
        </w:rPr>
        <w:t xml:space="preserve">Essentially, while some studies note a significant difference between millennials and the young adults of previous generations </w:t>
      </w:r>
      <w:r w:rsidR="00317A32">
        <w:rPr>
          <w:rFonts w:cs="Times New Roman"/>
          <w:szCs w:val="24"/>
          <w:shd w:val="clear" w:color="auto" w:fill="FFFFFF"/>
        </w:rPr>
        <w:t>(</w:t>
      </w:r>
      <w:r w:rsidR="00317A32" w:rsidRPr="00B271F1">
        <w:rPr>
          <w:rFonts w:cs="Times New Roman"/>
          <w:i/>
          <w:szCs w:val="24"/>
          <w:shd w:val="clear" w:color="auto" w:fill="FFFFFF"/>
        </w:rPr>
        <w:t>3</w:t>
      </w:r>
      <w:r w:rsidR="00317A32" w:rsidRPr="00923E87">
        <w:rPr>
          <w:rFonts w:cs="Times New Roman"/>
          <w:szCs w:val="24"/>
          <w:shd w:val="clear" w:color="auto" w:fill="FFFFFF"/>
        </w:rPr>
        <w:t xml:space="preserve">, </w:t>
      </w:r>
      <w:r w:rsidR="00317A32" w:rsidRPr="00B271F1">
        <w:rPr>
          <w:rFonts w:cs="Times New Roman"/>
          <w:i/>
          <w:szCs w:val="24"/>
          <w:shd w:val="clear" w:color="auto" w:fill="FFFFFF"/>
        </w:rPr>
        <w:t>4</w:t>
      </w:r>
      <w:r w:rsidR="00317A32">
        <w:rPr>
          <w:rFonts w:cs="Times New Roman"/>
          <w:szCs w:val="24"/>
          <w:shd w:val="clear" w:color="auto" w:fill="FFFFFF"/>
        </w:rPr>
        <w:t>)</w:t>
      </w:r>
      <w:r w:rsidR="00183A69" w:rsidRPr="003773F5">
        <w:rPr>
          <w:rFonts w:cs="Times New Roman"/>
          <w:szCs w:val="24"/>
          <w:shd w:val="clear" w:color="auto" w:fill="FFFFFF"/>
        </w:rPr>
        <w:t xml:space="preserve">, others assert that the societal changes at play </w:t>
      </w:r>
      <w:r w:rsidR="00CD313A" w:rsidRPr="003773F5">
        <w:rPr>
          <w:rFonts w:cs="Times New Roman"/>
          <w:szCs w:val="24"/>
          <w:shd w:val="clear" w:color="auto" w:fill="FFFFFF"/>
        </w:rPr>
        <w:t xml:space="preserve">are affecting the behaviors of all age groups in similar ways or that the changes will not last as this generation ages </w:t>
      </w:r>
      <w:r w:rsidR="00317A32">
        <w:rPr>
          <w:rFonts w:cs="Times New Roman"/>
          <w:szCs w:val="24"/>
          <w:shd w:val="clear" w:color="auto" w:fill="FFFFFF"/>
        </w:rPr>
        <w:t>(</w:t>
      </w:r>
      <w:r w:rsidR="00317A32" w:rsidRPr="00B271F1">
        <w:rPr>
          <w:rFonts w:cs="Times New Roman"/>
          <w:i/>
          <w:szCs w:val="24"/>
          <w:shd w:val="clear" w:color="auto" w:fill="FFFFFF"/>
        </w:rPr>
        <w:t>5</w:t>
      </w:r>
      <w:r w:rsidR="00317A32" w:rsidRPr="00923E87">
        <w:rPr>
          <w:rFonts w:cs="Times New Roman"/>
          <w:szCs w:val="24"/>
          <w:shd w:val="clear" w:color="auto" w:fill="FFFFFF"/>
        </w:rPr>
        <w:t xml:space="preserve">, </w:t>
      </w:r>
      <w:r w:rsidR="00317A32" w:rsidRPr="00B271F1">
        <w:rPr>
          <w:rFonts w:cs="Times New Roman"/>
          <w:i/>
          <w:szCs w:val="24"/>
          <w:shd w:val="clear" w:color="auto" w:fill="FFFFFF"/>
        </w:rPr>
        <w:t>6</w:t>
      </w:r>
      <w:r w:rsidR="00317A32">
        <w:rPr>
          <w:rFonts w:cs="Times New Roman"/>
          <w:szCs w:val="24"/>
          <w:shd w:val="clear" w:color="auto" w:fill="FFFFFF"/>
        </w:rPr>
        <w:t xml:space="preserve">) </w:t>
      </w:r>
      <w:r w:rsidR="00CD313A" w:rsidRPr="003773F5">
        <w:rPr>
          <w:rFonts w:cs="Times New Roman"/>
          <w:szCs w:val="24"/>
          <w:shd w:val="clear" w:color="auto" w:fill="FFFFFF"/>
        </w:rPr>
        <w:t>and experiences the more mature lifecycle milestones of adulthood.</w:t>
      </w:r>
      <w:r w:rsidR="00527346">
        <w:rPr>
          <w:rFonts w:cs="Times New Roman"/>
          <w:szCs w:val="24"/>
          <w:shd w:val="clear" w:color="auto" w:fill="FFFFFF"/>
        </w:rPr>
        <w:t xml:space="preserve"> </w:t>
      </w:r>
    </w:p>
    <w:p w:rsidR="00C76733" w:rsidRDefault="00CD313A" w:rsidP="00D00ED2">
      <w:pPr>
        <w:spacing w:after="0" w:line="240" w:lineRule="auto"/>
        <w:jc w:val="both"/>
        <w:rPr>
          <w:rFonts w:cs="Times New Roman"/>
          <w:szCs w:val="24"/>
          <w:shd w:val="clear" w:color="auto" w:fill="FFFFFF"/>
        </w:rPr>
      </w:pPr>
      <w:r w:rsidRPr="003773F5">
        <w:rPr>
          <w:rFonts w:cs="Times New Roman"/>
          <w:szCs w:val="24"/>
          <w:shd w:val="clear" w:color="auto" w:fill="FFFFFF"/>
        </w:rPr>
        <w:tab/>
        <w:t xml:space="preserve">What </w:t>
      </w:r>
      <w:r w:rsidR="0094359D" w:rsidRPr="003773F5">
        <w:rPr>
          <w:rFonts w:cs="Times New Roman"/>
          <w:szCs w:val="24"/>
          <w:shd w:val="clear" w:color="auto" w:fill="FFFFFF"/>
        </w:rPr>
        <w:t>m</w:t>
      </w:r>
      <w:r w:rsidR="0094359D">
        <w:rPr>
          <w:rFonts w:cs="Times New Roman"/>
          <w:szCs w:val="24"/>
          <w:shd w:val="clear" w:color="auto" w:fill="FFFFFF"/>
        </w:rPr>
        <w:t>ost</w:t>
      </w:r>
      <w:r w:rsidR="0094359D" w:rsidRPr="003773F5">
        <w:rPr>
          <w:rFonts w:cs="Times New Roman"/>
          <w:szCs w:val="24"/>
          <w:shd w:val="clear" w:color="auto" w:fill="FFFFFF"/>
        </w:rPr>
        <w:t xml:space="preserve"> </w:t>
      </w:r>
      <w:r w:rsidRPr="003773F5">
        <w:rPr>
          <w:rFonts w:cs="Times New Roman"/>
          <w:szCs w:val="24"/>
          <w:shd w:val="clear" w:color="auto" w:fill="FFFFFF"/>
        </w:rPr>
        <w:t>of the</w:t>
      </w:r>
      <w:r w:rsidR="004B611E">
        <w:rPr>
          <w:rFonts w:cs="Times New Roman"/>
          <w:szCs w:val="24"/>
          <w:shd w:val="clear" w:color="auto" w:fill="FFFFFF"/>
        </w:rPr>
        <w:t xml:space="preserve"> above</w:t>
      </w:r>
      <w:r w:rsidRPr="003773F5">
        <w:rPr>
          <w:rFonts w:cs="Times New Roman"/>
          <w:szCs w:val="24"/>
          <w:shd w:val="clear" w:color="auto" w:fill="FFFFFF"/>
        </w:rPr>
        <w:t xml:space="preserve"> studies fail to acknowledge is that there is likely to be significant heterogeneity among millennials since this generation broadly comprises individuals born between 1980 and 2000.</w:t>
      </w:r>
      <w:r w:rsidR="00527346">
        <w:rPr>
          <w:rFonts w:cs="Times New Roman"/>
          <w:szCs w:val="24"/>
          <w:shd w:val="clear" w:color="auto" w:fill="FFFFFF"/>
        </w:rPr>
        <w:t xml:space="preserve"> </w:t>
      </w:r>
      <w:r w:rsidR="00F021F8">
        <w:rPr>
          <w:rFonts w:cs="Times New Roman"/>
          <w:szCs w:val="24"/>
          <w:shd w:val="clear" w:color="auto" w:fill="FFFFFF"/>
        </w:rPr>
        <w:t xml:space="preserve">Among studies that investigate </w:t>
      </w:r>
      <w:r w:rsidR="00C76733">
        <w:rPr>
          <w:rFonts w:cs="Times New Roman"/>
          <w:szCs w:val="24"/>
          <w:shd w:val="clear" w:color="auto" w:fill="FFFFFF"/>
        </w:rPr>
        <w:t xml:space="preserve">heterogeneity </w:t>
      </w:r>
      <w:r w:rsidR="00A907EA">
        <w:rPr>
          <w:rFonts w:cs="Times New Roman"/>
          <w:szCs w:val="24"/>
          <w:shd w:val="clear" w:color="auto" w:fill="FFFFFF"/>
        </w:rPr>
        <w:t>within</w:t>
      </w:r>
      <w:r w:rsidR="00C76733">
        <w:rPr>
          <w:rFonts w:cs="Times New Roman"/>
          <w:szCs w:val="24"/>
          <w:shd w:val="clear" w:color="auto" w:fill="FFFFFF"/>
        </w:rPr>
        <w:t xml:space="preserve"> </w:t>
      </w:r>
      <w:r w:rsidR="00A907EA">
        <w:rPr>
          <w:rFonts w:cs="Times New Roman"/>
          <w:szCs w:val="24"/>
          <w:shd w:val="clear" w:color="auto" w:fill="FFFFFF"/>
        </w:rPr>
        <w:t xml:space="preserve">the </w:t>
      </w:r>
      <w:r w:rsidR="00C76733">
        <w:rPr>
          <w:rFonts w:cs="Times New Roman"/>
          <w:szCs w:val="24"/>
          <w:shd w:val="clear" w:color="auto" w:fill="FFFFFF"/>
        </w:rPr>
        <w:t>millennial</w:t>
      </w:r>
      <w:r w:rsidR="00A907EA">
        <w:rPr>
          <w:rFonts w:cs="Times New Roman"/>
          <w:szCs w:val="24"/>
          <w:shd w:val="clear" w:color="auto" w:fill="FFFFFF"/>
        </w:rPr>
        <w:t xml:space="preserve"> generation</w:t>
      </w:r>
      <w:r w:rsidR="00C76733">
        <w:rPr>
          <w:rFonts w:cs="Times New Roman"/>
          <w:szCs w:val="24"/>
          <w:shd w:val="clear" w:color="auto" w:fill="FFFFFF"/>
        </w:rPr>
        <w:t xml:space="preserve">, </w:t>
      </w:r>
      <w:r w:rsidRPr="003773F5">
        <w:rPr>
          <w:rFonts w:cs="Times New Roman"/>
          <w:szCs w:val="24"/>
          <w:shd w:val="clear" w:color="auto" w:fill="FFFFFF"/>
        </w:rPr>
        <w:t>Garikapati et al</w:t>
      </w:r>
      <w:r w:rsidR="0018417B">
        <w:rPr>
          <w:rFonts w:cs="Times New Roman"/>
          <w:szCs w:val="24"/>
          <w:shd w:val="clear" w:color="auto" w:fill="FFFFFF"/>
        </w:rPr>
        <w:t>.</w:t>
      </w:r>
      <w:r w:rsidRPr="003773F5">
        <w:rPr>
          <w:rFonts w:cs="Times New Roman"/>
          <w:szCs w:val="24"/>
          <w:shd w:val="clear" w:color="auto" w:fill="FFFFFF"/>
        </w:rPr>
        <w:t xml:space="preserve"> </w:t>
      </w:r>
      <w:r w:rsidR="00744543">
        <w:rPr>
          <w:rFonts w:cs="Times New Roman"/>
          <w:szCs w:val="24"/>
          <w:shd w:val="clear" w:color="auto" w:fill="FFFFFF"/>
        </w:rPr>
        <w:t>(</w:t>
      </w:r>
      <w:r w:rsidR="00744543" w:rsidRPr="00B271F1">
        <w:rPr>
          <w:rFonts w:cs="Times New Roman"/>
          <w:i/>
          <w:szCs w:val="24"/>
          <w:shd w:val="clear" w:color="auto" w:fill="FFFFFF"/>
        </w:rPr>
        <w:t>6</w:t>
      </w:r>
      <w:r w:rsidR="00744543">
        <w:rPr>
          <w:rFonts w:cs="Times New Roman"/>
          <w:szCs w:val="24"/>
          <w:shd w:val="clear" w:color="auto" w:fill="FFFFFF"/>
        </w:rPr>
        <w:t xml:space="preserve">) </w:t>
      </w:r>
      <w:r w:rsidRPr="003773F5">
        <w:rPr>
          <w:rFonts w:cs="Times New Roman"/>
          <w:szCs w:val="24"/>
          <w:shd w:val="clear" w:color="auto" w:fill="FFFFFF"/>
        </w:rPr>
        <w:t>find that younger millennials are quite different from older millennials even after controlling for age effects.</w:t>
      </w:r>
      <w:r w:rsidR="00527346">
        <w:rPr>
          <w:rFonts w:cs="Times New Roman"/>
          <w:szCs w:val="24"/>
          <w:shd w:val="clear" w:color="auto" w:fill="FFFFFF"/>
        </w:rPr>
        <w:t xml:space="preserve"> </w:t>
      </w:r>
      <w:r w:rsidRPr="003773F5">
        <w:rPr>
          <w:rFonts w:cs="Times New Roman"/>
          <w:szCs w:val="24"/>
          <w:shd w:val="clear" w:color="auto" w:fill="FFFFFF"/>
        </w:rPr>
        <w:t>It appears that older millennials show some of the traits of Generation X, the generation that just preceded the millennials while younger millennials show a greater difference relative to Generation X.</w:t>
      </w:r>
      <w:r w:rsidR="00C76733">
        <w:rPr>
          <w:rFonts w:cs="Times New Roman"/>
          <w:szCs w:val="24"/>
          <w:shd w:val="clear" w:color="auto" w:fill="FFFFFF"/>
        </w:rPr>
        <w:t xml:space="preserve"> Ralph </w:t>
      </w:r>
      <w:r w:rsidR="00744543">
        <w:rPr>
          <w:rFonts w:cs="Times New Roman"/>
          <w:szCs w:val="24"/>
          <w:shd w:val="clear" w:color="auto" w:fill="FFFFFF"/>
        </w:rPr>
        <w:t>(</w:t>
      </w:r>
      <w:r w:rsidR="00744543" w:rsidRPr="00B271F1">
        <w:rPr>
          <w:rFonts w:cs="Times New Roman"/>
          <w:i/>
          <w:szCs w:val="24"/>
          <w:shd w:val="clear" w:color="auto" w:fill="FFFFFF"/>
        </w:rPr>
        <w:t>7</w:t>
      </w:r>
      <w:r w:rsidR="00744543">
        <w:rPr>
          <w:rFonts w:cs="Times New Roman"/>
          <w:szCs w:val="24"/>
          <w:shd w:val="clear" w:color="auto" w:fill="FFFFFF"/>
        </w:rPr>
        <w:t>)</w:t>
      </w:r>
      <w:r w:rsidR="00C76733">
        <w:rPr>
          <w:rFonts w:cs="Times New Roman"/>
          <w:szCs w:val="24"/>
          <w:shd w:val="clear" w:color="auto" w:fill="FFFFFF"/>
        </w:rPr>
        <w:t xml:space="preserve"> performs a latent class analysis </w:t>
      </w:r>
      <w:r w:rsidR="00CD1491">
        <w:rPr>
          <w:rFonts w:cs="Times New Roman"/>
          <w:szCs w:val="24"/>
          <w:shd w:val="clear" w:color="auto" w:fill="FFFFFF"/>
        </w:rPr>
        <w:t xml:space="preserve">to investigate millennials’ travel patterns </w:t>
      </w:r>
      <w:r w:rsidR="00C76733">
        <w:rPr>
          <w:rFonts w:cs="Times New Roman"/>
          <w:szCs w:val="24"/>
          <w:shd w:val="clear" w:color="auto" w:fill="FFFFFF"/>
        </w:rPr>
        <w:t xml:space="preserve">and identifies four distinct </w:t>
      </w:r>
      <w:r w:rsidR="00F021F8">
        <w:rPr>
          <w:rFonts w:cs="Times New Roman"/>
          <w:szCs w:val="24"/>
          <w:shd w:val="clear" w:color="auto" w:fill="FFFFFF"/>
        </w:rPr>
        <w:t>traveler types among th</w:t>
      </w:r>
      <w:r w:rsidR="003B4F3C">
        <w:rPr>
          <w:rFonts w:cs="Times New Roman"/>
          <w:szCs w:val="24"/>
          <w:shd w:val="clear" w:color="auto" w:fill="FFFFFF"/>
        </w:rPr>
        <w:t xml:space="preserve">is </w:t>
      </w:r>
      <w:r w:rsidR="00F021F8">
        <w:rPr>
          <w:rFonts w:cs="Times New Roman"/>
          <w:szCs w:val="24"/>
          <w:shd w:val="clear" w:color="auto" w:fill="FFFFFF"/>
        </w:rPr>
        <w:t xml:space="preserve">generation: individuals that travel almost exclusively by automobile, individuals that travel (drive) </w:t>
      </w:r>
      <w:r w:rsidR="003B4F3C">
        <w:rPr>
          <w:rFonts w:cs="Times New Roman"/>
          <w:szCs w:val="24"/>
          <w:shd w:val="clear" w:color="auto" w:fill="FFFFFF"/>
        </w:rPr>
        <w:t>long</w:t>
      </w:r>
      <w:r w:rsidR="00F021F8">
        <w:rPr>
          <w:rFonts w:cs="Times New Roman"/>
          <w:szCs w:val="24"/>
          <w:shd w:val="clear" w:color="auto" w:fill="FFFFFF"/>
        </w:rPr>
        <w:t xml:space="preserve"> distances, individuals that</w:t>
      </w:r>
      <w:r w:rsidR="00652BEE">
        <w:rPr>
          <w:rFonts w:cs="Times New Roman"/>
          <w:szCs w:val="24"/>
          <w:shd w:val="clear" w:color="auto" w:fill="FFFFFF"/>
        </w:rPr>
        <w:t xml:space="preserve"> use a mix of modes (multimodal</w:t>
      </w:r>
      <w:r w:rsidR="00F021F8">
        <w:rPr>
          <w:rFonts w:cs="Times New Roman"/>
          <w:szCs w:val="24"/>
          <w:shd w:val="clear" w:color="auto" w:fill="FFFFFF"/>
        </w:rPr>
        <w:t>)</w:t>
      </w:r>
      <w:r w:rsidR="00A907EA">
        <w:rPr>
          <w:rFonts w:cs="Times New Roman"/>
          <w:szCs w:val="24"/>
          <w:shd w:val="clear" w:color="auto" w:fill="FFFFFF"/>
        </w:rPr>
        <w:t>,</w:t>
      </w:r>
      <w:r w:rsidR="00F021F8">
        <w:rPr>
          <w:rFonts w:cs="Times New Roman"/>
          <w:szCs w:val="24"/>
          <w:shd w:val="clear" w:color="auto" w:fill="FFFFFF"/>
        </w:rPr>
        <w:t xml:space="preserve"> and individuals that are car-less and make very few trips. </w:t>
      </w:r>
      <w:r w:rsidR="00A907EA">
        <w:rPr>
          <w:rFonts w:cs="Times New Roman"/>
          <w:szCs w:val="24"/>
          <w:shd w:val="clear" w:color="auto" w:fill="FFFFFF"/>
        </w:rPr>
        <w:t>K</w:t>
      </w:r>
      <w:r w:rsidR="00F021F8">
        <w:rPr>
          <w:rFonts w:cs="Times New Roman"/>
          <w:szCs w:val="24"/>
          <w:shd w:val="clear" w:color="auto" w:fill="FFFFFF"/>
        </w:rPr>
        <w:t xml:space="preserve">ey sociodemographic </w:t>
      </w:r>
      <w:r w:rsidR="00A907EA">
        <w:rPr>
          <w:rFonts w:cs="Times New Roman"/>
          <w:szCs w:val="24"/>
          <w:shd w:val="clear" w:color="auto" w:fill="FFFFFF"/>
        </w:rPr>
        <w:t>traits</w:t>
      </w:r>
      <w:r w:rsidR="00F021F8">
        <w:rPr>
          <w:rFonts w:cs="Times New Roman"/>
          <w:szCs w:val="24"/>
          <w:shd w:val="clear" w:color="auto" w:fill="FFFFFF"/>
        </w:rPr>
        <w:t>, such as being younger, single</w:t>
      </w:r>
      <w:r w:rsidR="00A907EA">
        <w:rPr>
          <w:rFonts w:cs="Times New Roman"/>
          <w:szCs w:val="24"/>
          <w:shd w:val="clear" w:color="auto" w:fill="FFFFFF"/>
        </w:rPr>
        <w:t>,</w:t>
      </w:r>
      <w:r w:rsidR="00F021F8">
        <w:rPr>
          <w:rFonts w:cs="Times New Roman"/>
          <w:szCs w:val="24"/>
          <w:shd w:val="clear" w:color="auto" w:fill="FFFFFF"/>
        </w:rPr>
        <w:t xml:space="preserve"> and living in dense urban areas, </w:t>
      </w:r>
      <w:r w:rsidR="00A907EA">
        <w:rPr>
          <w:rFonts w:cs="Times New Roman"/>
          <w:szCs w:val="24"/>
          <w:shd w:val="clear" w:color="auto" w:fill="FFFFFF"/>
        </w:rPr>
        <w:t xml:space="preserve">are reported to be associated </w:t>
      </w:r>
      <w:r w:rsidR="00F021F8">
        <w:rPr>
          <w:rFonts w:cs="Times New Roman"/>
          <w:szCs w:val="24"/>
          <w:shd w:val="clear" w:color="auto" w:fill="FFFFFF"/>
        </w:rPr>
        <w:t>with being multimodal or car-less.</w:t>
      </w:r>
      <w:r w:rsidR="00527346">
        <w:rPr>
          <w:rFonts w:cs="Times New Roman"/>
          <w:szCs w:val="24"/>
          <w:shd w:val="clear" w:color="auto" w:fill="FFFFFF"/>
        </w:rPr>
        <w:t xml:space="preserve"> </w:t>
      </w:r>
      <w:r w:rsidR="004B611E">
        <w:rPr>
          <w:rFonts w:cs="Times New Roman"/>
          <w:szCs w:val="24"/>
          <w:shd w:val="clear" w:color="auto" w:fill="FFFFFF"/>
        </w:rPr>
        <w:t>Garikapati et al</w:t>
      </w:r>
      <w:r w:rsidR="0018417B">
        <w:rPr>
          <w:rFonts w:cs="Times New Roman"/>
          <w:szCs w:val="24"/>
          <w:shd w:val="clear" w:color="auto" w:fill="FFFFFF"/>
        </w:rPr>
        <w:t>.</w:t>
      </w:r>
      <w:r w:rsidR="004B611E">
        <w:rPr>
          <w:rFonts w:cs="Times New Roman"/>
          <w:szCs w:val="24"/>
          <w:shd w:val="clear" w:color="auto" w:fill="FFFFFF"/>
        </w:rPr>
        <w:t xml:space="preserve"> </w:t>
      </w:r>
      <w:r w:rsidR="00744543">
        <w:rPr>
          <w:rFonts w:cs="Times New Roman"/>
          <w:szCs w:val="24"/>
          <w:shd w:val="clear" w:color="auto" w:fill="FFFFFF"/>
        </w:rPr>
        <w:t>(</w:t>
      </w:r>
      <w:r w:rsidR="00744543" w:rsidRPr="00B271F1">
        <w:rPr>
          <w:rFonts w:cs="Times New Roman"/>
          <w:i/>
          <w:szCs w:val="24"/>
          <w:shd w:val="clear" w:color="auto" w:fill="FFFFFF"/>
        </w:rPr>
        <w:t>6</w:t>
      </w:r>
      <w:r w:rsidR="00744543">
        <w:rPr>
          <w:rFonts w:cs="Times New Roman"/>
          <w:szCs w:val="24"/>
          <w:shd w:val="clear" w:color="auto" w:fill="FFFFFF"/>
        </w:rPr>
        <w:t xml:space="preserve">) </w:t>
      </w:r>
      <w:r w:rsidR="004B611E">
        <w:rPr>
          <w:rFonts w:cs="Times New Roman"/>
          <w:szCs w:val="24"/>
          <w:shd w:val="clear" w:color="auto" w:fill="FFFFFF"/>
        </w:rPr>
        <w:t xml:space="preserve">and Ralph </w:t>
      </w:r>
      <w:r w:rsidR="00744543">
        <w:rPr>
          <w:rFonts w:cs="Times New Roman"/>
          <w:szCs w:val="24"/>
          <w:shd w:val="clear" w:color="auto" w:fill="FFFFFF"/>
        </w:rPr>
        <w:t>(</w:t>
      </w:r>
      <w:r w:rsidR="00744543" w:rsidRPr="00B271F1">
        <w:rPr>
          <w:rFonts w:cs="Times New Roman"/>
          <w:i/>
          <w:szCs w:val="24"/>
          <w:shd w:val="clear" w:color="auto" w:fill="FFFFFF"/>
        </w:rPr>
        <w:t>7</w:t>
      </w:r>
      <w:r w:rsidR="00744543">
        <w:rPr>
          <w:rFonts w:cs="Times New Roman"/>
          <w:szCs w:val="24"/>
          <w:shd w:val="clear" w:color="auto" w:fill="FFFFFF"/>
        </w:rPr>
        <w:t xml:space="preserve">) </w:t>
      </w:r>
      <w:r w:rsidR="004B611E">
        <w:rPr>
          <w:rFonts w:cs="Times New Roman"/>
          <w:szCs w:val="24"/>
          <w:shd w:val="clear" w:color="auto" w:fill="FFFFFF"/>
        </w:rPr>
        <w:t xml:space="preserve">show that the lack of consensus </w:t>
      </w:r>
      <w:r w:rsidR="003B4F3C">
        <w:rPr>
          <w:rFonts w:cs="Times New Roman"/>
          <w:szCs w:val="24"/>
          <w:shd w:val="clear" w:color="auto" w:fill="FFFFFF"/>
        </w:rPr>
        <w:t>on</w:t>
      </w:r>
      <w:r w:rsidR="004B611E">
        <w:rPr>
          <w:rFonts w:cs="Times New Roman"/>
          <w:szCs w:val="24"/>
          <w:shd w:val="clear" w:color="auto" w:fill="FFFFFF"/>
        </w:rPr>
        <w:t xml:space="preserve"> whether </w:t>
      </w:r>
      <w:r w:rsidR="003B4F3C">
        <w:rPr>
          <w:rFonts w:cs="Times New Roman"/>
          <w:szCs w:val="24"/>
          <w:shd w:val="clear" w:color="auto" w:fill="FFFFFF"/>
        </w:rPr>
        <w:t xml:space="preserve">the </w:t>
      </w:r>
      <w:r w:rsidR="004B611E">
        <w:rPr>
          <w:rFonts w:cs="Times New Roman"/>
          <w:szCs w:val="24"/>
          <w:shd w:val="clear" w:color="auto" w:fill="FFFFFF"/>
        </w:rPr>
        <w:t>millennial</w:t>
      </w:r>
      <w:r w:rsidR="003B4F3C">
        <w:rPr>
          <w:rFonts w:cs="Times New Roman"/>
          <w:szCs w:val="24"/>
          <w:shd w:val="clear" w:color="auto" w:fill="FFFFFF"/>
        </w:rPr>
        <w:t xml:space="preserve"> generation is truly</w:t>
      </w:r>
      <w:r w:rsidR="004B611E">
        <w:rPr>
          <w:rFonts w:cs="Times New Roman"/>
          <w:szCs w:val="24"/>
          <w:shd w:val="clear" w:color="auto" w:fill="FFFFFF"/>
        </w:rPr>
        <w:t xml:space="preserve"> different from previous generations is probably a consequence of aggregating different individuals </w:t>
      </w:r>
      <w:r w:rsidR="00A907EA">
        <w:rPr>
          <w:rFonts w:cs="Times New Roman"/>
          <w:szCs w:val="24"/>
          <w:shd w:val="clear" w:color="auto" w:fill="FFFFFF"/>
        </w:rPr>
        <w:t>into a single generation</w:t>
      </w:r>
      <w:r w:rsidR="004B611E">
        <w:rPr>
          <w:rFonts w:cs="Times New Roman"/>
          <w:szCs w:val="24"/>
          <w:shd w:val="clear" w:color="auto" w:fill="FFFFFF"/>
        </w:rPr>
        <w:t xml:space="preserve"> and ignoring many possible sources of behavioral heterogeneity. </w:t>
      </w:r>
    </w:p>
    <w:p w:rsidR="004B611E" w:rsidRDefault="00CD313A" w:rsidP="00347999">
      <w:pPr>
        <w:spacing w:after="0" w:line="240" w:lineRule="auto"/>
        <w:jc w:val="both"/>
        <w:rPr>
          <w:rFonts w:cs="Times New Roman"/>
          <w:szCs w:val="24"/>
          <w:shd w:val="clear" w:color="auto" w:fill="FFFFFF"/>
        </w:rPr>
      </w:pPr>
      <w:r w:rsidRPr="003773F5">
        <w:rPr>
          <w:rFonts w:cs="Times New Roman"/>
          <w:szCs w:val="24"/>
          <w:shd w:val="clear" w:color="auto" w:fill="FFFFFF"/>
        </w:rPr>
        <w:tab/>
      </w:r>
      <w:r w:rsidR="00CD1491">
        <w:rPr>
          <w:rFonts w:cs="Times New Roman"/>
          <w:szCs w:val="24"/>
          <w:shd w:val="clear" w:color="auto" w:fill="FFFFFF"/>
        </w:rPr>
        <w:t>The current study contributes to the investigation of heterogeneity among the millennial generation by analyzing t</w:t>
      </w:r>
      <w:r w:rsidR="00A97B26" w:rsidRPr="003773F5">
        <w:rPr>
          <w:rFonts w:cs="Times New Roman"/>
          <w:szCs w:val="24"/>
          <w:shd w:val="clear" w:color="auto" w:fill="FFFFFF"/>
        </w:rPr>
        <w:t xml:space="preserve">hree key dimensions of interest in the context </w:t>
      </w:r>
      <w:r w:rsidR="001B31EA" w:rsidRPr="003773F5">
        <w:rPr>
          <w:rFonts w:cs="Times New Roman"/>
          <w:szCs w:val="24"/>
          <w:shd w:val="clear" w:color="auto" w:fill="FFFFFF"/>
        </w:rPr>
        <w:t xml:space="preserve">of </w:t>
      </w:r>
      <w:r w:rsidR="00A97B26" w:rsidRPr="003773F5">
        <w:rPr>
          <w:rFonts w:cs="Times New Roman"/>
          <w:szCs w:val="24"/>
          <w:shd w:val="clear" w:color="auto" w:fill="FFFFFF"/>
        </w:rPr>
        <w:t>sustainable travel behavior</w:t>
      </w:r>
      <w:r w:rsidR="00CD1491">
        <w:rPr>
          <w:rFonts w:cs="Times New Roman"/>
          <w:szCs w:val="24"/>
          <w:shd w:val="clear" w:color="auto" w:fill="FFFFFF"/>
        </w:rPr>
        <w:t>:</w:t>
      </w:r>
      <w:r w:rsidR="00A97B26" w:rsidRPr="003773F5">
        <w:rPr>
          <w:rFonts w:cs="Times New Roman"/>
          <w:szCs w:val="24"/>
          <w:shd w:val="clear" w:color="auto" w:fill="FFFFFF"/>
        </w:rPr>
        <w:t xml:space="preserve"> driver’s license holding, vehicle ownership, and commute mode choice.</w:t>
      </w:r>
      <w:r w:rsidR="00527346">
        <w:rPr>
          <w:rFonts w:cs="Times New Roman"/>
          <w:szCs w:val="24"/>
          <w:shd w:val="clear" w:color="auto" w:fill="FFFFFF"/>
        </w:rPr>
        <w:t xml:space="preserve"> </w:t>
      </w:r>
      <w:r w:rsidR="00A97B26" w:rsidRPr="003773F5">
        <w:rPr>
          <w:rFonts w:cs="Times New Roman"/>
          <w:szCs w:val="24"/>
          <w:shd w:val="clear" w:color="auto" w:fill="FFFFFF"/>
        </w:rPr>
        <w:t xml:space="preserve">All of these variables capture the auto-oriented mobility proclivity of </w:t>
      </w:r>
      <w:r w:rsidR="00D72C1B">
        <w:rPr>
          <w:rFonts w:cs="Times New Roman"/>
          <w:szCs w:val="24"/>
          <w:shd w:val="clear" w:color="auto" w:fill="FFFFFF"/>
        </w:rPr>
        <w:t>an</w:t>
      </w:r>
      <w:r w:rsidR="00D72C1B" w:rsidRPr="003773F5">
        <w:rPr>
          <w:rFonts w:cs="Times New Roman"/>
          <w:szCs w:val="24"/>
          <w:shd w:val="clear" w:color="auto" w:fill="FFFFFF"/>
        </w:rPr>
        <w:t xml:space="preserve"> </w:t>
      </w:r>
      <w:r w:rsidR="00A97B26" w:rsidRPr="003773F5">
        <w:rPr>
          <w:rFonts w:cs="Times New Roman"/>
          <w:szCs w:val="24"/>
          <w:shd w:val="clear" w:color="auto" w:fill="FFFFFF"/>
        </w:rPr>
        <w:t>individual. Those who are more auto-oriented are likely to have a driver’s license, own more vehicles, and use the car for commuting to and from work or school.</w:t>
      </w:r>
      <w:r w:rsidR="00527346">
        <w:rPr>
          <w:rFonts w:cs="Times New Roman"/>
          <w:szCs w:val="24"/>
          <w:shd w:val="clear" w:color="auto" w:fill="FFFFFF"/>
        </w:rPr>
        <w:t xml:space="preserve"> </w:t>
      </w:r>
      <w:r w:rsidR="00A97B26" w:rsidRPr="003773F5">
        <w:rPr>
          <w:rFonts w:cs="Times New Roman"/>
          <w:szCs w:val="24"/>
          <w:shd w:val="clear" w:color="auto" w:fill="FFFFFF"/>
        </w:rPr>
        <w:t xml:space="preserve">In an effort to better understand millennial choices in relation to auto-oriented mobility patterns, this paper </w:t>
      </w:r>
      <w:r w:rsidR="007814F8" w:rsidRPr="003773F5">
        <w:rPr>
          <w:rFonts w:cs="Times New Roman"/>
          <w:szCs w:val="24"/>
          <w:shd w:val="clear" w:color="auto" w:fill="FFFFFF"/>
        </w:rPr>
        <w:t xml:space="preserve">presents </w:t>
      </w:r>
      <w:r w:rsidR="003773F5">
        <w:rPr>
          <w:rFonts w:cs="Times New Roman"/>
          <w:szCs w:val="24"/>
          <w:shd w:val="clear" w:color="auto" w:fill="FFFFFF"/>
        </w:rPr>
        <w:t>a</w:t>
      </w:r>
      <w:r w:rsidR="007814F8" w:rsidRPr="003773F5">
        <w:rPr>
          <w:rFonts w:cs="Times New Roman"/>
          <w:szCs w:val="24"/>
          <w:shd w:val="clear" w:color="auto" w:fill="FFFFFF"/>
        </w:rPr>
        <w:t xml:space="preserve"> model</w:t>
      </w:r>
      <w:r w:rsidR="003773F5">
        <w:rPr>
          <w:rFonts w:cs="Times New Roman"/>
          <w:szCs w:val="24"/>
          <w:shd w:val="clear" w:color="auto" w:fill="FFFFFF"/>
        </w:rPr>
        <w:t xml:space="preserve"> system</w:t>
      </w:r>
      <w:r w:rsidR="007814F8" w:rsidRPr="003773F5">
        <w:rPr>
          <w:rFonts w:cs="Times New Roman"/>
          <w:szCs w:val="24"/>
          <w:shd w:val="clear" w:color="auto" w:fill="FFFFFF"/>
        </w:rPr>
        <w:t xml:space="preserve"> capable of accounting for the influence of </w:t>
      </w:r>
      <w:r w:rsidR="007814F8" w:rsidRPr="0094359D">
        <w:rPr>
          <w:rFonts w:cs="Times New Roman"/>
          <w:szCs w:val="24"/>
          <w:shd w:val="clear" w:color="auto" w:fill="FFFFFF"/>
        </w:rPr>
        <w:t>latent constructs</w:t>
      </w:r>
      <w:r w:rsidR="007814F8" w:rsidRPr="003773F5">
        <w:rPr>
          <w:rFonts w:cs="Times New Roman"/>
          <w:szCs w:val="24"/>
          <w:shd w:val="clear" w:color="auto" w:fill="FFFFFF"/>
        </w:rPr>
        <w:t xml:space="preserve"> reflecting mobility and lifestyle preferences as well as attitudes towards the environment.</w:t>
      </w:r>
      <w:r w:rsidR="00527346">
        <w:rPr>
          <w:rFonts w:cs="Times New Roman"/>
          <w:szCs w:val="24"/>
          <w:shd w:val="clear" w:color="auto" w:fill="FFFFFF"/>
        </w:rPr>
        <w:t xml:space="preserve"> </w:t>
      </w:r>
      <w:r w:rsidR="007814F8" w:rsidRPr="003773F5">
        <w:rPr>
          <w:rFonts w:cs="Times New Roman"/>
          <w:szCs w:val="24"/>
          <w:shd w:val="clear" w:color="auto" w:fill="FFFFFF"/>
        </w:rPr>
        <w:t xml:space="preserve">These </w:t>
      </w:r>
      <w:r w:rsidR="007814F8" w:rsidRPr="009C7FCC">
        <w:rPr>
          <w:rFonts w:cs="Times New Roman"/>
          <w:szCs w:val="24"/>
          <w:shd w:val="clear" w:color="auto" w:fill="FFFFFF"/>
        </w:rPr>
        <w:t>latent constructs</w:t>
      </w:r>
      <w:r w:rsidR="007814F8" w:rsidRPr="003773F5">
        <w:rPr>
          <w:rFonts w:cs="Times New Roman"/>
          <w:szCs w:val="24"/>
          <w:shd w:val="clear" w:color="auto" w:fill="FFFFFF"/>
        </w:rPr>
        <w:t xml:space="preserve"> are combined with a number of exogenous </w:t>
      </w:r>
      <w:r w:rsidR="00467BC0" w:rsidRPr="003773F5">
        <w:rPr>
          <w:rFonts w:cs="Times New Roman"/>
          <w:szCs w:val="24"/>
          <w:shd w:val="clear" w:color="auto" w:fill="FFFFFF"/>
        </w:rPr>
        <w:t>variables to explain millennial</w:t>
      </w:r>
      <w:r w:rsidR="007814F8" w:rsidRPr="003773F5">
        <w:rPr>
          <w:rFonts w:cs="Times New Roman"/>
          <w:szCs w:val="24"/>
          <w:shd w:val="clear" w:color="auto" w:fill="FFFFFF"/>
        </w:rPr>
        <w:t xml:space="preserve"> travel choices</w:t>
      </w:r>
      <w:r w:rsidR="009C7FCC">
        <w:rPr>
          <w:rFonts w:cs="Times New Roman"/>
          <w:szCs w:val="24"/>
          <w:shd w:val="clear" w:color="auto" w:fill="FFFFFF"/>
        </w:rPr>
        <w:t>.</w:t>
      </w:r>
      <w:r w:rsidR="007814F8" w:rsidRPr="003773F5">
        <w:rPr>
          <w:rFonts w:cs="Times New Roman"/>
          <w:szCs w:val="24"/>
          <w:shd w:val="clear" w:color="auto" w:fill="FFFFFF"/>
        </w:rPr>
        <w:t xml:space="preserve"> </w:t>
      </w:r>
      <w:r w:rsidR="00347999">
        <w:rPr>
          <w:rFonts w:cs="Times New Roman"/>
          <w:szCs w:val="24"/>
          <w:shd w:val="clear" w:color="auto" w:fill="FFFFFF"/>
        </w:rPr>
        <w:t xml:space="preserve">The model incorporates a gamut of explanatory variables; however, two variables of special interest </w:t>
      </w:r>
      <w:r w:rsidR="00930277">
        <w:rPr>
          <w:rFonts w:cs="Times New Roman"/>
          <w:szCs w:val="24"/>
          <w:shd w:val="clear" w:color="auto" w:fill="FFFFFF"/>
        </w:rPr>
        <w:t>to</w:t>
      </w:r>
      <w:r w:rsidR="00113C79">
        <w:rPr>
          <w:rFonts w:cs="Times New Roman"/>
          <w:szCs w:val="24"/>
          <w:shd w:val="clear" w:color="auto" w:fill="FFFFFF"/>
        </w:rPr>
        <w:t xml:space="preserve"> this research effort are</w:t>
      </w:r>
      <w:r w:rsidR="00347999">
        <w:rPr>
          <w:rFonts w:cs="Times New Roman"/>
          <w:szCs w:val="24"/>
          <w:shd w:val="clear" w:color="auto" w:fill="FFFFFF"/>
        </w:rPr>
        <w:t xml:space="preserve"> geographic </w:t>
      </w:r>
      <w:r w:rsidR="004566AB">
        <w:rPr>
          <w:rFonts w:cs="Times New Roman"/>
          <w:szCs w:val="24"/>
          <w:shd w:val="clear" w:color="auto" w:fill="FFFFFF"/>
        </w:rPr>
        <w:t xml:space="preserve">residential </w:t>
      </w:r>
      <w:r w:rsidR="00347999">
        <w:rPr>
          <w:rFonts w:cs="Times New Roman"/>
          <w:szCs w:val="24"/>
          <w:shd w:val="clear" w:color="auto" w:fill="FFFFFF"/>
        </w:rPr>
        <w:t xml:space="preserve">location and parenting status. </w:t>
      </w:r>
      <w:r w:rsidR="0022375B" w:rsidRPr="003773F5">
        <w:rPr>
          <w:rFonts w:cs="Times New Roman"/>
          <w:szCs w:val="24"/>
          <w:shd w:val="clear" w:color="auto" w:fill="FFFFFF"/>
        </w:rPr>
        <w:t xml:space="preserve">Variables representing the geographic location of residence are included in the model specification to determine the extent to which millennial </w:t>
      </w:r>
      <w:r w:rsidR="00347999">
        <w:rPr>
          <w:rFonts w:cs="Times New Roman"/>
          <w:szCs w:val="24"/>
          <w:shd w:val="clear" w:color="auto" w:fill="FFFFFF"/>
        </w:rPr>
        <w:t>travel</w:t>
      </w:r>
      <w:r w:rsidR="00347999" w:rsidRPr="003773F5">
        <w:rPr>
          <w:rFonts w:cs="Times New Roman"/>
          <w:szCs w:val="24"/>
          <w:shd w:val="clear" w:color="auto" w:fill="FFFFFF"/>
        </w:rPr>
        <w:t xml:space="preserve"> </w:t>
      </w:r>
      <w:r w:rsidR="0022375B" w:rsidRPr="003773F5">
        <w:rPr>
          <w:rFonts w:cs="Times New Roman"/>
          <w:szCs w:val="24"/>
          <w:shd w:val="clear" w:color="auto" w:fill="FFFFFF"/>
        </w:rPr>
        <w:t xml:space="preserve">choices may be attributed to geographic differences as opposed to </w:t>
      </w:r>
      <w:r w:rsidR="004566AB">
        <w:rPr>
          <w:rFonts w:cs="Times New Roman"/>
          <w:szCs w:val="24"/>
          <w:shd w:val="clear" w:color="auto" w:fill="FFFFFF"/>
        </w:rPr>
        <w:t>fundamental</w:t>
      </w:r>
      <w:r w:rsidR="004566AB" w:rsidRPr="003773F5">
        <w:rPr>
          <w:rFonts w:cs="Times New Roman"/>
          <w:szCs w:val="24"/>
          <w:shd w:val="clear" w:color="auto" w:fill="FFFFFF"/>
        </w:rPr>
        <w:t xml:space="preserve"> </w:t>
      </w:r>
      <w:r w:rsidR="0022375B" w:rsidRPr="003773F5">
        <w:rPr>
          <w:rFonts w:cs="Times New Roman"/>
          <w:szCs w:val="24"/>
          <w:shd w:val="clear" w:color="auto" w:fill="FFFFFF"/>
        </w:rPr>
        <w:t>differences in mobility preferences</w:t>
      </w:r>
      <w:r w:rsidR="00347999">
        <w:rPr>
          <w:rFonts w:cs="Times New Roman"/>
          <w:szCs w:val="24"/>
          <w:shd w:val="clear" w:color="auto" w:fill="FFFFFF"/>
        </w:rPr>
        <w:t xml:space="preserve"> </w:t>
      </w:r>
      <w:r w:rsidR="004566AB">
        <w:rPr>
          <w:rFonts w:cs="Times New Roman"/>
          <w:szCs w:val="24"/>
          <w:shd w:val="clear" w:color="auto" w:fill="FFFFFF"/>
        </w:rPr>
        <w:t>within the cohort</w:t>
      </w:r>
      <w:r w:rsidR="0022375B" w:rsidRPr="003773F5">
        <w:rPr>
          <w:rFonts w:cs="Times New Roman"/>
          <w:szCs w:val="24"/>
          <w:shd w:val="clear" w:color="auto" w:fill="FFFFFF"/>
        </w:rPr>
        <w:t xml:space="preserve">. </w:t>
      </w:r>
      <w:r w:rsidR="00347999" w:rsidRPr="003773F5">
        <w:rPr>
          <w:rFonts w:cs="Times New Roman"/>
          <w:szCs w:val="24"/>
          <w:shd w:val="clear" w:color="auto" w:fill="FFFFFF"/>
        </w:rPr>
        <w:t xml:space="preserve">For example, </w:t>
      </w:r>
      <w:r w:rsidR="00930277">
        <w:rPr>
          <w:rFonts w:cs="Times New Roman"/>
          <w:szCs w:val="24"/>
          <w:shd w:val="clear" w:color="auto" w:fill="FFFFFF"/>
        </w:rPr>
        <w:t>millennials</w:t>
      </w:r>
      <w:r w:rsidR="00347999" w:rsidRPr="003773F5">
        <w:rPr>
          <w:rFonts w:cs="Times New Roman"/>
          <w:szCs w:val="24"/>
          <w:shd w:val="clear" w:color="auto" w:fill="FFFFFF"/>
        </w:rPr>
        <w:t xml:space="preserve"> residing in larger dense cities of </w:t>
      </w:r>
      <w:r w:rsidR="00347999" w:rsidRPr="003773F5">
        <w:rPr>
          <w:rFonts w:cs="Times New Roman"/>
          <w:szCs w:val="24"/>
          <w:shd w:val="clear" w:color="auto" w:fill="FFFFFF"/>
        </w:rPr>
        <w:lastRenderedPageBreak/>
        <w:t>the East Coast may have very different attitudes and preferences than those residing in the less dense and newer cities of the West.</w:t>
      </w:r>
      <w:r w:rsidR="0022375B" w:rsidRPr="003773F5">
        <w:rPr>
          <w:rFonts w:cs="Times New Roman"/>
          <w:szCs w:val="24"/>
          <w:shd w:val="clear" w:color="auto" w:fill="FFFFFF"/>
        </w:rPr>
        <w:t xml:space="preserve"> </w:t>
      </w:r>
      <w:r w:rsidR="00347999" w:rsidRPr="003773F5">
        <w:rPr>
          <w:rFonts w:cs="Times New Roman"/>
          <w:szCs w:val="24"/>
          <w:shd w:val="clear" w:color="auto" w:fill="FFFFFF"/>
        </w:rPr>
        <w:t>Th</w:t>
      </w:r>
      <w:r w:rsidR="00347999">
        <w:rPr>
          <w:rFonts w:cs="Times New Roman"/>
          <w:szCs w:val="24"/>
          <w:shd w:val="clear" w:color="auto" w:fill="FFFFFF"/>
        </w:rPr>
        <w:t>us, the</w:t>
      </w:r>
      <w:r w:rsidR="00347999" w:rsidRPr="003773F5">
        <w:rPr>
          <w:rFonts w:cs="Times New Roman"/>
          <w:szCs w:val="24"/>
          <w:shd w:val="clear" w:color="auto" w:fill="FFFFFF"/>
        </w:rPr>
        <w:t xml:space="preserve"> </w:t>
      </w:r>
      <w:r w:rsidR="0022375B" w:rsidRPr="003773F5">
        <w:rPr>
          <w:rFonts w:cs="Times New Roman"/>
          <w:szCs w:val="24"/>
          <w:shd w:val="clear" w:color="auto" w:fill="FFFFFF"/>
        </w:rPr>
        <w:t>focus on geographic location makes it possible to test the hypothesis that behaviors that are said to be inherent to the millennial generation (such as multi-modality and lower levels of vehicle ownership and use) are largely true in well-developed dense cities where transit and non-motorized modes of transportation offer a high level of service and access to destinations.</w:t>
      </w:r>
      <w:r w:rsidR="00527346">
        <w:rPr>
          <w:rFonts w:cs="Times New Roman"/>
          <w:szCs w:val="24"/>
          <w:shd w:val="clear" w:color="auto" w:fill="FFFFFF"/>
        </w:rPr>
        <w:t xml:space="preserve"> </w:t>
      </w:r>
      <w:r w:rsidR="0022375B" w:rsidRPr="003773F5">
        <w:rPr>
          <w:rFonts w:cs="Times New Roman"/>
          <w:szCs w:val="24"/>
          <w:shd w:val="clear" w:color="auto" w:fill="FFFFFF"/>
        </w:rPr>
        <w:t xml:space="preserve">The model system also explicitly considers the </w:t>
      </w:r>
      <w:r w:rsidR="0022375B" w:rsidRPr="00F66E90">
        <w:rPr>
          <w:rFonts w:cs="Times New Roman"/>
          <w:szCs w:val="24"/>
          <w:shd w:val="clear" w:color="auto" w:fill="FFFFFF"/>
        </w:rPr>
        <w:t>parent</w:t>
      </w:r>
      <w:r w:rsidR="004566AB">
        <w:rPr>
          <w:rFonts w:cs="Times New Roman"/>
          <w:szCs w:val="24"/>
          <w:shd w:val="clear" w:color="auto" w:fill="FFFFFF"/>
        </w:rPr>
        <w:t>al</w:t>
      </w:r>
      <w:r w:rsidR="0022375B" w:rsidRPr="00F66E90">
        <w:rPr>
          <w:rFonts w:cs="Times New Roman"/>
          <w:szCs w:val="24"/>
          <w:shd w:val="clear" w:color="auto" w:fill="FFFFFF"/>
        </w:rPr>
        <w:t xml:space="preserve"> status</w:t>
      </w:r>
      <w:r w:rsidR="0022375B" w:rsidRPr="003773F5">
        <w:rPr>
          <w:rFonts w:cs="Times New Roman"/>
          <w:szCs w:val="24"/>
          <w:shd w:val="clear" w:color="auto" w:fill="FFFFFF"/>
        </w:rPr>
        <w:t xml:space="preserve"> of the individual in modeling choice of commute mode, vehicle ownership, and driver’s license acquisition.</w:t>
      </w:r>
      <w:r w:rsidR="00527346">
        <w:rPr>
          <w:rFonts w:cs="Times New Roman"/>
          <w:szCs w:val="24"/>
          <w:shd w:val="clear" w:color="auto" w:fill="FFFFFF"/>
        </w:rPr>
        <w:t xml:space="preserve"> </w:t>
      </w:r>
      <w:r w:rsidR="0022375B" w:rsidRPr="003773F5">
        <w:rPr>
          <w:rFonts w:cs="Times New Roman"/>
          <w:szCs w:val="24"/>
          <w:shd w:val="clear" w:color="auto" w:fill="FFFFFF"/>
        </w:rPr>
        <w:t>Parent</w:t>
      </w:r>
      <w:r w:rsidR="004566AB">
        <w:rPr>
          <w:rFonts w:cs="Times New Roman"/>
          <w:szCs w:val="24"/>
          <w:shd w:val="clear" w:color="auto" w:fill="FFFFFF"/>
        </w:rPr>
        <w:t>al</w:t>
      </w:r>
      <w:r w:rsidR="0022375B" w:rsidRPr="003773F5">
        <w:rPr>
          <w:rFonts w:cs="Times New Roman"/>
          <w:szCs w:val="24"/>
          <w:shd w:val="clear" w:color="auto" w:fill="FFFFFF"/>
        </w:rPr>
        <w:t xml:space="preserve"> status </w:t>
      </w:r>
      <w:r w:rsidR="006F1205" w:rsidRPr="003773F5">
        <w:rPr>
          <w:rFonts w:cs="Times New Roman"/>
          <w:szCs w:val="24"/>
          <w:shd w:val="clear" w:color="auto" w:fill="FFFFFF"/>
        </w:rPr>
        <w:t>may be</w:t>
      </w:r>
      <w:r w:rsidR="0022375B" w:rsidRPr="003773F5">
        <w:rPr>
          <w:rFonts w:cs="Times New Roman"/>
          <w:szCs w:val="24"/>
          <w:shd w:val="clear" w:color="auto" w:fill="FFFFFF"/>
        </w:rPr>
        <w:t xml:space="preserve"> considered a measure of transition into adulthood</w:t>
      </w:r>
      <w:r w:rsidR="00B76517">
        <w:rPr>
          <w:rFonts w:cs="Times New Roman"/>
          <w:szCs w:val="24"/>
          <w:shd w:val="clear" w:color="auto" w:fill="FFFFFF"/>
        </w:rPr>
        <w:t>. In the absence of longitudinal data</w:t>
      </w:r>
      <w:r w:rsidR="001E5CAA">
        <w:rPr>
          <w:rFonts w:cs="Times New Roman"/>
          <w:szCs w:val="24"/>
          <w:shd w:val="clear" w:color="auto" w:fill="FFFFFF"/>
        </w:rPr>
        <w:t xml:space="preserve"> </w:t>
      </w:r>
      <w:r w:rsidR="00B76517">
        <w:rPr>
          <w:rFonts w:cs="Times New Roman"/>
          <w:szCs w:val="24"/>
          <w:shd w:val="clear" w:color="auto" w:fill="FFFFFF"/>
        </w:rPr>
        <w:t xml:space="preserve">sets, </w:t>
      </w:r>
      <w:r w:rsidR="0022375B" w:rsidRPr="003773F5">
        <w:rPr>
          <w:rFonts w:cs="Times New Roman"/>
          <w:szCs w:val="24"/>
          <w:shd w:val="clear" w:color="auto" w:fill="FFFFFF"/>
        </w:rPr>
        <w:t xml:space="preserve">comparing </w:t>
      </w:r>
      <w:r w:rsidR="004E041D">
        <w:rPr>
          <w:rFonts w:cs="Times New Roman"/>
          <w:szCs w:val="24"/>
          <w:shd w:val="clear" w:color="auto" w:fill="FFFFFF"/>
        </w:rPr>
        <w:t>mobility</w:t>
      </w:r>
      <w:r w:rsidR="004E041D" w:rsidRPr="003773F5">
        <w:rPr>
          <w:rFonts w:cs="Times New Roman"/>
          <w:szCs w:val="24"/>
          <w:shd w:val="clear" w:color="auto" w:fill="FFFFFF"/>
        </w:rPr>
        <w:t xml:space="preserve"> </w:t>
      </w:r>
      <w:r w:rsidR="0022375B" w:rsidRPr="003773F5">
        <w:rPr>
          <w:rFonts w:cs="Times New Roman"/>
          <w:szCs w:val="24"/>
          <w:shd w:val="clear" w:color="auto" w:fill="FFFFFF"/>
        </w:rPr>
        <w:t xml:space="preserve">choices of </w:t>
      </w:r>
      <w:r w:rsidR="00FA687C">
        <w:rPr>
          <w:rFonts w:cs="Times New Roman"/>
          <w:szCs w:val="24"/>
          <w:shd w:val="clear" w:color="auto" w:fill="FFFFFF"/>
        </w:rPr>
        <w:t xml:space="preserve">millennial </w:t>
      </w:r>
      <w:r w:rsidR="0022375B" w:rsidRPr="003773F5">
        <w:rPr>
          <w:rFonts w:cs="Times New Roman"/>
          <w:szCs w:val="24"/>
          <w:shd w:val="clear" w:color="auto" w:fill="FFFFFF"/>
        </w:rPr>
        <w:t xml:space="preserve">parents </w:t>
      </w:r>
      <w:r w:rsidR="006F1205" w:rsidRPr="003773F5">
        <w:rPr>
          <w:rFonts w:cs="Times New Roman"/>
          <w:szCs w:val="24"/>
          <w:shd w:val="clear" w:color="auto" w:fill="FFFFFF"/>
        </w:rPr>
        <w:t>against</w:t>
      </w:r>
      <w:r w:rsidR="0022375B" w:rsidRPr="003773F5">
        <w:rPr>
          <w:rFonts w:cs="Times New Roman"/>
          <w:szCs w:val="24"/>
          <w:shd w:val="clear" w:color="auto" w:fill="FFFFFF"/>
        </w:rPr>
        <w:t xml:space="preserve"> those of non-parents</w:t>
      </w:r>
      <w:r w:rsidR="00B76517">
        <w:rPr>
          <w:rFonts w:cs="Times New Roman"/>
          <w:szCs w:val="24"/>
          <w:shd w:val="clear" w:color="auto" w:fill="FFFFFF"/>
        </w:rPr>
        <w:t xml:space="preserve"> </w:t>
      </w:r>
      <w:r w:rsidR="004E041D">
        <w:rPr>
          <w:rFonts w:cs="Times New Roman"/>
          <w:szCs w:val="24"/>
          <w:shd w:val="clear" w:color="auto" w:fill="FFFFFF"/>
        </w:rPr>
        <w:t>could help</w:t>
      </w:r>
      <w:r w:rsidR="0022375B" w:rsidRPr="003773F5">
        <w:rPr>
          <w:rFonts w:cs="Times New Roman"/>
          <w:szCs w:val="24"/>
          <w:shd w:val="clear" w:color="auto" w:fill="FFFFFF"/>
        </w:rPr>
        <w:t xml:space="preserve"> determin</w:t>
      </w:r>
      <w:r w:rsidR="00FA687C">
        <w:rPr>
          <w:rFonts w:cs="Times New Roman"/>
          <w:szCs w:val="24"/>
          <w:shd w:val="clear" w:color="auto" w:fill="FFFFFF"/>
        </w:rPr>
        <w:t>e</w:t>
      </w:r>
      <w:r w:rsidR="0022375B" w:rsidRPr="003773F5">
        <w:rPr>
          <w:rFonts w:cs="Times New Roman"/>
          <w:szCs w:val="24"/>
          <w:shd w:val="clear" w:color="auto" w:fill="FFFFFF"/>
        </w:rPr>
        <w:t xml:space="preserve"> the extent to which delayed achievement of adult lifecycle milestones may be contributing to </w:t>
      </w:r>
      <w:r w:rsidR="004566AB">
        <w:rPr>
          <w:rFonts w:cs="Times New Roman"/>
          <w:szCs w:val="24"/>
          <w:shd w:val="clear" w:color="auto" w:fill="FFFFFF"/>
        </w:rPr>
        <w:t>heterogeneity</w:t>
      </w:r>
      <w:r w:rsidR="004566AB" w:rsidRPr="003773F5">
        <w:rPr>
          <w:rFonts w:cs="Times New Roman"/>
          <w:szCs w:val="24"/>
          <w:shd w:val="clear" w:color="auto" w:fill="FFFFFF"/>
        </w:rPr>
        <w:t xml:space="preserve"> </w:t>
      </w:r>
      <w:r w:rsidR="0022375B" w:rsidRPr="003773F5">
        <w:rPr>
          <w:rFonts w:cs="Times New Roman"/>
          <w:szCs w:val="24"/>
          <w:shd w:val="clear" w:color="auto" w:fill="FFFFFF"/>
        </w:rPr>
        <w:t>in millennial vehicle ownership and usage.</w:t>
      </w:r>
      <w:r w:rsidR="00166861" w:rsidRPr="003773F5">
        <w:rPr>
          <w:rFonts w:cs="Times New Roman"/>
          <w:szCs w:val="24"/>
          <w:shd w:val="clear" w:color="auto" w:fill="FFFFFF"/>
        </w:rPr>
        <w:t xml:space="preserve"> </w:t>
      </w:r>
    </w:p>
    <w:p w:rsidR="00347F4C" w:rsidRPr="003773F5" w:rsidRDefault="00166861" w:rsidP="00D00ED2">
      <w:pPr>
        <w:spacing w:after="0" w:line="240" w:lineRule="auto"/>
        <w:jc w:val="both"/>
        <w:rPr>
          <w:rFonts w:cs="Times New Roman"/>
          <w:szCs w:val="24"/>
          <w:shd w:val="clear" w:color="auto" w:fill="FFFFFF"/>
        </w:rPr>
      </w:pPr>
      <w:r w:rsidRPr="003773F5">
        <w:rPr>
          <w:rFonts w:cs="Times New Roman"/>
          <w:szCs w:val="24"/>
          <w:shd w:val="clear" w:color="auto" w:fill="FFFFFF"/>
        </w:rPr>
        <w:tab/>
      </w:r>
      <w:r w:rsidR="004E041D">
        <w:rPr>
          <w:rFonts w:cs="Times New Roman"/>
          <w:szCs w:val="24"/>
          <w:shd w:val="clear" w:color="auto" w:fill="FFFFFF"/>
        </w:rPr>
        <w:t>The</w:t>
      </w:r>
      <w:r w:rsidR="003B4F3C">
        <w:rPr>
          <w:rFonts w:cs="Times New Roman"/>
          <w:szCs w:val="24"/>
          <w:shd w:val="clear" w:color="auto" w:fill="FFFFFF"/>
        </w:rPr>
        <w:t xml:space="preserve"> </w:t>
      </w:r>
      <w:r w:rsidRPr="003773F5">
        <w:rPr>
          <w:rFonts w:cs="Times New Roman"/>
          <w:szCs w:val="24"/>
          <w:shd w:val="clear" w:color="auto" w:fill="FFFFFF"/>
        </w:rPr>
        <w:t xml:space="preserve">data </w:t>
      </w:r>
      <w:r w:rsidR="004E041D">
        <w:rPr>
          <w:rFonts w:cs="Times New Roman"/>
          <w:szCs w:val="24"/>
          <w:shd w:val="clear" w:color="auto" w:fill="FFFFFF"/>
        </w:rPr>
        <w:t xml:space="preserve">for this study is </w:t>
      </w:r>
      <w:r w:rsidRPr="003773F5">
        <w:rPr>
          <w:rFonts w:cs="Times New Roman"/>
          <w:szCs w:val="24"/>
          <w:shd w:val="clear" w:color="auto" w:fill="FFFFFF"/>
        </w:rPr>
        <w:t xml:space="preserve">derived from the “Who’s on Board 2014 Mobility Attitudes Survey” </w:t>
      </w:r>
      <w:r w:rsidR="0034552F">
        <w:rPr>
          <w:rFonts w:cs="Times New Roman"/>
          <w:szCs w:val="24"/>
          <w:shd w:val="clear" w:color="auto" w:fill="FFFFFF"/>
        </w:rPr>
        <w:t xml:space="preserve">which covers cities across </w:t>
      </w:r>
      <w:r w:rsidR="0034552F" w:rsidRPr="003773F5">
        <w:rPr>
          <w:rFonts w:cs="Times New Roman"/>
          <w:szCs w:val="24"/>
          <w:shd w:val="clear" w:color="auto" w:fill="FFFFFF"/>
        </w:rPr>
        <w:t>the</w:t>
      </w:r>
      <w:r w:rsidRPr="003773F5">
        <w:rPr>
          <w:rFonts w:cs="Times New Roman"/>
          <w:szCs w:val="24"/>
          <w:shd w:val="clear" w:color="auto" w:fill="FFFFFF"/>
        </w:rPr>
        <w:t xml:space="preserve"> United States</w:t>
      </w:r>
      <w:r w:rsidR="00744543">
        <w:rPr>
          <w:rFonts w:cs="Times New Roman"/>
          <w:szCs w:val="24"/>
          <w:shd w:val="clear" w:color="auto" w:fill="FFFFFF"/>
        </w:rPr>
        <w:t xml:space="preserve"> (</w:t>
      </w:r>
      <w:r w:rsidR="00744543" w:rsidRPr="00B271F1">
        <w:rPr>
          <w:rFonts w:cs="Times New Roman"/>
          <w:i/>
          <w:szCs w:val="24"/>
          <w:shd w:val="clear" w:color="auto" w:fill="FFFFFF"/>
        </w:rPr>
        <w:t>8</w:t>
      </w:r>
      <w:r w:rsidR="00744543">
        <w:rPr>
          <w:rFonts w:cs="Times New Roman"/>
          <w:szCs w:val="24"/>
          <w:shd w:val="clear" w:color="auto" w:fill="FFFFFF"/>
        </w:rPr>
        <w:t>)</w:t>
      </w:r>
      <w:r w:rsidR="004E041D">
        <w:rPr>
          <w:rFonts w:cs="Times New Roman"/>
          <w:szCs w:val="24"/>
          <w:shd w:val="clear" w:color="auto" w:fill="FFFFFF"/>
        </w:rPr>
        <w:t>. A</w:t>
      </w:r>
      <w:r w:rsidRPr="003773F5">
        <w:rPr>
          <w:rFonts w:cs="Times New Roman"/>
          <w:szCs w:val="24"/>
          <w:shd w:val="clear" w:color="auto" w:fill="FFFFFF"/>
        </w:rPr>
        <w:t xml:space="preserve"> simultaneous equations model </w:t>
      </w:r>
      <w:r w:rsidR="004E041D">
        <w:rPr>
          <w:rFonts w:cs="Times New Roman"/>
          <w:szCs w:val="24"/>
          <w:shd w:val="clear" w:color="auto" w:fill="FFFFFF"/>
        </w:rPr>
        <w:t xml:space="preserve">is estimated </w:t>
      </w:r>
      <w:r w:rsidR="003B4F3C">
        <w:rPr>
          <w:rFonts w:cs="Times New Roman"/>
          <w:szCs w:val="24"/>
          <w:shd w:val="clear" w:color="auto" w:fill="FFFFFF"/>
        </w:rPr>
        <w:t>using the</w:t>
      </w:r>
      <w:r w:rsidRPr="003773F5">
        <w:rPr>
          <w:rFonts w:cs="Times New Roman"/>
          <w:szCs w:val="24"/>
          <w:shd w:val="clear" w:color="auto" w:fill="FFFFFF"/>
        </w:rPr>
        <w:t xml:space="preserve"> Generalized Heterogeneous Data Model (GHDM</w:t>
      </w:r>
      <w:r w:rsidR="003B4F3C" w:rsidRPr="003773F5">
        <w:rPr>
          <w:rFonts w:cs="Times New Roman"/>
          <w:szCs w:val="24"/>
          <w:shd w:val="clear" w:color="auto" w:fill="FFFFFF"/>
        </w:rPr>
        <w:t>)</w:t>
      </w:r>
      <w:r w:rsidR="003B4F3C">
        <w:rPr>
          <w:rFonts w:cs="Times New Roman"/>
          <w:szCs w:val="24"/>
          <w:shd w:val="clear" w:color="auto" w:fill="FFFFFF"/>
        </w:rPr>
        <w:t xml:space="preserve"> approach </w:t>
      </w:r>
      <w:r w:rsidRPr="003773F5">
        <w:rPr>
          <w:rFonts w:cs="Times New Roman"/>
          <w:szCs w:val="24"/>
          <w:shd w:val="clear" w:color="auto" w:fill="FFFFFF"/>
        </w:rPr>
        <w:t xml:space="preserve">proposed by Bhat </w:t>
      </w:r>
      <w:r w:rsidR="00744543">
        <w:rPr>
          <w:rFonts w:cs="Times New Roman"/>
          <w:szCs w:val="24"/>
          <w:shd w:val="clear" w:color="auto" w:fill="FFFFFF"/>
        </w:rPr>
        <w:t>(</w:t>
      </w:r>
      <w:r w:rsidR="00744543">
        <w:rPr>
          <w:rFonts w:cs="Times New Roman"/>
          <w:i/>
          <w:szCs w:val="24"/>
          <w:shd w:val="clear" w:color="auto" w:fill="FFFFFF"/>
        </w:rPr>
        <w:t>9</w:t>
      </w:r>
      <w:r w:rsidR="00744543">
        <w:rPr>
          <w:rFonts w:cs="Times New Roman"/>
          <w:szCs w:val="24"/>
          <w:shd w:val="clear" w:color="auto" w:fill="FFFFFF"/>
        </w:rPr>
        <w:t>)</w:t>
      </w:r>
      <w:r w:rsidRPr="003773F5">
        <w:rPr>
          <w:rFonts w:cs="Times New Roman"/>
          <w:szCs w:val="24"/>
          <w:shd w:val="clear" w:color="auto" w:fill="FFFFFF"/>
        </w:rPr>
        <w:t xml:space="preserve">. </w:t>
      </w:r>
      <w:r w:rsidR="003B4F3C">
        <w:rPr>
          <w:rFonts w:cs="Times New Roman"/>
          <w:szCs w:val="24"/>
          <w:shd w:val="clear" w:color="auto" w:fill="FFFFFF"/>
        </w:rPr>
        <w:t xml:space="preserve">This approach </w:t>
      </w:r>
      <w:r w:rsidR="004566AB">
        <w:rPr>
          <w:rFonts w:cs="Times New Roman"/>
          <w:szCs w:val="24"/>
          <w:shd w:val="clear" w:color="auto" w:fill="FFFFFF"/>
        </w:rPr>
        <w:t>accounts for latent constructs</w:t>
      </w:r>
      <w:r w:rsidR="003B4F3C">
        <w:rPr>
          <w:rFonts w:cs="Times New Roman"/>
          <w:szCs w:val="24"/>
          <w:shd w:val="clear" w:color="auto" w:fill="FFFFFF"/>
        </w:rPr>
        <w:t xml:space="preserve"> </w:t>
      </w:r>
      <w:r w:rsidR="004E041D">
        <w:rPr>
          <w:rFonts w:cs="Times New Roman"/>
          <w:szCs w:val="24"/>
          <w:shd w:val="clear" w:color="auto" w:fill="FFFFFF"/>
        </w:rPr>
        <w:t>and</w:t>
      </w:r>
      <w:r w:rsidR="003B4F3C">
        <w:rPr>
          <w:rFonts w:cs="Times New Roman"/>
          <w:szCs w:val="24"/>
          <w:shd w:val="clear" w:color="auto" w:fill="FFFFFF"/>
        </w:rPr>
        <w:t xml:space="preserve"> allow</w:t>
      </w:r>
      <w:r w:rsidR="004E041D">
        <w:rPr>
          <w:rFonts w:cs="Times New Roman"/>
          <w:szCs w:val="24"/>
          <w:shd w:val="clear" w:color="auto" w:fill="FFFFFF"/>
        </w:rPr>
        <w:t>s</w:t>
      </w:r>
      <w:r w:rsidR="003B4F3C">
        <w:rPr>
          <w:rFonts w:cs="Times New Roman"/>
          <w:szCs w:val="24"/>
          <w:shd w:val="clear" w:color="auto" w:fill="FFFFFF"/>
        </w:rPr>
        <w:t xml:space="preserve"> the joint estimation of </w:t>
      </w:r>
      <w:r w:rsidR="00A24F25">
        <w:rPr>
          <w:rFonts w:cs="Times New Roman"/>
          <w:szCs w:val="24"/>
          <w:shd w:val="clear" w:color="auto" w:fill="FFFFFF"/>
        </w:rPr>
        <w:t xml:space="preserve">a mix of </w:t>
      </w:r>
      <w:r w:rsidR="003B4F3C">
        <w:rPr>
          <w:rFonts w:cs="Times New Roman"/>
          <w:szCs w:val="24"/>
          <w:shd w:val="clear" w:color="auto" w:fill="FFFFFF"/>
        </w:rPr>
        <w:t xml:space="preserve">ordinal, count and nominal </w:t>
      </w:r>
      <w:r w:rsidR="00A24F25">
        <w:rPr>
          <w:rFonts w:cs="Times New Roman"/>
          <w:szCs w:val="24"/>
          <w:shd w:val="clear" w:color="auto" w:fill="FFFFFF"/>
        </w:rPr>
        <w:t>dependent variables</w:t>
      </w:r>
      <w:r w:rsidR="0034552F">
        <w:rPr>
          <w:rFonts w:cs="Times New Roman"/>
          <w:szCs w:val="24"/>
          <w:shd w:val="clear" w:color="auto" w:fill="FFFFFF"/>
        </w:rPr>
        <w:t>. The joint estimation of driver’s license acquisition, vehicle ownership</w:t>
      </w:r>
      <w:r w:rsidR="004566AB">
        <w:rPr>
          <w:rFonts w:cs="Times New Roman"/>
          <w:szCs w:val="24"/>
          <w:shd w:val="clear" w:color="auto" w:fill="FFFFFF"/>
        </w:rPr>
        <w:t>,</w:t>
      </w:r>
      <w:r w:rsidR="0034552F">
        <w:rPr>
          <w:rFonts w:cs="Times New Roman"/>
          <w:szCs w:val="24"/>
          <w:shd w:val="clear" w:color="auto" w:fill="FFFFFF"/>
        </w:rPr>
        <w:t xml:space="preserve"> and commute mode choice</w:t>
      </w:r>
      <w:r w:rsidR="003B4F3C">
        <w:rPr>
          <w:rFonts w:cs="Times New Roman"/>
          <w:szCs w:val="24"/>
          <w:shd w:val="clear" w:color="auto" w:fill="FFFFFF"/>
        </w:rPr>
        <w:t xml:space="preserve"> </w:t>
      </w:r>
      <w:r w:rsidR="00810543">
        <w:rPr>
          <w:rFonts w:cs="Times New Roman"/>
          <w:szCs w:val="24"/>
          <w:shd w:val="clear" w:color="auto" w:fill="FFFFFF"/>
        </w:rPr>
        <w:t xml:space="preserve">is </w:t>
      </w:r>
      <w:r w:rsidR="004E041D">
        <w:rPr>
          <w:rFonts w:cs="Times New Roman"/>
          <w:szCs w:val="24"/>
          <w:shd w:val="clear" w:color="auto" w:fill="FFFFFF"/>
        </w:rPr>
        <w:t>intuitive</w:t>
      </w:r>
      <w:r w:rsidR="00810543">
        <w:rPr>
          <w:rFonts w:cs="Times New Roman"/>
          <w:szCs w:val="24"/>
          <w:shd w:val="clear" w:color="auto" w:fill="FFFFFF"/>
        </w:rPr>
        <w:t xml:space="preserve"> due to the clear relationship </w:t>
      </w:r>
      <w:r w:rsidR="004566AB">
        <w:rPr>
          <w:rFonts w:cs="Times New Roman"/>
          <w:szCs w:val="24"/>
          <w:shd w:val="clear" w:color="auto" w:fill="FFFFFF"/>
        </w:rPr>
        <w:t>among</w:t>
      </w:r>
      <w:r w:rsidR="00810543">
        <w:rPr>
          <w:rFonts w:cs="Times New Roman"/>
          <w:szCs w:val="24"/>
          <w:shd w:val="clear" w:color="auto" w:fill="FFFFFF"/>
        </w:rPr>
        <w:t xml:space="preserve"> these choice</w:t>
      </w:r>
      <w:r w:rsidR="004E041D">
        <w:rPr>
          <w:rFonts w:cs="Times New Roman"/>
          <w:szCs w:val="24"/>
          <w:shd w:val="clear" w:color="auto" w:fill="FFFFFF"/>
        </w:rPr>
        <w:t xml:space="preserve"> dimensions</w:t>
      </w:r>
      <w:r w:rsidR="00810543">
        <w:rPr>
          <w:rFonts w:cs="Times New Roman"/>
          <w:szCs w:val="24"/>
          <w:shd w:val="clear" w:color="auto" w:fill="FFFFFF"/>
        </w:rPr>
        <w:t xml:space="preserve"> and because unobserved factors that are likely to affect one of these choices are also likely to affect the other</w:t>
      </w:r>
      <w:r w:rsidR="00757658">
        <w:rPr>
          <w:rFonts w:cs="Times New Roman"/>
          <w:szCs w:val="24"/>
          <w:shd w:val="clear" w:color="auto" w:fill="FFFFFF"/>
        </w:rPr>
        <w:t xml:space="preserve"> choices (for example, economic circumstances may delay both the choice to get a license and purchase a vehicle)</w:t>
      </w:r>
      <w:r w:rsidR="00810543">
        <w:rPr>
          <w:rFonts w:cs="Times New Roman"/>
          <w:szCs w:val="24"/>
          <w:shd w:val="clear" w:color="auto" w:fill="FFFFFF"/>
        </w:rPr>
        <w:t xml:space="preserve">. </w:t>
      </w:r>
      <w:r w:rsidR="004E041D">
        <w:rPr>
          <w:rFonts w:cs="Times New Roman"/>
          <w:szCs w:val="24"/>
          <w:shd w:val="clear" w:color="auto" w:fill="FFFFFF"/>
        </w:rPr>
        <w:t>The</w:t>
      </w:r>
      <w:r w:rsidR="00757658">
        <w:rPr>
          <w:rFonts w:cs="Times New Roman"/>
          <w:szCs w:val="24"/>
          <w:shd w:val="clear" w:color="auto" w:fill="FFFFFF"/>
        </w:rPr>
        <w:t xml:space="preserve"> use of psychological latent constructs enables</w:t>
      </w:r>
      <w:r w:rsidR="00810543">
        <w:rPr>
          <w:rFonts w:cs="Times New Roman"/>
          <w:szCs w:val="24"/>
          <w:shd w:val="clear" w:color="auto" w:fill="FFFFFF"/>
        </w:rPr>
        <w:t xml:space="preserve"> controlling for self-selection effects.</w:t>
      </w:r>
      <w:r w:rsidRPr="003773F5">
        <w:rPr>
          <w:rFonts w:cs="Times New Roman"/>
          <w:szCs w:val="24"/>
          <w:shd w:val="clear" w:color="auto" w:fill="FFFFFF"/>
        </w:rPr>
        <w:t xml:space="preserve"> </w:t>
      </w:r>
    </w:p>
    <w:p w:rsidR="002B4D30" w:rsidRPr="003773F5" w:rsidRDefault="002B4D30" w:rsidP="00D00ED2">
      <w:pPr>
        <w:spacing w:after="0" w:line="240" w:lineRule="auto"/>
        <w:jc w:val="both"/>
        <w:rPr>
          <w:rFonts w:cs="Times New Roman"/>
          <w:szCs w:val="24"/>
          <w:u w:val="single"/>
          <w:shd w:val="clear" w:color="auto" w:fill="FFFFFF"/>
        </w:rPr>
      </w:pPr>
      <w:r w:rsidRPr="003773F5">
        <w:rPr>
          <w:rFonts w:cs="Times New Roman"/>
          <w:szCs w:val="24"/>
          <w:shd w:val="clear" w:color="auto" w:fill="FFFFFF"/>
        </w:rPr>
        <w:tab/>
        <w:t>The remainder of this paper is organized as follows.</w:t>
      </w:r>
      <w:r w:rsidR="00527346">
        <w:rPr>
          <w:rFonts w:cs="Times New Roman"/>
          <w:szCs w:val="24"/>
          <w:shd w:val="clear" w:color="auto" w:fill="FFFFFF"/>
        </w:rPr>
        <w:t xml:space="preserve"> </w:t>
      </w:r>
      <w:r w:rsidRPr="003773F5">
        <w:rPr>
          <w:rFonts w:cs="Times New Roman"/>
          <w:szCs w:val="24"/>
          <w:shd w:val="clear" w:color="auto" w:fill="FFFFFF"/>
        </w:rPr>
        <w:t xml:space="preserve">The next section </w:t>
      </w:r>
      <w:r w:rsidR="00D00ED2" w:rsidRPr="003773F5">
        <w:rPr>
          <w:rFonts w:cs="Times New Roman"/>
          <w:szCs w:val="24"/>
          <w:shd w:val="clear" w:color="auto" w:fill="FFFFFF"/>
        </w:rPr>
        <w:t xml:space="preserve">describes </w:t>
      </w:r>
      <w:r w:rsidR="004E041D" w:rsidRPr="003773F5">
        <w:rPr>
          <w:rFonts w:cs="Times New Roman"/>
          <w:szCs w:val="24"/>
          <w:shd w:val="clear" w:color="auto" w:fill="FFFFFF"/>
        </w:rPr>
        <w:t>the behavioral</w:t>
      </w:r>
      <w:r w:rsidR="004E041D">
        <w:rPr>
          <w:rFonts w:cs="Times New Roman"/>
          <w:szCs w:val="24"/>
          <w:shd w:val="clear" w:color="auto" w:fill="FFFFFF"/>
        </w:rPr>
        <w:t xml:space="preserve"> framework</w:t>
      </w:r>
      <w:r w:rsidRPr="003773F5">
        <w:rPr>
          <w:rFonts w:cs="Times New Roman"/>
          <w:szCs w:val="24"/>
          <w:shd w:val="clear" w:color="auto" w:fill="FFFFFF"/>
        </w:rPr>
        <w:t xml:space="preserve">.  The third section describes the </w:t>
      </w:r>
      <w:r w:rsidR="004E041D" w:rsidRPr="003773F5">
        <w:rPr>
          <w:rFonts w:cs="Times New Roman"/>
          <w:szCs w:val="24"/>
          <w:shd w:val="clear" w:color="auto" w:fill="FFFFFF"/>
        </w:rPr>
        <w:t>data set used in the modeling exercise</w:t>
      </w:r>
      <w:r w:rsidRPr="003773F5">
        <w:rPr>
          <w:rFonts w:cs="Times New Roman"/>
          <w:szCs w:val="24"/>
          <w:shd w:val="clear" w:color="auto" w:fill="FFFFFF"/>
        </w:rPr>
        <w:t>.  The fourth section</w:t>
      </w:r>
      <w:r w:rsidR="00D00ED2" w:rsidRPr="003773F5">
        <w:rPr>
          <w:rFonts w:cs="Times New Roman"/>
          <w:szCs w:val="24"/>
          <w:shd w:val="clear" w:color="auto" w:fill="FFFFFF"/>
        </w:rPr>
        <w:t xml:space="preserve"> presents model estimation results, while the</w:t>
      </w:r>
      <w:r w:rsidRPr="003773F5">
        <w:rPr>
          <w:rFonts w:cs="Times New Roman"/>
          <w:szCs w:val="24"/>
          <w:shd w:val="clear" w:color="auto" w:fill="FFFFFF"/>
        </w:rPr>
        <w:t xml:space="preserve"> fifth section </w:t>
      </w:r>
      <w:r w:rsidR="00D00ED2" w:rsidRPr="003773F5">
        <w:rPr>
          <w:rFonts w:cs="Times New Roman"/>
          <w:szCs w:val="24"/>
          <w:shd w:val="clear" w:color="auto" w:fill="FFFFFF"/>
        </w:rPr>
        <w:t xml:space="preserve">offers </w:t>
      </w:r>
      <w:r w:rsidRPr="003773F5">
        <w:rPr>
          <w:rFonts w:cs="Times New Roman"/>
          <w:szCs w:val="24"/>
          <w:shd w:val="clear" w:color="auto" w:fill="FFFFFF"/>
        </w:rPr>
        <w:t>concluding thoughts</w:t>
      </w:r>
      <w:r w:rsidR="004E041D">
        <w:rPr>
          <w:rFonts w:cs="Times New Roman"/>
          <w:szCs w:val="24"/>
          <w:shd w:val="clear" w:color="auto" w:fill="FFFFFF"/>
        </w:rPr>
        <w:t xml:space="preserve"> and policy recommendations</w:t>
      </w:r>
      <w:r w:rsidRPr="003773F5">
        <w:rPr>
          <w:rFonts w:cs="Times New Roman"/>
          <w:szCs w:val="24"/>
          <w:shd w:val="clear" w:color="auto" w:fill="FFFFFF"/>
        </w:rPr>
        <w:t xml:space="preserve">.  </w:t>
      </w:r>
    </w:p>
    <w:p w:rsidR="00347F4C" w:rsidRDefault="00347F4C" w:rsidP="00FA1DC4">
      <w:pPr>
        <w:spacing w:after="0" w:line="240" w:lineRule="auto"/>
        <w:rPr>
          <w:rFonts w:cs="Times New Roman"/>
          <w:color w:val="222222"/>
          <w:szCs w:val="24"/>
          <w:shd w:val="clear" w:color="auto" w:fill="FFFFFF"/>
        </w:rPr>
      </w:pPr>
    </w:p>
    <w:p w:rsidR="0039750B" w:rsidRPr="00513BBF" w:rsidRDefault="0039750B" w:rsidP="0039750B">
      <w:pPr>
        <w:pStyle w:val="Heading1"/>
        <w:spacing w:before="0" w:line="240" w:lineRule="auto"/>
        <w:jc w:val="both"/>
      </w:pPr>
      <w:r w:rsidRPr="00513BBF">
        <w:t>behavioral framework</w:t>
      </w:r>
    </w:p>
    <w:p w:rsidR="0039750B" w:rsidRPr="00CB2D0C" w:rsidRDefault="0039750B" w:rsidP="0039750B">
      <w:pPr>
        <w:pStyle w:val="ListParagraph"/>
        <w:spacing w:after="0" w:line="240" w:lineRule="auto"/>
        <w:ind w:left="0"/>
      </w:pPr>
      <w:r w:rsidRPr="00CB2D0C">
        <w:t xml:space="preserve">The </w:t>
      </w:r>
      <w:r w:rsidR="00184FC2" w:rsidRPr="00CB2D0C">
        <w:t>model</w:t>
      </w:r>
      <w:r w:rsidRPr="00CB2D0C">
        <w:t xml:space="preserve"> developed in this paper jointly analyzes three key mobility choices of millennials, including driver’s license holding status, vehicle ownership, and commute mode choice.  Vehicle ownership refers to individual vehicle ownership (i.e., whether the individual has a dedicated vehicle as opposed to simply having access to a household vehicle) while commute mode choice considers three possible alternatives</w:t>
      </w:r>
      <w:r w:rsidR="00527346">
        <w:t>—</w:t>
      </w:r>
      <w:r w:rsidRPr="00CB2D0C">
        <w:t>car, transit, and non-motorized modes.</w:t>
      </w:r>
      <w:r w:rsidR="00527346">
        <w:t xml:space="preserve"> </w:t>
      </w:r>
      <w:r w:rsidRPr="00CB2D0C">
        <w:t>In modeling commute mode choice, the modeling methodology accoun</w:t>
      </w:r>
      <w:r w:rsidR="005C5424" w:rsidRPr="00CB2D0C">
        <w:t>ts</w:t>
      </w:r>
      <w:r w:rsidRPr="00CB2D0C">
        <w:t xml:space="preserve"> for the variability in choice set across </w:t>
      </w:r>
      <w:r w:rsidR="005C5424" w:rsidRPr="00CB2D0C">
        <w:t>individuals</w:t>
      </w:r>
      <w:r w:rsidRPr="00CB2D0C">
        <w:t>.</w:t>
      </w:r>
      <w:r w:rsidR="00527346">
        <w:t xml:space="preserve"> </w:t>
      </w:r>
      <w:r w:rsidRPr="00CB2D0C">
        <w:t xml:space="preserve">Not everyone may have car or transit available and this </w:t>
      </w:r>
      <w:r w:rsidR="005C5424" w:rsidRPr="00CB2D0C">
        <w:t>fact is</w:t>
      </w:r>
      <w:r w:rsidRPr="00CB2D0C">
        <w:t xml:space="preserve"> taken into consideration in the construction of the choice set.</w:t>
      </w:r>
      <w:r w:rsidR="00527346">
        <w:t xml:space="preserve"> </w:t>
      </w:r>
      <w:r w:rsidRPr="00CB2D0C">
        <w:t xml:space="preserve">Everybody is assumed to have access to non-motorized modes of transportation. </w:t>
      </w:r>
    </w:p>
    <w:p w:rsidR="0039750B" w:rsidRPr="00513BBF" w:rsidRDefault="0039750B" w:rsidP="0039750B">
      <w:pPr>
        <w:pStyle w:val="ListParagraph"/>
        <w:spacing w:after="0" w:line="240" w:lineRule="auto"/>
        <w:ind w:left="0"/>
      </w:pPr>
      <w:r w:rsidRPr="00CB2D0C">
        <w:tab/>
        <w:t xml:space="preserve">To model these three choice variables, a behavioral framework that integrates </w:t>
      </w:r>
      <w:r w:rsidR="00003D61" w:rsidRPr="00CB2D0C">
        <w:t xml:space="preserve">three latent </w:t>
      </w:r>
      <w:r w:rsidR="000176BD" w:rsidRPr="00CB2D0C">
        <w:t xml:space="preserve">attitudinal </w:t>
      </w:r>
      <w:r w:rsidRPr="00CB2D0C">
        <w:t xml:space="preserve">constructs </w:t>
      </w:r>
      <w:r w:rsidR="00003D61" w:rsidRPr="00CB2D0C">
        <w:t xml:space="preserve">(pro-environment attitude, pro-transit attitude and pro-car attitude) </w:t>
      </w:r>
      <w:r w:rsidRPr="00CB2D0C">
        <w:t xml:space="preserve">and </w:t>
      </w:r>
      <w:r w:rsidR="00003D61" w:rsidRPr="00CB2D0C">
        <w:t>a latent</w:t>
      </w:r>
      <w:r w:rsidRPr="00CB2D0C">
        <w:t xml:space="preserve"> </w:t>
      </w:r>
      <w:r w:rsidR="000176BD" w:rsidRPr="00CB2D0C">
        <w:t xml:space="preserve">lifestyle </w:t>
      </w:r>
      <w:r w:rsidR="00003D61" w:rsidRPr="00CB2D0C">
        <w:t>construct</w:t>
      </w:r>
      <w:r w:rsidRPr="00CB2D0C">
        <w:t xml:space="preserve"> </w:t>
      </w:r>
      <w:r w:rsidR="00003D61" w:rsidRPr="00CB2D0C">
        <w:t>(tech</w:t>
      </w:r>
      <w:r w:rsidR="009357FB">
        <w:t xml:space="preserve">nology </w:t>
      </w:r>
      <w:r w:rsidR="00003D61" w:rsidRPr="00CB2D0C">
        <w:t xml:space="preserve">dependency) </w:t>
      </w:r>
      <w:r w:rsidRPr="00CB2D0C">
        <w:t>is developed.</w:t>
      </w:r>
      <w:r w:rsidR="00003D61" w:rsidRPr="00CB2D0C">
        <w:t xml:space="preserve"> Th</w:t>
      </w:r>
      <w:r w:rsidR="005C5424" w:rsidRPr="00CB2D0C">
        <w:t>e</w:t>
      </w:r>
      <w:r w:rsidR="00003D61" w:rsidRPr="00CB2D0C">
        <w:t xml:space="preserve"> distinction between the two types of latent </w:t>
      </w:r>
      <w:r w:rsidR="009357FB">
        <w:t>constructs</w:t>
      </w:r>
      <w:r w:rsidR="00003D61" w:rsidRPr="00CB2D0C">
        <w:t xml:space="preserve"> is motivated by the type</w:t>
      </w:r>
      <w:r w:rsidR="009357FB">
        <w:t>s</w:t>
      </w:r>
      <w:r w:rsidR="00003D61" w:rsidRPr="00CB2D0C">
        <w:t xml:space="preserve"> of variables used as indicators. The latent attitud</w:t>
      </w:r>
      <w:r w:rsidR="000176BD" w:rsidRPr="00CB2D0C">
        <w:t xml:space="preserve">inal constructs </w:t>
      </w:r>
      <w:r w:rsidR="00003D61" w:rsidRPr="00CB2D0C">
        <w:t xml:space="preserve">have attitudinal </w:t>
      </w:r>
      <w:r w:rsidR="009357FB">
        <w:t>variables</w:t>
      </w:r>
      <w:r w:rsidR="00003D61" w:rsidRPr="00CB2D0C">
        <w:t xml:space="preserve"> as indicators, while the latent lifestyle construct uses </w:t>
      </w:r>
      <w:r w:rsidR="000176BD" w:rsidRPr="00CB2D0C">
        <w:rPr>
          <w:rFonts w:eastAsia="Times New Roman" w:cs="Times New Roman"/>
          <w:color w:val="222222"/>
          <w:szCs w:val="24"/>
          <w:lang w:eastAsia="pt-BR"/>
        </w:rPr>
        <w:t xml:space="preserve">variables </w:t>
      </w:r>
      <w:r w:rsidR="009357FB">
        <w:rPr>
          <w:rFonts w:eastAsia="Times New Roman" w:cs="Times New Roman"/>
          <w:color w:val="222222"/>
          <w:szCs w:val="24"/>
          <w:lang w:eastAsia="pt-BR"/>
        </w:rPr>
        <w:t>describing</w:t>
      </w:r>
      <w:r w:rsidR="000176BD" w:rsidRPr="00CB2D0C">
        <w:rPr>
          <w:rFonts w:eastAsia="Times New Roman" w:cs="Times New Roman"/>
          <w:color w:val="222222"/>
          <w:szCs w:val="24"/>
          <w:lang w:eastAsia="pt-BR"/>
        </w:rPr>
        <w:t xml:space="preserve"> </w:t>
      </w:r>
      <w:r w:rsidR="00003D61" w:rsidRPr="00CB2D0C">
        <w:t>observed behavior</w:t>
      </w:r>
      <w:r w:rsidR="00D75EC5" w:rsidRPr="00CB2D0C">
        <w:t xml:space="preserve"> (such as number of tech devices owned by the individual)</w:t>
      </w:r>
      <w:r w:rsidR="00003D61" w:rsidRPr="00CB2D0C">
        <w:t xml:space="preserve"> </w:t>
      </w:r>
      <w:r w:rsidR="00D75EC5" w:rsidRPr="00CB2D0C">
        <w:t xml:space="preserve">as indicators. </w:t>
      </w:r>
      <w:r w:rsidRPr="00CB2D0C">
        <w:t>The use of latent constructs is essential to capture unobserved</w:t>
      </w:r>
      <w:r w:rsidR="00D75EC5" w:rsidRPr="00CB2D0C">
        <w:t xml:space="preserve"> self-selection </w:t>
      </w:r>
      <w:r w:rsidRPr="00CB2D0C">
        <w:t xml:space="preserve">effects underlying choice decisions and </w:t>
      </w:r>
      <w:r w:rsidR="00D75EC5" w:rsidRPr="00CB2D0C">
        <w:t>identify differen</w:t>
      </w:r>
      <w:r w:rsidR="00BE7058" w:rsidRPr="00CB2D0C">
        <w:t>ces in</w:t>
      </w:r>
      <w:r w:rsidR="00D75EC5" w:rsidRPr="00CB2D0C">
        <w:t xml:space="preserve"> </w:t>
      </w:r>
      <w:r w:rsidR="009357FB">
        <w:t xml:space="preserve">mobility choice </w:t>
      </w:r>
      <w:r w:rsidR="00D75EC5" w:rsidRPr="00CB2D0C">
        <w:t>pro</w:t>
      </w:r>
      <w:r w:rsidR="00BE7058" w:rsidRPr="00CB2D0C">
        <w:t>clivity</w:t>
      </w:r>
      <w:r w:rsidRPr="00CB2D0C">
        <w:t xml:space="preserve"> </w:t>
      </w:r>
      <w:r w:rsidR="009357FB">
        <w:t>within</w:t>
      </w:r>
      <w:r w:rsidRPr="00CB2D0C">
        <w:t xml:space="preserve"> the millennial generation. The form of the latent constructs was determined based on </w:t>
      </w:r>
      <w:r w:rsidR="00E407ED" w:rsidRPr="00CB2D0C">
        <w:t>existing</w:t>
      </w:r>
      <w:r w:rsidRPr="00CB2D0C">
        <w:t xml:space="preserve"> literature and </w:t>
      </w:r>
      <w:r w:rsidR="00E407ED" w:rsidRPr="00CB2D0C">
        <w:t xml:space="preserve">the </w:t>
      </w:r>
      <w:r w:rsidRPr="00CB2D0C">
        <w:t>variables</w:t>
      </w:r>
      <w:r w:rsidR="00E407ED" w:rsidRPr="00CB2D0C">
        <w:t>/</w:t>
      </w:r>
      <w:r w:rsidRPr="00CB2D0C">
        <w:t>indicators that were available in the data set.</w:t>
      </w:r>
      <w:r w:rsidR="00527346">
        <w:t xml:space="preserve"> </w:t>
      </w:r>
      <w:r w:rsidRPr="00CB2D0C">
        <w:t xml:space="preserve">The literature </w:t>
      </w:r>
      <w:r w:rsidRPr="00CB2D0C">
        <w:lastRenderedPageBreak/>
        <w:t>suggests that attitudinal factors such as pro-</w:t>
      </w:r>
      <w:r w:rsidR="00D75EC5" w:rsidRPr="00CB2D0C">
        <w:t>car</w:t>
      </w:r>
      <w:r w:rsidRPr="00CB2D0C">
        <w:t xml:space="preserve">, pro-transit, and pro-environment are key latent variables that have a significant impact on mobility choices exercised by people </w:t>
      </w:r>
      <w:r w:rsidR="00744543">
        <w:t>(</w:t>
      </w:r>
      <w:r w:rsidR="00744543" w:rsidRPr="00B271F1">
        <w:rPr>
          <w:i/>
        </w:rPr>
        <w:t>10</w:t>
      </w:r>
      <w:r w:rsidR="00A43E69">
        <w:rPr>
          <w:i/>
        </w:rPr>
        <w:t>-</w:t>
      </w:r>
      <w:r w:rsidR="00744543">
        <w:rPr>
          <w:i/>
        </w:rPr>
        <w:t>12</w:t>
      </w:r>
      <w:r w:rsidR="00744543">
        <w:t>)</w:t>
      </w:r>
      <w:r w:rsidRPr="00CB2D0C">
        <w:t>.</w:t>
      </w:r>
      <w:r w:rsidR="00527346">
        <w:t xml:space="preserve"> </w:t>
      </w:r>
      <w:r w:rsidR="00016D1D" w:rsidRPr="00CB2D0C">
        <w:t xml:space="preserve">The tech-dependency construct was added to this </w:t>
      </w:r>
      <w:r w:rsidR="00592388" w:rsidRPr="00CB2D0C">
        <w:t xml:space="preserve">set of latent variables </w:t>
      </w:r>
      <w:r w:rsidR="00E407ED" w:rsidRPr="00CB2D0C">
        <w:t xml:space="preserve">to reflect the impact of technology on </w:t>
      </w:r>
      <w:r w:rsidR="00BE7058" w:rsidRPr="00CB2D0C">
        <w:t>mobility choices</w:t>
      </w:r>
      <w:r w:rsidR="00016D1D" w:rsidRPr="00CB2D0C">
        <w:t xml:space="preserve"> </w:t>
      </w:r>
      <w:r w:rsidR="00E407ED" w:rsidRPr="00CB2D0C">
        <w:t xml:space="preserve">(especially </w:t>
      </w:r>
      <w:r w:rsidR="00321204">
        <w:t>for</w:t>
      </w:r>
      <w:r w:rsidR="00E407ED" w:rsidRPr="00CB2D0C">
        <w:t xml:space="preserve"> the</w:t>
      </w:r>
      <w:r w:rsidR="00592388" w:rsidRPr="00CB2D0C">
        <w:t xml:space="preserve"> younger generation</w:t>
      </w:r>
      <w:r w:rsidR="00E407ED" w:rsidRPr="00CB2D0C">
        <w:t xml:space="preserve"> </w:t>
      </w:r>
      <w:r w:rsidR="00321204">
        <w:t>which is</w:t>
      </w:r>
      <w:r w:rsidR="00E407ED" w:rsidRPr="00CB2D0C">
        <w:t xml:space="preserve"> considered more tech-</w:t>
      </w:r>
      <w:r w:rsidR="00321204">
        <w:t>oriented</w:t>
      </w:r>
      <w:r w:rsidR="00E407ED" w:rsidRPr="00CB2D0C">
        <w:t>)</w:t>
      </w:r>
      <w:r w:rsidR="00016D1D" w:rsidRPr="00CB2D0C">
        <w:t xml:space="preserve">. </w:t>
      </w:r>
      <w:r w:rsidRPr="00CB2D0C">
        <w:t>Exploratory analysis of the data coupled with intuitive reasoning helped identify the indicators that should be associated with each of the four latent factors.</w:t>
      </w:r>
      <w:r w:rsidRPr="00513BBF">
        <w:t xml:space="preserve"> </w:t>
      </w:r>
    </w:p>
    <w:p w:rsidR="0039750B" w:rsidRPr="00513BBF" w:rsidRDefault="0039750B" w:rsidP="0039750B">
      <w:pPr>
        <w:pStyle w:val="ListParagraph"/>
        <w:spacing w:after="0" w:line="240" w:lineRule="auto"/>
        <w:ind w:left="0"/>
      </w:pPr>
      <w:r w:rsidRPr="00513BBF">
        <w:tab/>
        <w:t xml:space="preserve">Figure 1 presents </w:t>
      </w:r>
      <w:r>
        <w:t xml:space="preserve">the conceptual framework </w:t>
      </w:r>
      <w:r w:rsidR="00321204">
        <w:t xml:space="preserve">for </w:t>
      </w:r>
      <w:r>
        <w:t>the</w:t>
      </w:r>
      <w:r w:rsidRPr="00513BBF">
        <w:t xml:space="preserve"> model system developed in this paper.</w:t>
      </w:r>
      <w:r w:rsidR="00527346">
        <w:t xml:space="preserve"> </w:t>
      </w:r>
      <w:r w:rsidRPr="00513BBF">
        <w:t>For the sake of brevity, the figure does not show all of the specific indicators that describe the latent factors</w:t>
      </w:r>
      <w:r w:rsidR="00592388">
        <w:t>, but they are described in the next section</w:t>
      </w:r>
      <w:r w:rsidRPr="00513BBF">
        <w:t>.</w:t>
      </w:r>
      <w:r w:rsidR="00527346">
        <w:t xml:space="preserve"> </w:t>
      </w:r>
      <w:r w:rsidRPr="00513BBF">
        <w:t xml:space="preserve">The simultaneous equations model system depicted in Figure 1 </w:t>
      </w:r>
      <w:r w:rsidR="00321204">
        <w:t>captures</w:t>
      </w:r>
      <w:r w:rsidRPr="00513BBF">
        <w:t xml:space="preserve"> self-selection effects arising from latent </w:t>
      </w:r>
      <w:r>
        <w:t xml:space="preserve">attitudes and </w:t>
      </w:r>
      <w:r w:rsidR="00592388">
        <w:t>lifestyle</w:t>
      </w:r>
      <w:r w:rsidR="00B5389B">
        <w:t>s</w:t>
      </w:r>
      <w:r w:rsidRPr="00513BBF">
        <w:t xml:space="preserve">, and </w:t>
      </w:r>
      <w:r w:rsidR="00321204">
        <w:t>reflects</w:t>
      </w:r>
      <w:r w:rsidRPr="00513BBF">
        <w:t xml:space="preserve"> the simultaneity in decision-making as individuals choose a bundle of </w:t>
      </w:r>
      <w:r w:rsidR="00321204">
        <w:t>choice alternatives</w:t>
      </w:r>
      <w:r w:rsidRPr="00513BBF">
        <w:t xml:space="preserve"> consistent with their lifestyle preferences.</w:t>
      </w:r>
      <w:r w:rsidR="00527346">
        <w:t xml:space="preserve"> </w:t>
      </w:r>
      <w:r w:rsidRPr="00513BBF">
        <w:t xml:space="preserve">Thus, those who </w:t>
      </w:r>
      <w:r>
        <w:t>have</w:t>
      </w:r>
      <w:r w:rsidRPr="00513BBF">
        <w:t xml:space="preserve"> car-oriented </w:t>
      </w:r>
      <w:r>
        <w:t>attitudes</w:t>
      </w:r>
      <w:r w:rsidRPr="00513BBF">
        <w:t xml:space="preserve"> may choose to get a driver’s license, buy a car, and commute by car </w:t>
      </w:r>
      <w:r w:rsidRPr="00513BBF">
        <w:rPr>
          <w:i/>
        </w:rPr>
        <w:t>together</w:t>
      </w:r>
      <w:r w:rsidRPr="00513BBF">
        <w:t>, thus exercising a bundle of choices jointly.</w:t>
      </w:r>
      <w:r w:rsidR="00527346">
        <w:t xml:space="preserve"> </w:t>
      </w:r>
      <w:r w:rsidRPr="00513BBF">
        <w:t xml:space="preserve">Common unobserved factors, if </w:t>
      </w:r>
      <w:proofErr w:type="gramStart"/>
      <w:r w:rsidRPr="00513BBF">
        <w:t>any, that</w:t>
      </w:r>
      <w:proofErr w:type="gramEnd"/>
      <w:r w:rsidRPr="00513BBF">
        <w:t xml:space="preserve"> simultaneously affect the choices under investigation </w:t>
      </w:r>
      <w:r w:rsidR="00592388">
        <w:t>are also</w:t>
      </w:r>
      <w:r w:rsidRPr="00513BBF">
        <w:t xml:space="preserve"> accommodated in the behavioral framework</w:t>
      </w:r>
      <w:r w:rsidR="00321204">
        <w:t xml:space="preserve"> through error correlations</w:t>
      </w:r>
      <w:r w:rsidRPr="00513BBF">
        <w:t>.</w:t>
      </w:r>
      <w:r w:rsidR="00527346">
        <w:t xml:space="preserve"> </w:t>
      </w:r>
    </w:p>
    <w:p w:rsidR="0039750B" w:rsidRPr="00513BBF" w:rsidRDefault="0039750B" w:rsidP="0039750B">
      <w:pPr>
        <w:pStyle w:val="ListParagraph"/>
        <w:spacing w:after="0" w:line="240" w:lineRule="auto"/>
        <w:ind w:left="0"/>
      </w:pPr>
      <w:r w:rsidRPr="00513BBF">
        <w:tab/>
        <w:t xml:space="preserve">The model system is formulated and estimated </w:t>
      </w:r>
      <w:r w:rsidR="008A38C1">
        <w:t>u</w:t>
      </w:r>
      <w:r w:rsidR="00744543">
        <w:t>sing t</w:t>
      </w:r>
      <w:r w:rsidR="00592388" w:rsidRPr="00513BBF">
        <w:t>he GHDM</w:t>
      </w:r>
      <w:r w:rsidR="008A38C1">
        <w:t>. The GHDM</w:t>
      </w:r>
      <w:r w:rsidR="00592388" w:rsidRPr="00513BBF">
        <w:t xml:space="preserve"> comprises a latent variable structural equation model, and a measurement model that links the latent variables and exogenous variables to a set of different types of </w:t>
      </w:r>
      <w:r w:rsidR="00321204">
        <w:t xml:space="preserve">choice </w:t>
      </w:r>
      <w:r w:rsidR="00592388" w:rsidRPr="00513BBF">
        <w:t>outcomes.</w:t>
      </w:r>
      <w:r w:rsidR="00592388">
        <w:t xml:space="preserve"> </w:t>
      </w:r>
      <w:r w:rsidR="00A56A2B">
        <w:t>T</w:t>
      </w:r>
      <w:r w:rsidRPr="00513BBF">
        <w:t>his approach accommodates a mix of dependent variable types</w:t>
      </w:r>
      <w:r w:rsidRPr="00A5795A">
        <w:t xml:space="preserve"> </w:t>
      </w:r>
      <w:r>
        <w:t xml:space="preserve">allowing </w:t>
      </w:r>
      <w:r w:rsidR="00592388">
        <w:t>the</w:t>
      </w:r>
      <w:r>
        <w:t xml:space="preserve"> use </w:t>
      </w:r>
      <w:r w:rsidR="00592388">
        <w:t xml:space="preserve">of </w:t>
      </w:r>
      <w:r>
        <w:t xml:space="preserve">ordinal and count variables as indicators for </w:t>
      </w:r>
      <w:r w:rsidR="00592388">
        <w:t>the</w:t>
      </w:r>
      <w:r>
        <w:t xml:space="preserve"> latent variables and jointly estimating multiple discrete choice outcomes</w:t>
      </w:r>
      <w:r w:rsidRPr="00513BBF">
        <w:t xml:space="preserve"> within a single model framework. </w:t>
      </w:r>
      <w:r w:rsidR="00592388" w:rsidRPr="00513BBF">
        <w:t xml:space="preserve">The approach uses a multinomial </w:t>
      </w:r>
      <w:proofErr w:type="spellStart"/>
      <w:r w:rsidR="00592388" w:rsidRPr="00513BBF">
        <w:t>probit</w:t>
      </w:r>
      <w:proofErr w:type="spellEnd"/>
      <w:r w:rsidR="00592388" w:rsidRPr="00513BBF">
        <w:t xml:space="preserve"> kernel for the discrete (nominal, binary, and ordinal) outcomes and explains the covariance relationship among a large set of mixed data outcomes through a much smaller number of unobservable latent factors. </w:t>
      </w:r>
      <w:r w:rsidR="00A76FA7">
        <w:t>D</w:t>
      </w:r>
      <w:r w:rsidRPr="00513BBF">
        <w:t xml:space="preserve">etails </w:t>
      </w:r>
      <w:r w:rsidR="00A56A2B">
        <w:t>regarding</w:t>
      </w:r>
      <w:r w:rsidRPr="00513BBF">
        <w:t xml:space="preserve"> the model formulation </w:t>
      </w:r>
      <w:r w:rsidR="00A76FA7">
        <w:t xml:space="preserve">and </w:t>
      </w:r>
      <w:r w:rsidR="00321204">
        <w:t xml:space="preserve">sufficiency conditions for parameter </w:t>
      </w:r>
      <w:r w:rsidRPr="00513BBF">
        <w:t>identification</w:t>
      </w:r>
      <w:r w:rsidR="00A56A2B">
        <w:t xml:space="preserve"> </w:t>
      </w:r>
      <w:r w:rsidR="00A76FA7">
        <w:t xml:space="preserve">are omitted in the interest of brevity and </w:t>
      </w:r>
      <w:r w:rsidR="00592388">
        <w:t xml:space="preserve">can </w:t>
      </w:r>
      <w:r w:rsidRPr="00513BBF">
        <w:t xml:space="preserve">be found in Bhat </w:t>
      </w:r>
      <w:r w:rsidR="00744543">
        <w:t>(</w:t>
      </w:r>
      <w:r w:rsidR="00744543">
        <w:rPr>
          <w:i/>
        </w:rPr>
        <w:t>9</w:t>
      </w:r>
      <w:r w:rsidR="00744543">
        <w:t>)</w:t>
      </w:r>
      <w:r w:rsidRPr="00513BBF">
        <w:t>.</w:t>
      </w:r>
      <w:r w:rsidR="00527346">
        <w:t xml:space="preserve">  </w:t>
      </w:r>
    </w:p>
    <w:p w:rsidR="0039750B" w:rsidRPr="001B31EA" w:rsidRDefault="0039750B" w:rsidP="00FA1DC4">
      <w:pPr>
        <w:spacing w:after="0" w:line="240" w:lineRule="auto"/>
        <w:rPr>
          <w:rFonts w:cs="Times New Roman"/>
          <w:color w:val="222222"/>
          <w:szCs w:val="24"/>
          <w:shd w:val="clear" w:color="auto" w:fill="FFFFFF"/>
        </w:rPr>
      </w:pPr>
    </w:p>
    <w:p w:rsidR="00F4515B" w:rsidRDefault="00F4515B" w:rsidP="00F4515B">
      <w:pPr>
        <w:pStyle w:val="Heading1"/>
        <w:spacing w:before="0" w:line="240" w:lineRule="auto"/>
      </w:pPr>
      <w:r>
        <w:t>data</w:t>
      </w:r>
    </w:p>
    <w:p w:rsidR="00F4515B" w:rsidRPr="00513BBF" w:rsidRDefault="00F4515B" w:rsidP="00F4515B">
      <w:pPr>
        <w:pStyle w:val="ListParagraph"/>
        <w:spacing w:after="0" w:line="240" w:lineRule="auto"/>
        <w:ind w:left="0"/>
        <w:rPr>
          <w:rFonts w:cs="Times New Roman"/>
          <w:noProof/>
          <w:szCs w:val="24"/>
        </w:rPr>
      </w:pPr>
      <w:r w:rsidRPr="00513BBF">
        <w:rPr>
          <w:rFonts w:cs="Times New Roman"/>
          <w:noProof/>
          <w:szCs w:val="24"/>
        </w:rPr>
        <w:t>The data used in this study is derived from the “Who’s on Board 2014 Mobility Attitudes Survey</w:t>
      </w:r>
      <w:r w:rsidR="00527346">
        <w:rPr>
          <w:rFonts w:cs="Times New Roman"/>
          <w:noProof/>
          <w:szCs w:val="24"/>
        </w:rPr>
        <w:t>.</w:t>
      </w:r>
      <w:r w:rsidRPr="00513BBF">
        <w:rPr>
          <w:rFonts w:cs="Times New Roman"/>
          <w:noProof/>
          <w:szCs w:val="24"/>
        </w:rPr>
        <w:t>”</w:t>
      </w:r>
      <w:r w:rsidR="00527346">
        <w:rPr>
          <w:rFonts w:cs="Times New Roman"/>
          <w:noProof/>
          <w:szCs w:val="24"/>
        </w:rPr>
        <w:t xml:space="preserve"> </w:t>
      </w:r>
      <w:r w:rsidRPr="00513BBF">
        <w:rPr>
          <w:rFonts w:cs="Times New Roman"/>
          <w:noProof/>
          <w:szCs w:val="24"/>
        </w:rPr>
        <w:t xml:space="preserve">The objective of the survey was to identify differences in attitudes and behaviors </w:t>
      </w:r>
      <w:r w:rsidR="007003DC">
        <w:rPr>
          <w:rFonts w:cs="Times New Roman"/>
          <w:noProof/>
          <w:szCs w:val="24"/>
        </w:rPr>
        <w:t xml:space="preserve">in </w:t>
      </w:r>
      <w:r w:rsidRPr="00513BBF">
        <w:rPr>
          <w:rFonts w:cs="Times New Roman"/>
          <w:noProof/>
          <w:szCs w:val="24"/>
        </w:rPr>
        <w:t>the U</w:t>
      </w:r>
      <w:r w:rsidR="00744543">
        <w:rPr>
          <w:rFonts w:cs="Times New Roman"/>
          <w:noProof/>
          <w:szCs w:val="24"/>
        </w:rPr>
        <w:t>.</w:t>
      </w:r>
      <w:r w:rsidRPr="00513BBF">
        <w:rPr>
          <w:rFonts w:cs="Times New Roman"/>
          <w:noProof/>
          <w:szCs w:val="24"/>
        </w:rPr>
        <w:t>S</w:t>
      </w:r>
      <w:r w:rsidR="00744543">
        <w:rPr>
          <w:rFonts w:cs="Times New Roman"/>
          <w:noProof/>
          <w:szCs w:val="24"/>
        </w:rPr>
        <w:t>.</w:t>
      </w:r>
      <w:r w:rsidRPr="00513BBF">
        <w:rPr>
          <w:rFonts w:cs="Times New Roman"/>
          <w:noProof/>
          <w:szCs w:val="24"/>
        </w:rPr>
        <w:t xml:space="preserve"> population with respect to public transportation and neighborhood residential location choice.</w:t>
      </w:r>
      <w:r w:rsidR="00527346">
        <w:rPr>
          <w:rFonts w:cs="Times New Roman"/>
          <w:noProof/>
          <w:szCs w:val="24"/>
        </w:rPr>
        <w:t xml:space="preserve"> </w:t>
      </w:r>
      <w:r w:rsidRPr="00513BBF">
        <w:rPr>
          <w:rFonts w:cs="Times New Roman"/>
          <w:noProof/>
          <w:szCs w:val="24"/>
        </w:rPr>
        <w:t xml:space="preserve">The online survey was administered in 46 metropolitan statistical areas </w:t>
      </w:r>
      <w:r w:rsidR="00AD7B38">
        <w:rPr>
          <w:rFonts w:cs="Times New Roman"/>
          <w:noProof/>
          <w:szCs w:val="24"/>
        </w:rPr>
        <w:t xml:space="preserve">(MSA) </w:t>
      </w:r>
      <w:r w:rsidRPr="00513BBF">
        <w:rPr>
          <w:rFonts w:cs="Times New Roman"/>
          <w:noProof/>
          <w:szCs w:val="24"/>
        </w:rPr>
        <w:t>covering the full geographical extent of the country.</w:t>
      </w:r>
      <w:r w:rsidR="00527346">
        <w:rPr>
          <w:rFonts w:cs="Times New Roman"/>
          <w:noProof/>
          <w:szCs w:val="24"/>
        </w:rPr>
        <w:t xml:space="preserve"> </w:t>
      </w:r>
      <w:r w:rsidRPr="00513BBF">
        <w:rPr>
          <w:rFonts w:cs="Times New Roman"/>
          <w:noProof/>
          <w:szCs w:val="24"/>
        </w:rPr>
        <w:t xml:space="preserve">A total </w:t>
      </w:r>
      <w:r w:rsidR="00344697">
        <w:rPr>
          <w:rFonts w:cs="Times New Roman"/>
          <w:noProof/>
          <w:szCs w:val="24"/>
        </w:rPr>
        <w:t xml:space="preserve">of </w:t>
      </w:r>
      <w:r w:rsidRPr="00513BBF">
        <w:rPr>
          <w:rFonts w:cs="Times New Roman"/>
          <w:noProof/>
          <w:szCs w:val="24"/>
        </w:rPr>
        <w:t>11,842 individuals responded to the survey.</w:t>
      </w:r>
      <w:r w:rsidR="00527346">
        <w:rPr>
          <w:rFonts w:cs="Times New Roman"/>
          <w:noProof/>
          <w:szCs w:val="24"/>
        </w:rPr>
        <w:t xml:space="preserve"> </w:t>
      </w:r>
      <w:r w:rsidRPr="00513BBF">
        <w:rPr>
          <w:rFonts w:cs="Times New Roman"/>
          <w:noProof/>
          <w:szCs w:val="24"/>
        </w:rPr>
        <w:t xml:space="preserve">The cities where the survey was administered were divided into </w:t>
      </w:r>
      <w:r w:rsidR="007003DC">
        <w:rPr>
          <w:rFonts w:cs="Times New Roman"/>
          <w:noProof/>
          <w:szCs w:val="24"/>
        </w:rPr>
        <w:t>transit-</w:t>
      </w:r>
      <w:r w:rsidR="007003DC" w:rsidRPr="00513BBF">
        <w:rPr>
          <w:rFonts w:cs="Times New Roman"/>
          <w:noProof/>
          <w:szCs w:val="24"/>
        </w:rPr>
        <w:t>deficient</w:t>
      </w:r>
      <w:r w:rsidR="005434C8">
        <w:rPr>
          <w:rFonts w:cs="Times New Roman"/>
          <w:noProof/>
          <w:szCs w:val="24"/>
        </w:rPr>
        <w:t xml:space="preserve">, </w:t>
      </w:r>
      <w:r w:rsidR="00426348">
        <w:rPr>
          <w:rFonts w:cs="Times New Roman"/>
          <w:noProof/>
          <w:szCs w:val="24"/>
        </w:rPr>
        <w:t>transit-</w:t>
      </w:r>
      <w:r w:rsidR="005434C8">
        <w:rPr>
          <w:rFonts w:cs="Times New Roman"/>
          <w:noProof/>
          <w:szCs w:val="24"/>
        </w:rPr>
        <w:t>progressive,</w:t>
      </w:r>
      <w:r w:rsidR="007003DC" w:rsidRPr="00513BBF">
        <w:rPr>
          <w:rFonts w:cs="Times New Roman"/>
          <w:noProof/>
          <w:szCs w:val="24"/>
        </w:rPr>
        <w:t xml:space="preserve"> </w:t>
      </w:r>
      <w:r w:rsidR="007003DC">
        <w:rPr>
          <w:rFonts w:cs="Times New Roman"/>
          <w:noProof/>
          <w:szCs w:val="24"/>
        </w:rPr>
        <w:t>and transit-rich cities</w:t>
      </w:r>
      <w:r w:rsidR="007003DC" w:rsidDel="007003DC">
        <w:rPr>
          <w:rFonts w:cs="Times New Roman"/>
          <w:noProof/>
          <w:szCs w:val="24"/>
        </w:rPr>
        <w:t xml:space="preserve"> </w:t>
      </w:r>
      <w:r w:rsidRPr="00513BBF">
        <w:rPr>
          <w:rFonts w:cs="Times New Roman"/>
          <w:noProof/>
          <w:szCs w:val="24"/>
        </w:rPr>
        <w:t>depending on the maturity and level of service of their transit systems</w:t>
      </w:r>
      <w:r w:rsidR="006E31F6">
        <w:rPr>
          <w:rFonts w:cs="Times New Roman"/>
          <w:noProof/>
          <w:szCs w:val="24"/>
        </w:rPr>
        <w:t xml:space="preserve">. </w:t>
      </w:r>
      <w:r w:rsidR="007003DC">
        <w:rPr>
          <w:rFonts w:cs="Times New Roman"/>
          <w:noProof/>
          <w:szCs w:val="24"/>
        </w:rPr>
        <w:t>The</w:t>
      </w:r>
      <w:r w:rsidR="006E31F6">
        <w:rPr>
          <w:rFonts w:cs="Times New Roman"/>
          <w:noProof/>
          <w:szCs w:val="24"/>
        </w:rPr>
        <w:t xml:space="preserve"> more traditional transit</w:t>
      </w:r>
      <w:r w:rsidR="005434C8">
        <w:rPr>
          <w:rFonts w:cs="Times New Roman"/>
          <w:noProof/>
          <w:szCs w:val="24"/>
        </w:rPr>
        <w:t>-oriented</w:t>
      </w:r>
      <w:r w:rsidR="006E31F6">
        <w:rPr>
          <w:rFonts w:cs="Times New Roman"/>
          <w:noProof/>
          <w:szCs w:val="24"/>
        </w:rPr>
        <w:t xml:space="preserve"> cities that have a robust transportation infrastructure in place </w:t>
      </w:r>
      <w:r w:rsidR="00344697">
        <w:rPr>
          <w:rFonts w:cs="Times New Roman"/>
          <w:noProof/>
          <w:szCs w:val="24"/>
        </w:rPr>
        <w:t>were de</w:t>
      </w:r>
      <w:r w:rsidR="007003DC">
        <w:rPr>
          <w:rFonts w:cs="Times New Roman"/>
          <w:noProof/>
          <w:szCs w:val="24"/>
        </w:rPr>
        <w:t>fi</w:t>
      </w:r>
      <w:r w:rsidR="00344697">
        <w:rPr>
          <w:rFonts w:cs="Times New Roman"/>
          <w:noProof/>
          <w:szCs w:val="24"/>
        </w:rPr>
        <w:t xml:space="preserve">ned </w:t>
      </w:r>
      <w:r w:rsidR="006E31F6">
        <w:rPr>
          <w:rFonts w:cs="Times New Roman"/>
          <w:noProof/>
          <w:szCs w:val="24"/>
        </w:rPr>
        <w:t xml:space="preserve">as </w:t>
      </w:r>
      <w:r w:rsidR="006E31F6" w:rsidRPr="00513BBF">
        <w:rPr>
          <w:rFonts w:cs="Times New Roman"/>
          <w:noProof/>
          <w:szCs w:val="24"/>
        </w:rPr>
        <w:t>transit</w:t>
      </w:r>
      <w:r w:rsidR="006E31F6">
        <w:rPr>
          <w:rFonts w:cs="Times New Roman"/>
          <w:noProof/>
          <w:szCs w:val="24"/>
        </w:rPr>
        <w:t>-</w:t>
      </w:r>
      <w:r w:rsidRPr="00513BBF">
        <w:rPr>
          <w:rFonts w:cs="Times New Roman"/>
          <w:noProof/>
          <w:szCs w:val="24"/>
        </w:rPr>
        <w:t xml:space="preserve">rich </w:t>
      </w:r>
      <w:r w:rsidR="006E31F6">
        <w:rPr>
          <w:rFonts w:cs="Times New Roman"/>
          <w:noProof/>
          <w:szCs w:val="24"/>
        </w:rPr>
        <w:t xml:space="preserve">cities </w:t>
      </w:r>
      <w:r w:rsidRPr="00513BBF">
        <w:rPr>
          <w:rFonts w:cs="Times New Roman"/>
          <w:noProof/>
          <w:szCs w:val="24"/>
        </w:rPr>
        <w:t>(</w:t>
      </w:r>
      <w:r w:rsidR="00A02BE5" w:rsidRPr="00513BBF">
        <w:rPr>
          <w:rFonts w:cs="Times New Roman"/>
          <w:noProof/>
          <w:szCs w:val="24"/>
        </w:rPr>
        <w:t>New York, Chicago, Washington DC, Philadelphia, Boston, and San Francisco</w:t>
      </w:r>
      <w:r w:rsidR="00A02BE5">
        <w:rPr>
          <w:rFonts w:cs="Times New Roman"/>
          <w:noProof/>
          <w:szCs w:val="24"/>
        </w:rPr>
        <w:t>).</w:t>
      </w:r>
      <w:r w:rsidR="00527346">
        <w:rPr>
          <w:rFonts w:cs="Times New Roman"/>
          <w:noProof/>
          <w:szCs w:val="24"/>
        </w:rPr>
        <w:t xml:space="preserve"> </w:t>
      </w:r>
      <w:r w:rsidR="005434C8">
        <w:rPr>
          <w:rFonts w:cs="Times New Roman"/>
          <w:noProof/>
          <w:szCs w:val="24"/>
        </w:rPr>
        <w:t>All</w:t>
      </w:r>
      <w:r w:rsidR="007003DC">
        <w:rPr>
          <w:rFonts w:cs="Times New Roman"/>
          <w:noProof/>
          <w:szCs w:val="24"/>
        </w:rPr>
        <w:t xml:space="preserve"> </w:t>
      </w:r>
      <w:r w:rsidR="009F036A">
        <w:rPr>
          <w:rFonts w:cs="Times New Roman"/>
          <w:noProof/>
          <w:szCs w:val="24"/>
        </w:rPr>
        <w:t xml:space="preserve">three </w:t>
      </w:r>
      <w:r w:rsidR="007003DC">
        <w:rPr>
          <w:rFonts w:cs="Times New Roman"/>
          <w:noProof/>
          <w:szCs w:val="24"/>
        </w:rPr>
        <w:t>city categories</w:t>
      </w:r>
      <w:r w:rsidR="00B4585D" w:rsidRPr="00513BBF">
        <w:rPr>
          <w:rFonts w:cs="Times New Roman"/>
          <w:noProof/>
          <w:szCs w:val="24"/>
        </w:rPr>
        <w:t xml:space="preserve"> </w:t>
      </w:r>
      <w:r w:rsidR="00380503" w:rsidRPr="00513BBF">
        <w:rPr>
          <w:rFonts w:cs="Times New Roman"/>
          <w:noProof/>
          <w:szCs w:val="24"/>
        </w:rPr>
        <w:t>had a similar number of respondents</w:t>
      </w:r>
      <w:r w:rsidR="000C1A1C">
        <w:rPr>
          <w:rFonts w:cs="Times New Roman"/>
          <w:noProof/>
          <w:szCs w:val="24"/>
        </w:rPr>
        <w:t xml:space="preserve"> </w:t>
      </w:r>
      <w:r w:rsidR="006E31F6">
        <w:rPr>
          <w:rFonts w:cs="Times New Roman"/>
          <w:noProof/>
          <w:szCs w:val="24"/>
        </w:rPr>
        <w:t>in the survey</w:t>
      </w:r>
      <w:r w:rsidR="00152CCA">
        <w:rPr>
          <w:rFonts w:cs="Times New Roman"/>
          <w:noProof/>
          <w:szCs w:val="24"/>
        </w:rPr>
        <w:t xml:space="preserve"> sample</w:t>
      </w:r>
      <w:r w:rsidR="00380503" w:rsidRPr="00513BBF">
        <w:rPr>
          <w:rFonts w:cs="Times New Roman"/>
          <w:noProof/>
          <w:szCs w:val="24"/>
        </w:rPr>
        <w:t>.</w:t>
      </w:r>
      <w:r w:rsidR="00527346">
        <w:rPr>
          <w:rFonts w:cs="Times New Roman"/>
          <w:noProof/>
          <w:szCs w:val="24"/>
        </w:rPr>
        <w:t xml:space="preserve"> </w:t>
      </w:r>
      <w:r w:rsidR="00D00173" w:rsidRPr="00513BBF">
        <w:rPr>
          <w:rFonts w:cs="Times New Roman"/>
          <w:noProof/>
          <w:szCs w:val="24"/>
        </w:rPr>
        <w:t xml:space="preserve">The subsample used for analysis in this study is </w:t>
      </w:r>
      <w:r w:rsidR="00A83511">
        <w:rPr>
          <w:rFonts w:cs="Times New Roman"/>
          <w:noProof/>
          <w:szCs w:val="24"/>
        </w:rPr>
        <w:t xml:space="preserve">comprised </w:t>
      </w:r>
      <w:r w:rsidR="00CB207F" w:rsidRPr="00513BBF">
        <w:rPr>
          <w:rFonts w:cs="Times New Roman"/>
          <w:noProof/>
          <w:szCs w:val="24"/>
        </w:rPr>
        <w:t xml:space="preserve"> </w:t>
      </w:r>
      <w:r w:rsidR="008C09E6">
        <w:rPr>
          <w:rFonts w:cs="Times New Roman"/>
          <w:noProof/>
          <w:szCs w:val="24"/>
        </w:rPr>
        <w:t xml:space="preserve">of </w:t>
      </w:r>
      <w:r w:rsidR="008C09E6" w:rsidRPr="00513BBF">
        <w:rPr>
          <w:rFonts w:cs="Times New Roman"/>
          <w:noProof/>
          <w:szCs w:val="24"/>
        </w:rPr>
        <w:t xml:space="preserve">3,309 individuals between 18 and 33 years of age </w:t>
      </w:r>
      <w:r w:rsidR="009F036A">
        <w:rPr>
          <w:rFonts w:cs="Times New Roman"/>
          <w:noProof/>
          <w:szCs w:val="24"/>
        </w:rPr>
        <w:t>who</w:t>
      </w:r>
      <w:r w:rsidR="009F036A" w:rsidRPr="00513BBF">
        <w:rPr>
          <w:rFonts w:cs="Times New Roman"/>
          <w:noProof/>
          <w:szCs w:val="24"/>
        </w:rPr>
        <w:t xml:space="preserve"> </w:t>
      </w:r>
      <w:r w:rsidR="008C09E6" w:rsidRPr="00513BBF">
        <w:rPr>
          <w:rFonts w:cs="Times New Roman"/>
          <w:noProof/>
          <w:szCs w:val="24"/>
        </w:rPr>
        <w:t>com</w:t>
      </w:r>
      <w:r w:rsidR="00A02BE5">
        <w:rPr>
          <w:rFonts w:cs="Times New Roman"/>
          <w:noProof/>
          <w:szCs w:val="24"/>
        </w:rPr>
        <w:t>mute to and from work or school.</w:t>
      </w:r>
      <w:r w:rsidR="005854F4" w:rsidRPr="00513BBF">
        <w:rPr>
          <w:rFonts w:cs="Times New Roman"/>
          <w:noProof/>
          <w:szCs w:val="24"/>
        </w:rPr>
        <w:t xml:space="preserve"> </w:t>
      </w:r>
    </w:p>
    <w:p w:rsidR="005854F4" w:rsidRPr="00513BBF" w:rsidRDefault="005854F4" w:rsidP="00F4515B">
      <w:pPr>
        <w:pStyle w:val="ListParagraph"/>
        <w:spacing w:after="0" w:line="240" w:lineRule="auto"/>
        <w:ind w:left="0"/>
        <w:rPr>
          <w:rFonts w:cs="Times New Roman"/>
          <w:noProof/>
          <w:szCs w:val="24"/>
        </w:rPr>
      </w:pPr>
      <w:r w:rsidRPr="00513BBF">
        <w:rPr>
          <w:rFonts w:cs="Times New Roman"/>
          <w:noProof/>
          <w:szCs w:val="24"/>
        </w:rPr>
        <w:tab/>
      </w:r>
      <w:r w:rsidR="00646043">
        <w:rPr>
          <w:rFonts w:cs="Times New Roman"/>
          <w:noProof/>
          <w:szCs w:val="24"/>
        </w:rPr>
        <w:t>Among the</w:t>
      </w:r>
      <w:r w:rsidRPr="00513BBF">
        <w:rPr>
          <w:rFonts w:cs="Times New Roman"/>
          <w:noProof/>
          <w:szCs w:val="24"/>
        </w:rPr>
        <w:t xml:space="preserve"> three key choice variables of interest</w:t>
      </w:r>
      <w:r w:rsidR="00646043">
        <w:rPr>
          <w:rFonts w:cs="Times New Roman"/>
          <w:noProof/>
          <w:szCs w:val="24"/>
        </w:rPr>
        <w:t>,</w:t>
      </w:r>
      <w:r w:rsidR="00527346">
        <w:rPr>
          <w:rFonts w:cs="Times New Roman"/>
          <w:noProof/>
          <w:szCs w:val="24"/>
        </w:rPr>
        <w:t xml:space="preserve"> </w:t>
      </w:r>
      <w:r w:rsidR="00646043">
        <w:rPr>
          <w:rFonts w:cs="Times New Roman"/>
          <w:noProof/>
          <w:szCs w:val="24"/>
        </w:rPr>
        <w:t>b</w:t>
      </w:r>
      <w:r w:rsidR="00646043" w:rsidRPr="00513BBF">
        <w:rPr>
          <w:rFonts w:cs="Times New Roman"/>
          <w:noProof/>
          <w:szCs w:val="24"/>
        </w:rPr>
        <w:t xml:space="preserve">oth </w:t>
      </w:r>
      <w:r w:rsidR="009907A3" w:rsidRPr="00513BBF">
        <w:rPr>
          <w:rFonts w:cs="Times New Roman"/>
          <w:noProof/>
          <w:szCs w:val="24"/>
        </w:rPr>
        <w:t>personal vehicle ownership and driver’s license holding were asked directly in the survey.</w:t>
      </w:r>
      <w:r w:rsidR="00527346">
        <w:rPr>
          <w:rFonts w:cs="Times New Roman"/>
          <w:noProof/>
          <w:szCs w:val="24"/>
        </w:rPr>
        <w:t xml:space="preserve"> </w:t>
      </w:r>
      <w:r w:rsidR="009907A3" w:rsidRPr="00513BBF">
        <w:rPr>
          <w:rFonts w:cs="Times New Roman"/>
          <w:noProof/>
          <w:szCs w:val="24"/>
        </w:rPr>
        <w:t>The third major choice variable is commute mode choice.</w:t>
      </w:r>
      <w:r w:rsidR="00527346">
        <w:rPr>
          <w:rFonts w:cs="Times New Roman"/>
          <w:noProof/>
          <w:szCs w:val="24"/>
        </w:rPr>
        <w:t xml:space="preserve"> </w:t>
      </w:r>
      <w:r w:rsidR="009907A3" w:rsidRPr="00513BBF">
        <w:rPr>
          <w:rFonts w:cs="Times New Roman"/>
          <w:noProof/>
          <w:szCs w:val="24"/>
        </w:rPr>
        <w:t>In the survey, individuals were asked to report the frequency of use of each mode for commuting (there were eight options: car, bus, commuter rail, subway, walk/bike, carsharing, taxi, and carpooling).</w:t>
      </w:r>
      <w:r w:rsidR="00527346">
        <w:rPr>
          <w:rFonts w:cs="Times New Roman"/>
          <w:noProof/>
          <w:szCs w:val="24"/>
        </w:rPr>
        <w:t xml:space="preserve"> </w:t>
      </w:r>
      <w:r w:rsidR="009907A3" w:rsidRPr="00513BBF">
        <w:rPr>
          <w:rFonts w:cs="Times New Roman"/>
          <w:noProof/>
          <w:szCs w:val="24"/>
        </w:rPr>
        <w:t xml:space="preserve">The chosen mode was taken to be the mode </w:t>
      </w:r>
      <w:r w:rsidR="0037199C" w:rsidRPr="00513BBF">
        <w:rPr>
          <w:rFonts w:cs="Times New Roman"/>
          <w:noProof/>
          <w:szCs w:val="24"/>
        </w:rPr>
        <w:t>that was most frequently used by the individual.</w:t>
      </w:r>
      <w:r w:rsidR="00527346">
        <w:rPr>
          <w:rFonts w:cs="Times New Roman"/>
          <w:noProof/>
          <w:szCs w:val="24"/>
        </w:rPr>
        <w:t xml:space="preserve"> </w:t>
      </w:r>
      <w:r w:rsidR="0037199C" w:rsidRPr="00513BBF">
        <w:rPr>
          <w:rFonts w:cs="Times New Roman"/>
          <w:noProof/>
          <w:szCs w:val="24"/>
        </w:rPr>
        <w:t>Three specific mode choice categories were defined</w:t>
      </w:r>
      <w:r w:rsidR="00344697">
        <w:rPr>
          <w:rFonts w:cs="Times New Roman"/>
          <w:noProof/>
          <w:szCs w:val="24"/>
        </w:rPr>
        <w:t xml:space="preserve"> for this study</w:t>
      </w:r>
      <w:r w:rsidR="0037199C" w:rsidRPr="00513BBF">
        <w:rPr>
          <w:rFonts w:cs="Times New Roman"/>
          <w:noProof/>
          <w:szCs w:val="24"/>
        </w:rPr>
        <w:t xml:space="preserve">: </w:t>
      </w:r>
    </w:p>
    <w:p w:rsidR="0037199C" w:rsidRPr="00513BBF" w:rsidRDefault="0037199C" w:rsidP="0037199C">
      <w:pPr>
        <w:pStyle w:val="ListParagraph"/>
        <w:numPr>
          <w:ilvl w:val="0"/>
          <w:numId w:val="30"/>
        </w:numPr>
        <w:spacing w:after="0" w:line="240" w:lineRule="auto"/>
        <w:rPr>
          <w:rFonts w:cs="Times New Roman"/>
          <w:noProof/>
          <w:szCs w:val="24"/>
        </w:rPr>
      </w:pPr>
      <w:r w:rsidRPr="00513BBF">
        <w:rPr>
          <w:rFonts w:cs="Times New Roman"/>
          <w:noProof/>
          <w:szCs w:val="24"/>
        </w:rPr>
        <w:lastRenderedPageBreak/>
        <w:t>Car, which included car, taxi, car</w:t>
      </w:r>
      <w:r w:rsidR="00344697">
        <w:rPr>
          <w:rFonts w:cs="Times New Roman"/>
          <w:noProof/>
          <w:szCs w:val="24"/>
        </w:rPr>
        <w:t>-</w:t>
      </w:r>
      <w:r w:rsidRPr="00513BBF">
        <w:rPr>
          <w:rFonts w:cs="Times New Roman"/>
          <w:noProof/>
          <w:szCs w:val="24"/>
        </w:rPr>
        <w:t>sharing, and carpooling</w:t>
      </w:r>
    </w:p>
    <w:p w:rsidR="0037199C" w:rsidRPr="00513BBF" w:rsidRDefault="0037199C" w:rsidP="0037199C">
      <w:pPr>
        <w:pStyle w:val="ListParagraph"/>
        <w:numPr>
          <w:ilvl w:val="0"/>
          <w:numId w:val="30"/>
        </w:numPr>
        <w:spacing w:after="0" w:line="240" w:lineRule="auto"/>
        <w:rPr>
          <w:rFonts w:cs="Times New Roman"/>
          <w:noProof/>
          <w:szCs w:val="24"/>
        </w:rPr>
      </w:pPr>
      <w:r w:rsidRPr="00513BBF">
        <w:rPr>
          <w:rFonts w:cs="Times New Roman"/>
          <w:noProof/>
          <w:szCs w:val="24"/>
        </w:rPr>
        <w:t>Transit, which included bus, commuter rail, and subway</w:t>
      </w:r>
    </w:p>
    <w:p w:rsidR="0037199C" w:rsidRPr="00513BBF" w:rsidRDefault="0037199C" w:rsidP="0037199C">
      <w:pPr>
        <w:pStyle w:val="ListParagraph"/>
        <w:numPr>
          <w:ilvl w:val="0"/>
          <w:numId w:val="30"/>
        </w:numPr>
        <w:spacing w:after="0" w:line="240" w:lineRule="auto"/>
        <w:rPr>
          <w:rFonts w:cs="Times New Roman"/>
          <w:noProof/>
          <w:szCs w:val="24"/>
        </w:rPr>
      </w:pPr>
      <w:r w:rsidRPr="00513BBF">
        <w:rPr>
          <w:rFonts w:cs="Times New Roman"/>
          <w:noProof/>
          <w:szCs w:val="24"/>
        </w:rPr>
        <w:t>Walk/Bike</w:t>
      </w:r>
    </w:p>
    <w:p w:rsidR="0037199C" w:rsidRPr="00513BBF" w:rsidRDefault="0037199C" w:rsidP="0037199C">
      <w:pPr>
        <w:spacing w:after="0" w:line="240" w:lineRule="auto"/>
        <w:jc w:val="both"/>
        <w:rPr>
          <w:rFonts w:cs="Times New Roman"/>
          <w:noProof/>
          <w:szCs w:val="24"/>
        </w:rPr>
      </w:pPr>
      <w:r w:rsidRPr="00513BBF">
        <w:rPr>
          <w:rFonts w:cs="Times New Roman"/>
          <w:noProof/>
          <w:szCs w:val="24"/>
        </w:rPr>
        <w:t>In addition to these three choice variables that describe the extent to which millennials are auto-oriented with respec</w:t>
      </w:r>
      <w:r w:rsidR="00861BC3" w:rsidRPr="00513BBF">
        <w:rPr>
          <w:rFonts w:cs="Times New Roman"/>
          <w:noProof/>
          <w:szCs w:val="24"/>
        </w:rPr>
        <w:t>t</w:t>
      </w:r>
      <w:r w:rsidRPr="00513BBF">
        <w:rPr>
          <w:rFonts w:cs="Times New Roman"/>
          <w:noProof/>
          <w:szCs w:val="24"/>
        </w:rPr>
        <w:t xml:space="preserve"> to their mobility choices, a number of indicators that represent attitudes</w:t>
      </w:r>
      <w:r w:rsidR="00C87196">
        <w:rPr>
          <w:rFonts w:cs="Times New Roman"/>
          <w:noProof/>
          <w:szCs w:val="24"/>
        </w:rPr>
        <w:t>,</w:t>
      </w:r>
      <w:r w:rsidR="00D14157">
        <w:rPr>
          <w:rFonts w:cs="Times New Roman"/>
          <w:noProof/>
          <w:szCs w:val="24"/>
        </w:rPr>
        <w:t xml:space="preserve"> </w:t>
      </w:r>
      <w:r w:rsidRPr="00513BBF">
        <w:rPr>
          <w:rFonts w:cs="Times New Roman"/>
          <w:noProof/>
          <w:szCs w:val="24"/>
        </w:rPr>
        <w:t>perceptions</w:t>
      </w:r>
      <w:r w:rsidR="00CB207F">
        <w:rPr>
          <w:rFonts w:cs="Times New Roman"/>
          <w:noProof/>
          <w:szCs w:val="24"/>
        </w:rPr>
        <w:t>,</w:t>
      </w:r>
      <w:r w:rsidRPr="00513BBF">
        <w:rPr>
          <w:rFonts w:cs="Times New Roman"/>
          <w:noProof/>
          <w:szCs w:val="24"/>
        </w:rPr>
        <w:t xml:space="preserve"> </w:t>
      </w:r>
      <w:r w:rsidR="00C87196">
        <w:rPr>
          <w:rFonts w:cs="Times New Roman"/>
          <w:noProof/>
          <w:szCs w:val="24"/>
        </w:rPr>
        <w:t xml:space="preserve">and technology use </w:t>
      </w:r>
      <w:r w:rsidRPr="00513BBF">
        <w:rPr>
          <w:rFonts w:cs="Times New Roman"/>
          <w:noProof/>
          <w:szCs w:val="24"/>
        </w:rPr>
        <w:t>are used to construct four latent factors.</w:t>
      </w:r>
      <w:r w:rsidR="00527346">
        <w:rPr>
          <w:rFonts w:cs="Times New Roman"/>
          <w:noProof/>
          <w:szCs w:val="24"/>
        </w:rPr>
        <w:t xml:space="preserve"> </w:t>
      </w:r>
      <w:r w:rsidRPr="00513BBF">
        <w:rPr>
          <w:rFonts w:cs="Times New Roman"/>
          <w:noProof/>
          <w:szCs w:val="24"/>
        </w:rPr>
        <w:t xml:space="preserve">The </w:t>
      </w:r>
      <w:r w:rsidR="00F66E90">
        <w:rPr>
          <w:rFonts w:cs="Times New Roman"/>
          <w:noProof/>
          <w:szCs w:val="24"/>
        </w:rPr>
        <w:t xml:space="preserve">attitudinal and </w:t>
      </w:r>
      <w:r w:rsidRPr="00513BBF">
        <w:rPr>
          <w:rFonts w:cs="Times New Roman"/>
          <w:noProof/>
          <w:szCs w:val="24"/>
        </w:rPr>
        <w:t>lifestyle factors and the indicators that represent them are defined below.</w:t>
      </w:r>
      <w:r w:rsidR="00527346">
        <w:rPr>
          <w:rFonts w:cs="Times New Roman"/>
          <w:noProof/>
          <w:szCs w:val="24"/>
        </w:rPr>
        <w:t xml:space="preserve"> </w:t>
      </w:r>
    </w:p>
    <w:p w:rsidR="0037199C" w:rsidRPr="00513BBF" w:rsidRDefault="00E1756D" w:rsidP="0037199C">
      <w:pPr>
        <w:pStyle w:val="ListParagraph"/>
        <w:numPr>
          <w:ilvl w:val="0"/>
          <w:numId w:val="31"/>
        </w:numPr>
        <w:spacing w:after="0" w:line="240" w:lineRule="auto"/>
        <w:rPr>
          <w:rFonts w:cs="Times New Roman"/>
          <w:noProof/>
          <w:szCs w:val="24"/>
        </w:rPr>
      </w:pPr>
      <w:r w:rsidRPr="00513BBF">
        <w:rPr>
          <w:rFonts w:cs="Times New Roman"/>
          <w:noProof/>
          <w:szCs w:val="24"/>
          <w:u w:val="single"/>
        </w:rPr>
        <w:t xml:space="preserve">Technology </w:t>
      </w:r>
      <w:r w:rsidR="0037199C" w:rsidRPr="00513BBF">
        <w:rPr>
          <w:rFonts w:cs="Times New Roman"/>
          <w:noProof/>
          <w:szCs w:val="24"/>
          <w:u w:val="single"/>
        </w:rPr>
        <w:t>Dependency</w:t>
      </w:r>
      <w:r w:rsidR="0037199C" w:rsidRPr="00513BBF">
        <w:rPr>
          <w:rFonts w:cs="Times New Roman"/>
          <w:noProof/>
          <w:szCs w:val="24"/>
        </w:rPr>
        <w:t>:</w:t>
      </w:r>
      <w:r w:rsidR="00527346">
        <w:rPr>
          <w:rFonts w:cs="Times New Roman"/>
          <w:noProof/>
          <w:szCs w:val="24"/>
        </w:rPr>
        <w:t xml:space="preserve"> </w:t>
      </w:r>
      <w:r w:rsidR="00380B0F">
        <w:rPr>
          <w:rFonts w:cs="Times New Roman"/>
          <w:noProof/>
          <w:szCs w:val="24"/>
        </w:rPr>
        <w:t>One</w:t>
      </w:r>
      <w:r w:rsidR="00380B0F" w:rsidRPr="00513BBF">
        <w:rPr>
          <w:rFonts w:cs="Times New Roman"/>
          <w:noProof/>
          <w:szCs w:val="24"/>
        </w:rPr>
        <w:t xml:space="preserve"> </w:t>
      </w:r>
      <w:r w:rsidR="0037199C" w:rsidRPr="00513BBF">
        <w:rPr>
          <w:rFonts w:cs="Times New Roman"/>
          <w:noProof/>
          <w:szCs w:val="24"/>
        </w:rPr>
        <w:t xml:space="preserve">ordinal indicator and two count indicators were used to represent technology </w:t>
      </w:r>
      <w:r w:rsidR="00C87196">
        <w:rPr>
          <w:rFonts w:cs="Times New Roman"/>
          <w:noProof/>
          <w:szCs w:val="24"/>
        </w:rPr>
        <w:t>dependency:</w:t>
      </w:r>
      <w:r w:rsidR="0037199C" w:rsidRPr="00513BBF">
        <w:rPr>
          <w:rFonts w:cs="Times New Roman"/>
          <w:noProof/>
          <w:szCs w:val="24"/>
        </w:rPr>
        <w:t xml:space="preserve"> </w:t>
      </w:r>
    </w:p>
    <w:p w:rsidR="0037199C" w:rsidRPr="00513BBF" w:rsidRDefault="00E1756D" w:rsidP="0037199C">
      <w:pPr>
        <w:pStyle w:val="ListParagraph"/>
        <w:numPr>
          <w:ilvl w:val="1"/>
          <w:numId w:val="31"/>
        </w:numPr>
        <w:spacing w:after="0" w:line="240" w:lineRule="auto"/>
        <w:rPr>
          <w:rFonts w:cs="Times New Roman"/>
          <w:noProof/>
          <w:szCs w:val="24"/>
        </w:rPr>
      </w:pPr>
      <w:r w:rsidRPr="00513BBF">
        <w:rPr>
          <w:rFonts w:cs="Times New Roman"/>
          <w:noProof/>
          <w:szCs w:val="24"/>
        </w:rPr>
        <w:t>It is important for me to have access to communication technology (cellular, wifi, etc.) throughout the day</w:t>
      </w:r>
    </w:p>
    <w:p w:rsidR="00E1756D" w:rsidRPr="00513BBF" w:rsidRDefault="00CB207F" w:rsidP="00E1756D">
      <w:pPr>
        <w:pStyle w:val="ListParagraph"/>
        <w:numPr>
          <w:ilvl w:val="2"/>
          <w:numId w:val="31"/>
        </w:numPr>
        <w:spacing w:after="0" w:line="240" w:lineRule="auto"/>
        <w:rPr>
          <w:rFonts w:cs="Times New Roman"/>
          <w:noProof/>
          <w:szCs w:val="24"/>
        </w:rPr>
      </w:pPr>
      <w:r w:rsidRPr="00513BBF">
        <w:rPr>
          <w:rFonts w:cs="Times New Roman"/>
          <w:noProof/>
          <w:szCs w:val="24"/>
        </w:rPr>
        <w:t>Five</w:t>
      </w:r>
      <w:r>
        <w:rPr>
          <w:rFonts w:cs="Times New Roman"/>
          <w:noProof/>
          <w:szCs w:val="24"/>
        </w:rPr>
        <w:t>-</w:t>
      </w:r>
      <w:r w:rsidR="00E1756D" w:rsidRPr="00513BBF">
        <w:rPr>
          <w:rFonts w:cs="Times New Roman"/>
          <w:noProof/>
          <w:szCs w:val="24"/>
        </w:rPr>
        <w:t xml:space="preserve">point </w:t>
      </w:r>
      <w:r w:rsidR="004F5400">
        <w:rPr>
          <w:rFonts w:cs="Times New Roman"/>
          <w:noProof/>
          <w:szCs w:val="24"/>
        </w:rPr>
        <w:t>L</w:t>
      </w:r>
      <w:r w:rsidR="004F5400" w:rsidRPr="00513BBF">
        <w:rPr>
          <w:rFonts w:cs="Times New Roman"/>
          <w:noProof/>
          <w:szCs w:val="24"/>
        </w:rPr>
        <w:t xml:space="preserve">ikert </w:t>
      </w:r>
      <w:r w:rsidR="00E1756D" w:rsidRPr="00513BBF">
        <w:rPr>
          <w:rFonts w:cs="Times New Roman"/>
          <w:noProof/>
          <w:szCs w:val="24"/>
        </w:rPr>
        <w:t xml:space="preserve">scale, measured from “strongly disagree” to “strongly agree” </w:t>
      </w:r>
    </w:p>
    <w:p w:rsidR="00E1756D" w:rsidRPr="00513BBF" w:rsidRDefault="00E1756D" w:rsidP="00E1756D">
      <w:pPr>
        <w:pStyle w:val="ListParagraph"/>
        <w:numPr>
          <w:ilvl w:val="1"/>
          <w:numId w:val="31"/>
        </w:numPr>
        <w:spacing w:after="0" w:line="240" w:lineRule="auto"/>
        <w:rPr>
          <w:rFonts w:cs="Times New Roman"/>
          <w:noProof/>
          <w:szCs w:val="24"/>
        </w:rPr>
      </w:pPr>
      <w:r w:rsidRPr="00513BBF">
        <w:rPr>
          <w:rFonts w:cs="Times New Roman"/>
          <w:noProof/>
          <w:szCs w:val="24"/>
        </w:rPr>
        <w:t xml:space="preserve">Number of tech devices owned by the individual </w:t>
      </w:r>
    </w:p>
    <w:p w:rsidR="00E1756D" w:rsidRPr="00513BBF" w:rsidRDefault="00E1756D" w:rsidP="00E1756D">
      <w:pPr>
        <w:pStyle w:val="ListParagraph"/>
        <w:numPr>
          <w:ilvl w:val="2"/>
          <w:numId w:val="31"/>
        </w:numPr>
        <w:spacing w:after="0" w:line="240" w:lineRule="auto"/>
        <w:rPr>
          <w:rFonts w:cs="Times New Roman"/>
          <w:noProof/>
          <w:szCs w:val="24"/>
        </w:rPr>
      </w:pPr>
      <w:r w:rsidRPr="00513BBF">
        <w:rPr>
          <w:rFonts w:cs="Times New Roman"/>
          <w:noProof/>
          <w:szCs w:val="24"/>
        </w:rPr>
        <w:t xml:space="preserve">0 to 4 devices (smartphone, GPS, </w:t>
      </w:r>
      <w:r w:rsidR="00344697" w:rsidRPr="00513BBF">
        <w:rPr>
          <w:rFonts w:cs="Times New Roman"/>
          <w:noProof/>
          <w:szCs w:val="24"/>
        </w:rPr>
        <w:t>per</w:t>
      </w:r>
      <w:r w:rsidR="00344697">
        <w:rPr>
          <w:rFonts w:cs="Times New Roman"/>
          <w:noProof/>
          <w:szCs w:val="24"/>
        </w:rPr>
        <w:t>s</w:t>
      </w:r>
      <w:r w:rsidR="00344697" w:rsidRPr="00513BBF">
        <w:rPr>
          <w:rFonts w:cs="Times New Roman"/>
          <w:noProof/>
          <w:szCs w:val="24"/>
        </w:rPr>
        <w:t xml:space="preserve">onal </w:t>
      </w:r>
      <w:r w:rsidRPr="00513BBF">
        <w:rPr>
          <w:rFonts w:cs="Times New Roman"/>
          <w:noProof/>
          <w:szCs w:val="24"/>
        </w:rPr>
        <w:t>computer/laptop, and tablet)</w:t>
      </w:r>
    </w:p>
    <w:p w:rsidR="00E1756D" w:rsidRPr="00513BBF" w:rsidRDefault="00E1756D" w:rsidP="00E1756D">
      <w:pPr>
        <w:pStyle w:val="ListParagraph"/>
        <w:numPr>
          <w:ilvl w:val="1"/>
          <w:numId w:val="31"/>
        </w:numPr>
        <w:spacing w:after="0" w:line="240" w:lineRule="auto"/>
        <w:rPr>
          <w:rFonts w:cs="Times New Roman"/>
          <w:noProof/>
          <w:szCs w:val="24"/>
        </w:rPr>
      </w:pPr>
      <w:r w:rsidRPr="00513BBF">
        <w:rPr>
          <w:rFonts w:cs="Times New Roman"/>
          <w:noProof/>
          <w:szCs w:val="24"/>
        </w:rPr>
        <w:t xml:space="preserve">Number of activities undertaken using information and communication technology (ICT) </w:t>
      </w:r>
    </w:p>
    <w:p w:rsidR="00E1756D" w:rsidRPr="00513BBF" w:rsidRDefault="00E1756D" w:rsidP="00E1756D">
      <w:pPr>
        <w:pStyle w:val="ListParagraph"/>
        <w:numPr>
          <w:ilvl w:val="2"/>
          <w:numId w:val="31"/>
        </w:numPr>
        <w:spacing w:after="0" w:line="240" w:lineRule="auto"/>
        <w:rPr>
          <w:rFonts w:cs="Times New Roman"/>
          <w:noProof/>
          <w:szCs w:val="24"/>
        </w:rPr>
      </w:pPr>
      <w:r w:rsidRPr="00513BBF">
        <w:rPr>
          <w:rFonts w:cs="Times New Roman"/>
          <w:noProof/>
          <w:szCs w:val="24"/>
        </w:rPr>
        <w:t xml:space="preserve">Takes a value of 0 to 7 depending on the activities among those listed below that the respondent indicated he or she </w:t>
      </w:r>
      <w:r w:rsidR="00BA5AB3">
        <w:rPr>
          <w:rFonts w:cs="Times New Roman"/>
          <w:noProof/>
          <w:szCs w:val="24"/>
        </w:rPr>
        <w:t>pursued</w:t>
      </w:r>
      <w:r w:rsidRPr="00513BBF">
        <w:rPr>
          <w:rFonts w:cs="Times New Roman"/>
          <w:noProof/>
          <w:szCs w:val="24"/>
        </w:rPr>
        <w:t xml:space="preserve"> using ICT</w:t>
      </w:r>
    </w:p>
    <w:p w:rsidR="00E1756D" w:rsidRPr="00513BBF" w:rsidRDefault="00E1756D" w:rsidP="00E1756D">
      <w:pPr>
        <w:pStyle w:val="ListParagraph"/>
        <w:numPr>
          <w:ilvl w:val="3"/>
          <w:numId w:val="31"/>
        </w:numPr>
        <w:spacing w:after="0" w:line="240" w:lineRule="auto"/>
        <w:rPr>
          <w:rFonts w:cs="Times New Roman"/>
          <w:noProof/>
          <w:szCs w:val="24"/>
        </w:rPr>
      </w:pPr>
      <w:r w:rsidRPr="00513BBF">
        <w:rPr>
          <w:rFonts w:cs="Times New Roman"/>
          <w:noProof/>
          <w:szCs w:val="24"/>
        </w:rPr>
        <w:t>Driving directions/navigation</w:t>
      </w:r>
    </w:p>
    <w:p w:rsidR="00E1756D" w:rsidRPr="00513BBF" w:rsidRDefault="00E1756D" w:rsidP="00E1756D">
      <w:pPr>
        <w:pStyle w:val="ListParagraph"/>
        <w:numPr>
          <w:ilvl w:val="3"/>
          <w:numId w:val="31"/>
        </w:numPr>
        <w:spacing w:after="0" w:line="240" w:lineRule="auto"/>
        <w:rPr>
          <w:rFonts w:cs="Times New Roman"/>
          <w:noProof/>
          <w:szCs w:val="24"/>
        </w:rPr>
      </w:pPr>
      <w:r w:rsidRPr="00513BBF">
        <w:rPr>
          <w:rFonts w:cs="Times New Roman"/>
          <w:noProof/>
          <w:szCs w:val="24"/>
        </w:rPr>
        <w:t>Transit directions/navigation</w:t>
      </w:r>
    </w:p>
    <w:p w:rsidR="00E1756D" w:rsidRPr="00513BBF" w:rsidRDefault="00E1756D" w:rsidP="00E1756D">
      <w:pPr>
        <w:pStyle w:val="ListParagraph"/>
        <w:numPr>
          <w:ilvl w:val="3"/>
          <w:numId w:val="31"/>
        </w:numPr>
        <w:spacing w:after="0" w:line="240" w:lineRule="auto"/>
        <w:rPr>
          <w:rFonts w:cs="Times New Roman"/>
          <w:noProof/>
          <w:szCs w:val="24"/>
        </w:rPr>
      </w:pPr>
      <w:r w:rsidRPr="00513BBF">
        <w:rPr>
          <w:rFonts w:cs="Times New Roman"/>
          <w:noProof/>
          <w:szCs w:val="24"/>
        </w:rPr>
        <w:t>Real-time traffic information</w:t>
      </w:r>
    </w:p>
    <w:p w:rsidR="00E1756D" w:rsidRPr="00513BBF" w:rsidRDefault="00E1756D" w:rsidP="00E1756D">
      <w:pPr>
        <w:pStyle w:val="ListParagraph"/>
        <w:numPr>
          <w:ilvl w:val="3"/>
          <w:numId w:val="31"/>
        </w:numPr>
        <w:spacing w:after="0" w:line="240" w:lineRule="auto"/>
        <w:rPr>
          <w:rFonts w:cs="Times New Roman"/>
          <w:noProof/>
          <w:szCs w:val="24"/>
        </w:rPr>
      </w:pPr>
      <w:r w:rsidRPr="00513BBF">
        <w:rPr>
          <w:rFonts w:cs="Times New Roman"/>
          <w:noProof/>
          <w:szCs w:val="24"/>
        </w:rPr>
        <w:t>Real-time transit information</w:t>
      </w:r>
    </w:p>
    <w:p w:rsidR="00E1756D" w:rsidRPr="00513BBF" w:rsidRDefault="00E1756D" w:rsidP="00E1756D">
      <w:pPr>
        <w:pStyle w:val="ListParagraph"/>
        <w:numPr>
          <w:ilvl w:val="3"/>
          <w:numId w:val="31"/>
        </w:numPr>
        <w:spacing w:after="0" w:line="240" w:lineRule="auto"/>
        <w:rPr>
          <w:rFonts w:cs="Times New Roman"/>
          <w:noProof/>
          <w:szCs w:val="24"/>
        </w:rPr>
      </w:pPr>
      <w:r w:rsidRPr="00513BBF">
        <w:rPr>
          <w:rFonts w:cs="Times New Roman"/>
          <w:noProof/>
          <w:szCs w:val="24"/>
        </w:rPr>
        <w:t>Video chat</w:t>
      </w:r>
    </w:p>
    <w:p w:rsidR="00E1756D" w:rsidRPr="00513BBF" w:rsidRDefault="00E1756D" w:rsidP="00E1756D">
      <w:pPr>
        <w:pStyle w:val="ListParagraph"/>
        <w:numPr>
          <w:ilvl w:val="3"/>
          <w:numId w:val="31"/>
        </w:numPr>
        <w:spacing w:after="0" w:line="240" w:lineRule="auto"/>
        <w:rPr>
          <w:rFonts w:cs="Times New Roman"/>
          <w:noProof/>
          <w:szCs w:val="24"/>
        </w:rPr>
      </w:pPr>
      <w:r w:rsidRPr="00513BBF">
        <w:rPr>
          <w:rFonts w:cs="Times New Roman"/>
          <w:noProof/>
          <w:szCs w:val="24"/>
        </w:rPr>
        <w:t>Social networking</w:t>
      </w:r>
    </w:p>
    <w:p w:rsidR="00E1756D" w:rsidRPr="00513BBF" w:rsidRDefault="00E1756D" w:rsidP="00E1756D">
      <w:pPr>
        <w:pStyle w:val="ListParagraph"/>
        <w:numPr>
          <w:ilvl w:val="3"/>
          <w:numId w:val="31"/>
        </w:numPr>
        <w:spacing w:after="0" w:line="240" w:lineRule="auto"/>
        <w:rPr>
          <w:rFonts w:cs="Times New Roman"/>
          <w:noProof/>
          <w:szCs w:val="24"/>
        </w:rPr>
      </w:pPr>
      <w:r w:rsidRPr="00513BBF">
        <w:rPr>
          <w:rFonts w:cs="Times New Roman"/>
          <w:noProof/>
          <w:szCs w:val="24"/>
        </w:rPr>
        <w:t>Read/watch the news</w:t>
      </w:r>
    </w:p>
    <w:p w:rsidR="00E1756D" w:rsidRPr="00513BBF" w:rsidRDefault="006F0B63" w:rsidP="00E1756D">
      <w:pPr>
        <w:pStyle w:val="ListParagraph"/>
        <w:numPr>
          <w:ilvl w:val="0"/>
          <w:numId w:val="31"/>
        </w:numPr>
        <w:spacing w:after="0" w:line="240" w:lineRule="auto"/>
        <w:rPr>
          <w:rFonts w:cs="Times New Roman"/>
          <w:noProof/>
          <w:szCs w:val="24"/>
          <w:u w:val="single"/>
        </w:rPr>
      </w:pPr>
      <w:r>
        <w:rPr>
          <w:rFonts w:cs="Times New Roman"/>
          <w:noProof/>
          <w:szCs w:val="24"/>
          <w:u w:val="single"/>
        </w:rPr>
        <w:t xml:space="preserve">Pro-car </w:t>
      </w:r>
      <w:r w:rsidR="00CC2308">
        <w:rPr>
          <w:rFonts w:cs="Times New Roman"/>
          <w:noProof/>
          <w:szCs w:val="24"/>
          <w:u w:val="single"/>
        </w:rPr>
        <w:t>Attitude</w:t>
      </w:r>
      <w:r w:rsidR="00E1756D" w:rsidRPr="00513BBF">
        <w:rPr>
          <w:rFonts w:cs="Times New Roman"/>
          <w:noProof/>
          <w:szCs w:val="24"/>
        </w:rPr>
        <w:t>: Three ordinal indicators were used to capture</w:t>
      </w:r>
      <w:r>
        <w:rPr>
          <w:rFonts w:cs="Times New Roman"/>
          <w:noProof/>
          <w:szCs w:val="24"/>
        </w:rPr>
        <w:t xml:space="preserve"> a</w:t>
      </w:r>
      <w:r w:rsidR="00E1756D" w:rsidRPr="00513BBF">
        <w:rPr>
          <w:rFonts w:cs="Times New Roman"/>
          <w:noProof/>
          <w:szCs w:val="24"/>
        </w:rPr>
        <w:t xml:space="preserve"> </w:t>
      </w:r>
      <w:r>
        <w:rPr>
          <w:rFonts w:cs="Times New Roman"/>
          <w:noProof/>
          <w:szCs w:val="24"/>
        </w:rPr>
        <w:t>pro-</w:t>
      </w:r>
      <w:r w:rsidR="00E1756D" w:rsidRPr="00513BBF">
        <w:rPr>
          <w:rFonts w:cs="Times New Roman"/>
          <w:noProof/>
          <w:szCs w:val="24"/>
        </w:rPr>
        <w:t xml:space="preserve">car </w:t>
      </w:r>
      <w:r>
        <w:rPr>
          <w:rFonts w:cs="Times New Roman"/>
          <w:noProof/>
          <w:szCs w:val="24"/>
        </w:rPr>
        <w:t>attitude</w:t>
      </w:r>
      <w:r w:rsidR="00E1756D" w:rsidRPr="00513BBF">
        <w:rPr>
          <w:rFonts w:cs="Times New Roman"/>
          <w:noProof/>
          <w:szCs w:val="24"/>
        </w:rPr>
        <w:t>.</w:t>
      </w:r>
      <w:r w:rsidR="00527346">
        <w:rPr>
          <w:rFonts w:cs="Times New Roman"/>
          <w:noProof/>
          <w:szCs w:val="24"/>
        </w:rPr>
        <w:t xml:space="preserve"> </w:t>
      </w:r>
      <w:r w:rsidR="00E1756D" w:rsidRPr="00513BBF">
        <w:rPr>
          <w:rFonts w:cs="Times New Roman"/>
          <w:noProof/>
          <w:szCs w:val="24"/>
        </w:rPr>
        <w:t xml:space="preserve">A </w:t>
      </w:r>
      <w:r w:rsidR="00CB207F" w:rsidRPr="00513BBF">
        <w:rPr>
          <w:rFonts w:cs="Times New Roman"/>
          <w:noProof/>
          <w:szCs w:val="24"/>
        </w:rPr>
        <w:t>three</w:t>
      </w:r>
      <w:r w:rsidR="00CB207F">
        <w:rPr>
          <w:rFonts w:cs="Times New Roman"/>
          <w:noProof/>
          <w:szCs w:val="24"/>
        </w:rPr>
        <w:t>-</w:t>
      </w:r>
      <w:r w:rsidR="00E1756D" w:rsidRPr="00513BBF">
        <w:rPr>
          <w:rFonts w:cs="Times New Roman"/>
          <w:noProof/>
          <w:szCs w:val="24"/>
        </w:rPr>
        <w:t xml:space="preserve">level </w:t>
      </w:r>
      <w:r w:rsidR="004F5400">
        <w:rPr>
          <w:rFonts w:cs="Times New Roman"/>
          <w:noProof/>
          <w:szCs w:val="24"/>
        </w:rPr>
        <w:t>L</w:t>
      </w:r>
      <w:r w:rsidR="004F5400" w:rsidRPr="00513BBF">
        <w:rPr>
          <w:rFonts w:cs="Times New Roman"/>
          <w:noProof/>
          <w:szCs w:val="24"/>
        </w:rPr>
        <w:t xml:space="preserve">ikert </w:t>
      </w:r>
      <w:r w:rsidR="00E1756D" w:rsidRPr="00513BBF">
        <w:rPr>
          <w:rFonts w:cs="Times New Roman"/>
          <w:noProof/>
          <w:szCs w:val="24"/>
        </w:rPr>
        <w:t>scale (disagree, neutral, agree) is used to represent the degree of agreement with the various indicator statements.</w:t>
      </w:r>
      <w:r w:rsidR="00527346">
        <w:rPr>
          <w:rFonts w:cs="Times New Roman"/>
          <w:noProof/>
          <w:szCs w:val="24"/>
        </w:rPr>
        <w:t xml:space="preserve"> </w:t>
      </w:r>
      <w:r w:rsidR="00E1756D" w:rsidRPr="00513BBF">
        <w:rPr>
          <w:rFonts w:cs="Times New Roman"/>
          <w:noProof/>
          <w:szCs w:val="24"/>
        </w:rPr>
        <w:t xml:space="preserve">The original five-point </w:t>
      </w:r>
      <w:r w:rsidR="004F5400">
        <w:rPr>
          <w:rFonts w:cs="Times New Roman"/>
          <w:noProof/>
          <w:szCs w:val="24"/>
        </w:rPr>
        <w:t>L</w:t>
      </w:r>
      <w:r w:rsidR="004F5400" w:rsidRPr="00513BBF">
        <w:rPr>
          <w:rFonts w:cs="Times New Roman"/>
          <w:noProof/>
          <w:szCs w:val="24"/>
        </w:rPr>
        <w:t xml:space="preserve">ikert </w:t>
      </w:r>
      <w:r w:rsidR="00E1756D" w:rsidRPr="00513BBF">
        <w:rPr>
          <w:rFonts w:cs="Times New Roman"/>
          <w:noProof/>
          <w:szCs w:val="24"/>
        </w:rPr>
        <w:t xml:space="preserve">scale was collapsed into a three-point </w:t>
      </w:r>
      <w:r w:rsidR="004F5400">
        <w:rPr>
          <w:rFonts w:cs="Times New Roman"/>
          <w:noProof/>
          <w:szCs w:val="24"/>
        </w:rPr>
        <w:t>L</w:t>
      </w:r>
      <w:r w:rsidR="004F5400" w:rsidRPr="00513BBF">
        <w:rPr>
          <w:rFonts w:cs="Times New Roman"/>
          <w:noProof/>
          <w:szCs w:val="24"/>
        </w:rPr>
        <w:t xml:space="preserve">ikert </w:t>
      </w:r>
      <w:r w:rsidR="00E1756D" w:rsidRPr="00513BBF">
        <w:rPr>
          <w:rFonts w:cs="Times New Roman"/>
          <w:noProof/>
          <w:szCs w:val="24"/>
        </w:rPr>
        <w:t xml:space="preserve">scale in view of </w:t>
      </w:r>
      <w:r w:rsidR="00426348">
        <w:rPr>
          <w:rFonts w:cs="Times New Roman"/>
          <w:noProof/>
          <w:szCs w:val="24"/>
        </w:rPr>
        <w:t xml:space="preserve">the </w:t>
      </w:r>
      <w:r w:rsidR="00E1756D" w:rsidRPr="00513BBF">
        <w:rPr>
          <w:rFonts w:cs="Times New Roman"/>
          <w:noProof/>
          <w:szCs w:val="24"/>
        </w:rPr>
        <w:t>small sample sizes in some extreme categories.</w:t>
      </w:r>
      <w:r w:rsidR="00527346">
        <w:rPr>
          <w:rFonts w:cs="Times New Roman"/>
          <w:noProof/>
          <w:szCs w:val="24"/>
        </w:rPr>
        <w:t xml:space="preserve"> </w:t>
      </w:r>
    </w:p>
    <w:p w:rsidR="00F94508" w:rsidRPr="00513BBF" w:rsidRDefault="00E1756D" w:rsidP="00E1756D">
      <w:pPr>
        <w:pStyle w:val="ListParagraph"/>
        <w:numPr>
          <w:ilvl w:val="1"/>
          <w:numId w:val="31"/>
        </w:numPr>
        <w:spacing w:after="0" w:line="240" w:lineRule="auto"/>
        <w:rPr>
          <w:rFonts w:cs="Times New Roman"/>
          <w:noProof/>
          <w:szCs w:val="24"/>
          <w:u w:val="single"/>
        </w:rPr>
      </w:pPr>
      <w:r w:rsidRPr="00513BBF">
        <w:rPr>
          <w:rFonts w:cs="Times New Roman"/>
          <w:noProof/>
          <w:szCs w:val="24"/>
        </w:rPr>
        <w:t>I need to drive my car to get where I need to go</w:t>
      </w:r>
    </w:p>
    <w:p w:rsidR="00F94508" w:rsidRPr="00513BBF" w:rsidRDefault="00F94508" w:rsidP="00E1756D">
      <w:pPr>
        <w:pStyle w:val="ListParagraph"/>
        <w:numPr>
          <w:ilvl w:val="1"/>
          <w:numId w:val="31"/>
        </w:numPr>
        <w:spacing w:after="0" w:line="240" w:lineRule="auto"/>
        <w:rPr>
          <w:rFonts w:cs="Times New Roman"/>
          <w:noProof/>
          <w:szCs w:val="24"/>
          <w:u w:val="single"/>
        </w:rPr>
      </w:pPr>
      <w:r w:rsidRPr="00513BBF">
        <w:rPr>
          <w:rFonts w:cs="Times New Roman"/>
          <w:noProof/>
          <w:szCs w:val="24"/>
        </w:rPr>
        <w:t>I love the freedom and independence I get from owning one or more cars</w:t>
      </w:r>
    </w:p>
    <w:p w:rsidR="00F94508" w:rsidRPr="00513BBF" w:rsidRDefault="00F94508" w:rsidP="00E1756D">
      <w:pPr>
        <w:pStyle w:val="ListParagraph"/>
        <w:numPr>
          <w:ilvl w:val="1"/>
          <w:numId w:val="31"/>
        </w:numPr>
        <w:spacing w:after="0" w:line="240" w:lineRule="auto"/>
        <w:rPr>
          <w:rFonts w:cs="Times New Roman"/>
          <w:noProof/>
          <w:szCs w:val="24"/>
          <w:u w:val="single"/>
        </w:rPr>
      </w:pPr>
      <w:r w:rsidRPr="00513BBF">
        <w:rPr>
          <w:rFonts w:cs="Times New Roman"/>
          <w:noProof/>
          <w:szCs w:val="24"/>
        </w:rPr>
        <w:t>When making a trip, I prefer to have the flexibility to use a car in case my plans change</w:t>
      </w:r>
    </w:p>
    <w:p w:rsidR="00F94508" w:rsidRPr="00513BBF" w:rsidRDefault="00F94508" w:rsidP="00F94508">
      <w:pPr>
        <w:pStyle w:val="ListParagraph"/>
        <w:numPr>
          <w:ilvl w:val="0"/>
          <w:numId w:val="31"/>
        </w:numPr>
        <w:spacing w:after="0" w:line="240" w:lineRule="auto"/>
        <w:rPr>
          <w:rFonts w:cs="Times New Roman"/>
          <w:noProof/>
          <w:szCs w:val="24"/>
        </w:rPr>
      </w:pPr>
      <w:r w:rsidRPr="00513BBF">
        <w:rPr>
          <w:rFonts w:cs="Times New Roman"/>
          <w:noProof/>
          <w:szCs w:val="24"/>
          <w:u w:val="single"/>
        </w:rPr>
        <w:t>Pro-transit</w:t>
      </w:r>
      <w:r w:rsidR="00CC2308">
        <w:rPr>
          <w:rFonts w:cs="Times New Roman"/>
          <w:noProof/>
          <w:szCs w:val="24"/>
          <w:u w:val="single"/>
        </w:rPr>
        <w:t xml:space="preserve"> Attitude</w:t>
      </w:r>
      <w:r w:rsidRPr="00513BBF">
        <w:rPr>
          <w:rFonts w:cs="Times New Roman"/>
          <w:noProof/>
          <w:szCs w:val="24"/>
        </w:rPr>
        <w:t xml:space="preserve">: This latent </w:t>
      </w:r>
      <w:r w:rsidR="006F0B63">
        <w:rPr>
          <w:rFonts w:cs="Times New Roman"/>
          <w:noProof/>
          <w:szCs w:val="24"/>
        </w:rPr>
        <w:t>attitude</w:t>
      </w:r>
      <w:r w:rsidRPr="00513BBF">
        <w:rPr>
          <w:rFonts w:cs="Times New Roman"/>
          <w:noProof/>
          <w:szCs w:val="24"/>
        </w:rPr>
        <w:t xml:space="preserve"> is represented by four </w:t>
      </w:r>
      <w:r w:rsidR="00426348" w:rsidRPr="00513BBF">
        <w:rPr>
          <w:rFonts w:cs="Times New Roman"/>
          <w:noProof/>
          <w:szCs w:val="24"/>
        </w:rPr>
        <w:t>transit</w:t>
      </w:r>
      <w:r w:rsidR="00426348">
        <w:rPr>
          <w:rFonts w:cs="Times New Roman"/>
          <w:noProof/>
          <w:szCs w:val="24"/>
        </w:rPr>
        <w:t>-</w:t>
      </w:r>
      <w:r w:rsidRPr="00513BBF">
        <w:rPr>
          <w:rFonts w:cs="Times New Roman"/>
          <w:noProof/>
          <w:szCs w:val="24"/>
        </w:rPr>
        <w:t>related attitudinal variables.</w:t>
      </w:r>
      <w:r w:rsidR="00527346">
        <w:rPr>
          <w:rFonts w:cs="Times New Roman"/>
          <w:noProof/>
          <w:szCs w:val="24"/>
        </w:rPr>
        <w:t xml:space="preserve"> </w:t>
      </w:r>
      <w:r w:rsidRPr="00513BBF">
        <w:rPr>
          <w:rFonts w:cs="Times New Roman"/>
          <w:noProof/>
          <w:szCs w:val="24"/>
        </w:rPr>
        <w:t xml:space="preserve">All indicators are ordinal and measured on a </w:t>
      </w:r>
      <w:r w:rsidR="00CB207F" w:rsidRPr="00513BBF">
        <w:rPr>
          <w:rFonts w:cs="Times New Roman"/>
          <w:noProof/>
          <w:szCs w:val="24"/>
        </w:rPr>
        <w:t>five</w:t>
      </w:r>
      <w:r w:rsidR="00CB207F">
        <w:rPr>
          <w:rFonts w:cs="Times New Roman"/>
          <w:noProof/>
          <w:szCs w:val="24"/>
        </w:rPr>
        <w:t>-</w:t>
      </w:r>
      <w:r w:rsidRPr="00513BBF">
        <w:rPr>
          <w:rFonts w:cs="Times New Roman"/>
          <w:noProof/>
          <w:szCs w:val="24"/>
        </w:rPr>
        <w:t xml:space="preserve">point </w:t>
      </w:r>
      <w:r w:rsidR="004F5400">
        <w:rPr>
          <w:rFonts w:cs="Times New Roman"/>
          <w:noProof/>
          <w:szCs w:val="24"/>
        </w:rPr>
        <w:t>L</w:t>
      </w:r>
      <w:r w:rsidR="004F5400" w:rsidRPr="00513BBF">
        <w:rPr>
          <w:rFonts w:cs="Times New Roman"/>
          <w:noProof/>
          <w:szCs w:val="24"/>
        </w:rPr>
        <w:t xml:space="preserve">ikert </w:t>
      </w:r>
      <w:r w:rsidRPr="00513BBF">
        <w:rPr>
          <w:rFonts w:cs="Times New Roman"/>
          <w:noProof/>
          <w:szCs w:val="24"/>
        </w:rPr>
        <w:t xml:space="preserve">scale indicating the level of agreement </w:t>
      </w:r>
      <w:r w:rsidR="003924AD">
        <w:rPr>
          <w:rFonts w:cs="Times New Roman"/>
          <w:noProof/>
          <w:szCs w:val="24"/>
        </w:rPr>
        <w:t xml:space="preserve">(strongly disagree to strongly agree) </w:t>
      </w:r>
      <w:r w:rsidRPr="00513BBF">
        <w:rPr>
          <w:rFonts w:cs="Times New Roman"/>
          <w:noProof/>
          <w:szCs w:val="24"/>
        </w:rPr>
        <w:t xml:space="preserve">or level of importance </w:t>
      </w:r>
      <w:r w:rsidR="003924AD">
        <w:rPr>
          <w:rFonts w:cs="Times New Roman"/>
          <w:noProof/>
          <w:szCs w:val="24"/>
        </w:rPr>
        <w:t xml:space="preserve">(very unimportant to very important) </w:t>
      </w:r>
      <w:r w:rsidRPr="00513BBF">
        <w:rPr>
          <w:rFonts w:cs="Times New Roman"/>
          <w:noProof/>
          <w:szCs w:val="24"/>
        </w:rPr>
        <w:t xml:space="preserve">of each statement. </w:t>
      </w:r>
    </w:p>
    <w:p w:rsidR="00F94508" w:rsidRPr="00513BBF" w:rsidRDefault="00F94508" w:rsidP="00F94508">
      <w:pPr>
        <w:pStyle w:val="ListParagraph"/>
        <w:numPr>
          <w:ilvl w:val="1"/>
          <w:numId w:val="31"/>
        </w:numPr>
        <w:spacing w:after="0" w:line="240" w:lineRule="auto"/>
        <w:rPr>
          <w:rFonts w:cs="Times New Roman"/>
          <w:noProof/>
          <w:szCs w:val="24"/>
        </w:rPr>
      </w:pPr>
      <w:r w:rsidRPr="00513BBF">
        <w:rPr>
          <w:rFonts w:cs="Times New Roman"/>
          <w:noProof/>
          <w:szCs w:val="24"/>
        </w:rPr>
        <w:t xml:space="preserve">Riding transit is less stressful than driving on congested highways </w:t>
      </w:r>
    </w:p>
    <w:p w:rsidR="00F94508" w:rsidRPr="00513BBF" w:rsidRDefault="00F94508" w:rsidP="00F94508">
      <w:pPr>
        <w:pStyle w:val="ListParagraph"/>
        <w:numPr>
          <w:ilvl w:val="1"/>
          <w:numId w:val="31"/>
        </w:numPr>
        <w:spacing w:after="0" w:line="240" w:lineRule="auto"/>
        <w:rPr>
          <w:rFonts w:cs="Times New Roman"/>
          <w:noProof/>
          <w:szCs w:val="24"/>
        </w:rPr>
      </w:pPr>
      <w:r w:rsidRPr="00513BBF">
        <w:rPr>
          <w:rFonts w:cs="Times New Roman"/>
          <w:noProof/>
          <w:szCs w:val="24"/>
        </w:rPr>
        <w:t xml:space="preserve">I feel safe when riding public transportation </w:t>
      </w:r>
    </w:p>
    <w:p w:rsidR="00F94508" w:rsidRPr="00513BBF" w:rsidRDefault="00F94508" w:rsidP="00F94508">
      <w:pPr>
        <w:pStyle w:val="ListParagraph"/>
        <w:numPr>
          <w:ilvl w:val="1"/>
          <w:numId w:val="31"/>
        </w:numPr>
        <w:spacing w:after="0" w:line="240" w:lineRule="auto"/>
        <w:rPr>
          <w:rFonts w:cs="Times New Roman"/>
          <w:noProof/>
          <w:szCs w:val="24"/>
        </w:rPr>
      </w:pPr>
      <w:r w:rsidRPr="00513BBF">
        <w:rPr>
          <w:rFonts w:cs="Times New Roman"/>
          <w:noProof/>
          <w:szCs w:val="24"/>
        </w:rPr>
        <w:t xml:space="preserve">I like the idea of doing something good for the environment when I ride transit </w:t>
      </w:r>
    </w:p>
    <w:p w:rsidR="00F94508" w:rsidRPr="00513BBF" w:rsidRDefault="00F94508" w:rsidP="00F94508">
      <w:pPr>
        <w:pStyle w:val="ListParagraph"/>
        <w:numPr>
          <w:ilvl w:val="1"/>
          <w:numId w:val="31"/>
        </w:numPr>
        <w:spacing w:after="0" w:line="240" w:lineRule="auto"/>
        <w:rPr>
          <w:rFonts w:cs="Times New Roman"/>
          <w:noProof/>
          <w:szCs w:val="24"/>
        </w:rPr>
      </w:pPr>
      <w:r w:rsidRPr="00513BBF">
        <w:rPr>
          <w:rFonts w:cs="Times New Roman"/>
          <w:noProof/>
          <w:szCs w:val="24"/>
        </w:rPr>
        <w:t xml:space="preserve">Importance of proximity of public transportation when choosing residential location </w:t>
      </w:r>
    </w:p>
    <w:p w:rsidR="00F94508" w:rsidRPr="00513BBF" w:rsidRDefault="00F94508" w:rsidP="00F94508">
      <w:pPr>
        <w:pStyle w:val="ListParagraph"/>
        <w:numPr>
          <w:ilvl w:val="0"/>
          <w:numId w:val="31"/>
        </w:numPr>
        <w:spacing w:after="0" w:line="240" w:lineRule="auto"/>
        <w:rPr>
          <w:rFonts w:cs="Times New Roman"/>
          <w:noProof/>
          <w:szCs w:val="24"/>
        </w:rPr>
      </w:pPr>
      <w:r w:rsidRPr="00513BBF">
        <w:rPr>
          <w:rFonts w:cs="Times New Roman"/>
          <w:noProof/>
          <w:szCs w:val="24"/>
          <w:u w:val="single"/>
        </w:rPr>
        <w:t xml:space="preserve">Pro-environment </w:t>
      </w:r>
      <w:r w:rsidR="00CC2308">
        <w:rPr>
          <w:rFonts w:cs="Times New Roman"/>
          <w:noProof/>
          <w:szCs w:val="24"/>
          <w:u w:val="single"/>
        </w:rPr>
        <w:t>Attitude</w:t>
      </w:r>
      <w:r w:rsidRPr="00513BBF">
        <w:rPr>
          <w:rFonts w:cs="Times New Roman"/>
          <w:noProof/>
          <w:szCs w:val="24"/>
        </w:rPr>
        <w:t xml:space="preserve">: This latent construct is based on three attitudinal indicators measured on a </w:t>
      </w:r>
      <w:r w:rsidR="00CB207F" w:rsidRPr="00513BBF">
        <w:rPr>
          <w:rFonts w:cs="Times New Roman"/>
          <w:noProof/>
          <w:szCs w:val="24"/>
        </w:rPr>
        <w:t>five</w:t>
      </w:r>
      <w:r w:rsidR="00CB207F">
        <w:rPr>
          <w:rFonts w:cs="Times New Roman"/>
          <w:noProof/>
          <w:szCs w:val="24"/>
        </w:rPr>
        <w:t>-</w:t>
      </w:r>
      <w:r w:rsidRPr="00513BBF">
        <w:rPr>
          <w:rFonts w:cs="Times New Roman"/>
          <w:noProof/>
          <w:szCs w:val="24"/>
        </w:rPr>
        <w:t xml:space="preserve">point </w:t>
      </w:r>
      <w:r w:rsidR="004F5400">
        <w:rPr>
          <w:rFonts w:cs="Times New Roman"/>
          <w:noProof/>
          <w:szCs w:val="24"/>
        </w:rPr>
        <w:t>L</w:t>
      </w:r>
      <w:r w:rsidR="004F5400" w:rsidRPr="00513BBF">
        <w:rPr>
          <w:rFonts w:cs="Times New Roman"/>
          <w:noProof/>
          <w:szCs w:val="24"/>
        </w:rPr>
        <w:t xml:space="preserve">ikert </w:t>
      </w:r>
      <w:r w:rsidRPr="00513BBF">
        <w:rPr>
          <w:rFonts w:cs="Times New Roman"/>
          <w:noProof/>
          <w:szCs w:val="24"/>
        </w:rPr>
        <w:t>scale</w:t>
      </w:r>
      <w:r w:rsidR="003924AD">
        <w:rPr>
          <w:rFonts w:cs="Times New Roman"/>
          <w:noProof/>
          <w:szCs w:val="24"/>
        </w:rPr>
        <w:t xml:space="preserve"> </w:t>
      </w:r>
      <w:r w:rsidR="003924AD" w:rsidRPr="00513BBF">
        <w:rPr>
          <w:rFonts w:cs="Times New Roman"/>
          <w:noProof/>
          <w:szCs w:val="24"/>
        </w:rPr>
        <w:t>(strongly disagree to strongly agree)</w:t>
      </w:r>
      <w:r w:rsidRPr="00513BBF">
        <w:rPr>
          <w:rFonts w:cs="Times New Roman"/>
          <w:noProof/>
          <w:szCs w:val="24"/>
        </w:rPr>
        <w:t xml:space="preserve">. </w:t>
      </w:r>
    </w:p>
    <w:p w:rsidR="00F94508" w:rsidRPr="00513BBF" w:rsidRDefault="00F94508" w:rsidP="00F94508">
      <w:pPr>
        <w:pStyle w:val="ListParagraph"/>
        <w:numPr>
          <w:ilvl w:val="1"/>
          <w:numId w:val="31"/>
        </w:numPr>
        <w:spacing w:after="0" w:line="240" w:lineRule="auto"/>
        <w:rPr>
          <w:rFonts w:cs="Times New Roman"/>
          <w:noProof/>
          <w:szCs w:val="24"/>
        </w:rPr>
      </w:pPr>
      <w:r w:rsidRPr="00513BBF">
        <w:rPr>
          <w:rFonts w:cs="Times New Roman"/>
          <w:noProof/>
          <w:szCs w:val="24"/>
        </w:rPr>
        <w:t xml:space="preserve">I like the idea of doing something good for the environment when I ride transit </w:t>
      </w:r>
    </w:p>
    <w:p w:rsidR="00F94508" w:rsidRPr="00513BBF" w:rsidRDefault="00F94508" w:rsidP="00F94508">
      <w:pPr>
        <w:pStyle w:val="ListParagraph"/>
        <w:numPr>
          <w:ilvl w:val="1"/>
          <w:numId w:val="31"/>
        </w:numPr>
        <w:spacing w:after="0" w:line="240" w:lineRule="auto"/>
        <w:rPr>
          <w:rFonts w:cs="Times New Roman"/>
          <w:noProof/>
          <w:szCs w:val="24"/>
        </w:rPr>
      </w:pPr>
      <w:r w:rsidRPr="00513BBF">
        <w:rPr>
          <w:rFonts w:cs="Times New Roman"/>
          <w:noProof/>
          <w:szCs w:val="24"/>
        </w:rPr>
        <w:lastRenderedPageBreak/>
        <w:t xml:space="preserve">If everyone worked together, we could improve the environment and future for the earth </w:t>
      </w:r>
    </w:p>
    <w:p w:rsidR="00F94508" w:rsidRPr="00513BBF" w:rsidRDefault="00F94508" w:rsidP="00F94508">
      <w:pPr>
        <w:pStyle w:val="ListParagraph"/>
        <w:numPr>
          <w:ilvl w:val="1"/>
          <w:numId w:val="31"/>
        </w:numPr>
        <w:spacing w:after="0" w:line="240" w:lineRule="auto"/>
        <w:rPr>
          <w:rFonts w:cs="Times New Roman"/>
          <w:noProof/>
          <w:szCs w:val="24"/>
        </w:rPr>
      </w:pPr>
      <w:r w:rsidRPr="00513BBF">
        <w:rPr>
          <w:rFonts w:cs="Times New Roman"/>
          <w:noProof/>
          <w:szCs w:val="24"/>
        </w:rPr>
        <w:t xml:space="preserve">I would switch to a different mode of transportation if it would improve the air quality </w:t>
      </w:r>
    </w:p>
    <w:p w:rsidR="00D6782C" w:rsidRPr="00513BBF" w:rsidRDefault="00D6782C" w:rsidP="00E4354E">
      <w:pPr>
        <w:spacing w:after="0" w:line="240" w:lineRule="auto"/>
        <w:jc w:val="both"/>
        <w:rPr>
          <w:rFonts w:cs="Times New Roman"/>
          <w:noProof/>
          <w:szCs w:val="24"/>
        </w:rPr>
      </w:pPr>
      <w:r w:rsidRPr="00513BBF">
        <w:rPr>
          <w:rFonts w:cs="Times New Roman"/>
          <w:noProof/>
          <w:szCs w:val="24"/>
        </w:rPr>
        <w:tab/>
        <w:t>In the interest of brevity, a detailed tabulation of sample statistics is not furnished within this paper</w:t>
      </w:r>
      <w:r w:rsidR="007E4752">
        <w:rPr>
          <w:rFonts w:cs="Times New Roman"/>
          <w:noProof/>
          <w:szCs w:val="24"/>
        </w:rPr>
        <w:t xml:space="preserve"> but is available in an online supplement at </w:t>
      </w:r>
      <w:hyperlink r:id="rId13" w:history="1">
        <w:r w:rsidR="00671933" w:rsidRPr="00A32326">
          <w:rPr>
            <w:rStyle w:val="Hyperlink"/>
            <w:rFonts w:cs="Times New Roman"/>
            <w:noProof/>
            <w:szCs w:val="24"/>
          </w:rPr>
          <w:t>http://www.caee.utexas.edu/prof/bhat/ABSTRACTS/Millennial/OnlineSupplement.pdf</w:t>
        </w:r>
      </w:hyperlink>
      <w:r w:rsidRPr="00513BBF">
        <w:rPr>
          <w:rFonts w:cs="Times New Roman"/>
          <w:noProof/>
          <w:szCs w:val="24"/>
        </w:rPr>
        <w:t>.</w:t>
      </w:r>
      <w:r w:rsidR="00671933">
        <w:rPr>
          <w:rFonts w:cs="Times New Roman"/>
          <w:noProof/>
          <w:szCs w:val="24"/>
        </w:rPr>
        <w:t xml:space="preserve"> </w:t>
      </w:r>
      <w:r w:rsidRPr="00513BBF">
        <w:rPr>
          <w:rFonts w:cs="Times New Roman"/>
          <w:noProof/>
          <w:szCs w:val="24"/>
        </w:rPr>
        <w:t xml:space="preserve">Given the nature of the survey sample, it is quite suitable to examine factors affecting millennial mobility choices. When examining the indicators of </w:t>
      </w:r>
      <w:r w:rsidR="0096468E">
        <w:rPr>
          <w:rFonts w:cs="Times New Roman"/>
          <w:noProof/>
          <w:szCs w:val="24"/>
        </w:rPr>
        <w:t>pro-</w:t>
      </w:r>
      <w:r w:rsidRPr="00513BBF">
        <w:rPr>
          <w:rFonts w:cs="Times New Roman"/>
          <w:noProof/>
          <w:szCs w:val="24"/>
        </w:rPr>
        <w:t>car</w:t>
      </w:r>
      <w:r w:rsidR="0096468E">
        <w:rPr>
          <w:rFonts w:cs="Times New Roman"/>
          <w:noProof/>
          <w:szCs w:val="24"/>
        </w:rPr>
        <w:t xml:space="preserve"> attitude</w:t>
      </w:r>
      <w:r w:rsidRPr="00513BBF">
        <w:rPr>
          <w:rFonts w:cs="Times New Roman"/>
          <w:noProof/>
          <w:szCs w:val="24"/>
        </w:rPr>
        <w:t>, it was interesting to find that millennials</w:t>
      </w:r>
      <w:r w:rsidR="003773F5">
        <w:rPr>
          <w:rFonts w:cs="Times New Roman"/>
          <w:noProof/>
          <w:szCs w:val="24"/>
        </w:rPr>
        <w:t>, as a whole,</w:t>
      </w:r>
      <w:r w:rsidRPr="00513BBF">
        <w:rPr>
          <w:rFonts w:cs="Times New Roman"/>
          <w:noProof/>
          <w:szCs w:val="24"/>
        </w:rPr>
        <w:t xml:space="preserve"> </w:t>
      </w:r>
      <w:r w:rsidR="0019601E">
        <w:rPr>
          <w:rFonts w:cs="Times New Roman"/>
          <w:noProof/>
          <w:szCs w:val="24"/>
        </w:rPr>
        <w:t>exhibit a pro-car attitude</w:t>
      </w:r>
      <w:r w:rsidR="00E4354E">
        <w:rPr>
          <w:rFonts w:cs="Times New Roman"/>
          <w:noProof/>
          <w:szCs w:val="24"/>
        </w:rPr>
        <w:t>.</w:t>
      </w:r>
      <w:r w:rsidR="00527346">
        <w:rPr>
          <w:rFonts w:cs="Times New Roman"/>
          <w:noProof/>
          <w:szCs w:val="24"/>
        </w:rPr>
        <w:t xml:space="preserve"> </w:t>
      </w:r>
      <w:r w:rsidR="00E4354E">
        <w:rPr>
          <w:rFonts w:cs="Times New Roman"/>
          <w:noProof/>
          <w:szCs w:val="24"/>
        </w:rPr>
        <w:t>For example, 68.7</w:t>
      </w:r>
      <w:r w:rsidR="00A43E69">
        <w:rPr>
          <w:rFonts w:cs="Times New Roman"/>
          <w:noProof/>
          <w:szCs w:val="24"/>
        </w:rPr>
        <w:t>%</w:t>
      </w:r>
      <w:r w:rsidRPr="00513BBF">
        <w:rPr>
          <w:rFonts w:cs="Times New Roman"/>
          <w:noProof/>
          <w:szCs w:val="24"/>
        </w:rPr>
        <w:t xml:space="preserve"> of respondents indicated that they needed to drive their car to </w:t>
      </w:r>
      <w:r w:rsidR="00E4354E">
        <w:rPr>
          <w:rFonts w:cs="Times New Roman"/>
          <w:noProof/>
          <w:szCs w:val="24"/>
        </w:rPr>
        <w:t>get where they need to go; 78.3</w:t>
      </w:r>
      <w:r w:rsidR="00A43E69">
        <w:rPr>
          <w:rFonts w:cs="Times New Roman"/>
          <w:noProof/>
          <w:szCs w:val="24"/>
        </w:rPr>
        <w:t>%</w:t>
      </w:r>
      <w:r w:rsidRPr="00513BBF">
        <w:rPr>
          <w:rFonts w:cs="Times New Roman"/>
          <w:noProof/>
          <w:szCs w:val="24"/>
        </w:rPr>
        <w:t xml:space="preserve"> indicated that they loved the freedom and independence that </w:t>
      </w:r>
      <w:r w:rsidR="00E4354E">
        <w:rPr>
          <w:rFonts w:cs="Times New Roman"/>
          <w:noProof/>
          <w:szCs w:val="24"/>
        </w:rPr>
        <w:t>owning a car provides; and 75.3</w:t>
      </w:r>
      <w:r w:rsidR="00A43E69">
        <w:rPr>
          <w:rFonts w:cs="Times New Roman"/>
          <w:noProof/>
          <w:szCs w:val="24"/>
        </w:rPr>
        <w:t>%</w:t>
      </w:r>
      <w:r w:rsidRPr="00513BBF">
        <w:rPr>
          <w:rFonts w:cs="Times New Roman"/>
          <w:noProof/>
          <w:szCs w:val="24"/>
        </w:rPr>
        <w:t xml:space="preserve"> preferred to have the flexibility to use a car in case plans change.</w:t>
      </w:r>
      <w:r w:rsidR="00527346">
        <w:rPr>
          <w:rFonts w:cs="Times New Roman"/>
          <w:noProof/>
          <w:szCs w:val="24"/>
        </w:rPr>
        <w:t xml:space="preserve"> </w:t>
      </w:r>
      <w:r w:rsidRPr="00513BBF">
        <w:rPr>
          <w:rFonts w:cs="Times New Roman"/>
          <w:noProof/>
          <w:szCs w:val="24"/>
        </w:rPr>
        <w:t xml:space="preserve">Respondents within the sample also seemed quite environmentally conscious; for example, </w:t>
      </w:r>
      <w:r w:rsidR="0096468E">
        <w:rPr>
          <w:rFonts w:cs="Times New Roman"/>
          <w:noProof/>
          <w:szCs w:val="24"/>
        </w:rPr>
        <w:t>56.4</w:t>
      </w:r>
      <w:r w:rsidR="00A43E69">
        <w:rPr>
          <w:rFonts w:cs="Times New Roman"/>
          <w:noProof/>
          <w:szCs w:val="24"/>
        </w:rPr>
        <w:t>%</w:t>
      </w:r>
      <w:r w:rsidRPr="00513BBF">
        <w:rPr>
          <w:rFonts w:cs="Times New Roman"/>
          <w:noProof/>
          <w:szCs w:val="24"/>
        </w:rPr>
        <w:t xml:space="preserve"> liked the idea of doing good for the environment when they ride transit; </w:t>
      </w:r>
      <w:r w:rsidR="0096468E">
        <w:rPr>
          <w:rFonts w:cs="Times New Roman"/>
          <w:noProof/>
          <w:szCs w:val="24"/>
        </w:rPr>
        <w:t>42.5</w:t>
      </w:r>
      <w:r w:rsidR="00A43E69">
        <w:rPr>
          <w:rFonts w:cs="Times New Roman"/>
          <w:noProof/>
          <w:szCs w:val="24"/>
        </w:rPr>
        <w:t>%</w:t>
      </w:r>
      <w:r w:rsidRPr="00513BBF">
        <w:rPr>
          <w:rFonts w:cs="Times New Roman"/>
          <w:noProof/>
          <w:szCs w:val="24"/>
        </w:rPr>
        <w:t xml:space="preserve"> agreed </w:t>
      </w:r>
      <w:r w:rsidR="0096468E">
        <w:rPr>
          <w:rFonts w:cs="Times New Roman"/>
          <w:noProof/>
          <w:szCs w:val="24"/>
        </w:rPr>
        <w:t>or</w:t>
      </w:r>
      <w:r w:rsidRPr="00513BBF">
        <w:rPr>
          <w:rFonts w:cs="Times New Roman"/>
          <w:noProof/>
          <w:szCs w:val="24"/>
        </w:rPr>
        <w:t xml:space="preserve"> strongly agreed with the statement that they would switch to a different mode of transportation if it would improve the air quality.</w:t>
      </w:r>
      <w:r w:rsidR="00527346">
        <w:rPr>
          <w:rFonts w:cs="Times New Roman"/>
          <w:noProof/>
          <w:szCs w:val="24"/>
        </w:rPr>
        <w:t xml:space="preserve"> </w:t>
      </w:r>
    </w:p>
    <w:p w:rsidR="00D6782C" w:rsidRPr="00513BBF" w:rsidRDefault="00D6782C" w:rsidP="00E4354E">
      <w:pPr>
        <w:spacing w:after="0" w:line="240" w:lineRule="auto"/>
        <w:jc w:val="both"/>
        <w:rPr>
          <w:rFonts w:cs="Times New Roman"/>
          <w:noProof/>
          <w:szCs w:val="24"/>
        </w:rPr>
      </w:pPr>
      <w:r w:rsidRPr="00513BBF">
        <w:rPr>
          <w:rFonts w:cs="Times New Roman"/>
          <w:noProof/>
          <w:szCs w:val="24"/>
        </w:rPr>
        <w:tab/>
        <w:t>In terms of socio-economic charact</w:t>
      </w:r>
      <w:r w:rsidR="00E4354E">
        <w:rPr>
          <w:rFonts w:cs="Times New Roman"/>
          <w:noProof/>
          <w:szCs w:val="24"/>
        </w:rPr>
        <w:t xml:space="preserve">eristics, </w:t>
      </w:r>
      <w:r w:rsidR="00426348">
        <w:rPr>
          <w:rFonts w:cs="Times New Roman"/>
          <w:noProof/>
          <w:szCs w:val="24"/>
        </w:rPr>
        <w:t>the results indicate</w:t>
      </w:r>
      <w:r w:rsidR="00E4354E">
        <w:rPr>
          <w:rFonts w:cs="Times New Roman"/>
          <w:noProof/>
          <w:szCs w:val="24"/>
        </w:rPr>
        <w:t xml:space="preserve"> that 17.7</w:t>
      </w:r>
      <w:r w:rsidR="00A43E69">
        <w:rPr>
          <w:rFonts w:cs="Times New Roman"/>
          <w:noProof/>
          <w:szCs w:val="24"/>
        </w:rPr>
        <w:t>%</w:t>
      </w:r>
      <w:r w:rsidR="00E4354E">
        <w:rPr>
          <w:rFonts w:cs="Times New Roman"/>
          <w:noProof/>
          <w:szCs w:val="24"/>
        </w:rPr>
        <w:t xml:space="preserve"> are 18</w:t>
      </w:r>
      <w:r w:rsidR="00426348">
        <w:rPr>
          <w:rFonts w:cs="Times New Roman"/>
          <w:noProof/>
          <w:szCs w:val="24"/>
        </w:rPr>
        <w:t>–</w:t>
      </w:r>
      <w:r w:rsidR="00E4354E">
        <w:rPr>
          <w:rFonts w:cs="Times New Roman"/>
          <w:noProof/>
          <w:szCs w:val="24"/>
        </w:rPr>
        <w:t>20 years old, 26.8</w:t>
      </w:r>
      <w:r w:rsidR="00A43E69">
        <w:rPr>
          <w:rFonts w:cs="Times New Roman"/>
          <w:noProof/>
          <w:szCs w:val="24"/>
        </w:rPr>
        <w:t>%</w:t>
      </w:r>
      <w:r w:rsidRPr="00513BBF">
        <w:rPr>
          <w:rFonts w:cs="Times New Roman"/>
          <w:noProof/>
          <w:szCs w:val="24"/>
        </w:rPr>
        <w:t xml:space="preserve"> </w:t>
      </w:r>
      <w:r w:rsidR="00E4354E">
        <w:rPr>
          <w:rFonts w:cs="Times New Roman"/>
          <w:noProof/>
          <w:szCs w:val="24"/>
        </w:rPr>
        <w:t>are 21</w:t>
      </w:r>
      <w:r w:rsidR="00426348" w:rsidRPr="00426348">
        <w:rPr>
          <w:rFonts w:cs="Times New Roman"/>
          <w:noProof/>
          <w:szCs w:val="24"/>
        </w:rPr>
        <w:t>–</w:t>
      </w:r>
      <w:r w:rsidR="00E4354E">
        <w:rPr>
          <w:rFonts w:cs="Times New Roman"/>
          <w:noProof/>
          <w:szCs w:val="24"/>
        </w:rPr>
        <w:t>24 years old, 46.1</w:t>
      </w:r>
      <w:r w:rsidR="00A43E69">
        <w:rPr>
          <w:rFonts w:cs="Times New Roman"/>
          <w:noProof/>
          <w:szCs w:val="24"/>
        </w:rPr>
        <w:t>%</w:t>
      </w:r>
      <w:r w:rsidR="00E4354E">
        <w:rPr>
          <w:rFonts w:cs="Times New Roman"/>
          <w:noProof/>
          <w:szCs w:val="24"/>
        </w:rPr>
        <w:t xml:space="preserve"> are 25</w:t>
      </w:r>
      <w:r w:rsidR="00426348">
        <w:rPr>
          <w:rFonts w:cs="Times New Roman"/>
          <w:noProof/>
          <w:szCs w:val="24"/>
        </w:rPr>
        <w:t>–</w:t>
      </w:r>
      <w:r w:rsidR="00E4354E">
        <w:rPr>
          <w:rFonts w:cs="Times New Roman"/>
          <w:noProof/>
          <w:szCs w:val="24"/>
        </w:rPr>
        <w:t>29 years old, and 9.4</w:t>
      </w:r>
      <w:r w:rsidR="00A43E69">
        <w:rPr>
          <w:rFonts w:cs="Times New Roman"/>
          <w:noProof/>
          <w:szCs w:val="24"/>
        </w:rPr>
        <w:t>%</w:t>
      </w:r>
      <w:r w:rsidRPr="00513BBF">
        <w:rPr>
          <w:rFonts w:cs="Times New Roman"/>
          <w:noProof/>
          <w:szCs w:val="24"/>
        </w:rPr>
        <w:t xml:space="preserve"> are 30</w:t>
      </w:r>
      <w:r w:rsidR="00426348">
        <w:rPr>
          <w:rFonts w:cs="Times New Roman"/>
          <w:noProof/>
          <w:szCs w:val="24"/>
        </w:rPr>
        <w:t>–</w:t>
      </w:r>
      <w:r w:rsidRPr="00513BBF">
        <w:rPr>
          <w:rFonts w:cs="Times New Roman"/>
          <w:noProof/>
          <w:szCs w:val="24"/>
        </w:rPr>
        <w:t>33 years old.</w:t>
      </w:r>
      <w:r w:rsidR="00527346">
        <w:rPr>
          <w:rFonts w:cs="Times New Roman"/>
          <w:noProof/>
          <w:szCs w:val="24"/>
        </w:rPr>
        <w:t xml:space="preserve"> </w:t>
      </w:r>
      <w:r w:rsidRPr="00513BBF">
        <w:rPr>
          <w:rFonts w:cs="Times New Roman"/>
          <w:noProof/>
          <w:szCs w:val="24"/>
        </w:rPr>
        <w:t>About 46</w:t>
      </w:r>
      <w:r w:rsidR="00A43E69">
        <w:rPr>
          <w:rFonts w:cs="Times New Roman"/>
          <w:noProof/>
          <w:szCs w:val="24"/>
        </w:rPr>
        <w:t>%</w:t>
      </w:r>
      <w:r w:rsidRPr="00513BBF">
        <w:rPr>
          <w:rFonts w:cs="Times New Roman"/>
          <w:noProof/>
          <w:szCs w:val="24"/>
        </w:rPr>
        <w:t xml:space="preserve"> of the sam</w:t>
      </w:r>
      <w:r w:rsidR="00E4354E">
        <w:rPr>
          <w:rFonts w:cs="Times New Roman"/>
          <w:noProof/>
          <w:szCs w:val="24"/>
        </w:rPr>
        <w:t>ple is comprised of males, 64.5</w:t>
      </w:r>
      <w:r w:rsidR="00A43E69">
        <w:rPr>
          <w:rFonts w:cs="Times New Roman"/>
          <w:noProof/>
          <w:szCs w:val="24"/>
        </w:rPr>
        <w:t>%</w:t>
      </w:r>
      <w:r w:rsidR="00E4354E">
        <w:rPr>
          <w:rFonts w:cs="Times New Roman"/>
          <w:noProof/>
          <w:szCs w:val="24"/>
        </w:rPr>
        <w:t xml:space="preserve"> commute by car, 22.8</w:t>
      </w:r>
      <w:r w:rsidR="00A43E69">
        <w:rPr>
          <w:rFonts w:cs="Times New Roman"/>
          <w:noProof/>
          <w:szCs w:val="24"/>
        </w:rPr>
        <w:t>%</w:t>
      </w:r>
      <w:r w:rsidR="00E4354E">
        <w:rPr>
          <w:rFonts w:cs="Times New Roman"/>
          <w:noProof/>
          <w:szCs w:val="24"/>
        </w:rPr>
        <w:t xml:space="preserve"> commute by transit, and 12.7</w:t>
      </w:r>
      <w:r w:rsidR="00A43E69">
        <w:rPr>
          <w:rFonts w:cs="Times New Roman"/>
          <w:noProof/>
          <w:szCs w:val="24"/>
        </w:rPr>
        <w:t>%</w:t>
      </w:r>
      <w:r w:rsidRPr="00513BBF">
        <w:rPr>
          <w:rFonts w:cs="Times New Roman"/>
          <w:noProof/>
          <w:szCs w:val="24"/>
        </w:rPr>
        <w:t xml:space="preserve"> commute by bicycle or walk.</w:t>
      </w:r>
      <w:r w:rsidR="00527346">
        <w:rPr>
          <w:rFonts w:cs="Times New Roman"/>
          <w:noProof/>
          <w:szCs w:val="24"/>
        </w:rPr>
        <w:t xml:space="preserve"> </w:t>
      </w:r>
      <w:r w:rsidRPr="00513BBF">
        <w:rPr>
          <w:rFonts w:cs="Times New Roman"/>
          <w:noProof/>
          <w:szCs w:val="24"/>
        </w:rPr>
        <w:t>A</w:t>
      </w:r>
      <w:r w:rsidR="00E4354E">
        <w:rPr>
          <w:rFonts w:cs="Times New Roman"/>
          <w:noProof/>
          <w:szCs w:val="24"/>
        </w:rPr>
        <w:t>lso, 79</w:t>
      </w:r>
      <w:r w:rsidR="00A43E69">
        <w:rPr>
          <w:rFonts w:cs="Times New Roman"/>
          <w:noProof/>
          <w:szCs w:val="24"/>
        </w:rPr>
        <w:t>%</w:t>
      </w:r>
      <w:r w:rsidRPr="00513BBF">
        <w:rPr>
          <w:rFonts w:cs="Times New Roman"/>
          <w:noProof/>
          <w:szCs w:val="24"/>
        </w:rPr>
        <w:t xml:space="preserve"> own a personal vehicle, which reflects a high level of car ownership for an exclusively millennial sample.</w:t>
      </w:r>
      <w:r w:rsidR="00527346">
        <w:rPr>
          <w:rFonts w:cs="Times New Roman"/>
          <w:noProof/>
          <w:szCs w:val="24"/>
        </w:rPr>
        <w:t xml:space="preserve"> </w:t>
      </w:r>
      <w:r w:rsidRPr="00513BBF">
        <w:rPr>
          <w:rFonts w:cs="Times New Roman"/>
          <w:noProof/>
          <w:szCs w:val="24"/>
        </w:rPr>
        <w:t xml:space="preserve">As expected, a majority </w:t>
      </w:r>
      <w:r w:rsidR="005434C8">
        <w:rPr>
          <w:rFonts w:cs="Times New Roman"/>
          <w:noProof/>
          <w:szCs w:val="24"/>
        </w:rPr>
        <w:t>(</w:t>
      </w:r>
      <w:r w:rsidR="00E4354E">
        <w:rPr>
          <w:rFonts w:cs="Times New Roman"/>
          <w:noProof/>
          <w:szCs w:val="24"/>
        </w:rPr>
        <w:t>62</w:t>
      </w:r>
      <w:r w:rsidR="00A43E69">
        <w:rPr>
          <w:rFonts w:cs="Times New Roman"/>
          <w:noProof/>
          <w:szCs w:val="24"/>
        </w:rPr>
        <w:t>%</w:t>
      </w:r>
      <w:r w:rsidR="005434C8">
        <w:rPr>
          <w:rFonts w:cs="Times New Roman"/>
          <w:noProof/>
          <w:szCs w:val="24"/>
        </w:rPr>
        <w:t>)</w:t>
      </w:r>
      <w:r w:rsidRPr="00513BBF">
        <w:rPr>
          <w:rFonts w:cs="Times New Roman"/>
          <w:noProof/>
          <w:szCs w:val="24"/>
        </w:rPr>
        <w:t xml:space="preserve"> are single, </w:t>
      </w:r>
      <w:r w:rsidR="00677F4B">
        <w:rPr>
          <w:rFonts w:cs="Times New Roman"/>
          <w:noProof/>
          <w:szCs w:val="24"/>
        </w:rPr>
        <w:t>and</w:t>
      </w:r>
      <w:r w:rsidR="00CE1F66" w:rsidRPr="00513BBF">
        <w:rPr>
          <w:rFonts w:cs="Times New Roman"/>
          <w:noProof/>
          <w:szCs w:val="24"/>
        </w:rPr>
        <w:t xml:space="preserve"> </w:t>
      </w:r>
      <w:r w:rsidR="00677F4B">
        <w:rPr>
          <w:rFonts w:cs="Times New Roman"/>
          <w:noProof/>
          <w:szCs w:val="24"/>
        </w:rPr>
        <w:t>o</w:t>
      </w:r>
      <w:r w:rsidR="00677F4B" w:rsidRPr="00513BBF">
        <w:rPr>
          <w:rFonts w:cs="Times New Roman"/>
          <w:noProof/>
          <w:szCs w:val="24"/>
        </w:rPr>
        <w:t xml:space="preserve">nly </w:t>
      </w:r>
      <w:r w:rsidR="00E4354E">
        <w:rPr>
          <w:rFonts w:cs="Times New Roman"/>
          <w:noProof/>
          <w:szCs w:val="24"/>
        </w:rPr>
        <w:t>18.3</w:t>
      </w:r>
      <w:r w:rsidR="00A43E69">
        <w:rPr>
          <w:rFonts w:cs="Times New Roman"/>
          <w:noProof/>
          <w:szCs w:val="24"/>
        </w:rPr>
        <w:t>%</w:t>
      </w:r>
      <w:r w:rsidR="00CE1F66" w:rsidRPr="00513BBF">
        <w:rPr>
          <w:rFonts w:cs="Times New Roman"/>
          <w:noProof/>
          <w:szCs w:val="24"/>
        </w:rPr>
        <w:t xml:space="preserve"> are parents</w:t>
      </w:r>
      <w:r w:rsidR="00677F4B">
        <w:rPr>
          <w:rFonts w:cs="Times New Roman"/>
          <w:noProof/>
          <w:szCs w:val="24"/>
        </w:rPr>
        <w:t>.</w:t>
      </w:r>
      <w:r w:rsidR="00FD59A1">
        <w:rPr>
          <w:rFonts w:cs="Times New Roman"/>
          <w:noProof/>
          <w:szCs w:val="24"/>
        </w:rPr>
        <w:t xml:space="preserve"> </w:t>
      </w:r>
      <w:r w:rsidR="00677F4B">
        <w:rPr>
          <w:rFonts w:cs="Times New Roman"/>
          <w:noProof/>
          <w:szCs w:val="24"/>
        </w:rPr>
        <w:t>W</w:t>
      </w:r>
      <w:r w:rsidR="00E4354E">
        <w:rPr>
          <w:rFonts w:cs="Times New Roman"/>
          <w:noProof/>
          <w:szCs w:val="24"/>
        </w:rPr>
        <w:t>hile 24.4</w:t>
      </w:r>
      <w:r w:rsidR="00A43E69">
        <w:rPr>
          <w:rFonts w:cs="Times New Roman"/>
          <w:noProof/>
          <w:szCs w:val="24"/>
        </w:rPr>
        <w:t>%</w:t>
      </w:r>
      <w:r w:rsidR="00E4354E">
        <w:rPr>
          <w:rFonts w:cs="Times New Roman"/>
          <w:noProof/>
          <w:szCs w:val="24"/>
        </w:rPr>
        <w:t xml:space="preserve"> are students, 58.4</w:t>
      </w:r>
      <w:r w:rsidR="00A43E69">
        <w:rPr>
          <w:rFonts w:cs="Times New Roman"/>
          <w:noProof/>
          <w:szCs w:val="24"/>
        </w:rPr>
        <w:t>%</w:t>
      </w:r>
      <w:r w:rsidR="00CE1F66" w:rsidRPr="00513BBF">
        <w:rPr>
          <w:rFonts w:cs="Times New Roman"/>
          <w:noProof/>
          <w:szCs w:val="24"/>
        </w:rPr>
        <w:t xml:space="preserve"> ar</w:t>
      </w:r>
      <w:r w:rsidR="00E4354E">
        <w:rPr>
          <w:rFonts w:cs="Times New Roman"/>
          <w:noProof/>
          <w:szCs w:val="24"/>
        </w:rPr>
        <w:t>e employed full-time, and 17.2</w:t>
      </w:r>
      <w:r w:rsidR="00A43E69">
        <w:rPr>
          <w:rFonts w:cs="Times New Roman"/>
          <w:noProof/>
          <w:szCs w:val="24"/>
        </w:rPr>
        <w:t>%</w:t>
      </w:r>
      <w:r w:rsidR="00CE1F66" w:rsidRPr="00513BBF">
        <w:rPr>
          <w:rFonts w:cs="Times New Roman"/>
          <w:noProof/>
          <w:szCs w:val="24"/>
        </w:rPr>
        <w:t xml:space="preserve"> are employed part-time.</w:t>
      </w:r>
      <w:r w:rsidR="00527346">
        <w:rPr>
          <w:rFonts w:cs="Times New Roman"/>
          <w:noProof/>
          <w:szCs w:val="24"/>
        </w:rPr>
        <w:t xml:space="preserve"> </w:t>
      </w:r>
      <w:r w:rsidR="00CE1F66" w:rsidRPr="0096468E">
        <w:rPr>
          <w:rFonts w:cs="Times New Roman"/>
          <w:noProof/>
          <w:szCs w:val="24"/>
        </w:rPr>
        <w:t>One</w:t>
      </w:r>
      <w:r w:rsidR="00426348">
        <w:rPr>
          <w:rFonts w:cs="Times New Roman"/>
          <w:noProof/>
          <w:szCs w:val="24"/>
        </w:rPr>
        <w:t xml:space="preserve"> </w:t>
      </w:r>
      <w:r w:rsidR="00CE1F66" w:rsidRPr="0096468E">
        <w:rPr>
          <w:rFonts w:cs="Times New Roman"/>
          <w:noProof/>
          <w:szCs w:val="24"/>
        </w:rPr>
        <w:t>in</w:t>
      </w:r>
      <w:r w:rsidR="00426348">
        <w:rPr>
          <w:rFonts w:cs="Times New Roman"/>
          <w:noProof/>
          <w:szCs w:val="24"/>
        </w:rPr>
        <w:t xml:space="preserve"> </w:t>
      </w:r>
      <w:r w:rsidR="00CE1F66" w:rsidRPr="0096468E">
        <w:rPr>
          <w:rFonts w:cs="Times New Roman"/>
          <w:noProof/>
          <w:szCs w:val="24"/>
        </w:rPr>
        <w:t xml:space="preserve">five </w:t>
      </w:r>
      <w:r w:rsidR="00E4354E">
        <w:rPr>
          <w:rFonts w:cs="Times New Roman"/>
          <w:noProof/>
          <w:szCs w:val="24"/>
        </w:rPr>
        <w:t xml:space="preserve">live in </w:t>
      </w:r>
      <w:r w:rsidR="005811B8">
        <w:rPr>
          <w:rFonts w:cs="Times New Roman"/>
          <w:noProof/>
          <w:szCs w:val="24"/>
        </w:rPr>
        <w:t>transit-</w:t>
      </w:r>
      <w:r w:rsidR="00E4354E">
        <w:rPr>
          <w:rFonts w:cs="Times New Roman"/>
          <w:noProof/>
          <w:szCs w:val="24"/>
        </w:rPr>
        <w:t>rich cities, 40</w:t>
      </w:r>
      <w:r w:rsidR="00A43E69">
        <w:rPr>
          <w:rFonts w:cs="Times New Roman"/>
          <w:noProof/>
          <w:szCs w:val="24"/>
        </w:rPr>
        <w:t>%</w:t>
      </w:r>
      <w:r w:rsidR="00CE1F66" w:rsidRPr="0096468E">
        <w:rPr>
          <w:rFonts w:cs="Times New Roman"/>
          <w:noProof/>
          <w:szCs w:val="24"/>
        </w:rPr>
        <w:t xml:space="preserve"> live in </w:t>
      </w:r>
      <w:r w:rsidR="00426348" w:rsidRPr="0096468E">
        <w:rPr>
          <w:rFonts w:cs="Times New Roman"/>
          <w:noProof/>
          <w:szCs w:val="24"/>
        </w:rPr>
        <w:t>transit</w:t>
      </w:r>
      <w:r w:rsidR="00426348">
        <w:rPr>
          <w:rFonts w:cs="Times New Roman"/>
          <w:noProof/>
          <w:szCs w:val="24"/>
        </w:rPr>
        <w:t>-</w:t>
      </w:r>
      <w:r w:rsidR="00CE1F66" w:rsidRPr="0096468E">
        <w:rPr>
          <w:rFonts w:cs="Times New Roman"/>
          <w:noProof/>
          <w:szCs w:val="24"/>
        </w:rPr>
        <w:t xml:space="preserve">progressive cities, and </w:t>
      </w:r>
      <w:r w:rsidR="00AC4C2C">
        <w:rPr>
          <w:rFonts w:cs="Times New Roman"/>
          <w:noProof/>
          <w:szCs w:val="24"/>
        </w:rPr>
        <w:t xml:space="preserve">the </w:t>
      </w:r>
      <w:r w:rsidR="00CE1F66" w:rsidRPr="0096468E">
        <w:rPr>
          <w:rFonts w:cs="Times New Roman"/>
          <w:noProof/>
          <w:szCs w:val="24"/>
        </w:rPr>
        <w:t>remainder live in transit deficient cities.</w:t>
      </w:r>
      <w:r w:rsidR="00527346">
        <w:rPr>
          <w:rFonts w:cs="Times New Roman"/>
          <w:noProof/>
          <w:szCs w:val="24"/>
        </w:rPr>
        <w:t xml:space="preserve"> </w:t>
      </w:r>
      <w:r w:rsidR="00CE1F66" w:rsidRPr="00513BBF">
        <w:rPr>
          <w:rFonts w:cs="Times New Roman"/>
          <w:noProof/>
          <w:szCs w:val="24"/>
        </w:rPr>
        <w:t>The sample exhibits a high level of education with 36</w:t>
      </w:r>
      <w:r w:rsidR="00A43E69">
        <w:rPr>
          <w:rFonts w:cs="Times New Roman"/>
          <w:noProof/>
          <w:szCs w:val="24"/>
        </w:rPr>
        <w:t>%</w:t>
      </w:r>
      <w:r w:rsidR="00CE1F66" w:rsidRPr="00513BBF">
        <w:rPr>
          <w:rFonts w:cs="Times New Roman"/>
          <w:noProof/>
          <w:szCs w:val="24"/>
        </w:rPr>
        <w:t xml:space="preserve"> having </w:t>
      </w:r>
      <w:r w:rsidR="007E15FA" w:rsidRPr="00513BBF">
        <w:rPr>
          <w:rFonts w:cs="Times New Roman"/>
          <w:noProof/>
          <w:szCs w:val="24"/>
        </w:rPr>
        <w:t xml:space="preserve">a </w:t>
      </w:r>
      <w:r w:rsidR="00E4354E">
        <w:rPr>
          <w:rFonts w:cs="Times New Roman"/>
          <w:noProof/>
          <w:szCs w:val="24"/>
        </w:rPr>
        <w:t>Bachelor’s degree and 12.2</w:t>
      </w:r>
      <w:r w:rsidR="00A43E69">
        <w:rPr>
          <w:rFonts w:cs="Times New Roman"/>
          <w:noProof/>
          <w:szCs w:val="24"/>
        </w:rPr>
        <w:t>%</w:t>
      </w:r>
      <w:r w:rsidR="00CE1F66" w:rsidRPr="00513BBF">
        <w:rPr>
          <w:rFonts w:cs="Times New Roman"/>
          <w:noProof/>
          <w:szCs w:val="24"/>
        </w:rPr>
        <w:t xml:space="preserve"> </w:t>
      </w:r>
      <w:r w:rsidR="007E15FA" w:rsidRPr="00513BBF">
        <w:rPr>
          <w:rFonts w:cs="Times New Roman"/>
          <w:noProof/>
          <w:szCs w:val="24"/>
        </w:rPr>
        <w:t>having a</w:t>
      </w:r>
      <w:r w:rsidR="00CE1F66" w:rsidRPr="00513BBF">
        <w:rPr>
          <w:rFonts w:cs="Times New Roman"/>
          <w:noProof/>
          <w:szCs w:val="24"/>
        </w:rPr>
        <w:t xml:space="preserve"> graduate degree.</w:t>
      </w:r>
      <w:r w:rsidR="00405256" w:rsidRPr="00513BBF">
        <w:rPr>
          <w:rFonts w:cs="Times New Roman"/>
          <w:noProof/>
          <w:szCs w:val="24"/>
        </w:rPr>
        <w:t xml:space="preserve"> A large </w:t>
      </w:r>
      <w:r w:rsidR="00E4354E">
        <w:rPr>
          <w:rFonts w:cs="Times New Roman"/>
          <w:noProof/>
          <w:szCs w:val="24"/>
        </w:rPr>
        <w:t>portion</w:t>
      </w:r>
      <w:r w:rsidR="00405256" w:rsidRPr="00513BBF">
        <w:rPr>
          <w:rFonts w:cs="Times New Roman"/>
          <w:noProof/>
          <w:szCs w:val="24"/>
        </w:rPr>
        <w:t xml:space="preserve"> of the sample is comprised of renters </w:t>
      </w:r>
      <w:r w:rsidR="00095ED0">
        <w:rPr>
          <w:rFonts w:cs="Times New Roman"/>
          <w:noProof/>
          <w:szCs w:val="24"/>
        </w:rPr>
        <w:t>(</w:t>
      </w:r>
      <w:r w:rsidR="00E4354E">
        <w:rPr>
          <w:rFonts w:cs="Times New Roman"/>
          <w:noProof/>
          <w:szCs w:val="24"/>
        </w:rPr>
        <w:t>45.5</w:t>
      </w:r>
      <w:r w:rsidR="00A43E69">
        <w:rPr>
          <w:rFonts w:cs="Times New Roman"/>
          <w:noProof/>
          <w:szCs w:val="24"/>
        </w:rPr>
        <w:t>%</w:t>
      </w:r>
      <w:r w:rsidR="00095ED0">
        <w:rPr>
          <w:rFonts w:cs="Times New Roman"/>
          <w:noProof/>
          <w:szCs w:val="24"/>
        </w:rPr>
        <w:t>)</w:t>
      </w:r>
      <w:r w:rsidR="00405256" w:rsidRPr="00513BBF">
        <w:rPr>
          <w:rFonts w:cs="Times New Roman"/>
          <w:noProof/>
          <w:szCs w:val="24"/>
        </w:rPr>
        <w:t>. Just about one</w:t>
      </w:r>
      <w:r w:rsidR="00E4354E">
        <w:rPr>
          <w:rFonts w:cs="Times New Roman"/>
          <w:noProof/>
          <w:szCs w:val="24"/>
        </w:rPr>
        <w:t>-third own their homes and 21.2</w:t>
      </w:r>
      <w:r w:rsidR="00A43E69">
        <w:rPr>
          <w:rFonts w:cs="Times New Roman"/>
          <w:noProof/>
          <w:szCs w:val="24"/>
        </w:rPr>
        <w:t>%</w:t>
      </w:r>
      <w:r w:rsidR="00405256" w:rsidRPr="00513BBF">
        <w:rPr>
          <w:rFonts w:cs="Times New Roman"/>
          <w:noProof/>
          <w:szCs w:val="24"/>
        </w:rPr>
        <w:t xml:space="preserve"> live with their parents/family. Technology is embraced by the sample of mil</w:t>
      </w:r>
      <w:r w:rsidR="00E4354E">
        <w:rPr>
          <w:rFonts w:cs="Times New Roman"/>
          <w:noProof/>
          <w:szCs w:val="24"/>
        </w:rPr>
        <w:t>lennials as evidenced by a</w:t>
      </w:r>
      <w:r w:rsidR="0056769D">
        <w:rPr>
          <w:rFonts w:cs="Times New Roman"/>
          <w:noProof/>
          <w:szCs w:val="24"/>
        </w:rPr>
        <w:t>n</w:t>
      </w:r>
      <w:r w:rsidR="00E4354E">
        <w:rPr>
          <w:rFonts w:cs="Times New Roman"/>
          <w:noProof/>
          <w:szCs w:val="24"/>
        </w:rPr>
        <w:t xml:space="preserve"> 89.4</w:t>
      </w:r>
      <w:r w:rsidR="00A43E69">
        <w:rPr>
          <w:rFonts w:cs="Times New Roman"/>
          <w:noProof/>
          <w:szCs w:val="24"/>
        </w:rPr>
        <w:t>%</w:t>
      </w:r>
      <w:r w:rsidR="00405256" w:rsidRPr="00513BBF">
        <w:rPr>
          <w:rFonts w:cs="Times New Roman"/>
          <w:noProof/>
          <w:szCs w:val="24"/>
        </w:rPr>
        <w:t xml:space="preserve"> smartphone ownership rate.</w:t>
      </w:r>
      <w:r w:rsidR="00527346">
        <w:rPr>
          <w:rFonts w:cs="Times New Roman"/>
          <w:noProof/>
          <w:szCs w:val="24"/>
        </w:rPr>
        <w:t xml:space="preserve"> </w:t>
      </w:r>
      <w:r w:rsidR="00405256" w:rsidRPr="00513BBF">
        <w:rPr>
          <w:rFonts w:cs="Times New Roman"/>
          <w:noProof/>
          <w:szCs w:val="24"/>
        </w:rPr>
        <w:t>In terms of residential location choice, 37.5</w:t>
      </w:r>
      <w:r w:rsidR="00A43E69">
        <w:rPr>
          <w:rFonts w:cs="Times New Roman"/>
          <w:noProof/>
          <w:szCs w:val="24"/>
        </w:rPr>
        <w:t>%</w:t>
      </w:r>
      <w:r w:rsidR="00405256" w:rsidRPr="00513BBF">
        <w:rPr>
          <w:rFonts w:cs="Times New Roman"/>
          <w:noProof/>
          <w:szCs w:val="24"/>
        </w:rPr>
        <w:t xml:space="preserve"> reside in urban areas</w:t>
      </w:r>
      <w:r w:rsidR="007E4752">
        <w:rPr>
          <w:rFonts w:cs="Times New Roman"/>
          <w:noProof/>
          <w:szCs w:val="24"/>
        </w:rPr>
        <w:t xml:space="preserve"> (downtown </w:t>
      </w:r>
      <w:r w:rsidR="00AD7B38">
        <w:rPr>
          <w:rFonts w:cs="Times New Roman"/>
          <w:noProof/>
          <w:szCs w:val="24"/>
        </w:rPr>
        <w:t>or</w:t>
      </w:r>
      <w:r w:rsidR="007E4752">
        <w:rPr>
          <w:rFonts w:cs="Times New Roman"/>
          <w:noProof/>
          <w:szCs w:val="24"/>
        </w:rPr>
        <w:t xml:space="preserve"> central </w:t>
      </w:r>
      <w:r w:rsidR="00AD7B38">
        <w:rPr>
          <w:rFonts w:cs="Times New Roman"/>
          <w:noProof/>
          <w:szCs w:val="24"/>
        </w:rPr>
        <w:t xml:space="preserve">mixed-use and </w:t>
      </w:r>
      <w:r w:rsidR="007E4752">
        <w:rPr>
          <w:rFonts w:cs="Times New Roman"/>
          <w:noProof/>
          <w:szCs w:val="24"/>
        </w:rPr>
        <w:t>resi</w:t>
      </w:r>
      <w:r w:rsidR="00A83511">
        <w:rPr>
          <w:rFonts w:cs="Times New Roman"/>
          <w:noProof/>
          <w:szCs w:val="24"/>
        </w:rPr>
        <w:t>d</w:t>
      </w:r>
      <w:r w:rsidR="007E4752">
        <w:rPr>
          <w:rFonts w:cs="Times New Roman"/>
          <w:noProof/>
          <w:szCs w:val="24"/>
        </w:rPr>
        <w:t>ential areas)</w:t>
      </w:r>
      <w:r w:rsidR="00405256" w:rsidRPr="00513BBF">
        <w:rPr>
          <w:rFonts w:cs="Times New Roman"/>
          <w:noProof/>
          <w:szCs w:val="24"/>
        </w:rPr>
        <w:t>, 47.5</w:t>
      </w:r>
      <w:r w:rsidR="00A43E69">
        <w:rPr>
          <w:rFonts w:cs="Times New Roman"/>
          <w:noProof/>
          <w:szCs w:val="24"/>
        </w:rPr>
        <w:t>%</w:t>
      </w:r>
      <w:r w:rsidR="00405256" w:rsidRPr="00513BBF">
        <w:rPr>
          <w:rFonts w:cs="Times New Roman"/>
          <w:noProof/>
          <w:szCs w:val="24"/>
        </w:rPr>
        <w:t xml:space="preserve"> reside in suburban areas, and the remainder reside in small towns or rural areas</w:t>
      </w:r>
      <w:r w:rsidR="00AD7B38">
        <w:rPr>
          <w:rFonts w:cs="Times New Roman"/>
          <w:noProof/>
          <w:szCs w:val="24"/>
        </w:rPr>
        <w:t xml:space="preserve"> (all MSA</w:t>
      </w:r>
      <w:r w:rsidR="0056769D">
        <w:rPr>
          <w:rFonts w:cs="Times New Roman"/>
          <w:noProof/>
          <w:szCs w:val="24"/>
        </w:rPr>
        <w:t>s</w:t>
      </w:r>
      <w:r w:rsidR="00AD7B38">
        <w:rPr>
          <w:rFonts w:cs="Times New Roman"/>
          <w:noProof/>
          <w:szCs w:val="24"/>
        </w:rPr>
        <w:t xml:space="preserve"> contain observations from the four types of residential location)</w:t>
      </w:r>
      <w:r w:rsidR="007E4752">
        <w:rPr>
          <w:rFonts w:cs="Times New Roman"/>
          <w:noProof/>
          <w:szCs w:val="24"/>
        </w:rPr>
        <w:t xml:space="preserve">. For modeling purposes, we </w:t>
      </w:r>
      <w:r w:rsidR="00A83511">
        <w:rPr>
          <w:rFonts w:cs="Times New Roman"/>
          <w:noProof/>
          <w:szCs w:val="24"/>
        </w:rPr>
        <w:t xml:space="preserve">collapsed </w:t>
      </w:r>
      <w:r w:rsidR="00AD7B38">
        <w:rPr>
          <w:rFonts w:cs="Times New Roman"/>
          <w:noProof/>
          <w:szCs w:val="24"/>
        </w:rPr>
        <w:t>the residential location variable</w:t>
      </w:r>
      <w:r w:rsidR="007E4752">
        <w:rPr>
          <w:rFonts w:cs="Times New Roman"/>
          <w:noProof/>
          <w:szCs w:val="24"/>
        </w:rPr>
        <w:t xml:space="preserve"> </w:t>
      </w:r>
      <w:r w:rsidR="00AD7B38">
        <w:rPr>
          <w:rFonts w:cs="Times New Roman"/>
          <w:noProof/>
          <w:szCs w:val="24"/>
        </w:rPr>
        <w:t>in two categories</w:t>
      </w:r>
      <w:r w:rsidR="00A83511">
        <w:rPr>
          <w:rFonts w:cs="Times New Roman"/>
          <w:noProof/>
          <w:szCs w:val="24"/>
        </w:rPr>
        <w:t xml:space="preserve"> -</w:t>
      </w:r>
      <w:r w:rsidR="00AD7B38">
        <w:rPr>
          <w:rFonts w:cs="Times New Roman"/>
          <w:noProof/>
          <w:szCs w:val="24"/>
        </w:rPr>
        <w:t xml:space="preserve"> urban and non-urban (which </w:t>
      </w:r>
      <w:r w:rsidR="0056769D">
        <w:rPr>
          <w:rFonts w:cs="Times New Roman"/>
          <w:noProof/>
          <w:szCs w:val="24"/>
        </w:rPr>
        <w:t>encompasses</w:t>
      </w:r>
      <w:r w:rsidR="00AD7B38">
        <w:rPr>
          <w:rFonts w:cs="Times New Roman"/>
          <w:noProof/>
          <w:szCs w:val="24"/>
        </w:rPr>
        <w:t xml:space="preserve"> suburban, small town</w:t>
      </w:r>
      <w:r w:rsidR="0056769D">
        <w:rPr>
          <w:rFonts w:cs="Times New Roman"/>
          <w:noProof/>
          <w:szCs w:val="24"/>
        </w:rPr>
        <w:t>,</w:t>
      </w:r>
      <w:r w:rsidR="00AD7B38">
        <w:rPr>
          <w:rFonts w:cs="Times New Roman"/>
          <w:noProof/>
          <w:szCs w:val="24"/>
        </w:rPr>
        <w:t xml:space="preserve"> and rural areas).</w:t>
      </w:r>
      <w:r w:rsidR="00405256" w:rsidRPr="00513BBF">
        <w:rPr>
          <w:rFonts w:cs="Times New Roman"/>
          <w:noProof/>
          <w:szCs w:val="24"/>
        </w:rPr>
        <w:t xml:space="preserve"> </w:t>
      </w:r>
    </w:p>
    <w:p w:rsidR="00EF6F29" w:rsidRPr="00513BBF" w:rsidRDefault="00EF6F29" w:rsidP="00650F6E">
      <w:pPr>
        <w:pStyle w:val="ListParagraph"/>
        <w:spacing w:after="0" w:line="240" w:lineRule="auto"/>
        <w:ind w:left="0"/>
      </w:pPr>
    </w:p>
    <w:p w:rsidR="00D67437" w:rsidRPr="00513BBF" w:rsidRDefault="00532654" w:rsidP="00650F6E">
      <w:pPr>
        <w:pStyle w:val="Heading1"/>
        <w:spacing w:before="0" w:line="240" w:lineRule="auto"/>
        <w:jc w:val="both"/>
      </w:pPr>
      <w:r w:rsidRPr="00513BBF">
        <w:t xml:space="preserve">model estimation </w:t>
      </w:r>
      <w:r w:rsidR="00D67437" w:rsidRPr="00513BBF">
        <w:t>Results</w:t>
      </w:r>
    </w:p>
    <w:p w:rsidR="006568C8" w:rsidRDefault="00532654" w:rsidP="00414AC4">
      <w:pPr>
        <w:autoSpaceDE w:val="0"/>
        <w:autoSpaceDN w:val="0"/>
        <w:adjustRightInd w:val="0"/>
        <w:spacing w:after="0" w:line="240" w:lineRule="auto"/>
        <w:jc w:val="both"/>
      </w:pPr>
      <w:r w:rsidRPr="00513BBF">
        <w:t xml:space="preserve">This section presents model </w:t>
      </w:r>
      <w:r w:rsidR="00FF4D59">
        <w:t xml:space="preserve">goodness-of-fit measures and </w:t>
      </w:r>
      <w:r w:rsidRPr="00513BBF">
        <w:t>estimation results</w:t>
      </w:r>
      <w:r w:rsidR="00871954">
        <w:t xml:space="preserve">. </w:t>
      </w:r>
      <w:r w:rsidR="006568C8">
        <w:t xml:space="preserve">In terms of the goodness-of-fit, the </w:t>
      </w:r>
      <w:r w:rsidR="00EA21BE" w:rsidRPr="008C34DC">
        <w:t xml:space="preserve">GHDM </w:t>
      </w:r>
      <w:r w:rsidR="00EA21BE">
        <w:t xml:space="preserve">model performance </w:t>
      </w:r>
      <w:r w:rsidR="00EA21BE" w:rsidRPr="008C34DC">
        <w:t xml:space="preserve">may be compared to </w:t>
      </w:r>
      <w:r w:rsidR="00EA21BE">
        <w:t>one that assumes independence across the endogenous choice outcomes toward the right of Figure 1. To do so, we estimated an independent heterogeneous data model (IHDM) in which we included the determinants of the latent constructs as explanatory variables. This is an independent model because the error term correlations across the dimensions are ignored, but the best specification of the explanatory variables is considered.</w:t>
      </w:r>
      <w:r w:rsidR="00B6253F" w:rsidRPr="00B6253F">
        <w:t xml:space="preserve"> </w:t>
      </w:r>
      <w:r w:rsidR="00B6253F">
        <w:t xml:space="preserve">The composite marginal likelihoods of the GHDM and IHDM models came out to be </w:t>
      </w:r>
      <w:r w:rsidR="00B6253F" w:rsidRPr="00322956">
        <w:t>-</w:t>
      </w:r>
      <w:r w:rsidR="00322956" w:rsidRPr="00322956">
        <w:t>741,014.0</w:t>
      </w:r>
      <w:r w:rsidR="00B6253F" w:rsidRPr="00322956">
        <w:t xml:space="preserve"> and -</w:t>
      </w:r>
      <w:r w:rsidR="00322956" w:rsidRPr="00322956">
        <w:t>744,233.8</w:t>
      </w:r>
      <w:r w:rsidR="00B6253F" w:rsidRPr="00322956">
        <w:t xml:space="preserve">, respectively, </w:t>
      </w:r>
      <w:r w:rsidR="00B6253F">
        <w:t>showing the superior performance of the GHDM. The two models can also be compared through a n</w:t>
      </w:r>
      <w:r w:rsidR="00B6253F" w:rsidRPr="00896E66">
        <w:t>on-nested adjusted likelihood ratio test</w:t>
      </w:r>
      <w:r w:rsidR="00B6253F">
        <w:t xml:space="preserve"> which provides the </w:t>
      </w:r>
      <w:r w:rsidR="00B6253F" w:rsidRPr="00896E66">
        <w:t xml:space="preserve">probability that </w:t>
      </w:r>
      <w:r w:rsidR="00B6253F">
        <w:t>the</w:t>
      </w:r>
      <w:r w:rsidR="00B6253F" w:rsidRPr="00896E66">
        <w:t xml:space="preserve"> difference</w:t>
      </w:r>
      <w:r w:rsidR="00B6253F">
        <w:t xml:space="preserve"> in the </w:t>
      </w:r>
      <w:r w:rsidR="00B6253F" w:rsidRPr="00896E66">
        <w:t>likelihood ratio ind</w:t>
      </w:r>
      <w:r w:rsidR="00B6253F">
        <w:t xml:space="preserve">ices of the two models </w:t>
      </w:r>
      <w:r w:rsidR="00B6253F" w:rsidRPr="00896E66">
        <w:t>could have occurred by chance</w:t>
      </w:r>
      <w:r w:rsidR="00B6253F">
        <w:t xml:space="preserve">. </w:t>
      </w:r>
      <w:r w:rsidR="00B6253F" w:rsidRPr="00C84020">
        <w:t xml:space="preserve">A small value of the probability of chance </w:t>
      </w:r>
      <w:r w:rsidR="00B6253F" w:rsidRPr="00C84020">
        <w:lastRenderedPageBreak/>
        <w:t>occurrence indicates that the difference is statistically significant and that the model with the higher value of adjusted likelihood ratio index is to be preferred.</w:t>
      </w:r>
      <w:r w:rsidR="00B6253F">
        <w:t xml:space="preserve"> </w:t>
      </w:r>
      <w:r w:rsidR="00B6253F" w:rsidRPr="00645EC1">
        <w:t xml:space="preserve">Details on the calculation of this test can be found in </w:t>
      </w:r>
      <w:r w:rsidR="00645EC1" w:rsidRPr="00645EC1">
        <w:t>Bhat (</w:t>
      </w:r>
      <w:r w:rsidR="00645EC1" w:rsidRPr="00645EC1">
        <w:rPr>
          <w:i/>
        </w:rPr>
        <w:t>1</w:t>
      </w:r>
      <w:r w:rsidR="003F39AD">
        <w:rPr>
          <w:i/>
        </w:rPr>
        <w:t>3</w:t>
      </w:r>
      <w:r w:rsidR="00645EC1" w:rsidRPr="00645EC1">
        <w:t>)</w:t>
      </w:r>
      <w:r w:rsidR="00B6253F" w:rsidRPr="00645EC1">
        <w:t>.</w:t>
      </w:r>
      <w:r w:rsidR="00B6253F">
        <w:t xml:space="preserve"> The GHDM shows a better goodness-of-fit on the basis of the predictive likelihood values and the predictive adjusted likelihood ratio indices (Table 1). The non-nested likelihood ratio statistic also indicates the superior performance of the GHDM.</w:t>
      </w:r>
      <w:r w:rsidR="00EA21BE">
        <w:t xml:space="preserve"> </w:t>
      </w:r>
      <w:r w:rsidR="00954ACD">
        <w:t xml:space="preserve">In addition to the statistical test, we also </w:t>
      </w:r>
      <w:r w:rsidR="00926F69">
        <w:t>examine</w:t>
      </w:r>
      <w:r w:rsidR="00954ACD">
        <w:t>d</w:t>
      </w:r>
      <w:r w:rsidR="00926F69">
        <w:t xml:space="preserve"> the performance of the GHDM</w:t>
      </w:r>
      <w:r w:rsidR="00954ACD">
        <w:t xml:space="preserve"> </w:t>
      </w:r>
      <w:r w:rsidR="00DD6CC2">
        <w:t xml:space="preserve">by </w:t>
      </w:r>
      <w:r w:rsidR="00954ACD">
        <w:t xml:space="preserve">(1) </w:t>
      </w:r>
      <w:r w:rsidR="00DD6CC2">
        <w:t xml:space="preserve">computing </w:t>
      </w:r>
      <w:r w:rsidR="00926F69">
        <w:t>an “average probability of correct prediction” measure</w:t>
      </w:r>
      <w:r w:rsidR="00954ACD">
        <w:t xml:space="preserve"> at the disaggregate</w:t>
      </w:r>
      <w:r w:rsidR="00B6253F">
        <w:t>d</w:t>
      </w:r>
      <w:r w:rsidR="00954ACD">
        <w:t xml:space="preserve"> level and (2) </w:t>
      </w:r>
      <w:r w:rsidR="00DD6CC2">
        <w:t xml:space="preserve">comparing </w:t>
      </w:r>
      <w:r w:rsidR="00954ACD">
        <w:t xml:space="preserve">the actual versus GHDM-predicted sample shares </w:t>
      </w:r>
      <w:r w:rsidR="00DD6CC2">
        <w:t>at the aggregate level</w:t>
      </w:r>
      <w:r w:rsidR="00954ACD">
        <w:t xml:space="preserve">. To conserve on space, we present only the results </w:t>
      </w:r>
      <w:r w:rsidR="00926F69">
        <w:t>for the mode choice dimension of the model system (which depends on the driver’s license choice and vehicle ownership choice</w:t>
      </w:r>
      <w:r w:rsidR="00DD6CC2">
        <w:t xml:space="preserve"> model components</w:t>
      </w:r>
      <w:r w:rsidR="00926F69">
        <w:t>). Th</w:t>
      </w:r>
      <w:r w:rsidR="00DD6CC2">
        <w:t xml:space="preserve">e disaggregate </w:t>
      </w:r>
      <w:r w:rsidR="00926F69">
        <w:t>measure</w:t>
      </w:r>
      <w:r w:rsidR="00954ACD">
        <w:t xml:space="preserve"> (please see the top portion of Table 1)</w:t>
      </w:r>
      <w:r w:rsidR="00926F69">
        <w:t xml:space="preserve"> is found to be 64.8%. At the aggregate level, </w:t>
      </w:r>
      <w:r w:rsidR="00DD6CC2">
        <w:t>t</w:t>
      </w:r>
      <w:r w:rsidR="00926F69">
        <w:t>he predicted shares are computed by drawing 500 samples of 3,309 observations from a multivariate normal distribution and averaging the predictions. The absolute percentage bias values in the predicted shares are quite small, suggesting that the model is able to recover overall mode shares quite well. Overall, t</w:t>
      </w:r>
      <w:r w:rsidR="00926F69" w:rsidRPr="00513BBF">
        <w:t>he model is found to offer a</w:t>
      </w:r>
      <w:r w:rsidR="00926F69">
        <w:t xml:space="preserve">n acceptable </w:t>
      </w:r>
      <w:r w:rsidR="00926F69" w:rsidRPr="00513BBF">
        <w:t>goodness-of-fit as evidenced by th</w:t>
      </w:r>
      <w:r w:rsidR="00926F69">
        <w:t>is assessment.</w:t>
      </w:r>
      <w:r w:rsidR="00211085" w:rsidRPr="00211085">
        <w:t xml:space="preserve"> </w:t>
      </w:r>
    </w:p>
    <w:p w:rsidR="00926F69" w:rsidRDefault="00211085" w:rsidP="00414AC4">
      <w:pPr>
        <w:spacing w:after="0" w:line="240" w:lineRule="auto"/>
        <w:ind w:firstLine="576"/>
        <w:jc w:val="both"/>
      </w:pPr>
      <w:r>
        <w:t xml:space="preserve">The model results </w:t>
      </w:r>
      <w:r w:rsidR="00DD6CC2">
        <w:t xml:space="preserve">are </w:t>
      </w:r>
      <w:r w:rsidR="006568C8">
        <w:t>discussed next</w:t>
      </w:r>
      <w:r w:rsidR="00DD6CC2">
        <w:t xml:space="preserve">, </w:t>
      </w:r>
      <w:r w:rsidRPr="00513BBF">
        <w:t>separately for the structural equation component and the measurement equation component.</w:t>
      </w:r>
    </w:p>
    <w:p w:rsidR="00532654" w:rsidRPr="00513BBF" w:rsidRDefault="00532654" w:rsidP="00650F6E">
      <w:pPr>
        <w:spacing w:after="0" w:line="240" w:lineRule="auto"/>
        <w:jc w:val="both"/>
      </w:pPr>
    </w:p>
    <w:p w:rsidR="00A259CF" w:rsidRPr="00513BBF" w:rsidRDefault="00A259CF" w:rsidP="00650F6E">
      <w:pPr>
        <w:pStyle w:val="Heading2"/>
        <w:spacing w:before="0" w:line="240" w:lineRule="auto"/>
        <w:jc w:val="both"/>
      </w:pPr>
      <w:r w:rsidRPr="00513BBF">
        <w:t>Structural Equation Results</w:t>
      </w:r>
    </w:p>
    <w:p w:rsidR="00532654" w:rsidRPr="00513BBF" w:rsidRDefault="008316BC" w:rsidP="00650F6E">
      <w:pPr>
        <w:spacing w:after="0" w:line="240" w:lineRule="auto"/>
        <w:jc w:val="both"/>
      </w:pPr>
      <w:r w:rsidRPr="00513BBF">
        <w:t xml:space="preserve">The estimation results for the structural equation component of the model are presented in </w:t>
      </w:r>
      <w:r w:rsidR="00A95F06">
        <w:t xml:space="preserve">the </w:t>
      </w:r>
      <w:r w:rsidR="00815474">
        <w:t xml:space="preserve">bottom half of </w:t>
      </w:r>
      <w:r w:rsidRPr="00513BBF">
        <w:t>Table 1.</w:t>
      </w:r>
      <w:r w:rsidR="00527346">
        <w:t xml:space="preserve"> </w:t>
      </w:r>
      <w:r w:rsidRPr="00513BBF">
        <w:t xml:space="preserve">The structural equation </w:t>
      </w:r>
      <w:r w:rsidR="00871954">
        <w:t xml:space="preserve">model </w:t>
      </w:r>
      <w:r w:rsidRPr="00513BBF">
        <w:t>relates a set of exogenous variables to the four latent constructs considered in this paper.</w:t>
      </w:r>
      <w:r w:rsidR="00527346">
        <w:t xml:space="preserve"> </w:t>
      </w:r>
      <w:r w:rsidRPr="00513BBF">
        <w:t xml:space="preserve">In the case of technology </w:t>
      </w:r>
      <w:r w:rsidR="00FC287D">
        <w:t>dependency</w:t>
      </w:r>
      <w:r w:rsidRPr="00513BBF">
        <w:t xml:space="preserve">, </w:t>
      </w:r>
      <w:r w:rsidR="00E61B99">
        <w:t>the results indicate</w:t>
      </w:r>
      <w:r w:rsidRPr="00513BBF">
        <w:t xml:space="preserve"> that higher levels of education contribute to higher levels of tech-</w:t>
      </w:r>
      <w:r w:rsidR="00BF4CF5">
        <w:t xml:space="preserve">dependency. This result </w:t>
      </w:r>
      <w:r w:rsidR="00815474">
        <w:t>is consistent</w:t>
      </w:r>
      <w:r w:rsidR="00BF4CF5">
        <w:t xml:space="preserve"> with </w:t>
      </w:r>
      <w:r w:rsidR="00815474">
        <w:t xml:space="preserve">findings from </w:t>
      </w:r>
      <w:r w:rsidRPr="00BF4CF5">
        <w:t>a number of studies</w:t>
      </w:r>
      <w:r w:rsidR="00BF4CF5">
        <w:t xml:space="preserve"> in the ICT use literature</w:t>
      </w:r>
      <w:r w:rsidRPr="00BF4CF5">
        <w:t xml:space="preserve"> </w:t>
      </w:r>
      <w:r w:rsidR="00744543">
        <w:t>(</w:t>
      </w:r>
      <w:r w:rsidR="00744543" w:rsidRPr="00B271F1">
        <w:rPr>
          <w:i/>
        </w:rPr>
        <w:t>1</w:t>
      </w:r>
      <w:r w:rsidR="003F39AD">
        <w:rPr>
          <w:i/>
        </w:rPr>
        <w:t>4</w:t>
      </w:r>
      <w:r w:rsidR="00744543" w:rsidRPr="00923E87">
        <w:t xml:space="preserve">, </w:t>
      </w:r>
      <w:r w:rsidR="00744543" w:rsidRPr="00B271F1">
        <w:rPr>
          <w:i/>
        </w:rPr>
        <w:t>1</w:t>
      </w:r>
      <w:r w:rsidR="003F39AD">
        <w:rPr>
          <w:i/>
        </w:rPr>
        <w:t>5</w:t>
      </w:r>
      <w:r w:rsidR="00744543">
        <w:t>)</w:t>
      </w:r>
      <w:r w:rsidRPr="00BF4CF5">
        <w:t>.</w:t>
      </w:r>
      <w:r w:rsidR="00527346">
        <w:t xml:space="preserve"> </w:t>
      </w:r>
      <w:r w:rsidRPr="00513BBF">
        <w:t>Living in a transit-rich city is also associated with a higher level of tech-</w:t>
      </w:r>
      <w:r w:rsidR="00815474" w:rsidRPr="00815474">
        <w:t>dependency</w:t>
      </w:r>
      <w:r w:rsidRPr="00513BBF">
        <w:t>.</w:t>
      </w:r>
      <w:r w:rsidR="00527346">
        <w:t xml:space="preserve"> </w:t>
      </w:r>
      <w:r w:rsidRPr="00513BBF">
        <w:t>In general, traditional cities are major hubs of innovation and technology and it would be expected that inhabitants of such cities would be more technology-oriented.</w:t>
      </w:r>
      <w:r w:rsidR="00527346">
        <w:t xml:space="preserve"> </w:t>
      </w:r>
    </w:p>
    <w:p w:rsidR="00AD16C3" w:rsidRPr="00513BBF" w:rsidRDefault="00442E3C" w:rsidP="00650F6E">
      <w:pPr>
        <w:spacing w:after="0" w:line="240" w:lineRule="auto"/>
        <w:jc w:val="both"/>
      </w:pPr>
      <w:r w:rsidRPr="00513BBF">
        <w:tab/>
      </w:r>
      <w:r w:rsidRPr="00084E88">
        <w:t xml:space="preserve">In terms of </w:t>
      </w:r>
      <w:r w:rsidR="00BF4CF5" w:rsidRPr="00084E88">
        <w:t>pro-car attitude</w:t>
      </w:r>
      <w:r w:rsidRPr="00084E88">
        <w:t xml:space="preserve">, it is found that those who are in the youngest age group </w:t>
      </w:r>
      <w:r w:rsidR="00876F22">
        <w:t>(</w:t>
      </w:r>
      <w:r w:rsidRPr="00084E88">
        <w:t>18</w:t>
      </w:r>
      <w:r w:rsidR="00883A62">
        <w:t>–</w:t>
      </w:r>
      <w:r w:rsidRPr="00084E88">
        <w:t>20 years</w:t>
      </w:r>
      <w:r w:rsidR="00876F22">
        <w:t xml:space="preserve">) </w:t>
      </w:r>
      <w:r w:rsidRPr="00084E88">
        <w:t>show a lower level of this latent factor.</w:t>
      </w:r>
      <w:r w:rsidR="00527346">
        <w:t xml:space="preserve"> </w:t>
      </w:r>
      <w:r w:rsidRPr="00084E88">
        <w:t xml:space="preserve">In general, these individuals are </w:t>
      </w:r>
      <w:r w:rsidR="00815474" w:rsidRPr="004C3C63">
        <w:t xml:space="preserve">likely to be </w:t>
      </w:r>
      <w:r w:rsidR="005257D9" w:rsidRPr="004C3C63">
        <w:t>students</w:t>
      </w:r>
      <w:r w:rsidR="00A169B3" w:rsidRPr="004C3C63">
        <w:t>,</w:t>
      </w:r>
      <w:r w:rsidR="00A169B3" w:rsidRPr="002C6AFF">
        <w:t xml:space="preserve"> </w:t>
      </w:r>
      <w:r w:rsidRPr="002C6AFF">
        <w:t>are not likely to ha</w:t>
      </w:r>
      <w:r w:rsidRPr="00CF7F83">
        <w:t>ve the income or the need for a car</w:t>
      </w:r>
      <w:r w:rsidR="00883A62">
        <w:t>,</w:t>
      </w:r>
      <w:r w:rsidRPr="00CF7F83">
        <w:t xml:space="preserve"> and have not yet experienced car ownership to a degree that makes them dependent on it</w:t>
      </w:r>
      <w:r w:rsidR="00D266BB" w:rsidRPr="00CF7F83">
        <w:t xml:space="preserve">, a finding consistent with that reported by </w:t>
      </w:r>
      <w:r w:rsidRPr="00D72C1B">
        <w:t xml:space="preserve">McDonald </w:t>
      </w:r>
      <w:r w:rsidR="00744543">
        <w:t>(</w:t>
      </w:r>
      <w:r w:rsidR="00744543" w:rsidRPr="00B271F1">
        <w:rPr>
          <w:i/>
        </w:rPr>
        <w:t>2</w:t>
      </w:r>
      <w:r w:rsidR="00744543">
        <w:t>)</w:t>
      </w:r>
      <w:r w:rsidR="0039728D" w:rsidRPr="00D72C1B">
        <w:t>.</w:t>
      </w:r>
      <w:r w:rsidR="00527346">
        <w:t xml:space="preserve"> </w:t>
      </w:r>
      <w:r w:rsidR="0039728D" w:rsidRPr="00D14157">
        <w:t xml:space="preserve">Parents are likely to express a greater </w:t>
      </w:r>
      <w:r w:rsidR="00A169B3" w:rsidRPr="0019601E">
        <w:t xml:space="preserve">pro-car attitude </w:t>
      </w:r>
      <w:r w:rsidR="0039728D" w:rsidRPr="0019601E">
        <w:t>than non-parents</w:t>
      </w:r>
      <w:r w:rsidR="00A730C0" w:rsidRPr="00C50462">
        <w:t>, a</w:t>
      </w:r>
      <w:r w:rsidR="005572D9" w:rsidRPr="00876F22">
        <w:t xml:space="preserve"> </w:t>
      </w:r>
      <w:r w:rsidR="0039728D" w:rsidRPr="00876F22">
        <w:t xml:space="preserve">finding </w:t>
      </w:r>
      <w:r w:rsidR="00A730C0" w:rsidRPr="00876F22">
        <w:t xml:space="preserve">that </w:t>
      </w:r>
      <w:r w:rsidR="0039728D" w:rsidRPr="00876F22">
        <w:t>is consistent with expectations</w:t>
      </w:r>
      <w:r w:rsidR="00A730C0" w:rsidRPr="00876F22">
        <w:t>.</w:t>
      </w:r>
      <w:r w:rsidR="00527346">
        <w:t xml:space="preserve"> </w:t>
      </w:r>
      <w:r w:rsidR="00A730C0" w:rsidRPr="00876F22">
        <w:t xml:space="preserve">Parents need the flexibility afforded by the personal automobile to chauffer their kids </w:t>
      </w:r>
      <w:r w:rsidR="007B75F8">
        <w:t>in</w:t>
      </w:r>
      <w:r w:rsidR="00A730C0" w:rsidRPr="004C3C63">
        <w:t xml:space="preserve"> addition to fulfilling their own travel needs,</w:t>
      </w:r>
      <w:r w:rsidR="00A730C0" w:rsidRPr="002C6AFF">
        <w:t xml:space="preserve"> and hence vehicle ownership is higher in households with children</w:t>
      </w:r>
      <w:r w:rsidR="0007396C" w:rsidRPr="00084E88">
        <w:t xml:space="preserve"> </w:t>
      </w:r>
      <w:r w:rsidR="00744543">
        <w:t>(</w:t>
      </w:r>
      <w:r w:rsidR="003F39AD">
        <w:rPr>
          <w:i/>
        </w:rPr>
        <w:t>16</w:t>
      </w:r>
      <w:r w:rsidR="00744543" w:rsidRPr="00923E87">
        <w:t xml:space="preserve">, </w:t>
      </w:r>
      <w:r w:rsidR="00744543" w:rsidRPr="00B271F1">
        <w:rPr>
          <w:i/>
        </w:rPr>
        <w:t>1</w:t>
      </w:r>
      <w:r w:rsidR="003F39AD">
        <w:rPr>
          <w:i/>
        </w:rPr>
        <w:t>7</w:t>
      </w:r>
      <w:r w:rsidR="00744543">
        <w:t>)</w:t>
      </w:r>
      <w:r w:rsidR="0007396C" w:rsidRPr="004C3C63">
        <w:t>.</w:t>
      </w:r>
      <w:r w:rsidR="00527346">
        <w:t xml:space="preserve"> </w:t>
      </w:r>
      <w:r w:rsidR="0039728D" w:rsidRPr="004C3C63">
        <w:t xml:space="preserve">It is </w:t>
      </w:r>
      <w:r w:rsidR="005572D9" w:rsidRPr="004C3C63">
        <w:t xml:space="preserve">also </w:t>
      </w:r>
      <w:r w:rsidR="0039728D" w:rsidRPr="002C6AFF">
        <w:t xml:space="preserve">found that a higher level of education is associated with a greater </w:t>
      </w:r>
      <w:r w:rsidR="005572D9" w:rsidRPr="002C6AFF">
        <w:t>pro-</w:t>
      </w:r>
      <w:r w:rsidR="0039728D" w:rsidRPr="00CF7F83">
        <w:t>car</w:t>
      </w:r>
      <w:r w:rsidR="005572D9" w:rsidRPr="00CF7F83">
        <w:t xml:space="preserve"> attitude</w:t>
      </w:r>
      <w:r w:rsidR="00876F22" w:rsidRPr="00A6140E">
        <w:t>.</w:t>
      </w:r>
      <w:r w:rsidR="005572D9" w:rsidRPr="00084E88">
        <w:t xml:space="preserve"> </w:t>
      </w:r>
      <w:r w:rsidR="00876F22" w:rsidRPr="00A6140E">
        <w:t>Those with a higher level of education may have</w:t>
      </w:r>
      <w:r w:rsidR="005572D9" w:rsidRPr="00084E88">
        <w:t xml:space="preserve"> higher incomes</w:t>
      </w:r>
      <w:r w:rsidR="00876F22" w:rsidRPr="00A6140E">
        <w:t xml:space="preserve">, and </w:t>
      </w:r>
      <w:r w:rsidR="005572D9" w:rsidRPr="00084E88">
        <w:t>pursu</w:t>
      </w:r>
      <w:r w:rsidR="00876F22" w:rsidRPr="00A6140E">
        <w:t>e</w:t>
      </w:r>
      <w:r w:rsidR="005572D9" w:rsidRPr="00084E88">
        <w:t xml:space="preserve"> </w:t>
      </w:r>
      <w:r w:rsidR="0039728D" w:rsidRPr="00084E88">
        <w:t xml:space="preserve">more activities </w:t>
      </w:r>
      <w:r w:rsidR="00744543">
        <w:t>(</w:t>
      </w:r>
      <w:r w:rsidR="00744543" w:rsidRPr="00B271F1">
        <w:rPr>
          <w:i/>
        </w:rPr>
        <w:t>1</w:t>
      </w:r>
      <w:r w:rsidR="003F39AD">
        <w:rPr>
          <w:i/>
        </w:rPr>
        <w:t>7</w:t>
      </w:r>
      <w:r w:rsidR="00744543">
        <w:t>)</w:t>
      </w:r>
      <w:r w:rsidR="0007396C" w:rsidRPr="00084E88">
        <w:t>, creating a greater level of dependence on the person</w:t>
      </w:r>
      <w:r w:rsidR="0007396C" w:rsidRPr="004C3C63">
        <w:t>al automobile to accomplish various activities efficiently.</w:t>
      </w:r>
      <w:r w:rsidR="00AD16C3" w:rsidRPr="004C3C63">
        <w:t xml:space="preserve"> </w:t>
      </w:r>
      <w:r w:rsidR="00A95F06">
        <w:t>As expected, t</w:t>
      </w:r>
      <w:r w:rsidR="00AD16C3" w:rsidRPr="004C3C63">
        <w:t>hose</w:t>
      </w:r>
      <w:r w:rsidR="005572D9" w:rsidRPr="004C3C63">
        <w:t xml:space="preserve"> living</w:t>
      </w:r>
      <w:r w:rsidR="00AD16C3" w:rsidRPr="002C6AFF">
        <w:t xml:space="preserve"> in </w:t>
      </w:r>
      <w:r w:rsidR="005572D9" w:rsidRPr="00CF7F83">
        <w:t>traditional</w:t>
      </w:r>
      <w:r w:rsidR="00876F22" w:rsidRPr="00A6140E">
        <w:t xml:space="preserve"> (transit-rich)</w:t>
      </w:r>
      <w:r w:rsidR="00AD16C3" w:rsidRPr="00084E88">
        <w:t xml:space="preserve"> cities are less likely to </w:t>
      </w:r>
      <w:r w:rsidR="005572D9" w:rsidRPr="00084E88">
        <w:t>be</w:t>
      </w:r>
      <w:r w:rsidR="00AD16C3" w:rsidRPr="00084E88">
        <w:t xml:space="preserve"> </w:t>
      </w:r>
      <w:r w:rsidR="005572D9" w:rsidRPr="00084E88">
        <w:t>pro-</w:t>
      </w:r>
      <w:r w:rsidR="00AD16C3" w:rsidRPr="004C3C63">
        <w:t>car</w:t>
      </w:r>
      <w:r w:rsidR="00AD16C3" w:rsidRPr="00084E88">
        <w:t>.</w:t>
      </w:r>
      <w:r w:rsidR="00AD16C3" w:rsidRPr="00513BBF">
        <w:t xml:space="preserve"> </w:t>
      </w:r>
    </w:p>
    <w:p w:rsidR="00BB6052" w:rsidRPr="00513BBF" w:rsidRDefault="00AD16C3" w:rsidP="00650F6E">
      <w:pPr>
        <w:spacing w:after="0" w:line="240" w:lineRule="auto"/>
        <w:jc w:val="both"/>
      </w:pPr>
      <w:r w:rsidRPr="00513BBF">
        <w:tab/>
        <w:t xml:space="preserve">A number of socio-economic variables influence the pro-transit </w:t>
      </w:r>
      <w:r w:rsidR="007B6DB5">
        <w:t>attitude</w:t>
      </w:r>
      <w:r w:rsidRPr="00513BBF">
        <w:t>.</w:t>
      </w:r>
      <w:r w:rsidR="00527346">
        <w:t xml:space="preserve"> </w:t>
      </w:r>
      <w:r w:rsidRPr="00513BBF">
        <w:t>Those with a graduate degree are more likely to be pro-</w:t>
      </w:r>
      <w:r w:rsidR="0041741C">
        <w:t>transit</w:t>
      </w:r>
      <w:r w:rsidRPr="00513BBF">
        <w:t>.</w:t>
      </w:r>
      <w:r w:rsidR="00527346">
        <w:t xml:space="preserve"> </w:t>
      </w:r>
      <w:r w:rsidRPr="00513BBF">
        <w:t xml:space="preserve">Males are likely to have more pro-transit attitudes, a finding consistent with that reported by Habib et al </w:t>
      </w:r>
      <w:r w:rsidR="00744543">
        <w:t>(</w:t>
      </w:r>
      <w:r w:rsidR="0041741C">
        <w:rPr>
          <w:i/>
        </w:rPr>
        <w:t>1</w:t>
      </w:r>
      <w:r w:rsidR="003F39AD">
        <w:rPr>
          <w:i/>
        </w:rPr>
        <w:t>8</w:t>
      </w:r>
      <w:r w:rsidR="00744543">
        <w:t>)</w:t>
      </w:r>
      <w:r w:rsidRPr="00513BBF">
        <w:t>.</w:t>
      </w:r>
      <w:r w:rsidR="00527346">
        <w:t xml:space="preserve"> </w:t>
      </w:r>
      <w:r w:rsidR="001C627D" w:rsidRPr="00513BBF">
        <w:t>The youngest millennials (18</w:t>
      </w:r>
      <w:r w:rsidR="00883A62">
        <w:t>–</w:t>
      </w:r>
      <w:r w:rsidR="001C627D" w:rsidRPr="00513BBF">
        <w:t xml:space="preserve">20 years) </w:t>
      </w:r>
      <w:r w:rsidR="00117BE4" w:rsidRPr="00513BBF">
        <w:t>are less pro-t</w:t>
      </w:r>
      <w:r w:rsidR="00BB6052" w:rsidRPr="00513BBF">
        <w:t xml:space="preserve">ransit than older millennials. It is interesting to note that this group of young millennials </w:t>
      </w:r>
      <w:r w:rsidR="00876F22">
        <w:t>is</w:t>
      </w:r>
      <w:r w:rsidR="00876F22" w:rsidRPr="00513BBF">
        <w:t xml:space="preserve"> </w:t>
      </w:r>
      <w:r w:rsidR="00BB6052" w:rsidRPr="00513BBF">
        <w:t>less car-oriented as well.</w:t>
      </w:r>
      <w:r w:rsidR="00527346">
        <w:t xml:space="preserve"> </w:t>
      </w:r>
      <w:r w:rsidR="00A95F06">
        <w:t>It</w:t>
      </w:r>
      <w:r w:rsidR="00BB6052" w:rsidRPr="00EE321C">
        <w:t xml:space="preserve"> appears that </w:t>
      </w:r>
      <w:r w:rsidR="00A95F06">
        <w:t xml:space="preserve">the </w:t>
      </w:r>
      <w:r w:rsidR="00BB6052" w:rsidRPr="00EE321C">
        <w:t>youngest millennials eschew motorized modes of transportation in general (both cars and transit) and favor non-motorized transportation modes such as walk and bicycle (which are modes commonly used by students)</w:t>
      </w:r>
      <w:r w:rsidR="00EE321C">
        <w:t xml:space="preserve"> as reported by </w:t>
      </w:r>
      <w:proofErr w:type="spellStart"/>
      <w:r w:rsidR="00EE321C">
        <w:lastRenderedPageBreak/>
        <w:t>Delbosc</w:t>
      </w:r>
      <w:proofErr w:type="spellEnd"/>
      <w:r w:rsidR="00EE321C">
        <w:t xml:space="preserve"> and Currie</w:t>
      </w:r>
      <w:r w:rsidR="00EE321C" w:rsidRPr="00EE321C">
        <w:t xml:space="preserve"> </w:t>
      </w:r>
      <w:r w:rsidR="00ED6250">
        <w:t>(</w:t>
      </w:r>
      <w:r w:rsidR="0041741C">
        <w:rPr>
          <w:i/>
        </w:rPr>
        <w:t>1</w:t>
      </w:r>
      <w:r w:rsidR="003F39AD">
        <w:rPr>
          <w:i/>
        </w:rPr>
        <w:t>9</w:t>
      </w:r>
      <w:r w:rsidR="00ED6250">
        <w:t>)</w:t>
      </w:r>
      <w:r w:rsidR="00BB6052" w:rsidRPr="00EE321C">
        <w:t>.</w:t>
      </w:r>
      <w:r w:rsidR="001F35F2">
        <w:t xml:space="preserve"> </w:t>
      </w:r>
      <w:r w:rsidR="00876F22">
        <w:t>An alternate</w:t>
      </w:r>
      <w:r w:rsidR="001F35F2">
        <w:t xml:space="preserve"> interpretation </w:t>
      </w:r>
      <w:r w:rsidR="00FE009B">
        <w:t xml:space="preserve">of this result </w:t>
      </w:r>
      <w:r w:rsidR="00876F22">
        <w:t>could</w:t>
      </w:r>
      <w:r w:rsidR="001F35F2">
        <w:t xml:space="preserve"> be</w:t>
      </w:r>
      <w:r w:rsidR="00E2300B">
        <w:t xml:space="preserve"> that </w:t>
      </w:r>
      <w:r w:rsidR="00A95F06">
        <w:t xml:space="preserve">attitudes and perceptions of </w:t>
      </w:r>
      <w:r w:rsidR="00E2300B">
        <w:t xml:space="preserve">younger millennials are still </w:t>
      </w:r>
      <w:r w:rsidR="00A95F06">
        <w:t>evolving</w:t>
      </w:r>
      <w:r w:rsidR="00E2300B">
        <w:t xml:space="preserve"> and therefore </w:t>
      </w:r>
      <w:r w:rsidR="00A95F06">
        <w:t xml:space="preserve">they </w:t>
      </w:r>
      <w:r w:rsidR="00E2300B">
        <w:t xml:space="preserve">do not </w:t>
      </w:r>
      <w:r w:rsidR="00A95F06">
        <w:t>exhibit clear preferences</w:t>
      </w:r>
      <w:r w:rsidR="00E2300B">
        <w:t xml:space="preserve"> towards any </w:t>
      </w:r>
      <w:r w:rsidR="00876F22">
        <w:t>specific</w:t>
      </w:r>
      <w:r w:rsidR="00E2300B">
        <w:t xml:space="preserve"> mode.</w:t>
      </w:r>
      <w:r w:rsidR="00BB6052" w:rsidRPr="00513BBF">
        <w:t xml:space="preserve"> Race and ethnicity are </w:t>
      </w:r>
      <w:r w:rsidR="00E2300B">
        <w:t>also</w:t>
      </w:r>
      <w:r w:rsidR="00E2300B" w:rsidRPr="00513BBF">
        <w:t xml:space="preserve"> </w:t>
      </w:r>
      <w:r w:rsidR="007B75F8">
        <w:t xml:space="preserve">found to be </w:t>
      </w:r>
      <w:r w:rsidR="00BB6052" w:rsidRPr="00513BBF">
        <w:t>determinants of a pro-transit attitude.</w:t>
      </w:r>
      <w:r w:rsidR="00527346">
        <w:t xml:space="preserve"> </w:t>
      </w:r>
      <w:r w:rsidR="00BB6052" w:rsidRPr="00513BBF">
        <w:t>Whites are less likely to express a pro-transit attitude</w:t>
      </w:r>
      <w:r w:rsidR="00876F22">
        <w:t>,</w:t>
      </w:r>
      <w:r w:rsidR="00E2300B">
        <w:t xml:space="preserve"> while Hispanics are more likely to be pro-transit</w:t>
      </w:r>
      <w:r w:rsidR="00BB6052" w:rsidRPr="00513BBF">
        <w:t xml:space="preserve">. </w:t>
      </w:r>
      <w:r w:rsidR="00E2300B">
        <w:t xml:space="preserve">Both results are consistent with previous studies </w:t>
      </w:r>
      <w:r w:rsidR="00ED6250">
        <w:t>(</w:t>
      </w:r>
      <w:r w:rsidR="003F39AD">
        <w:rPr>
          <w:i/>
        </w:rPr>
        <w:t>13, 17</w:t>
      </w:r>
      <w:r w:rsidR="00ED6250">
        <w:t>)</w:t>
      </w:r>
      <w:r w:rsidR="00E2300B">
        <w:t xml:space="preserve"> and are possibly </w:t>
      </w:r>
      <w:r w:rsidR="00A95F06">
        <w:t>explained by</w:t>
      </w:r>
      <w:r w:rsidR="00E2300B">
        <w:t xml:space="preserve"> cultural and income differences</w:t>
      </w:r>
      <w:r w:rsidR="00084E88">
        <w:t xml:space="preserve"> between the respective population segments</w:t>
      </w:r>
      <w:r w:rsidR="00E2300B">
        <w:t xml:space="preserve">. </w:t>
      </w:r>
      <w:r w:rsidR="00C054D2">
        <w:t xml:space="preserve">Individuals </w:t>
      </w:r>
      <w:r w:rsidR="00084E88">
        <w:t xml:space="preserve">living </w:t>
      </w:r>
      <w:r w:rsidR="00C054D2">
        <w:t xml:space="preserve">in traditional </w:t>
      </w:r>
      <w:r w:rsidR="005532A9">
        <w:t xml:space="preserve">(transit-rich) </w:t>
      </w:r>
      <w:r w:rsidR="00C054D2">
        <w:t xml:space="preserve">cities are </w:t>
      </w:r>
      <w:r w:rsidR="00084E88">
        <w:t xml:space="preserve">found to be </w:t>
      </w:r>
      <w:r w:rsidR="00C054D2">
        <w:t xml:space="preserve">more pro-transit than those in </w:t>
      </w:r>
      <w:r w:rsidR="00426348">
        <w:t>transit-</w:t>
      </w:r>
      <w:r w:rsidR="00C054D2">
        <w:t xml:space="preserve">progressive cities, and both </w:t>
      </w:r>
      <w:r w:rsidR="00A95F06">
        <w:t xml:space="preserve">of </w:t>
      </w:r>
      <w:r w:rsidR="00084E88">
        <w:t xml:space="preserve">these </w:t>
      </w:r>
      <w:r w:rsidR="00C054D2">
        <w:t>groups are more pro-transit than individuals in transit</w:t>
      </w:r>
      <w:r w:rsidR="005532A9">
        <w:t>-</w:t>
      </w:r>
      <w:r w:rsidR="00C054D2">
        <w:t xml:space="preserve">deficient cities. </w:t>
      </w:r>
    </w:p>
    <w:p w:rsidR="00532654" w:rsidRDefault="00BB6052" w:rsidP="00650F6E">
      <w:pPr>
        <w:spacing w:after="0" w:line="240" w:lineRule="auto"/>
        <w:jc w:val="both"/>
      </w:pPr>
      <w:r w:rsidRPr="00513BBF">
        <w:tab/>
      </w:r>
      <w:r w:rsidR="0041741C">
        <w:t>The effects of variables on</w:t>
      </w:r>
      <w:r w:rsidRPr="00513BBF">
        <w:t xml:space="preserve"> the </w:t>
      </w:r>
      <w:r w:rsidR="007B6DB5">
        <w:t>pro-</w:t>
      </w:r>
      <w:r w:rsidRPr="00513BBF">
        <w:t>environment</w:t>
      </w:r>
      <w:r w:rsidR="007B6DB5">
        <w:t xml:space="preserve"> attitud</w:t>
      </w:r>
      <w:r w:rsidR="00E2300B">
        <w:t>e</w:t>
      </w:r>
      <w:r w:rsidRPr="00513BBF">
        <w:t xml:space="preserve"> factor shows that younger individuals between 18 and 24 years of age tend to be more sensitive to the environment. </w:t>
      </w:r>
      <w:r w:rsidR="004355FC" w:rsidRPr="00513BBF">
        <w:t xml:space="preserve">Males are less likely to be </w:t>
      </w:r>
      <w:r w:rsidR="007B6DB5">
        <w:t>pro-</w:t>
      </w:r>
      <w:r w:rsidR="004355FC" w:rsidRPr="00513BBF">
        <w:t xml:space="preserve">environment, a finding consistent with that reported in the literature </w:t>
      </w:r>
      <w:r w:rsidR="00ED6250">
        <w:t>(</w:t>
      </w:r>
      <w:r w:rsidR="00ED6250" w:rsidRPr="00B271F1">
        <w:rPr>
          <w:i/>
        </w:rPr>
        <w:t>20</w:t>
      </w:r>
      <w:r w:rsidR="00ED6250">
        <w:t>)</w:t>
      </w:r>
      <w:r w:rsidR="00D00ED2" w:rsidRPr="00513BBF">
        <w:t>.</w:t>
      </w:r>
      <w:r w:rsidR="00527346">
        <w:t xml:space="preserve"> </w:t>
      </w:r>
      <w:r w:rsidR="00D00ED2" w:rsidRPr="00513BBF">
        <w:t xml:space="preserve">Being a parent is associated with a higher level of </w:t>
      </w:r>
      <w:r w:rsidR="00B86EDC">
        <w:t xml:space="preserve">sensitivity to the environment, possibly because </w:t>
      </w:r>
      <w:r w:rsidR="00D00ED2" w:rsidRPr="00513BBF">
        <w:t xml:space="preserve">parents are more </w:t>
      </w:r>
      <w:r w:rsidR="00B86EDC">
        <w:t>cognizant of</w:t>
      </w:r>
      <w:r w:rsidR="00D00ED2" w:rsidRPr="00513BBF">
        <w:t xml:space="preserve"> the consequences of environmental degradation for their children’s health and future quality of life. </w:t>
      </w:r>
      <w:r w:rsidR="00D00ED2" w:rsidRPr="00EE321C">
        <w:t xml:space="preserve">Whites are less likely to </w:t>
      </w:r>
      <w:r w:rsidR="00EE321C" w:rsidRPr="00A6140E">
        <w:t>express</w:t>
      </w:r>
      <w:r w:rsidR="00EE321C" w:rsidRPr="00EE321C">
        <w:t xml:space="preserve"> </w:t>
      </w:r>
      <w:r w:rsidR="00EE321C" w:rsidRPr="00A6140E">
        <w:t>pro-</w:t>
      </w:r>
      <w:r w:rsidR="00D00ED2" w:rsidRPr="00EE321C">
        <w:t xml:space="preserve">environment </w:t>
      </w:r>
      <w:r w:rsidR="00EE321C" w:rsidRPr="00A6140E">
        <w:t>attitudes</w:t>
      </w:r>
      <w:r w:rsidR="00D00ED2" w:rsidRPr="00EE321C">
        <w:t xml:space="preserve">, a finding that corroborates </w:t>
      </w:r>
      <w:r w:rsidR="00B86EDC">
        <w:t xml:space="preserve">those </w:t>
      </w:r>
      <w:r w:rsidR="00D00ED2" w:rsidRPr="00EE321C">
        <w:t xml:space="preserve">reported earlier by </w:t>
      </w:r>
      <w:proofErr w:type="spellStart"/>
      <w:r w:rsidR="00D00ED2" w:rsidRPr="00EE321C">
        <w:t>Kalof</w:t>
      </w:r>
      <w:proofErr w:type="spellEnd"/>
      <w:r w:rsidR="00D00ED2" w:rsidRPr="00EE321C">
        <w:t xml:space="preserve"> et al</w:t>
      </w:r>
      <w:r w:rsidR="00A72669">
        <w:t>.</w:t>
      </w:r>
      <w:r w:rsidR="00D00ED2" w:rsidRPr="00EE321C">
        <w:t xml:space="preserve"> </w:t>
      </w:r>
      <w:r w:rsidR="008A38C1">
        <w:t>(</w:t>
      </w:r>
      <w:r w:rsidR="00ED6250" w:rsidRPr="00B271F1">
        <w:rPr>
          <w:i/>
        </w:rPr>
        <w:t>21</w:t>
      </w:r>
      <w:r w:rsidR="00ED6250">
        <w:t>)</w:t>
      </w:r>
      <w:r w:rsidR="00D00ED2" w:rsidRPr="00EE321C">
        <w:t>.</w:t>
      </w:r>
      <w:r w:rsidR="00527346">
        <w:t xml:space="preserve"> </w:t>
      </w:r>
      <w:r w:rsidR="00D00ED2" w:rsidRPr="00EE321C">
        <w:t>They argue that</w:t>
      </w:r>
      <w:r w:rsidR="00D00ED2" w:rsidRPr="000F4994">
        <w:t xml:space="preserve"> Whites generally enjoy a greater innate sense of worth and ability to weather risk.</w:t>
      </w:r>
      <w:r w:rsidR="00527346">
        <w:t xml:space="preserve"> </w:t>
      </w:r>
      <w:r w:rsidR="00D00ED2" w:rsidRPr="000F4994">
        <w:t>Hence the</w:t>
      </w:r>
      <w:r w:rsidR="00D00ED2" w:rsidRPr="0030047A">
        <w:t>y do not perceive environmental deterioration as presenting a threat to them, thus reducing their proclivity towards being environmentally conscious.</w:t>
      </w:r>
      <w:r w:rsidR="00527346">
        <w:t xml:space="preserve"> </w:t>
      </w:r>
    </w:p>
    <w:p w:rsidR="00DD6CC2" w:rsidRPr="00513BBF" w:rsidRDefault="00DD6CC2" w:rsidP="00DD6CC2">
      <w:pPr>
        <w:spacing w:after="0" w:line="240" w:lineRule="auto"/>
        <w:jc w:val="both"/>
      </w:pPr>
      <w:r>
        <w:tab/>
        <w:t xml:space="preserve">Finally, the correlations among the latent constructs are provided at the end of Table 1. </w:t>
      </w:r>
      <w:r w:rsidRPr="00513BBF">
        <w:t>Tech-</w:t>
      </w:r>
      <w:r>
        <w:t>dependency</w:t>
      </w:r>
      <w:r w:rsidRPr="00513BBF">
        <w:t xml:space="preserve"> and </w:t>
      </w:r>
      <w:r>
        <w:t>pro-</w:t>
      </w:r>
      <w:r w:rsidRPr="00513BBF">
        <w:t>environment</w:t>
      </w:r>
      <w:r>
        <w:t xml:space="preserve"> attitudes</w:t>
      </w:r>
      <w:r w:rsidRPr="00513BBF">
        <w:t xml:space="preserve"> are positively correlated</w:t>
      </w:r>
      <w:r>
        <w:t>,</w:t>
      </w:r>
      <w:r w:rsidRPr="00513BBF">
        <w:t xml:space="preserve"> suggesting that individuals who are tech-</w:t>
      </w:r>
      <w:r>
        <w:t>dependent</w:t>
      </w:r>
      <w:r w:rsidRPr="00513BBF">
        <w:t xml:space="preserve"> are also likely to be environmentally sensitive. Similarly, those who are pro-transit are likely to be </w:t>
      </w:r>
      <w:r>
        <w:t>pro-</w:t>
      </w:r>
      <w:r w:rsidRPr="00513BBF">
        <w:t>environment as well, a finding consistent with expectations.</w:t>
      </w:r>
      <w:r>
        <w:t xml:space="preserve"> </w:t>
      </w:r>
      <w:r w:rsidRPr="00513BBF">
        <w:t xml:space="preserve">A finding that is somewhat surprising and not consistent with expectations is the positive correlation between </w:t>
      </w:r>
      <w:r>
        <w:t>pro-</w:t>
      </w:r>
      <w:r w:rsidRPr="00513BBF">
        <w:t xml:space="preserve">car and </w:t>
      </w:r>
      <w:r>
        <w:t>pro-environment attitudes</w:t>
      </w:r>
      <w:r w:rsidRPr="00513BBF">
        <w:t>.</w:t>
      </w:r>
      <w:r>
        <w:t xml:space="preserve"> Although a negative correlation is expected</w:t>
      </w:r>
      <w:r w:rsidRPr="00513BBF">
        <w:t xml:space="preserve">, a positive (significant) correlation is obtained, suggesting that </w:t>
      </w:r>
      <w:r>
        <w:t>pro-environment</w:t>
      </w:r>
      <w:r w:rsidRPr="00513BBF">
        <w:t xml:space="preserve"> individuals also </w:t>
      </w:r>
      <w:r>
        <w:t>appreciate the</w:t>
      </w:r>
      <w:r w:rsidRPr="00513BBF">
        <w:t xml:space="preserve"> liberty and flexibility that a personal automobile provides. </w:t>
      </w:r>
      <w:r>
        <w:t>This result suggests that pro-environment attitudes are not necessarily associated with the adoption of environmentally sensitive travel choices, and that there might be additional unknown factors affecting these attitudes.</w:t>
      </w:r>
    </w:p>
    <w:p w:rsidR="00D00ED2" w:rsidRPr="00513BBF" w:rsidRDefault="00D00ED2" w:rsidP="00532654">
      <w:pPr>
        <w:spacing w:after="0" w:line="240" w:lineRule="auto"/>
      </w:pPr>
    </w:p>
    <w:p w:rsidR="005B337D" w:rsidRPr="00513BBF" w:rsidRDefault="00D00ED2" w:rsidP="00FA1DC4">
      <w:pPr>
        <w:pStyle w:val="Heading2"/>
        <w:spacing w:before="0" w:line="240" w:lineRule="auto"/>
      </w:pPr>
      <w:r w:rsidRPr="00513BBF">
        <w:t>Measurement Equation R</w:t>
      </w:r>
      <w:r w:rsidR="005B337D" w:rsidRPr="00513BBF">
        <w:t xml:space="preserve">esults </w:t>
      </w:r>
    </w:p>
    <w:p w:rsidR="006568C8" w:rsidRDefault="006568C8" w:rsidP="00211085">
      <w:pPr>
        <w:spacing w:after="0" w:line="240" w:lineRule="auto"/>
        <w:jc w:val="both"/>
      </w:pPr>
      <w:r>
        <w:t>The m</w:t>
      </w:r>
      <w:r w:rsidR="000C0141" w:rsidRPr="00513BBF">
        <w:t xml:space="preserve">easurement equation results </w:t>
      </w:r>
      <w:r>
        <w:t xml:space="preserve">include </w:t>
      </w:r>
      <w:r w:rsidR="000C0141" w:rsidRPr="00513BBF">
        <w:t>estimation results associated with the non-nominal variables</w:t>
      </w:r>
      <w:r>
        <w:t xml:space="preserve"> as well as </w:t>
      </w:r>
      <w:r w:rsidR="000C0141" w:rsidRPr="00513BBF">
        <w:t xml:space="preserve">the nominal (discrete choice) variables. </w:t>
      </w:r>
    </w:p>
    <w:p w:rsidR="00211085" w:rsidRDefault="006568C8" w:rsidP="00414AC4">
      <w:pPr>
        <w:spacing w:after="0" w:line="240" w:lineRule="auto"/>
        <w:ind w:firstLine="720"/>
        <w:jc w:val="both"/>
      </w:pPr>
      <w:r>
        <w:t>The e</w:t>
      </w:r>
      <w:r w:rsidR="00211085" w:rsidRPr="00513BBF">
        <w:t>stimation results for the non-nominal variables</w:t>
      </w:r>
      <w:r w:rsidR="00211085">
        <w:t xml:space="preserve"> </w:t>
      </w:r>
      <w:r w:rsidR="00211085" w:rsidRPr="00513BBF">
        <w:t xml:space="preserve">are shown in Table </w:t>
      </w:r>
      <w:r w:rsidR="00211085">
        <w:t>2</w:t>
      </w:r>
      <w:r w:rsidR="00211085" w:rsidRPr="00513BBF">
        <w:t xml:space="preserve">. This table shows the loadings of latent variables on the ordinal and count indicators that are used to represent the latent </w:t>
      </w:r>
      <w:r w:rsidR="00211085">
        <w:t xml:space="preserve">attitudes and </w:t>
      </w:r>
      <w:r w:rsidR="00211085" w:rsidRPr="00513BBF">
        <w:t xml:space="preserve">lifestyle preferences. </w:t>
      </w:r>
      <w:r w:rsidR="00DD6CC2">
        <w:t xml:space="preserve">As discussed earlier, </w:t>
      </w:r>
      <w:r w:rsidR="00211085" w:rsidRPr="00513BBF">
        <w:t>the latent constructs are defined based on attitudinal statements</w:t>
      </w:r>
      <w:r w:rsidR="00211085">
        <w:t xml:space="preserve"> or variables describing observed behavior</w:t>
      </w:r>
      <w:r w:rsidR="00211085" w:rsidRPr="00513BBF">
        <w:t>, and hence it is expected that all loadings would be positive and significant.</w:t>
      </w:r>
      <w:r w:rsidR="00527346">
        <w:t xml:space="preserve"> </w:t>
      </w:r>
      <w:r w:rsidR="00211085" w:rsidRPr="00513BBF">
        <w:t>Those who are tech-</w:t>
      </w:r>
      <w:r w:rsidR="00211085">
        <w:t>dependent</w:t>
      </w:r>
      <w:r w:rsidR="00211085" w:rsidRPr="00513BBF">
        <w:t xml:space="preserve"> feel that they need continuous connectivity, own more ICT devices, and conduct more activities using ICT devices.</w:t>
      </w:r>
      <w:r w:rsidR="00527346">
        <w:t xml:space="preserve"> </w:t>
      </w:r>
      <w:r w:rsidR="00211085" w:rsidRPr="00513BBF">
        <w:t xml:space="preserve">Similarly, </w:t>
      </w:r>
      <w:r w:rsidR="00211085">
        <w:t>pro-car</w:t>
      </w:r>
      <w:r w:rsidR="00211085" w:rsidRPr="00513BBF">
        <w:t xml:space="preserve"> individuals believe more strongly that they need to drive their car to get where they need to go, love the freedom and independence associated with owning a car, and prefer to have flexibility of using a car when planning a trip.</w:t>
      </w:r>
      <w:r w:rsidR="00527346">
        <w:t xml:space="preserve"> </w:t>
      </w:r>
      <w:r w:rsidR="00211085" w:rsidRPr="00513BBF">
        <w:t xml:space="preserve">Similar positive associations are found in the case of </w:t>
      </w:r>
      <w:r w:rsidR="00211085">
        <w:t>ordinal</w:t>
      </w:r>
      <w:r w:rsidR="00211085" w:rsidRPr="00513BBF">
        <w:t xml:space="preserve"> indicators representing pro-transit and </w:t>
      </w:r>
      <w:r w:rsidR="00211085">
        <w:t>pro-</w:t>
      </w:r>
      <w:r w:rsidR="00211085" w:rsidRPr="00513BBF">
        <w:t>environment</w:t>
      </w:r>
      <w:r w:rsidR="00211085">
        <w:t xml:space="preserve"> attitudes</w:t>
      </w:r>
      <w:r w:rsidR="00211085" w:rsidRPr="00513BBF">
        <w:t xml:space="preserve">. </w:t>
      </w:r>
    </w:p>
    <w:p w:rsidR="006100FA" w:rsidRPr="0041741C" w:rsidRDefault="00211085" w:rsidP="00414AC4">
      <w:pPr>
        <w:spacing w:after="0" w:line="240" w:lineRule="auto"/>
        <w:ind w:firstLine="576"/>
        <w:jc w:val="both"/>
      </w:pPr>
      <w:r w:rsidRPr="0041741C">
        <w:t xml:space="preserve">As shown in the </w:t>
      </w:r>
      <w:r w:rsidR="00E124A7" w:rsidRPr="0041741C">
        <w:t>behavioral</w:t>
      </w:r>
      <w:r w:rsidRPr="0041741C">
        <w:t xml:space="preserve"> framework (Figure 1), the model estimated in this paper </w:t>
      </w:r>
      <w:r w:rsidR="00F73584" w:rsidRPr="0041741C">
        <w:t xml:space="preserve">accounts for self-selection effects </w:t>
      </w:r>
      <w:r w:rsidR="00E124A7" w:rsidRPr="0041741C">
        <w:t>(</w:t>
      </w:r>
      <w:r w:rsidR="00F73584" w:rsidRPr="0041741C">
        <w:t xml:space="preserve">through </w:t>
      </w:r>
      <w:r w:rsidR="00E124A7" w:rsidRPr="0041741C">
        <w:t xml:space="preserve">the </w:t>
      </w:r>
      <w:r w:rsidR="00F73584" w:rsidRPr="0041741C">
        <w:t xml:space="preserve">four </w:t>
      </w:r>
      <w:r w:rsidR="00E124A7" w:rsidRPr="0041741C">
        <w:t xml:space="preserve">stochastic </w:t>
      </w:r>
      <w:r w:rsidR="00F73584" w:rsidRPr="0041741C">
        <w:t>latent variables</w:t>
      </w:r>
      <w:r w:rsidR="00E124A7" w:rsidRPr="0041741C">
        <w:t xml:space="preserve">) that may otherwise manifest </w:t>
      </w:r>
      <w:r w:rsidR="00E124A7" w:rsidRPr="0041741C">
        <w:lastRenderedPageBreak/>
        <w:t xml:space="preserve">themselves inappropriately as causal inter-relationships among the three choice outcomes of </w:t>
      </w:r>
      <w:r w:rsidR="00F73584" w:rsidRPr="0041741C">
        <w:t>driver’s license holding status, vehicle ownership, and commute mode</w:t>
      </w:r>
      <w:r w:rsidR="00E124A7" w:rsidRPr="0041741C">
        <w:t xml:space="preserve"> </w:t>
      </w:r>
      <w:r w:rsidR="00F73584" w:rsidRPr="0041741C">
        <w:t xml:space="preserve">choice. </w:t>
      </w:r>
      <w:r w:rsidR="00E124A7" w:rsidRPr="0041741C">
        <w:t xml:space="preserve">In this regard, </w:t>
      </w:r>
      <w:r w:rsidR="00676FC8" w:rsidRPr="0041741C">
        <w:t xml:space="preserve">the </w:t>
      </w:r>
      <w:r w:rsidRPr="0041741C">
        <w:t>exogenous variables (e.g.</w:t>
      </w:r>
      <w:r w:rsidR="00014A6A" w:rsidRPr="0041741C">
        <w:t>,</w:t>
      </w:r>
      <w:r w:rsidRPr="0041741C">
        <w:t xml:space="preserve"> socio-demographic variables) can affect </w:t>
      </w:r>
      <w:r w:rsidR="00F73584" w:rsidRPr="0041741C">
        <w:t xml:space="preserve">the three choice variables both </w:t>
      </w:r>
      <w:r w:rsidRPr="0041741C">
        <w:t xml:space="preserve">directly </w:t>
      </w:r>
      <w:r w:rsidR="00F73584" w:rsidRPr="0041741C">
        <w:t>and</w:t>
      </w:r>
      <w:r w:rsidRPr="0041741C">
        <w:t xml:space="preserve"> indirectly (through a latent variable or through an endogenous variable). </w:t>
      </w:r>
      <w:r w:rsidR="009457B7" w:rsidRPr="0041741C">
        <w:t>I</w:t>
      </w:r>
      <w:r w:rsidR="00F73584" w:rsidRPr="0041741C">
        <w:t>nteraction effects between key variables such as age, parenting status, geographic location (whether the individual lives in a transit-rich, progressive or deficient city)</w:t>
      </w:r>
      <w:r w:rsidR="00014A6A" w:rsidRPr="0041741C">
        <w:t>,</w:t>
      </w:r>
      <w:r w:rsidR="00F73584" w:rsidRPr="0041741C">
        <w:t xml:space="preserve"> and residential location (urban and non-urban) are also included in t</w:t>
      </w:r>
      <w:r w:rsidR="00676FC8" w:rsidRPr="0041741C">
        <w:t xml:space="preserve">he </w:t>
      </w:r>
      <w:r w:rsidR="00B9442F" w:rsidRPr="0041741C">
        <w:t>specification</w:t>
      </w:r>
      <w:r w:rsidR="00F9227B" w:rsidRPr="0041741C">
        <w:t xml:space="preserve">s of the three </w:t>
      </w:r>
      <w:r w:rsidR="00F73584" w:rsidRPr="0041741C">
        <w:t xml:space="preserve">simultaneous </w:t>
      </w:r>
      <w:r w:rsidR="00F9227B" w:rsidRPr="0041741C">
        <w:t>choice</w:t>
      </w:r>
      <w:r w:rsidR="00F73584" w:rsidRPr="0041741C">
        <w:t>s</w:t>
      </w:r>
      <w:r w:rsidR="00F9227B" w:rsidRPr="0041741C">
        <w:t xml:space="preserve">. </w:t>
      </w:r>
      <w:r w:rsidR="009457B7" w:rsidRPr="0041741C">
        <w:t>The presence of direct, indirect</w:t>
      </w:r>
      <w:r w:rsidR="00014A6A" w:rsidRPr="0041741C">
        <w:t>,</w:t>
      </w:r>
      <w:r w:rsidR="009457B7" w:rsidRPr="0041741C">
        <w:t xml:space="preserve"> and interaction effects in the same specification make it difficult to extract meaning</w:t>
      </w:r>
      <w:r w:rsidR="00E124A7" w:rsidRPr="0041741C">
        <w:t>ful interpr</w:t>
      </w:r>
      <w:r w:rsidR="00923E87">
        <w:t>e</w:t>
      </w:r>
      <w:r w:rsidR="00E124A7" w:rsidRPr="0041741C">
        <w:t>tations</w:t>
      </w:r>
      <w:r w:rsidR="009457B7" w:rsidRPr="0041741C">
        <w:t xml:space="preserve"> </w:t>
      </w:r>
      <w:r w:rsidR="0017714C" w:rsidRPr="0041741C">
        <w:t>f</w:t>
      </w:r>
      <w:r w:rsidR="009457B7" w:rsidRPr="0041741C">
        <w:t xml:space="preserve">rom the raw </w:t>
      </w:r>
      <w:r w:rsidR="0017714C" w:rsidRPr="0041741C">
        <w:t xml:space="preserve">estimation </w:t>
      </w:r>
      <w:r w:rsidR="009457B7" w:rsidRPr="0041741C">
        <w:t>coefficients</w:t>
      </w:r>
      <w:r w:rsidR="0017714C" w:rsidRPr="0041741C">
        <w:t xml:space="preserve">. </w:t>
      </w:r>
      <w:r w:rsidR="00E124A7" w:rsidRPr="0041741C">
        <w:t>In this paper, we choose to address this issue head on by computing and examining the</w:t>
      </w:r>
      <w:r w:rsidR="0017714C" w:rsidRPr="0041741C">
        <w:t xml:space="preserve"> </w:t>
      </w:r>
      <w:r w:rsidR="005D2886" w:rsidRPr="0041741C">
        <w:t xml:space="preserve">aggregate-level </w:t>
      </w:r>
      <w:r w:rsidR="0017714C" w:rsidRPr="0041741C">
        <w:t xml:space="preserve">pseudo-elasticities of </w:t>
      </w:r>
      <w:r w:rsidR="0022195F" w:rsidRPr="0041741C">
        <w:t xml:space="preserve">the </w:t>
      </w:r>
      <w:r w:rsidR="0017714C" w:rsidRPr="0041741C">
        <w:t xml:space="preserve">variables of interest. </w:t>
      </w:r>
      <w:r w:rsidR="00E124A7" w:rsidRPr="0041741C">
        <w:t>These p</w:t>
      </w:r>
      <w:r w:rsidR="005D2886" w:rsidRPr="0041741C">
        <w:t xml:space="preserve">seudo-elasticities </w:t>
      </w:r>
      <w:r w:rsidR="00E124A7" w:rsidRPr="0041741C">
        <w:t xml:space="preserve">(PEs) </w:t>
      </w:r>
      <w:r w:rsidR="005D2886" w:rsidRPr="0041741C">
        <w:t>represent the percentage change in probability of an individual choosing a specific alternative over the others.</w:t>
      </w:r>
      <w:r w:rsidR="005B2BE4" w:rsidRPr="0041741C">
        <w:t xml:space="preserve"> The</w:t>
      </w:r>
      <w:r w:rsidR="00E124A7" w:rsidRPr="0041741C">
        <w:t xml:space="preserve"> PEs </w:t>
      </w:r>
      <w:r w:rsidR="005B2BE4" w:rsidRPr="0041741C">
        <w:t>are computed by drawing two sets of 500 samples of 3,309 observations from a multivariate normal distribution. In the first set, the variable of interest is set to zero (all the rest fixed) and in the second set the variable of interest is set to one (all the rest fixed). For each set, the predictions from the 500 choice occasions are averaged across all individuals to compute the shares. Then the shares of the two sets are subtracted and a p</w:t>
      </w:r>
      <w:r w:rsidR="00BA4374" w:rsidRPr="0041741C">
        <w:t>er</w:t>
      </w:r>
      <w:r w:rsidR="005B2BE4" w:rsidRPr="0041741C">
        <w:t>cent</w:t>
      </w:r>
      <w:r w:rsidR="00BA4374" w:rsidRPr="0041741C">
        <w:t>age</w:t>
      </w:r>
      <w:r w:rsidR="005B2BE4" w:rsidRPr="0041741C">
        <w:t xml:space="preserve"> change is calculated. For example, to compare </w:t>
      </w:r>
      <w:r w:rsidR="00E124A7" w:rsidRPr="0041741C">
        <w:t xml:space="preserve">the </w:t>
      </w:r>
      <w:r w:rsidR="006100FA" w:rsidRPr="0041741C">
        <w:t>overall effect of urban living versus non-urban living (regardless of other char</w:t>
      </w:r>
      <w:r w:rsidR="00923E87">
        <w:t>ac</w:t>
      </w:r>
      <w:r w:rsidR="006100FA" w:rsidRPr="0041741C">
        <w:t>teristics), all individuals were first “set” to be living in a non-urban area and the aggregate shares of the endogenous variables were computed. Next, all the individuals were “set” to be living in an urban area and corresponding shares were computed. The percentage change in aggregate shares are presented as the PEs in Table 3. Thus, the results indicate that u</w:t>
      </w:r>
      <w:r w:rsidR="0041741C" w:rsidRPr="0041741C">
        <w:t xml:space="preserve">rban dwellers are, on average, </w:t>
      </w:r>
      <w:r w:rsidR="006100FA" w:rsidRPr="0041741C">
        <w:t>4.2% less likely to own a personal vehicle relative to non-urban dwellers.</w:t>
      </w:r>
    </w:p>
    <w:p w:rsidR="00267A19" w:rsidRPr="0041741C" w:rsidRDefault="00FC6192" w:rsidP="00414AC4">
      <w:pPr>
        <w:spacing w:after="0" w:line="240" w:lineRule="auto"/>
        <w:ind w:firstLine="576"/>
        <w:jc w:val="both"/>
        <w:rPr>
          <w:rFonts w:eastAsia="Times New Roman" w:cs="Times New Roman"/>
          <w:szCs w:val="24"/>
          <w:lang w:eastAsia="pt-BR"/>
        </w:rPr>
      </w:pPr>
      <w:r w:rsidRPr="0041741C">
        <w:t>T</w:t>
      </w:r>
      <w:r w:rsidR="0017714C" w:rsidRPr="0041741C">
        <w:t xml:space="preserve">able </w:t>
      </w:r>
      <w:r w:rsidR="00ED2D93" w:rsidRPr="0041741C">
        <w:t>3</w:t>
      </w:r>
      <w:r w:rsidR="0017714C" w:rsidRPr="0041741C">
        <w:t xml:space="preserve"> </w:t>
      </w:r>
      <w:r w:rsidR="006100FA" w:rsidRPr="0041741C">
        <w:t xml:space="preserve">focuses on </w:t>
      </w:r>
      <w:r w:rsidR="0017714C" w:rsidRPr="0041741C">
        <w:t xml:space="preserve">the pseudo-elasticities of variables that are </w:t>
      </w:r>
      <w:r w:rsidR="006100FA" w:rsidRPr="0041741C">
        <w:t xml:space="preserve">particularly important in characterizing </w:t>
      </w:r>
      <w:r w:rsidR="0017714C" w:rsidRPr="0041741C">
        <w:t>heterogeneity among millennials</w:t>
      </w:r>
      <w:r w:rsidR="0017714C" w:rsidRPr="0041741C">
        <w:rPr>
          <w:rFonts w:eastAsia="Times New Roman" w:cs="Times New Roman"/>
          <w:szCs w:val="24"/>
          <w:lang w:eastAsia="pt-BR"/>
        </w:rPr>
        <w:t>: younger vs</w:t>
      </w:r>
      <w:r w:rsidR="00014A6A" w:rsidRPr="0041741C">
        <w:rPr>
          <w:rFonts w:eastAsia="Times New Roman" w:cs="Times New Roman"/>
          <w:szCs w:val="24"/>
          <w:lang w:eastAsia="pt-BR"/>
        </w:rPr>
        <w:t>.</w:t>
      </w:r>
      <w:r w:rsidR="0017714C" w:rsidRPr="0041741C">
        <w:rPr>
          <w:rFonts w:eastAsia="Times New Roman" w:cs="Times New Roman"/>
          <w:szCs w:val="24"/>
          <w:lang w:eastAsia="pt-BR"/>
        </w:rPr>
        <w:t xml:space="preserve"> older millennials, </w:t>
      </w:r>
      <w:r w:rsidR="006100FA" w:rsidRPr="0041741C">
        <w:rPr>
          <w:rFonts w:eastAsia="Times New Roman" w:cs="Times New Roman"/>
          <w:szCs w:val="24"/>
          <w:lang w:eastAsia="pt-BR"/>
        </w:rPr>
        <w:t xml:space="preserve">millennials living in urban areas vs. those living in non-urban (suburban, small towns, and rural areas), millennials living in traditional transit-rich cities (MSAs) vs. those living in other cities, and </w:t>
      </w:r>
      <w:r w:rsidR="0017714C" w:rsidRPr="0041741C">
        <w:rPr>
          <w:rFonts w:eastAsia="Times New Roman" w:cs="Times New Roman"/>
          <w:szCs w:val="24"/>
          <w:lang w:eastAsia="pt-BR"/>
        </w:rPr>
        <w:t>parents vs</w:t>
      </w:r>
      <w:r w:rsidR="00014A6A" w:rsidRPr="0041741C">
        <w:rPr>
          <w:rFonts w:eastAsia="Times New Roman" w:cs="Times New Roman"/>
          <w:szCs w:val="24"/>
          <w:lang w:eastAsia="pt-BR"/>
        </w:rPr>
        <w:t>.</w:t>
      </w:r>
      <w:r w:rsidR="0017714C" w:rsidRPr="0041741C">
        <w:rPr>
          <w:rFonts w:eastAsia="Times New Roman" w:cs="Times New Roman"/>
          <w:szCs w:val="24"/>
          <w:lang w:eastAsia="pt-BR"/>
        </w:rPr>
        <w:t xml:space="preserve"> non-parents</w:t>
      </w:r>
      <w:r w:rsidR="006100FA" w:rsidRPr="0041741C">
        <w:rPr>
          <w:rFonts w:eastAsia="Times New Roman" w:cs="Times New Roman"/>
          <w:szCs w:val="24"/>
          <w:lang w:eastAsia="pt-BR"/>
        </w:rPr>
        <w:t xml:space="preserve"> in different geographic locations</w:t>
      </w:r>
      <w:r w:rsidR="00ED2D93" w:rsidRPr="0041741C">
        <w:t xml:space="preserve">. </w:t>
      </w:r>
      <w:r w:rsidR="0017714C" w:rsidRPr="0041741C">
        <w:t xml:space="preserve">Note that an extensive list of other </w:t>
      </w:r>
      <w:r w:rsidR="0022195F" w:rsidRPr="0041741C">
        <w:t xml:space="preserve">exogenous </w:t>
      </w:r>
      <w:r w:rsidR="0017714C" w:rsidRPr="0041741C">
        <w:t>variables (such as gender, race, income, education, home tenure status, employment status</w:t>
      </w:r>
      <w:r w:rsidR="00AA55ED" w:rsidRPr="0041741C">
        <w:t>, etc.</w:t>
      </w:r>
      <w:r w:rsidR="0017714C" w:rsidRPr="0041741C">
        <w:t>) w</w:t>
      </w:r>
      <w:r w:rsidR="0022195F" w:rsidRPr="0041741C">
        <w:t>as</w:t>
      </w:r>
      <w:r w:rsidR="0017714C" w:rsidRPr="0041741C">
        <w:t xml:space="preserve"> included in the model but, </w:t>
      </w:r>
      <w:r w:rsidR="0017714C" w:rsidRPr="0041741C">
        <w:rPr>
          <w:rFonts w:eastAsia="Times New Roman" w:cs="Times New Roman"/>
          <w:szCs w:val="24"/>
          <w:lang w:eastAsia="pt-BR"/>
        </w:rPr>
        <w:t>in the interest of brevity,</w:t>
      </w:r>
      <w:r w:rsidR="0017714C" w:rsidRPr="0041741C">
        <w:t xml:space="preserve"> </w:t>
      </w:r>
      <w:r w:rsidR="00014A6A" w:rsidRPr="0041741C">
        <w:t>is</w:t>
      </w:r>
      <w:r w:rsidR="0017714C" w:rsidRPr="0041741C">
        <w:t xml:space="preserve"> not discussed here. The complete model specification and </w:t>
      </w:r>
      <w:r w:rsidR="0022195F" w:rsidRPr="0041741C">
        <w:t xml:space="preserve">the </w:t>
      </w:r>
      <w:r w:rsidR="0017714C" w:rsidRPr="0041741C">
        <w:t xml:space="preserve">estimated coefficients can be found in an online supplement at </w:t>
      </w:r>
      <w:hyperlink r:id="rId14" w:history="1">
        <w:r w:rsidR="00671933" w:rsidRPr="00A32326">
          <w:rPr>
            <w:rStyle w:val="Hyperlink"/>
            <w:rFonts w:cs="Times New Roman"/>
            <w:noProof/>
            <w:szCs w:val="24"/>
          </w:rPr>
          <w:t>http://www.caee.utexas.edu/prof/bhat/ABSTRACTS/Millennial/OnlineSupplement.pdf</w:t>
        </w:r>
      </w:hyperlink>
      <w:r w:rsidR="0017714C" w:rsidRPr="0041741C">
        <w:rPr>
          <w:rFonts w:cs="Times New Roman"/>
          <w:noProof/>
          <w:szCs w:val="24"/>
        </w:rPr>
        <w:t>.</w:t>
      </w:r>
      <w:r w:rsidR="00671933">
        <w:rPr>
          <w:rFonts w:cs="Times New Roman"/>
          <w:noProof/>
          <w:szCs w:val="24"/>
        </w:rPr>
        <w:t xml:space="preserve"> </w:t>
      </w:r>
      <w:r w:rsidR="0035323E" w:rsidRPr="0041741C">
        <w:rPr>
          <w:rFonts w:eastAsia="Times New Roman" w:cs="Times New Roman"/>
          <w:szCs w:val="24"/>
          <w:lang w:eastAsia="pt-BR"/>
        </w:rPr>
        <w:t xml:space="preserve"> </w:t>
      </w:r>
    </w:p>
    <w:p w:rsidR="00ED2D93" w:rsidRDefault="0035323E" w:rsidP="001C1CCC">
      <w:pPr>
        <w:spacing w:after="0" w:line="240" w:lineRule="auto"/>
        <w:ind w:firstLine="720"/>
        <w:jc w:val="both"/>
      </w:pPr>
      <w:r>
        <w:rPr>
          <w:rFonts w:eastAsia="Times New Roman" w:cs="Times New Roman"/>
          <w:color w:val="222222"/>
          <w:szCs w:val="24"/>
          <w:lang w:eastAsia="pt-BR"/>
        </w:rPr>
        <w:t xml:space="preserve"> </w:t>
      </w:r>
    </w:p>
    <w:p w:rsidR="00ED2D93" w:rsidRDefault="00ED2D93" w:rsidP="00A6140E">
      <w:pPr>
        <w:pStyle w:val="Heading3"/>
        <w:spacing w:before="0" w:line="240" w:lineRule="auto"/>
      </w:pPr>
      <w:r w:rsidRPr="00361784">
        <w:t>Driver’s License Holding Choice</w:t>
      </w:r>
    </w:p>
    <w:p w:rsidR="00671933" w:rsidRDefault="0010564A" w:rsidP="00A6140E">
      <w:pPr>
        <w:spacing w:after="0" w:line="240" w:lineRule="auto"/>
        <w:jc w:val="both"/>
      </w:pPr>
      <w:r>
        <w:t>Results</w:t>
      </w:r>
      <w:r w:rsidR="002E4A3D">
        <w:t xml:space="preserve"> from the </w:t>
      </w:r>
      <w:r w:rsidR="005C235D" w:rsidRPr="00513BBF">
        <w:t xml:space="preserve">model of driver’s license holding status show that </w:t>
      </w:r>
      <w:r w:rsidR="00625CA5">
        <w:t xml:space="preserve">the lifecycle stage </w:t>
      </w:r>
      <w:r w:rsidR="00770D2E">
        <w:t xml:space="preserve">of an individual </w:t>
      </w:r>
      <w:r w:rsidR="006100FA">
        <w:t xml:space="preserve">(as </w:t>
      </w:r>
      <w:proofErr w:type="spellStart"/>
      <w:r w:rsidR="006100FA">
        <w:t>proxied</w:t>
      </w:r>
      <w:proofErr w:type="spellEnd"/>
      <w:r w:rsidR="006100FA">
        <w:t xml:space="preserve"> by age and parenthood in Table 3) </w:t>
      </w:r>
      <w:r w:rsidR="00770D2E">
        <w:t xml:space="preserve">is </w:t>
      </w:r>
      <w:r w:rsidR="00625CA5">
        <w:t>probably the most relevant determinant of driver’s license holding</w:t>
      </w:r>
      <w:r w:rsidR="0095198D">
        <w:t xml:space="preserve"> </w:t>
      </w:r>
      <w:r w:rsidR="004B612F">
        <w:t>status</w:t>
      </w:r>
      <w:r w:rsidR="00625CA5">
        <w:t xml:space="preserve">. </w:t>
      </w:r>
      <w:r w:rsidR="002E4A3D">
        <w:t xml:space="preserve">For example, </w:t>
      </w:r>
      <w:r w:rsidR="005516EA">
        <w:t xml:space="preserve">the </w:t>
      </w:r>
      <w:r w:rsidR="00770D2E">
        <w:t xml:space="preserve">first variable under the last row panel of the table </w:t>
      </w:r>
      <w:r w:rsidR="002E4A3D">
        <w:t>shows</w:t>
      </w:r>
      <w:r w:rsidR="00F6629F">
        <w:t xml:space="preserve"> that being a parent is associated with a </w:t>
      </w:r>
      <w:r w:rsidR="00744A2E">
        <w:t>2.8</w:t>
      </w:r>
      <w:r w:rsidR="00A43E69">
        <w:t>%</w:t>
      </w:r>
      <w:r w:rsidR="00F6629F">
        <w:t xml:space="preserve"> </w:t>
      </w:r>
      <w:r w:rsidR="00394801">
        <w:t>increase</w:t>
      </w:r>
      <w:r w:rsidR="00394801" w:rsidRPr="00413D0C">
        <w:t xml:space="preserve"> </w:t>
      </w:r>
      <w:r w:rsidR="00F6629F" w:rsidRPr="00413D0C">
        <w:t xml:space="preserve">in the probability of </w:t>
      </w:r>
      <w:r w:rsidR="00F6629F">
        <w:t xml:space="preserve">having a license. </w:t>
      </w:r>
      <w:r w:rsidR="002E4A3D">
        <w:t>R</w:t>
      </w:r>
      <w:r w:rsidR="00F6629F">
        <w:t xml:space="preserve">esidential location </w:t>
      </w:r>
      <w:r w:rsidR="002E4A3D">
        <w:t>of the individual is found to play</w:t>
      </w:r>
      <w:r w:rsidR="00F6629F">
        <w:t xml:space="preserve"> </w:t>
      </w:r>
      <w:r w:rsidR="0079538E">
        <w:t>an</w:t>
      </w:r>
      <w:r w:rsidR="00F6629F">
        <w:t xml:space="preserve"> important role </w:t>
      </w:r>
      <w:r w:rsidR="002E4A3D">
        <w:t xml:space="preserve">in </w:t>
      </w:r>
      <w:r w:rsidR="002E4A3D" w:rsidRPr="00513BBF">
        <w:t xml:space="preserve">driver’s license holding status </w:t>
      </w:r>
      <w:r w:rsidR="00F6629F">
        <w:t>(even after accounting for self-selection effects)</w:t>
      </w:r>
      <w:r w:rsidR="0079538E">
        <w:t xml:space="preserve">. </w:t>
      </w:r>
      <w:r w:rsidR="00625CA5">
        <w:t xml:space="preserve">Living in an urban area </w:t>
      </w:r>
      <w:r w:rsidR="005516EA">
        <w:t>is associated with a greater likelihood of</w:t>
      </w:r>
      <w:r w:rsidR="00625CA5">
        <w:t xml:space="preserve"> not having a license. </w:t>
      </w:r>
      <w:r w:rsidR="001E4693">
        <w:t>T</w:t>
      </w:r>
      <w:r w:rsidR="0079538E">
        <w:t xml:space="preserve">he </w:t>
      </w:r>
      <w:r w:rsidR="00394801">
        <w:t>pseudo-</w:t>
      </w:r>
      <w:r w:rsidR="0079538E">
        <w:t xml:space="preserve">elasticities show that living in a traditional </w:t>
      </w:r>
      <w:r w:rsidR="005516EA">
        <w:t xml:space="preserve">transit-rich </w:t>
      </w:r>
      <w:r w:rsidR="0079538E">
        <w:t xml:space="preserve">city </w:t>
      </w:r>
      <w:r w:rsidR="00394801">
        <w:t xml:space="preserve">decreases </w:t>
      </w:r>
      <w:r w:rsidR="0079538E">
        <w:t>the probability of having a license</w:t>
      </w:r>
      <w:r w:rsidR="002E4A3D">
        <w:t xml:space="preserve"> by </w:t>
      </w:r>
      <w:r w:rsidR="00744A2E">
        <w:t>3</w:t>
      </w:r>
      <w:r w:rsidR="002E4A3D">
        <w:t>.4</w:t>
      </w:r>
      <w:r w:rsidR="00A43E69">
        <w:t>%</w:t>
      </w:r>
      <w:r w:rsidR="0079538E">
        <w:t>.</w:t>
      </w:r>
    </w:p>
    <w:p w:rsidR="005C235D" w:rsidRPr="00361784" w:rsidRDefault="0079538E" w:rsidP="00A6140E">
      <w:pPr>
        <w:spacing w:after="0" w:line="240" w:lineRule="auto"/>
        <w:jc w:val="both"/>
      </w:pPr>
      <w:r>
        <w:t xml:space="preserve"> </w:t>
      </w:r>
    </w:p>
    <w:p w:rsidR="00ED2D93" w:rsidRDefault="00ED2D93" w:rsidP="00A6140E">
      <w:pPr>
        <w:pStyle w:val="Heading3"/>
        <w:spacing w:before="0" w:line="240" w:lineRule="auto"/>
      </w:pPr>
      <w:r w:rsidRPr="00361784">
        <w:t>Personal Vehicle Ownership Choice</w:t>
      </w:r>
    </w:p>
    <w:p w:rsidR="0046728D" w:rsidRDefault="00733A23" w:rsidP="00A6140E">
      <w:pPr>
        <w:spacing w:after="0" w:line="240" w:lineRule="auto"/>
        <w:contextualSpacing/>
        <w:jc w:val="both"/>
      </w:pPr>
      <w:r>
        <w:t>T</w:t>
      </w:r>
      <w:r w:rsidR="005C235D" w:rsidRPr="00513BBF">
        <w:t xml:space="preserve">he model of vehicle ownership shows </w:t>
      </w:r>
      <w:r>
        <w:t xml:space="preserve">similar </w:t>
      </w:r>
      <w:r w:rsidR="007828A1">
        <w:t>results</w:t>
      </w:r>
      <w:r>
        <w:t xml:space="preserve"> </w:t>
      </w:r>
      <w:r w:rsidR="0000530E">
        <w:t xml:space="preserve">as the </w:t>
      </w:r>
      <w:r>
        <w:t xml:space="preserve">license holding </w:t>
      </w:r>
      <w:r w:rsidR="0000530E">
        <w:t>choice model</w:t>
      </w:r>
      <w:r>
        <w:t xml:space="preserve">. </w:t>
      </w:r>
      <w:r w:rsidR="000B1278">
        <w:t xml:space="preserve">Variables </w:t>
      </w:r>
      <w:r w:rsidR="007828A1">
        <w:t>describing</w:t>
      </w:r>
      <w:r w:rsidR="000B1278">
        <w:t xml:space="preserve"> a lifecycle stage prior to </w:t>
      </w:r>
      <w:r w:rsidR="007828A1">
        <w:t xml:space="preserve">mature </w:t>
      </w:r>
      <w:r w:rsidR="000B1278">
        <w:t>adulthood (</w:t>
      </w:r>
      <w:r w:rsidR="005E2802">
        <w:t>young age</w:t>
      </w:r>
      <w:r w:rsidR="00770D2E">
        <w:t xml:space="preserve">, being a non-parent, </w:t>
      </w:r>
      <w:r w:rsidR="00770D2E">
        <w:lastRenderedPageBreak/>
        <w:t>especially a young non-parent; see the top and bottom row panels of Table 3</w:t>
      </w:r>
      <w:r w:rsidR="000B1278">
        <w:t xml:space="preserve">) and variables </w:t>
      </w:r>
      <w:r w:rsidR="007828A1">
        <w:t>indicative of</w:t>
      </w:r>
      <w:r w:rsidR="000B1278">
        <w:t xml:space="preserve"> </w:t>
      </w:r>
      <w:r w:rsidR="007828A1">
        <w:t>residing</w:t>
      </w:r>
      <w:r w:rsidR="000B1278">
        <w:t xml:space="preserve"> in </w:t>
      </w:r>
      <w:r w:rsidR="00CB2AD2">
        <w:t>high-</w:t>
      </w:r>
      <w:r w:rsidR="00DC570E">
        <w:t>density areas</w:t>
      </w:r>
      <w:r w:rsidR="000B1278">
        <w:t xml:space="preserve"> </w:t>
      </w:r>
      <w:r w:rsidR="00770D2E">
        <w:t xml:space="preserve">(middle row panel) </w:t>
      </w:r>
      <w:r w:rsidR="007828A1">
        <w:t xml:space="preserve">are associated with </w:t>
      </w:r>
      <w:r w:rsidR="00E07A67">
        <w:t>a decrease</w:t>
      </w:r>
      <w:r w:rsidR="007828A1">
        <w:t xml:space="preserve"> in</w:t>
      </w:r>
      <w:r w:rsidR="000B1278">
        <w:t xml:space="preserve"> the likelihood of owning a personal vehicle. </w:t>
      </w:r>
      <w:r w:rsidR="0046728D">
        <w:t xml:space="preserve">Living in an urban area seems to have a </w:t>
      </w:r>
      <w:r w:rsidR="000854BF">
        <w:t>greater</w:t>
      </w:r>
      <w:r w:rsidR="0046728D">
        <w:t xml:space="preserve"> effect </w:t>
      </w:r>
      <w:r w:rsidR="000854BF">
        <w:t>o</w:t>
      </w:r>
      <w:r w:rsidR="0046728D">
        <w:t>n reducing personal vehicle ownership than living in transit-rich MSAs in general</w:t>
      </w:r>
      <w:r w:rsidR="00F30C50">
        <w:t xml:space="preserve">. This result suggests that a good transit network is not as effective as densification for reducing vehicle ownership levels. </w:t>
      </w:r>
    </w:p>
    <w:p w:rsidR="005C235D" w:rsidRDefault="00DC570E" w:rsidP="00A6140E">
      <w:pPr>
        <w:spacing w:after="0" w:line="240" w:lineRule="auto"/>
        <w:ind w:firstLine="720"/>
        <w:contextualSpacing/>
        <w:jc w:val="both"/>
      </w:pPr>
      <w:r>
        <w:t xml:space="preserve">Finally, </w:t>
      </w:r>
      <w:r w:rsidR="00770D2E">
        <w:t>absorbed in the results of Table 3, but not shown in Table 3,</w:t>
      </w:r>
      <w:r>
        <w:t xml:space="preserve"> p</w:t>
      </w:r>
      <w:r w:rsidR="005C235D" w:rsidRPr="00513BBF">
        <w:t xml:space="preserve">ersonal vehicle ownership is positively associated with </w:t>
      </w:r>
      <w:r w:rsidR="005C235D">
        <w:t>pro-car attitudes</w:t>
      </w:r>
      <w:r w:rsidR="005C235D" w:rsidRPr="00513BBF">
        <w:t xml:space="preserve"> and negatively associated with </w:t>
      </w:r>
      <w:r w:rsidR="005C235D">
        <w:t>pro-environment attitudes</w:t>
      </w:r>
      <w:r w:rsidR="00CB0377">
        <w:t xml:space="preserve">. </w:t>
      </w:r>
      <w:r w:rsidR="000854BF">
        <w:t>A t</w:t>
      </w:r>
      <w:r w:rsidR="005C235D" w:rsidRPr="00513BBF">
        <w:t>ech-</w:t>
      </w:r>
      <w:r w:rsidR="005C235D">
        <w:t>dependent lifestyle</w:t>
      </w:r>
      <w:r w:rsidR="00CB0377">
        <w:t xml:space="preserve"> is associated wit</w:t>
      </w:r>
      <w:r w:rsidR="00BC4E65">
        <w:t xml:space="preserve">h </w:t>
      </w:r>
      <w:r w:rsidR="0027542E">
        <w:t>a lower likelihood of</w:t>
      </w:r>
      <w:r w:rsidR="00BC4E65">
        <w:t xml:space="preserve"> having a personal vehicle. </w:t>
      </w:r>
      <w:r w:rsidR="00D21BCB">
        <w:t>This effect may be a consequence of the</w:t>
      </w:r>
      <w:r w:rsidR="0027542E">
        <w:t xml:space="preserve"> use</w:t>
      </w:r>
      <w:r w:rsidR="00D21BCB">
        <w:t xml:space="preserve"> of technology</w:t>
      </w:r>
      <w:r w:rsidR="0027542E">
        <w:t xml:space="preserve"> to obtain</w:t>
      </w:r>
      <w:r w:rsidR="00BC4E65" w:rsidRPr="00BC4E65">
        <w:t xml:space="preserve"> real</w:t>
      </w:r>
      <w:r w:rsidR="0006785E">
        <w:t>-</w:t>
      </w:r>
      <w:r w:rsidR="00BC4E65" w:rsidRPr="00BC4E65">
        <w:t xml:space="preserve">time travel </w:t>
      </w:r>
      <w:r w:rsidR="00BC4E65">
        <w:t xml:space="preserve">information for </w:t>
      </w:r>
      <w:r w:rsidR="00D21BCB">
        <w:t xml:space="preserve">alternative </w:t>
      </w:r>
      <w:r w:rsidR="00BC4E65">
        <w:t>modes as well as access to services like car</w:t>
      </w:r>
      <w:r w:rsidR="00EC6936">
        <w:t>-</w:t>
      </w:r>
      <w:r w:rsidR="00BC4E65">
        <w:t>sharing and ride</w:t>
      </w:r>
      <w:r w:rsidR="00EC6936">
        <w:t>-</w:t>
      </w:r>
      <w:r w:rsidR="00BC4E65">
        <w:t xml:space="preserve">sourcing. </w:t>
      </w:r>
    </w:p>
    <w:p w:rsidR="00267A19" w:rsidRPr="00513BBF" w:rsidRDefault="00267A19" w:rsidP="00A6140E">
      <w:pPr>
        <w:spacing w:after="0" w:line="240" w:lineRule="auto"/>
        <w:contextualSpacing/>
        <w:jc w:val="both"/>
      </w:pPr>
    </w:p>
    <w:p w:rsidR="00ED2D93" w:rsidRPr="00361784" w:rsidRDefault="00ED2D93" w:rsidP="00A6140E">
      <w:pPr>
        <w:pStyle w:val="Heading3"/>
        <w:spacing w:before="0" w:line="240" w:lineRule="auto"/>
      </w:pPr>
      <w:r w:rsidRPr="00361784">
        <w:t>Commute Mode Choice</w:t>
      </w:r>
    </w:p>
    <w:p w:rsidR="00B2124E" w:rsidRPr="00513BBF" w:rsidRDefault="00091A06" w:rsidP="00E4354E">
      <w:pPr>
        <w:spacing w:after="0" w:line="240" w:lineRule="auto"/>
        <w:jc w:val="both"/>
      </w:pPr>
      <w:r>
        <w:t xml:space="preserve">Younger millennials </w:t>
      </w:r>
      <w:r w:rsidR="00B2124E">
        <w:t xml:space="preserve">(less than 25 years old) </w:t>
      </w:r>
      <w:r>
        <w:t xml:space="preserve">are more likely </w:t>
      </w:r>
      <w:r w:rsidR="00B2124E">
        <w:t xml:space="preserve">than older millennials </w:t>
      </w:r>
      <w:r>
        <w:t xml:space="preserve">to choose non-motorized modes, but </w:t>
      </w:r>
      <w:r w:rsidR="00F5065C">
        <w:t xml:space="preserve">the effects of </w:t>
      </w:r>
      <w:r w:rsidR="000854BF">
        <w:t xml:space="preserve">age </w:t>
      </w:r>
      <w:r w:rsidR="00F934D5">
        <w:t xml:space="preserve">on </w:t>
      </w:r>
      <w:r>
        <w:t>the choice between car and transit as a commute mode</w:t>
      </w:r>
      <w:r w:rsidR="00C94691">
        <w:t xml:space="preserve"> are less </w:t>
      </w:r>
      <w:r w:rsidR="00AB7957">
        <w:t>pronounced</w:t>
      </w:r>
      <w:r>
        <w:t xml:space="preserve">. </w:t>
      </w:r>
      <w:r w:rsidR="00B2124E">
        <w:t xml:space="preserve">Indeed, </w:t>
      </w:r>
      <w:r w:rsidR="000A6BFD">
        <w:t>as noted earlier</w:t>
      </w:r>
      <w:r w:rsidR="00B2124E">
        <w:t xml:space="preserve">, </w:t>
      </w:r>
      <w:r w:rsidR="000A6BFD">
        <w:t xml:space="preserve">the </w:t>
      </w:r>
      <w:r w:rsidR="00B2124E">
        <w:t>y</w:t>
      </w:r>
      <w:r w:rsidR="00B2124E" w:rsidRPr="00B2124E">
        <w:t xml:space="preserve">oungest millennials </w:t>
      </w:r>
      <w:r w:rsidR="001E4BA4">
        <w:t>we</w:t>
      </w:r>
      <w:r w:rsidR="00B2124E" w:rsidRPr="00B2124E">
        <w:t>re</w:t>
      </w:r>
      <w:r w:rsidR="001E4BA4">
        <w:t xml:space="preserve"> found to be</w:t>
      </w:r>
      <w:r w:rsidR="00B2124E" w:rsidRPr="00B2124E">
        <w:t xml:space="preserve"> less car-oriented, less transit-oriented, and more environmentally sensitive, </w:t>
      </w:r>
      <w:r w:rsidR="00B2124E">
        <w:t xml:space="preserve">which </w:t>
      </w:r>
      <w:r w:rsidR="000A6BFD">
        <w:t>is consistent</w:t>
      </w:r>
      <w:r w:rsidR="00B2124E">
        <w:t xml:space="preserve"> with</w:t>
      </w:r>
      <w:r w:rsidR="00B2124E" w:rsidRPr="00B2124E">
        <w:t xml:space="preserve"> a lifestyle that involves the use of non-motorized transportation modes</w:t>
      </w:r>
      <w:r w:rsidR="00B2124E">
        <w:t>.</w:t>
      </w:r>
      <w:r w:rsidR="00B2124E" w:rsidRPr="00B2124E">
        <w:t xml:space="preserve"> </w:t>
      </w:r>
      <w:r w:rsidR="00B2124E" w:rsidRPr="001E31C7">
        <w:t>A</w:t>
      </w:r>
      <w:r w:rsidR="00B2124E" w:rsidRPr="00907ADF">
        <w:t>s expected, living in urban area</w:t>
      </w:r>
      <w:r w:rsidR="001E4BA4">
        <w:t xml:space="preserve">s </w:t>
      </w:r>
      <w:r w:rsidR="00B2124E" w:rsidRPr="00907ADF">
        <w:t>increases the likelihood of using non-motorized modes of transportation</w:t>
      </w:r>
      <w:r w:rsidR="00AF3661">
        <w:t xml:space="preserve"> (even after accounting for self-selection effects)</w:t>
      </w:r>
      <w:r w:rsidR="000A6BFD">
        <w:t>, presumably due to the greater access to destinations in such areas</w:t>
      </w:r>
      <w:r w:rsidR="00B2124E" w:rsidRPr="00907ADF">
        <w:t>.</w:t>
      </w:r>
      <w:r w:rsidR="00527346">
        <w:t xml:space="preserve"> </w:t>
      </w:r>
      <w:r w:rsidR="004415C5">
        <w:t>Also, i</w:t>
      </w:r>
      <w:r w:rsidR="00B2124E" w:rsidRPr="00A6140E">
        <w:t>n transit</w:t>
      </w:r>
      <w:r w:rsidR="00115BBC">
        <w:t>-</w:t>
      </w:r>
      <w:r w:rsidR="00B2124E" w:rsidRPr="00A6140E">
        <w:t>rich cities,</w:t>
      </w:r>
      <w:r w:rsidR="004415C5">
        <w:t xml:space="preserve"> </w:t>
      </w:r>
      <w:r w:rsidR="00B2124E" w:rsidRPr="00A6140E">
        <w:t>urban residential location choice is associated with an increase in the likelihood of commuting by transit, a finding that is consistent with expectation</w:t>
      </w:r>
      <w:r w:rsidR="000A6BFD">
        <w:t>s</w:t>
      </w:r>
      <w:r w:rsidR="00B2124E" w:rsidRPr="00A6140E">
        <w:t>.</w:t>
      </w:r>
      <w:r w:rsidR="00B2124E" w:rsidRPr="001E31C7">
        <w:t xml:space="preserve"> </w:t>
      </w:r>
      <w:r w:rsidR="00AB7957">
        <w:t xml:space="preserve">It is interesting to note that while parenthood presents a clear positive effect on driver’s license holding and personal vehicle ownership, </w:t>
      </w:r>
      <w:r w:rsidR="00924CD4">
        <w:t>it does not necessarily increase the likelihood of car commute</w:t>
      </w:r>
      <w:r w:rsidR="004415C5">
        <w:t xml:space="preserve"> (see the first row under the last row panel)</w:t>
      </w:r>
      <w:r w:rsidR="00924CD4">
        <w:t>. In general,</w:t>
      </w:r>
      <w:r w:rsidR="00F934D5" w:rsidRPr="00907ADF">
        <w:t xml:space="preserve"> </w:t>
      </w:r>
      <w:r w:rsidR="00B2124E" w:rsidRPr="00907ADF">
        <w:t xml:space="preserve">parents living in urban areas </w:t>
      </w:r>
      <w:r w:rsidR="00534A5D">
        <w:t xml:space="preserve">and/or transit rich-cities </w:t>
      </w:r>
      <w:r w:rsidR="00B2124E" w:rsidRPr="00907ADF">
        <w:t xml:space="preserve">are more likely to commute by transit than parents living in suburbs, small towns, and rural areas. </w:t>
      </w:r>
      <w:r w:rsidR="00C94691">
        <w:t xml:space="preserve">In transit-rich cities, </w:t>
      </w:r>
      <w:r w:rsidR="006F5C0C">
        <w:t xml:space="preserve">being a </w:t>
      </w:r>
      <w:r w:rsidR="00C94691">
        <w:t>parent</w:t>
      </w:r>
      <w:r w:rsidR="006F5C0C">
        <w:t xml:space="preserve"> is associated with a transit share decrease of</w:t>
      </w:r>
      <w:r w:rsidR="00C94691">
        <w:t xml:space="preserve"> </w:t>
      </w:r>
      <w:r w:rsidR="00951B0A">
        <w:t>26.2%</w:t>
      </w:r>
      <w:r w:rsidR="00C94691">
        <w:t xml:space="preserve">. However, </w:t>
      </w:r>
      <w:r w:rsidR="00951B0A">
        <w:t xml:space="preserve">parents </w:t>
      </w:r>
      <w:r w:rsidR="00C94691">
        <w:t xml:space="preserve">living in transit-rich cities are </w:t>
      </w:r>
      <w:r w:rsidR="00951B0A">
        <w:t xml:space="preserve">still </w:t>
      </w:r>
      <w:r w:rsidR="00C94691">
        <w:t xml:space="preserve">more likely to </w:t>
      </w:r>
      <w:r w:rsidR="00951B0A">
        <w:t>use transit as a commute mode</w:t>
      </w:r>
      <w:r w:rsidR="00C94691">
        <w:t xml:space="preserve"> than </w:t>
      </w:r>
      <w:r w:rsidR="00951B0A">
        <w:t xml:space="preserve">parents and </w:t>
      </w:r>
      <w:r w:rsidR="00C94691">
        <w:t>non-parents living in transit</w:t>
      </w:r>
      <w:r w:rsidR="00426348">
        <w:t>-</w:t>
      </w:r>
      <w:r w:rsidR="00C94691">
        <w:t>progressive or deficient cities</w:t>
      </w:r>
      <w:r w:rsidR="00951B0A">
        <w:t xml:space="preserve">. </w:t>
      </w:r>
    </w:p>
    <w:p w:rsidR="00E47714" w:rsidRDefault="00711086" w:rsidP="00A6140E">
      <w:pPr>
        <w:spacing w:after="0" w:line="240" w:lineRule="auto"/>
        <w:ind w:firstLine="720"/>
        <w:jc w:val="both"/>
      </w:pPr>
      <w:r>
        <w:t>Lastly</w:t>
      </w:r>
      <w:r w:rsidR="001044CA" w:rsidRPr="00513BBF">
        <w:t xml:space="preserve">, </w:t>
      </w:r>
      <w:r w:rsidR="004415C5">
        <w:t xml:space="preserve">and again not shown explicitly in Table 3, </w:t>
      </w:r>
      <w:r w:rsidR="000A6BFD">
        <w:t xml:space="preserve">a </w:t>
      </w:r>
      <w:r w:rsidR="008527B6">
        <w:t>pro-</w:t>
      </w:r>
      <w:r w:rsidR="001044CA" w:rsidRPr="00513BBF">
        <w:t>car</w:t>
      </w:r>
      <w:r w:rsidR="00532F5B">
        <w:t xml:space="preserve"> attitude</w:t>
      </w:r>
      <w:r w:rsidR="001044CA" w:rsidRPr="00513BBF">
        <w:t xml:space="preserve"> contribute</w:t>
      </w:r>
      <w:r w:rsidR="000A6BFD">
        <w:t>s</w:t>
      </w:r>
      <w:r w:rsidR="001044CA" w:rsidRPr="00513BBF">
        <w:t xml:space="preserve"> to commuting by car</w:t>
      </w:r>
      <w:r w:rsidR="00A40879">
        <w:t xml:space="preserve"> and</w:t>
      </w:r>
      <w:r w:rsidR="001044CA" w:rsidRPr="00513BBF">
        <w:t xml:space="preserve"> </w:t>
      </w:r>
      <w:r w:rsidR="000A6BFD">
        <w:t xml:space="preserve">a </w:t>
      </w:r>
      <w:r w:rsidR="001044CA" w:rsidRPr="00513BBF">
        <w:t xml:space="preserve">pro-transit </w:t>
      </w:r>
      <w:r w:rsidR="00A40879">
        <w:t>attitude</w:t>
      </w:r>
      <w:r w:rsidR="001044CA" w:rsidRPr="00513BBF">
        <w:t xml:space="preserve"> is </w:t>
      </w:r>
      <w:r w:rsidR="00A40879">
        <w:t xml:space="preserve">positively </w:t>
      </w:r>
      <w:r w:rsidR="001044CA" w:rsidRPr="00513BBF">
        <w:t>associated with commuting by transit</w:t>
      </w:r>
      <w:r w:rsidR="00A40879">
        <w:t xml:space="preserve">. </w:t>
      </w:r>
      <w:r w:rsidR="00871954">
        <w:t>B</w:t>
      </w:r>
      <w:r w:rsidR="00A40879">
        <w:t xml:space="preserve">eing tech-dependent increases the likelihood of an individual choosing transit </w:t>
      </w:r>
      <w:r w:rsidR="003263AD">
        <w:t xml:space="preserve">and </w:t>
      </w:r>
      <w:r w:rsidR="0078712B">
        <w:t>non-motorized modes</w:t>
      </w:r>
      <w:r w:rsidR="00532F5B">
        <w:t xml:space="preserve"> </w:t>
      </w:r>
      <w:r w:rsidR="000A6BFD">
        <w:t>for commuting</w:t>
      </w:r>
      <w:r w:rsidR="003263AD">
        <w:t>.</w:t>
      </w:r>
    </w:p>
    <w:p w:rsidR="008E2D84" w:rsidRPr="00513BBF" w:rsidRDefault="008E2D84" w:rsidP="008E2D84">
      <w:pPr>
        <w:spacing w:after="0" w:line="240" w:lineRule="auto"/>
        <w:jc w:val="both"/>
      </w:pPr>
    </w:p>
    <w:p w:rsidR="00D67437" w:rsidRPr="00513BBF" w:rsidRDefault="00D67437" w:rsidP="00FA1DC4">
      <w:pPr>
        <w:pStyle w:val="Heading1"/>
        <w:spacing w:before="0" w:line="240" w:lineRule="auto"/>
      </w:pPr>
      <w:r w:rsidRPr="00513BBF">
        <w:t>Conclusions and recommendations</w:t>
      </w:r>
    </w:p>
    <w:p w:rsidR="00AD6940" w:rsidRPr="0006785E" w:rsidRDefault="00AD6940" w:rsidP="0098615E">
      <w:pPr>
        <w:spacing w:after="0" w:line="240" w:lineRule="auto"/>
        <w:jc w:val="both"/>
      </w:pPr>
      <w:r w:rsidRPr="00FE009B">
        <w:t xml:space="preserve">There is much interest in understanding the consumption patterns and mobility choices of millennials as </w:t>
      </w:r>
      <w:r w:rsidR="009B3ACB">
        <w:t xml:space="preserve">they become the majority of the population. </w:t>
      </w:r>
      <w:r w:rsidR="0098615E" w:rsidRPr="0006785E">
        <w:t>In comparison to prior generations, millennials are less likely to own and use cars, and more likely to travel fewer miles. However, millennial travel patterns have mostly been studied as a ‘</w:t>
      </w:r>
      <w:r w:rsidR="00F634E3">
        <w:t xml:space="preserve">single </w:t>
      </w:r>
      <w:r w:rsidR="0098615E" w:rsidRPr="0006785E">
        <w:t xml:space="preserve">group’ behavior, without explicitly </w:t>
      </w:r>
      <w:r w:rsidR="00F634E3">
        <w:t>considering</w:t>
      </w:r>
      <w:r w:rsidR="0098615E" w:rsidRPr="0006785E">
        <w:t xml:space="preserve"> the </w:t>
      </w:r>
      <w:r w:rsidR="005B59D9">
        <w:t>heterogeneity that might be present</w:t>
      </w:r>
      <w:r w:rsidR="0098615E" w:rsidRPr="00FE009B">
        <w:t xml:space="preserve"> within </w:t>
      </w:r>
      <w:r w:rsidR="009B3ACB">
        <w:t>this</w:t>
      </w:r>
      <w:r w:rsidR="0098615E" w:rsidRPr="00FE009B">
        <w:t xml:space="preserve"> cohort</w:t>
      </w:r>
      <w:r w:rsidR="0098615E" w:rsidRPr="0006785E">
        <w:t xml:space="preserve">. </w:t>
      </w:r>
      <w:r w:rsidRPr="0006785E">
        <w:t xml:space="preserve">This paper models millennial mobility choices with a focus on car-related travel choices </w:t>
      </w:r>
      <w:r w:rsidR="00835DC0" w:rsidRPr="0006785E">
        <w:t>(</w:t>
      </w:r>
      <w:r w:rsidRPr="0006785E">
        <w:t>driver’s license holding status, vehicle ownership, and commute mode choice</w:t>
      </w:r>
      <w:r w:rsidR="00835DC0" w:rsidRPr="0006785E">
        <w:t>)</w:t>
      </w:r>
      <w:r w:rsidRPr="0006785E">
        <w:t xml:space="preserve">. </w:t>
      </w:r>
      <w:r w:rsidRPr="00A6140E">
        <w:t xml:space="preserve">In particular, </w:t>
      </w:r>
      <w:r w:rsidR="007F13EE">
        <w:t>we</w:t>
      </w:r>
      <w:r w:rsidRPr="00A6140E">
        <w:t xml:space="preserve"> s</w:t>
      </w:r>
      <w:r w:rsidR="004415C5">
        <w:t>ought</w:t>
      </w:r>
      <w:r w:rsidRPr="00A6140E">
        <w:t xml:space="preserve"> to identify heterogeneity </w:t>
      </w:r>
      <w:r w:rsidR="004415C5">
        <w:t xml:space="preserve">patterns </w:t>
      </w:r>
      <w:r w:rsidR="0098615E" w:rsidRPr="00FE009B">
        <w:t>within</w:t>
      </w:r>
      <w:r w:rsidRPr="00A6140E">
        <w:t xml:space="preserve"> the millennial generation</w:t>
      </w:r>
      <w:r w:rsidR="004415C5">
        <w:t>,</w:t>
      </w:r>
      <w:r w:rsidRPr="00A6140E">
        <w:t xml:space="preserve"> while explicitly accounting for</w:t>
      </w:r>
      <w:r w:rsidRPr="00FE009B">
        <w:t xml:space="preserve"> </w:t>
      </w:r>
      <w:r w:rsidRPr="00A6140E">
        <w:t>latent attitudinal and lifestyle factors</w:t>
      </w:r>
      <w:r w:rsidRPr="00FE009B">
        <w:t xml:space="preserve"> (pro-environment attitude, pro-transit attitude, pro-car attitude</w:t>
      </w:r>
      <w:r w:rsidR="00F634E3">
        <w:t>,</w:t>
      </w:r>
      <w:r w:rsidRPr="00FE009B">
        <w:t xml:space="preserve"> and technology dependency)</w:t>
      </w:r>
      <w:r w:rsidR="00DC0BD9" w:rsidRPr="0006785E">
        <w:t>.</w:t>
      </w:r>
      <w:r w:rsidRPr="00FE009B">
        <w:t xml:space="preserve"> </w:t>
      </w:r>
    </w:p>
    <w:p w:rsidR="00867B0D" w:rsidRDefault="00F968D1" w:rsidP="00B271F1">
      <w:pPr>
        <w:spacing w:after="0" w:line="240" w:lineRule="auto"/>
        <w:ind w:firstLine="720"/>
        <w:jc w:val="both"/>
      </w:pPr>
      <w:r>
        <w:lastRenderedPageBreak/>
        <w:t>Our e</w:t>
      </w:r>
      <w:r w:rsidR="00532F5B" w:rsidRPr="0006785E">
        <w:t>stimation results show that millennials exhibit considerable heterogeneity in behavior.</w:t>
      </w:r>
      <w:r w:rsidR="00F91230">
        <w:t xml:space="preserve"> However</w:t>
      </w:r>
      <w:r w:rsidR="00D95415">
        <w:t xml:space="preserve">, also observed </w:t>
      </w:r>
      <w:r>
        <w:t xml:space="preserve">was </w:t>
      </w:r>
      <w:r w:rsidR="00D95415">
        <w:t xml:space="preserve">that, despite being environmentally conscious, the majority of millennials still exhibit a proclivity towards </w:t>
      </w:r>
      <w:r w:rsidR="00432617">
        <w:t xml:space="preserve">being </w:t>
      </w:r>
      <w:r w:rsidR="00D95415">
        <w:t>pro-car.</w:t>
      </w:r>
      <w:r w:rsidR="00532F5B" w:rsidRPr="0006785E">
        <w:t xml:space="preserve"> </w:t>
      </w:r>
      <w:r w:rsidR="00432617">
        <w:t xml:space="preserve">These results suggest that personal automobiles are still seen as the straightforward option associated with </w:t>
      </w:r>
      <w:r w:rsidR="00B06A88">
        <w:t>freedom</w:t>
      </w:r>
      <w:r w:rsidR="00B06A88" w:rsidRPr="00D95415">
        <w:t xml:space="preserve"> </w:t>
      </w:r>
      <w:r w:rsidR="00D95415" w:rsidRPr="00D95415">
        <w:t>and flexibility</w:t>
      </w:r>
      <w:r w:rsidR="00432617">
        <w:t xml:space="preserve">, and </w:t>
      </w:r>
      <w:r w:rsidR="00D95415" w:rsidRPr="00D95415">
        <w:t xml:space="preserve">that pro-environment attitudes </w:t>
      </w:r>
      <w:r>
        <w:t xml:space="preserve">do </w:t>
      </w:r>
      <w:r w:rsidR="00D95415" w:rsidRPr="00D95415">
        <w:t xml:space="preserve">not necessarily </w:t>
      </w:r>
      <w:r w:rsidR="00432617">
        <w:t>result in</w:t>
      </w:r>
      <w:r w:rsidR="00D95415" w:rsidRPr="00D95415">
        <w:t xml:space="preserve"> the adoption of environme</w:t>
      </w:r>
      <w:r w:rsidR="00432617">
        <w:t>ntally sensitive travel choices.</w:t>
      </w:r>
      <w:r w:rsidR="00D95415" w:rsidRPr="00D95415">
        <w:t xml:space="preserve"> </w:t>
      </w:r>
      <w:r w:rsidR="00432617">
        <w:t>Notwithstanding</w:t>
      </w:r>
      <w:r w:rsidR="004415C5">
        <w:t xml:space="preserve"> this observation</w:t>
      </w:r>
      <w:r w:rsidR="00432617">
        <w:t xml:space="preserve">, </w:t>
      </w:r>
      <w:r w:rsidR="00867B0D">
        <w:t>y</w:t>
      </w:r>
      <w:r w:rsidR="00241C87" w:rsidRPr="0006785E">
        <w:t>ounger millennials (less than 2</w:t>
      </w:r>
      <w:r w:rsidR="00BD1297" w:rsidRPr="0006785E">
        <w:t>5</w:t>
      </w:r>
      <w:r w:rsidR="00241C87" w:rsidRPr="0006785E">
        <w:t xml:space="preserve"> years of age</w:t>
      </w:r>
      <w:r w:rsidR="00A42112">
        <w:t>),</w:t>
      </w:r>
      <w:r w:rsidR="00867B0D">
        <w:t xml:space="preserve"> both </w:t>
      </w:r>
      <w:r w:rsidR="00673144">
        <w:t xml:space="preserve">with </w:t>
      </w:r>
      <w:r w:rsidR="00A42112">
        <w:t>and</w:t>
      </w:r>
      <w:r w:rsidR="00867B0D">
        <w:t xml:space="preserve"> </w:t>
      </w:r>
      <w:r w:rsidR="00673144">
        <w:t>without children</w:t>
      </w:r>
      <w:r w:rsidR="00A42112">
        <w:t>,</w:t>
      </w:r>
      <w:r w:rsidR="00A42112" w:rsidRPr="0006785E">
        <w:t xml:space="preserve"> </w:t>
      </w:r>
      <w:r w:rsidR="00241C87" w:rsidRPr="0006785E">
        <w:t xml:space="preserve">are found to be more likely </w:t>
      </w:r>
      <w:r w:rsidR="00A42112">
        <w:t xml:space="preserve">than older millennials </w:t>
      </w:r>
      <w:r w:rsidR="00241C87" w:rsidRPr="0006785E">
        <w:t>to use non-motorized modes of transportation, not have a driver’s license, and eschew car ownership for the time</w:t>
      </w:r>
      <w:r w:rsidR="00673144">
        <w:t xml:space="preserve"> </w:t>
      </w:r>
      <w:r w:rsidR="00241C87" w:rsidRPr="0006785E">
        <w:t xml:space="preserve">being. </w:t>
      </w:r>
    </w:p>
    <w:p w:rsidR="00A9201F" w:rsidRPr="0006785E" w:rsidRDefault="00A90F0E" w:rsidP="00B271F1">
      <w:pPr>
        <w:spacing w:after="0" w:line="240" w:lineRule="auto"/>
        <w:ind w:firstLine="720"/>
        <w:jc w:val="both"/>
      </w:pPr>
      <w:r>
        <w:t>A</w:t>
      </w:r>
      <w:r w:rsidR="00241C87" w:rsidRPr="0006785E">
        <w:t>g</w:t>
      </w:r>
      <w:r w:rsidR="00F634E3">
        <w:t>e</w:t>
      </w:r>
      <w:r w:rsidR="004415C5">
        <w:t xml:space="preserve"> </w:t>
      </w:r>
      <w:r w:rsidR="00241C87" w:rsidRPr="0006785E">
        <w:t xml:space="preserve">and location of residence have </w:t>
      </w:r>
      <w:r w:rsidR="004415C5">
        <w:t xml:space="preserve">substantial and statistically significant </w:t>
      </w:r>
      <w:r w:rsidR="00F634E3">
        <w:t>influence</w:t>
      </w:r>
      <w:r w:rsidR="004415C5">
        <w:t>s</w:t>
      </w:r>
      <w:r w:rsidR="00241C87" w:rsidRPr="0006785E">
        <w:t xml:space="preserve"> on auto-oriented mobility choices. </w:t>
      </w:r>
      <w:r w:rsidR="006D712A">
        <w:rPr>
          <w:rFonts w:cs="Times New Roman"/>
          <w:szCs w:val="24"/>
          <w:shd w:val="clear" w:color="auto" w:fill="FFFFFF"/>
        </w:rPr>
        <w:t>M</w:t>
      </w:r>
      <w:r w:rsidR="006D712A" w:rsidRPr="00C42659">
        <w:rPr>
          <w:rFonts w:cs="Times New Roman"/>
          <w:szCs w:val="24"/>
          <w:shd w:val="clear" w:color="auto" w:fill="FFFFFF"/>
        </w:rPr>
        <w:t xml:space="preserve">illennials </w:t>
      </w:r>
      <w:r w:rsidR="00A75F12">
        <w:rPr>
          <w:rFonts w:cs="Times New Roman"/>
          <w:szCs w:val="24"/>
          <w:shd w:val="clear" w:color="auto" w:fill="FFFFFF"/>
        </w:rPr>
        <w:t>seem to</w:t>
      </w:r>
      <w:r w:rsidR="00A75F12" w:rsidRPr="00C42659">
        <w:rPr>
          <w:rFonts w:cs="Times New Roman"/>
          <w:szCs w:val="24"/>
          <w:shd w:val="clear" w:color="auto" w:fill="FFFFFF"/>
        </w:rPr>
        <w:t xml:space="preserve"> </w:t>
      </w:r>
      <w:r w:rsidR="006D712A" w:rsidRPr="00C42659">
        <w:rPr>
          <w:rFonts w:cs="Times New Roman"/>
          <w:szCs w:val="24"/>
          <w:shd w:val="clear" w:color="auto" w:fill="FFFFFF"/>
        </w:rPr>
        <w:t>become more auto-oriented as they age</w:t>
      </w:r>
      <w:r w:rsidR="00AB7957">
        <w:rPr>
          <w:rFonts w:cs="Times New Roman"/>
          <w:szCs w:val="24"/>
          <w:shd w:val="clear" w:color="auto" w:fill="FFFFFF"/>
        </w:rPr>
        <w:t xml:space="preserve"> and</w:t>
      </w:r>
      <w:r w:rsidR="006D712A" w:rsidRPr="00C42659">
        <w:rPr>
          <w:rFonts w:cs="Times New Roman"/>
          <w:szCs w:val="24"/>
          <w:shd w:val="clear" w:color="auto" w:fill="FFFFFF"/>
        </w:rPr>
        <w:t xml:space="preserve"> gain economic resources</w:t>
      </w:r>
      <w:r w:rsidR="00AB7957">
        <w:rPr>
          <w:rFonts w:cs="Times New Roman"/>
          <w:szCs w:val="24"/>
          <w:shd w:val="clear" w:color="auto" w:fill="FFFFFF"/>
        </w:rPr>
        <w:t>.</w:t>
      </w:r>
      <w:r>
        <w:rPr>
          <w:rFonts w:cs="Times New Roman"/>
          <w:szCs w:val="24"/>
          <w:shd w:val="clear" w:color="auto" w:fill="FFFFFF"/>
        </w:rPr>
        <w:t xml:space="preserve"> </w:t>
      </w:r>
      <w:r w:rsidR="00924CD4">
        <w:rPr>
          <w:rFonts w:cs="Times New Roman"/>
          <w:szCs w:val="24"/>
          <w:shd w:val="clear" w:color="auto" w:fill="FFFFFF"/>
        </w:rPr>
        <w:t xml:space="preserve">Parenthood is clearly associated with an increase in driver’s license holding and personal vehicle </w:t>
      </w:r>
      <w:r w:rsidR="00C66A99">
        <w:rPr>
          <w:rFonts w:cs="Times New Roman"/>
          <w:szCs w:val="24"/>
          <w:shd w:val="clear" w:color="auto" w:fill="FFFFFF"/>
        </w:rPr>
        <w:t>ownership;</w:t>
      </w:r>
      <w:r w:rsidR="00924CD4">
        <w:rPr>
          <w:rFonts w:cs="Times New Roman"/>
          <w:szCs w:val="24"/>
          <w:shd w:val="clear" w:color="auto" w:fill="FFFFFF"/>
        </w:rPr>
        <w:t xml:space="preserve"> however, </w:t>
      </w:r>
      <w:r w:rsidR="00C66A99">
        <w:rPr>
          <w:rFonts w:cs="Times New Roman"/>
          <w:szCs w:val="24"/>
          <w:shd w:val="clear" w:color="auto" w:fill="FFFFFF"/>
        </w:rPr>
        <w:t>in general, it does not seem to have a direct impact on commute mode choice.</w:t>
      </w:r>
      <w:r w:rsidR="00C66A99">
        <w:t xml:space="preserve"> </w:t>
      </w:r>
      <w:r w:rsidR="00A42112">
        <w:t>Parent</w:t>
      </w:r>
      <w:r w:rsidR="00AB7957">
        <w:t>hood</w:t>
      </w:r>
      <w:r w:rsidR="00A42112">
        <w:t xml:space="preserve"> in transit-rich cities </w:t>
      </w:r>
      <w:r w:rsidR="00AB7957">
        <w:t xml:space="preserve">is associated with </w:t>
      </w:r>
      <w:r w:rsidR="00607EE3">
        <w:t>a decrease in transit</w:t>
      </w:r>
      <w:r w:rsidR="00D914B2">
        <w:t>-based</w:t>
      </w:r>
      <w:r w:rsidR="00607EE3">
        <w:t xml:space="preserve"> </w:t>
      </w:r>
      <w:r w:rsidR="00A75F12">
        <w:t>commute;</w:t>
      </w:r>
      <w:r w:rsidR="00A42112">
        <w:t xml:space="preserve"> however</w:t>
      </w:r>
      <w:r>
        <w:t xml:space="preserve">, a parent living </w:t>
      </w:r>
      <w:r w:rsidR="004415C5">
        <w:t xml:space="preserve">in </w:t>
      </w:r>
      <w:r>
        <w:t>a transit-rich city is</w:t>
      </w:r>
      <w:r w:rsidR="00924CD4">
        <w:t xml:space="preserve"> still </w:t>
      </w:r>
      <w:r>
        <w:t xml:space="preserve">far more likely to commute by transit than a </w:t>
      </w:r>
      <w:r w:rsidR="00924CD4">
        <w:t xml:space="preserve">parent or </w:t>
      </w:r>
      <w:r w:rsidR="00C66A99">
        <w:t xml:space="preserve">a </w:t>
      </w:r>
      <w:r>
        <w:t>non-parent living in a transit</w:t>
      </w:r>
      <w:r w:rsidR="00D914B2">
        <w:t>-</w:t>
      </w:r>
      <w:r>
        <w:t>progressive or transit</w:t>
      </w:r>
      <w:r w:rsidR="00D914B2">
        <w:t>-</w:t>
      </w:r>
      <w:r>
        <w:t>deficient city.</w:t>
      </w:r>
      <w:r w:rsidR="00AD42FF">
        <w:t xml:space="preserve"> </w:t>
      </w:r>
      <w:r w:rsidR="00C66A99">
        <w:t>Results also show that l</w:t>
      </w:r>
      <w:r w:rsidR="00AD42FF">
        <w:t xml:space="preserve">and-use density </w:t>
      </w:r>
      <w:r w:rsidR="00C66A99">
        <w:t>can</w:t>
      </w:r>
      <w:r w:rsidR="00AD42FF">
        <w:t xml:space="preserve"> significant</w:t>
      </w:r>
      <w:r w:rsidR="00C66A99">
        <w:t>ly</w:t>
      </w:r>
      <w:r w:rsidR="00AD42FF">
        <w:t xml:space="preserve"> contribut</w:t>
      </w:r>
      <w:r w:rsidR="00C66A99">
        <w:t>e</w:t>
      </w:r>
      <w:r w:rsidR="00AD42FF">
        <w:t xml:space="preserve"> </w:t>
      </w:r>
      <w:r w:rsidR="00527346">
        <w:t>to</w:t>
      </w:r>
      <w:r w:rsidR="00AD42FF">
        <w:t xml:space="preserve"> </w:t>
      </w:r>
      <w:r w:rsidR="00527346">
        <w:t>the decision to opt out of</w:t>
      </w:r>
      <w:r w:rsidR="00AD42FF">
        <w:t xml:space="preserve"> vehicle ownership and use.</w:t>
      </w:r>
      <w:r w:rsidR="00A42112">
        <w:t xml:space="preserve"> </w:t>
      </w:r>
      <w:r w:rsidR="006D712A">
        <w:t>Th</w:t>
      </w:r>
      <w:r w:rsidR="00A75F12">
        <w:t>us</w:t>
      </w:r>
      <w:r w:rsidR="006D712A">
        <w:t>, t</w:t>
      </w:r>
      <w:r w:rsidR="0096485A" w:rsidRPr="0006785E">
        <w:t>he development of a well-connected public transit system</w:t>
      </w:r>
      <w:r w:rsidR="00C66A99">
        <w:t xml:space="preserve"> </w:t>
      </w:r>
      <w:r w:rsidR="00C66A99" w:rsidRPr="0006785E">
        <w:t xml:space="preserve">and </w:t>
      </w:r>
      <w:r w:rsidR="00607EE3">
        <w:t>dense</w:t>
      </w:r>
      <w:r w:rsidR="00527346">
        <w:t>,</w:t>
      </w:r>
      <w:r w:rsidR="00607EE3">
        <w:t xml:space="preserve"> mixed land-use </w:t>
      </w:r>
      <w:r w:rsidR="00C66A99">
        <w:t xml:space="preserve">are the </w:t>
      </w:r>
      <w:r w:rsidR="00A75F12">
        <w:t xml:space="preserve">still </w:t>
      </w:r>
      <w:r w:rsidR="00C66A99">
        <w:t>key ingredients</w:t>
      </w:r>
      <w:r w:rsidR="00C66A99" w:rsidRPr="0006785E">
        <w:t xml:space="preserve"> to </w:t>
      </w:r>
      <w:r w:rsidR="00A75F12">
        <w:t>reducing car commute</w:t>
      </w:r>
      <w:r w:rsidR="00C66A99">
        <w:t xml:space="preserve">. </w:t>
      </w:r>
      <w:r w:rsidR="00607EE3">
        <w:t xml:space="preserve">It is </w:t>
      </w:r>
      <w:r w:rsidR="004415C5">
        <w:t>inevitable</w:t>
      </w:r>
      <w:r w:rsidR="00607EE3">
        <w:t xml:space="preserve"> that millennials will age and </w:t>
      </w:r>
      <w:r w:rsidR="004415C5">
        <w:t xml:space="preserve">potentially </w:t>
      </w:r>
      <w:r w:rsidR="00607EE3">
        <w:t>gain economic resources</w:t>
      </w:r>
      <w:r w:rsidR="00527346">
        <w:t>;</w:t>
      </w:r>
      <w:r w:rsidR="00607EE3">
        <w:t xml:space="preserve"> therefore, p</w:t>
      </w:r>
      <w:r w:rsidR="00E449C6" w:rsidRPr="00FE009B">
        <w:t xml:space="preserve">lanning professionals should explore ways </w:t>
      </w:r>
      <w:r w:rsidR="00F634E3">
        <w:t>to retain millennials</w:t>
      </w:r>
      <w:r w:rsidR="00E449C6" w:rsidRPr="00FE009B">
        <w:t xml:space="preserve"> in the city core so that their sustainable transportation mode use patterns can be </w:t>
      </w:r>
      <w:r w:rsidR="00F634E3">
        <w:t>preserved</w:t>
      </w:r>
      <w:r w:rsidR="00DC0BD9" w:rsidRPr="0006785E">
        <w:t xml:space="preserve"> into the future</w:t>
      </w:r>
      <w:r w:rsidR="00E449C6" w:rsidRPr="0006785E">
        <w:t xml:space="preserve">. </w:t>
      </w:r>
      <w:r w:rsidR="004415C5">
        <w:t xml:space="preserve">In particular, our results clearly indicate a </w:t>
      </w:r>
      <w:r w:rsidR="00607EE3">
        <w:t xml:space="preserve">reduction </w:t>
      </w:r>
      <w:r w:rsidR="004415C5">
        <w:t xml:space="preserve">in the </w:t>
      </w:r>
      <w:r w:rsidR="00607EE3">
        <w:t>use of non-motorized modes with age</w:t>
      </w:r>
      <w:r w:rsidR="00527346">
        <w:t>;</w:t>
      </w:r>
      <w:r w:rsidR="00607EE3">
        <w:t xml:space="preserve"> however, if a well-developed transit network is available, users may </w:t>
      </w:r>
      <w:r w:rsidR="004415C5">
        <w:t>switch from non-motorized modes</w:t>
      </w:r>
      <w:r w:rsidR="00607EE3">
        <w:t xml:space="preserve"> to transit instead of car. Besides, m</w:t>
      </w:r>
      <w:r w:rsidR="00E449C6" w:rsidRPr="0006785E">
        <w:t>ixed</w:t>
      </w:r>
      <w:r w:rsidR="00527346">
        <w:t>-</w:t>
      </w:r>
      <w:r w:rsidR="00E449C6" w:rsidRPr="0006785E">
        <w:t xml:space="preserve">use developments where millennials can work, play, and shop within short distances </w:t>
      </w:r>
      <w:r w:rsidR="00A75F12">
        <w:t>could</w:t>
      </w:r>
      <w:r w:rsidR="00A75F12" w:rsidRPr="0006785E">
        <w:t xml:space="preserve"> </w:t>
      </w:r>
      <w:r w:rsidR="00E449C6" w:rsidRPr="0006785E">
        <w:t>help foster the continued use of non-motorized modes of transportation.</w:t>
      </w:r>
      <w:r w:rsidR="00A9201F" w:rsidRPr="0006785E">
        <w:t xml:space="preserve"> </w:t>
      </w:r>
    </w:p>
    <w:p w:rsidR="00767213" w:rsidRPr="0006785E" w:rsidRDefault="00665AD3" w:rsidP="00767213">
      <w:pPr>
        <w:spacing w:after="0" w:line="240" w:lineRule="auto"/>
        <w:ind w:firstLine="720"/>
        <w:jc w:val="both"/>
      </w:pPr>
      <w:r>
        <w:t>Technology use is another key factor associated</w:t>
      </w:r>
      <w:r w:rsidR="00767213" w:rsidRPr="0006785E">
        <w:t xml:space="preserve"> with the </w:t>
      </w:r>
      <w:r>
        <w:t xml:space="preserve">choice </w:t>
      </w:r>
      <w:r w:rsidR="00767213" w:rsidRPr="0006785E">
        <w:t>of alternative modes of transportation</w:t>
      </w:r>
      <w:r w:rsidR="00E449C6" w:rsidRPr="0006785E">
        <w:t>.</w:t>
      </w:r>
      <w:r w:rsidR="00A9201F" w:rsidRPr="0006785E">
        <w:t xml:space="preserve"> </w:t>
      </w:r>
      <w:r>
        <w:t>Individuals who are more</w:t>
      </w:r>
      <w:r w:rsidR="00A9201F" w:rsidRPr="0006785E">
        <w:t xml:space="preserve"> technology</w:t>
      </w:r>
      <w:r>
        <w:t>-dependent</w:t>
      </w:r>
      <w:r w:rsidR="00A9201F" w:rsidRPr="0006785E">
        <w:t xml:space="preserve"> </w:t>
      </w:r>
      <w:r>
        <w:t>exhibit lower levels of</w:t>
      </w:r>
      <w:r w:rsidR="00A9201F" w:rsidRPr="0006785E">
        <w:t xml:space="preserve"> vehicle ownership and </w:t>
      </w:r>
      <w:r>
        <w:t>usage</w:t>
      </w:r>
      <w:r w:rsidR="00A9201F" w:rsidRPr="0006785E">
        <w:t xml:space="preserve">, and </w:t>
      </w:r>
      <w:r>
        <w:t xml:space="preserve">higher levels of </w:t>
      </w:r>
      <w:r w:rsidR="00A9201F" w:rsidRPr="0006785E">
        <w:t xml:space="preserve">non-motorized mode and transit </w:t>
      </w:r>
      <w:r>
        <w:t xml:space="preserve">use </w:t>
      </w:r>
      <w:r w:rsidR="00A9201F" w:rsidRPr="0006785E">
        <w:t xml:space="preserve">for commuting. This </w:t>
      </w:r>
      <w:r w:rsidR="00AB2614" w:rsidRPr="0006785E">
        <w:t>is evidence</w:t>
      </w:r>
      <w:r w:rsidR="00A9201F" w:rsidRPr="0006785E">
        <w:t xml:space="preserve"> that well informed </w:t>
      </w:r>
      <w:r>
        <w:t xml:space="preserve">and connected </w:t>
      </w:r>
      <w:r w:rsidR="00A9201F" w:rsidRPr="0006785E">
        <w:t xml:space="preserve">individuals </w:t>
      </w:r>
      <w:r>
        <w:t>are better able to access and use alternative modes of transportation</w:t>
      </w:r>
      <w:r w:rsidR="00A9201F" w:rsidRPr="0006785E">
        <w:t xml:space="preserve">. </w:t>
      </w:r>
      <w:r w:rsidR="00E449C6" w:rsidRPr="0006785E">
        <w:t xml:space="preserve">Increasing the availability of </w:t>
      </w:r>
      <w:r>
        <w:t>real-time travel</w:t>
      </w:r>
      <w:r w:rsidR="00E449C6" w:rsidRPr="0006785E">
        <w:t xml:space="preserve"> information through ICT, as well as developing innovative </w:t>
      </w:r>
      <w:r>
        <w:t xml:space="preserve">ICT-based </w:t>
      </w:r>
      <w:r w:rsidR="00E449C6" w:rsidRPr="0006785E">
        <w:t xml:space="preserve">transportation </w:t>
      </w:r>
      <w:r>
        <w:t xml:space="preserve">service </w:t>
      </w:r>
      <w:r w:rsidR="00E449C6" w:rsidRPr="0006785E">
        <w:t>solutions</w:t>
      </w:r>
      <w:r w:rsidR="00527346">
        <w:t>,</w:t>
      </w:r>
      <w:r w:rsidR="00E449C6" w:rsidRPr="0006785E">
        <w:t xml:space="preserve"> </w:t>
      </w:r>
      <w:r>
        <w:t>may help</w:t>
      </w:r>
      <w:r w:rsidR="00E449C6" w:rsidRPr="0006785E">
        <w:t xml:space="preserve"> prolong </w:t>
      </w:r>
      <w:r w:rsidR="00527346">
        <w:t xml:space="preserve">the </w:t>
      </w:r>
      <w:r w:rsidR="00E449C6" w:rsidRPr="0006785E">
        <w:t xml:space="preserve">sustainable travel </w:t>
      </w:r>
      <w:r w:rsidR="0096485A" w:rsidRPr="0006785E">
        <w:t>patterns exhibited by the</w:t>
      </w:r>
      <w:r w:rsidR="00E449C6" w:rsidRPr="0006785E">
        <w:t xml:space="preserve"> millennial</w:t>
      </w:r>
      <w:r w:rsidR="0096485A" w:rsidRPr="0006785E">
        <w:t xml:space="preserve"> generation</w:t>
      </w:r>
      <w:r>
        <w:t xml:space="preserve"> in early adulthood</w:t>
      </w:r>
      <w:r w:rsidR="00E449C6" w:rsidRPr="0006785E">
        <w:t>.</w:t>
      </w:r>
    </w:p>
    <w:p w:rsidR="00420A53" w:rsidRDefault="00D1223B" w:rsidP="00A6140E">
      <w:pPr>
        <w:spacing w:after="0" w:line="240" w:lineRule="auto"/>
        <w:ind w:firstLine="720"/>
        <w:jc w:val="both"/>
      </w:pPr>
      <w:r w:rsidRPr="0006785E">
        <w:t>A</w:t>
      </w:r>
      <w:r w:rsidR="0092358D" w:rsidRPr="0006785E">
        <w:t xml:space="preserve"> </w:t>
      </w:r>
      <w:r w:rsidR="00D17973" w:rsidRPr="0006785E">
        <w:t xml:space="preserve">key </w:t>
      </w:r>
      <w:r w:rsidR="0092358D" w:rsidRPr="0006785E">
        <w:t xml:space="preserve">limitation of the </w:t>
      </w:r>
      <w:r w:rsidRPr="0006785E">
        <w:t>current</w:t>
      </w:r>
      <w:r w:rsidR="0092358D" w:rsidRPr="0006785E">
        <w:t xml:space="preserve"> study </w:t>
      </w:r>
      <w:r w:rsidRPr="0006785E">
        <w:t>stems from the use of</w:t>
      </w:r>
      <w:r w:rsidR="001E31C7" w:rsidRPr="0006785E">
        <w:t xml:space="preserve"> </w:t>
      </w:r>
      <w:r w:rsidR="00665AD3">
        <w:t xml:space="preserve">a </w:t>
      </w:r>
      <w:r w:rsidR="001E31C7" w:rsidRPr="0006785E">
        <w:t>cross-sectional data</w:t>
      </w:r>
      <w:r w:rsidR="00665AD3">
        <w:t xml:space="preserve"> set</w:t>
      </w:r>
      <w:r w:rsidR="006D3D67" w:rsidRPr="0006785E">
        <w:t xml:space="preserve">, which precludes the possibility of </w:t>
      </w:r>
      <w:r w:rsidR="00665AD3">
        <w:t>comparing mobility</w:t>
      </w:r>
      <w:r w:rsidR="006D3D67" w:rsidRPr="0006785E">
        <w:t xml:space="preserve"> choices across generations</w:t>
      </w:r>
      <w:r w:rsidR="00665AD3">
        <w:t xml:space="preserve"> while controlling for age effects</w:t>
      </w:r>
      <w:r w:rsidR="001E31C7" w:rsidRPr="0006785E">
        <w:t xml:space="preserve">. The </w:t>
      </w:r>
      <w:r w:rsidR="00665AD3">
        <w:t>availability of</w:t>
      </w:r>
      <w:r w:rsidR="001E31C7" w:rsidRPr="0006785E">
        <w:t xml:space="preserve"> longitudinal data </w:t>
      </w:r>
      <w:r w:rsidR="00A2420C" w:rsidRPr="0006785E">
        <w:t>would</w:t>
      </w:r>
      <w:r w:rsidR="001E31C7" w:rsidRPr="0006785E">
        <w:t xml:space="preserve"> allow </w:t>
      </w:r>
      <w:r w:rsidR="00A2420C" w:rsidRPr="0006785E">
        <w:t xml:space="preserve">for </w:t>
      </w:r>
      <w:r w:rsidR="006D3D67" w:rsidRPr="0006785E">
        <w:t xml:space="preserve">such </w:t>
      </w:r>
      <w:r w:rsidR="001E31C7" w:rsidRPr="0006785E">
        <w:t>comparison</w:t>
      </w:r>
      <w:r w:rsidRPr="0006785E">
        <w:t>s</w:t>
      </w:r>
      <w:r w:rsidR="001E31C7" w:rsidRPr="0006785E">
        <w:t xml:space="preserve"> </w:t>
      </w:r>
      <w:r w:rsidR="006D3D67" w:rsidRPr="0006785E">
        <w:t xml:space="preserve">and also help </w:t>
      </w:r>
      <w:r w:rsidR="00527346">
        <w:t xml:space="preserve">explain </w:t>
      </w:r>
      <w:r w:rsidR="00665AD3">
        <w:t>changes</w:t>
      </w:r>
      <w:r w:rsidR="006D3D67" w:rsidRPr="0006785E">
        <w:t xml:space="preserve"> in </w:t>
      </w:r>
      <w:r w:rsidR="001E31C7" w:rsidRPr="0006785E">
        <w:t>attitudes</w:t>
      </w:r>
      <w:r w:rsidR="006D3D67" w:rsidRPr="0006785E">
        <w:t>/beliefs</w:t>
      </w:r>
      <w:r w:rsidR="001E31C7" w:rsidRPr="0006785E">
        <w:t xml:space="preserve"> over time. </w:t>
      </w:r>
      <w:r w:rsidR="00665AD3">
        <w:t>Exploring the</w:t>
      </w:r>
      <w:r w:rsidR="001E31C7" w:rsidRPr="0006785E">
        <w:t xml:space="preserve"> question of whether current attitudes can predict </w:t>
      </w:r>
      <w:r w:rsidR="00665AD3">
        <w:t>millennial travel behavior</w:t>
      </w:r>
      <w:r w:rsidR="001E31C7" w:rsidRPr="0006785E">
        <w:t xml:space="preserve"> </w:t>
      </w:r>
      <w:r w:rsidR="00A6140E">
        <w:t xml:space="preserve">in the future </w:t>
      </w:r>
      <w:r w:rsidRPr="0006785E">
        <w:t xml:space="preserve">is a fruitful direction for </w:t>
      </w:r>
      <w:r w:rsidR="00A6140E">
        <w:t>additional</w:t>
      </w:r>
      <w:r w:rsidRPr="0006785E">
        <w:t xml:space="preserve"> research</w:t>
      </w:r>
      <w:r w:rsidR="001E31C7" w:rsidRPr="0006785E">
        <w:t xml:space="preserve">. </w:t>
      </w:r>
    </w:p>
    <w:p w:rsidR="001E31C7" w:rsidRDefault="001E31C7" w:rsidP="00FA1DC4">
      <w:pPr>
        <w:spacing w:after="0" w:line="240" w:lineRule="auto"/>
      </w:pPr>
    </w:p>
    <w:p w:rsidR="00532F5B" w:rsidRDefault="00532F5B" w:rsidP="00EB6060">
      <w:pPr>
        <w:spacing w:after="0" w:line="240" w:lineRule="auto"/>
      </w:pPr>
      <w:r w:rsidRPr="001E31C7">
        <w:rPr>
          <w:b/>
        </w:rPr>
        <w:t>ACKNOWLEDGMENTS</w:t>
      </w:r>
    </w:p>
    <w:p w:rsidR="00532F5B" w:rsidRPr="00923E87" w:rsidRDefault="00532F5B" w:rsidP="00EB6060">
      <w:pPr>
        <w:spacing w:after="0" w:line="240" w:lineRule="auto"/>
        <w:jc w:val="both"/>
      </w:pPr>
      <w:r w:rsidRPr="00923E87">
        <w:t xml:space="preserve">The first author would like to acknowledge funding support from CAPES and the Brazilian Government. </w:t>
      </w:r>
      <w:r w:rsidR="00414AC4" w:rsidRPr="00923E87">
        <w:t>The third author would like to acknowledge support from a Humboldt Research Award from the Alexander von Humboldt Foundation, Germany. The authors are grateful to Lisa Macias for her help in formatting this document, and to three anonymous referees who provided useful comments on an earlier version of the paper.</w:t>
      </w:r>
    </w:p>
    <w:p w:rsidR="009D1242" w:rsidRDefault="009D1242" w:rsidP="00FA1DC4">
      <w:pPr>
        <w:spacing w:after="0" w:line="240" w:lineRule="auto"/>
      </w:pPr>
    </w:p>
    <w:p w:rsidR="00D06B3A" w:rsidRPr="00420A53" w:rsidRDefault="00420A53" w:rsidP="00FA1DC4">
      <w:pPr>
        <w:spacing w:after="0" w:line="240" w:lineRule="auto"/>
        <w:rPr>
          <w:b/>
        </w:rPr>
      </w:pPr>
      <w:r w:rsidRPr="00420A53">
        <w:rPr>
          <w:b/>
        </w:rPr>
        <w:t>REFERENCES</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 xml:space="preserve">Pew Research Center.  Millennials Surpass Gen Xers as the Largest Generation in U.S. Labor Force, 2015. </w:t>
      </w:r>
      <w:hyperlink r:id="rId15" w:history="1">
        <w:r w:rsidRPr="003773F5">
          <w:rPr>
            <w:rStyle w:val="Hyperlink"/>
          </w:rPr>
          <w:t>http://www.pewresearch.org/fact-tank/2015/05/11/millennials-surpass-gen-xers-as-the-largest-generation-in-u-s-labor-force</w:t>
        </w:r>
      </w:hyperlink>
      <w:r w:rsidRPr="0041741C">
        <w:rPr>
          <w:rFonts w:cs="Times New Roman"/>
          <w:szCs w:val="24"/>
          <w:shd w:val="clear" w:color="auto" w:fill="FFFFFF"/>
        </w:rPr>
        <w:t>. Accessed July 20, 2016.</w:t>
      </w:r>
    </w:p>
    <w:p w:rsidR="00ED6250" w:rsidRPr="0041741C" w:rsidRDefault="00ED6250" w:rsidP="0041741C">
      <w:pPr>
        <w:pStyle w:val="ListParagraph"/>
        <w:numPr>
          <w:ilvl w:val="0"/>
          <w:numId w:val="35"/>
        </w:numPr>
        <w:spacing w:after="0" w:line="240" w:lineRule="auto"/>
        <w:ind w:left="360"/>
        <w:rPr>
          <w:rFonts w:cs="Times New Roman"/>
          <w:szCs w:val="24"/>
        </w:rPr>
      </w:pPr>
      <w:r w:rsidRPr="0041741C">
        <w:rPr>
          <w:rFonts w:cs="Times New Roman"/>
          <w:szCs w:val="24"/>
        </w:rPr>
        <w:t xml:space="preserve">McDonald, N. C. Are Millennials Really the “Go-Nowhere” Generation?, </w:t>
      </w:r>
      <w:r w:rsidRPr="0041741C">
        <w:rPr>
          <w:rFonts w:cs="Times New Roman"/>
          <w:i/>
          <w:szCs w:val="24"/>
        </w:rPr>
        <w:t>Journal of the American Planning Association</w:t>
      </w:r>
      <w:r w:rsidRPr="0041741C">
        <w:rPr>
          <w:rFonts w:cs="Times New Roman"/>
          <w:szCs w:val="24"/>
        </w:rPr>
        <w:t>, Vol. 81, No. 2, 2015, pp. 90-103.</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Dutzik</w:t>
      </w:r>
      <w:proofErr w:type="spellEnd"/>
      <w:r w:rsidRPr="0041741C">
        <w:rPr>
          <w:rFonts w:cs="Times New Roman"/>
          <w:szCs w:val="24"/>
          <w:shd w:val="clear" w:color="auto" w:fill="FFFFFF"/>
        </w:rPr>
        <w:t xml:space="preserve">, T., and P. </w:t>
      </w:r>
      <w:proofErr w:type="spellStart"/>
      <w:r w:rsidRPr="0041741C">
        <w:rPr>
          <w:rFonts w:cs="Times New Roman"/>
          <w:szCs w:val="24"/>
          <w:shd w:val="clear" w:color="auto" w:fill="FFFFFF"/>
        </w:rPr>
        <w:t>Baxandall</w:t>
      </w:r>
      <w:proofErr w:type="spellEnd"/>
      <w:r w:rsidRPr="0041741C">
        <w:rPr>
          <w:rFonts w:cs="Times New Roman"/>
          <w:szCs w:val="24"/>
          <w:shd w:val="clear" w:color="auto" w:fill="FFFFFF"/>
        </w:rPr>
        <w:t xml:space="preserve">. A New Direction: Our Changing Relationship with Driving and the Implications for America’s Future, 2013. </w:t>
      </w:r>
      <w:hyperlink r:id="rId16" w:history="1">
        <w:r w:rsidRPr="0041741C">
          <w:rPr>
            <w:rStyle w:val="Hyperlink"/>
            <w:rFonts w:cs="Times New Roman"/>
            <w:szCs w:val="24"/>
            <w:shd w:val="clear" w:color="auto" w:fill="FFFFFF"/>
          </w:rPr>
          <w:t>http://www.uspirg.org/sites/pirg/files/reports/A%20New%20Direction%20vUS.pdf</w:t>
        </w:r>
      </w:hyperlink>
      <w:r w:rsidRPr="0041741C">
        <w:rPr>
          <w:rFonts w:cs="Times New Roman"/>
          <w:szCs w:val="24"/>
          <w:shd w:val="clear" w:color="auto" w:fill="FFFFFF"/>
        </w:rPr>
        <w:t>. Accessed July 26, 2016.</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Dutzik</w:t>
      </w:r>
      <w:proofErr w:type="spellEnd"/>
      <w:r w:rsidRPr="0041741C">
        <w:rPr>
          <w:rFonts w:cs="Times New Roman"/>
          <w:szCs w:val="24"/>
          <w:shd w:val="clear" w:color="auto" w:fill="FFFFFF"/>
        </w:rPr>
        <w:t xml:space="preserve">, T., J. </w:t>
      </w:r>
      <w:proofErr w:type="spellStart"/>
      <w:r w:rsidRPr="0041741C">
        <w:rPr>
          <w:rFonts w:cs="Times New Roman"/>
          <w:szCs w:val="24"/>
          <w:shd w:val="clear" w:color="auto" w:fill="FFFFFF"/>
        </w:rPr>
        <w:t>Inglis</w:t>
      </w:r>
      <w:proofErr w:type="spellEnd"/>
      <w:r w:rsidRPr="0041741C">
        <w:rPr>
          <w:rFonts w:cs="Times New Roman"/>
          <w:szCs w:val="24"/>
          <w:shd w:val="clear" w:color="auto" w:fill="FFFFFF"/>
        </w:rPr>
        <w:t xml:space="preserve"> and P. </w:t>
      </w:r>
      <w:proofErr w:type="spellStart"/>
      <w:r w:rsidRPr="0041741C">
        <w:rPr>
          <w:rFonts w:cs="Times New Roman"/>
          <w:szCs w:val="24"/>
          <w:shd w:val="clear" w:color="auto" w:fill="FFFFFF"/>
        </w:rPr>
        <w:t>Baxandall</w:t>
      </w:r>
      <w:proofErr w:type="spellEnd"/>
      <w:r w:rsidRPr="0041741C">
        <w:rPr>
          <w:rFonts w:cs="Times New Roman"/>
          <w:szCs w:val="24"/>
          <w:shd w:val="clear" w:color="auto" w:fill="FFFFFF"/>
        </w:rPr>
        <w:t xml:space="preserve">. Millennials in Motion: Changing Travel Habits of Young Americans and the Implications for Public Policy, US PIRG, Boston, 2014. </w:t>
      </w:r>
      <w:hyperlink r:id="rId17" w:history="1">
        <w:r w:rsidRPr="0041741C">
          <w:rPr>
            <w:rStyle w:val="Hyperlink"/>
            <w:rFonts w:cs="Times New Roman"/>
            <w:szCs w:val="24"/>
            <w:shd w:val="clear" w:color="auto" w:fill="FFFFFF"/>
          </w:rPr>
          <w:t>http://www.uspirg.org/reports/usp/millennials-motion</w:t>
        </w:r>
      </w:hyperlink>
      <w:r w:rsidRPr="0041741C">
        <w:rPr>
          <w:rFonts w:cs="Times New Roman"/>
          <w:szCs w:val="24"/>
          <w:shd w:val="clear" w:color="auto" w:fill="FFFFFF"/>
        </w:rPr>
        <w:t>. Accessed July 26, 2016.</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 xml:space="preserve">Case, R. B., and S. </w:t>
      </w:r>
      <w:proofErr w:type="spellStart"/>
      <w:r w:rsidRPr="0041741C">
        <w:rPr>
          <w:rFonts w:cs="Times New Roman"/>
          <w:szCs w:val="24"/>
          <w:shd w:val="clear" w:color="auto" w:fill="FFFFFF"/>
        </w:rPr>
        <w:t>Schipinski</w:t>
      </w:r>
      <w:proofErr w:type="spellEnd"/>
      <w:r w:rsidRPr="0041741C">
        <w:rPr>
          <w:rFonts w:cs="Times New Roman"/>
          <w:szCs w:val="24"/>
          <w:shd w:val="clear" w:color="auto" w:fill="FFFFFF"/>
        </w:rPr>
        <w:t>. Mode Choices of Millennials: How different? How Enduring</w:t>
      </w:r>
      <w:proofErr w:type="gramStart"/>
      <w:r w:rsidRPr="0041741C">
        <w:rPr>
          <w:rFonts w:cs="Times New Roman"/>
          <w:szCs w:val="24"/>
          <w:shd w:val="clear" w:color="auto" w:fill="FFFFFF"/>
        </w:rPr>
        <w:t>?,</w:t>
      </w:r>
      <w:proofErr w:type="gramEnd"/>
      <w:r w:rsidRPr="0041741C">
        <w:rPr>
          <w:rFonts w:cs="Times New Roman"/>
          <w:szCs w:val="24"/>
          <w:shd w:val="clear" w:color="auto" w:fill="FFFFFF"/>
        </w:rPr>
        <w:t xml:space="preserve"> 2015. </w:t>
      </w:r>
      <w:hyperlink r:id="rId18" w:history="1">
        <w:r w:rsidRPr="0041741C">
          <w:rPr>
            <w:rStyle w:val="Hyperlink"/>
            <w:rFonts w:cs="Times New Roman"/>
            <w:szCs w:val="24"/>
            <w:shd w:val="clear" w:color="auto" w:fill="FFFFFF"/>
          </w:rPr>
          <w:t>http://hrtpo.org/uploads/docs/Millennials%20Report%20DRAFT.pdf</w:t>
        </w:r>
      </w:hyperlink>
      <w:r w:rsidRPr="0041741C">
        <w:rPr>
          <w:rFonts w:cs="Times New Roman"/>
          <w:szCs w:val="24"/>
          <w:shd w:val="clear" w:color="auto" w:fill="FFFFFF"/>
        </w:rPr>
        <w:t>. Accessed July 26, 2016.</w:t>
      </w:r>
      <w:r w:rsidRPr="0041741C" w:rsidDel="00B86D72">
        <w:rPr>
          <w:rFonts w:cs="Times New Roman"/>
          <w:szCs w:val="24"/>
          <w:shd w:val="clear" w:color="auto" w:fill="FFFFFF"/>
        </w:rPr>
        <w:t xml:space="preserve"> </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Garikapati, V. M., R. M. Pendyala, E. A. Morris, P. L. Mokhtarian, and N. McDonald. Activity Patterns, Time Use, and Travel of Millennials: A Generation in Transition</w:t>
      </w:r>
      <w:proofErr w:type="gramStart"/>
      <w:r w:rsidRPr="0041741C">
        <w:rPr>
          <w:rFonts w:cs="Times New Roman"/>
          <w:szCs w:val="24"/>
          <w:shd w:val="clear" w:color="auto" w:fill="FFFFFF"/>
        </w:rPr>
        <w:t>?.</w:t>
      </w:r>
      <w:proofErr w:type="gramEnd"/>
      <w:r w:rsidRPr="0041741C">
        <w:rPr>
          <w:rFonts w:cs="Times New Roman"/>
          <w:szCs w:val="24"/>
          <w:shd w:val="clear" w:color="auto" w:fill="FFFFFF"/>
        </w:rPr>
        <w:t xml:space="preserve"> </w:t>
      </w:r>
      <w:r w:rsidRPr="0041741C">
        <w:rPr>
          <w:rFonts w:cs="Times New Roman"/>
          <w:i/>
          <w:szCs w:val="24"/>
          <w:shd w:val="clear" w:color="auto" w:fill="FFFFFF"/>
        </w:rPr>
        <w:t>Transport Reviews</w:t>
      </w:r>
      <w:r w:rsidRPr="0041741C">
        <w:rPr>
          <w:rFonts w:cs="Times New Roman"/>
          <w:szCs w:val="24"/>
          <w:shd w:val="clear" w:color="auto" w:fill="FFFFFF"/>
        </w:rPr>
        <w:t>, Vol. 36, No. 3, 2016, pp. 558-584.</w:t>
      </w:r>
    </w:p>
    <w:p w:rsidR="003E3C4B" w:rsidRPr="0041741C" w:rsidRDefault="003E3C4B"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Ralph</w:t>
      </w:r>
      <w:r w:rsidR="00033BEE" w:rsidRPr="0041741C">
        <w:rPr>
          <w:rFonts w:cs="Times New Roman"/>
          <w:szCs w:val="24"/>
          <w:shd w:val="clear" w:color="auto" w:fill="FFFFFF"/>
        </w:rPr>
        <w:t>,</w:t>
      </w:r>
      <w:r w:rsidRPr="0041741C">
        <w:rPr>
          <w:rFonts w:cs="Times New Roman"/>
          <w:szCs w:val="24"/>
          <w:shd w:val="clear" w:color="auto" w:fill="FFFFFF"/>
        </w:rPr>
        <w:t xml:space="preserve"> K. M. Multimodal Millennials? The Four Traveler Types of Young People in the United States in 2009. </w:t>
      </w:r>
      <w:r w:rsidRPr="0041741C">
        <w:rPr>
          <w:rFonts w:cs="Times New Roman"/>
          <w:i/>
          <w:szCs w:val="24"/>
          <w:shd w:val="clear" w:color="auto" w:fill="FFFFFF"/>
        </w:rPr>
        <w:t>Journal of Planning Education and Research</w:t>
      </w:r>
      <w:r w:rsidRPr="0041741C">
        <w:rPr>
          <w:rFonts w:cs="Times New Roman"/>
          <w:szCs w:val="24"/>
          <w:shd w:val="clear" w:color="auto" w:fill="FFFFFF"/>
        </w:rPr>
        <w:t>. 2016 Jun 8:0739456X16651930.</w:t>
      </w:r>
    </w:p>
    <w:p w:rsidR="00954ACD" w:rsidRDefault="003E3C4B" w:rsidP="0041741C">
      <w:pPr>
        <w:pStyle w:val="ListParagraph"/>
        <w:numPr>
          <w:ilvl w:val="0"/>
          <w:numId w:val="35"/>
        </w:numPr>
        <w:spacing w:after="0" w:line="240" w:lineRule="auto"/>
        <w:ind w:left="360"/>
      </w:pPr>
      <w:r w:rsidRPr="0041741C">
        <w:rPr>
          <w:rFonts w:cs="Times New Roman"/>
          <w:szCs w:val="24"/>
          <w:shd w:val="clear" w:color="auto" w:fill="FFFFFF"/>
        </w:rPr>
        <w:t xml:space="preserve">Transit Center. </w:t>
      </w:r>
      <w:r w:rsidRPr="0041741C">
        <w:rPr>
          <w:rFonts w:cs="Times New Roman"/>
          <w:i/>
          <w:szCs w:val="24"/>
          <w:shd w:val="clear" w:color="auto" w:fill="FFFFFF"/>
        </w:rPr>
        <w:t xml:space="preserve">Who’s On Board: 2014 Mobility Attitudes </w:t>
      </w:r>
      <w:proofErr w:type="gramStart"/>
      <w:r w:rsidRPr="0041741C">
        <w:rPr>
          <w:rFonts w:cs="Times New Roman"/>
          <w:i/>
          <w:szCs w:val="24"/>
          <w:shd w:val="clear" w:color="auto" w:fill="FFFFFF"/>
        </w:rPr>
        <w:t>Survey.</w:t>
      </w:r>
      <w:proofErr w:type="gramEnd"/>
      <w:r w:rsidRPr="006E31F6">
        <w:t xml:space="preserve"> </w:t>
      </w:r>
      <w:r w:rsidRPr="0041741C">
        <w:rPr>
          <w:rFonts w:cs="Times New Roman"/>
          <w:szCs w:val="24"/>
          <w:shd w:val="clear" w:color="auto" w:fill="FFFFFF"/>
        </w:rPr>
        <w:t>Transit Center</w:t>
      </w:r>
      <w:r w:rsidRPr="0041741C">
        <w:rPr>
          <w:rFonts w:cs="Times New Roman"/>
          <w:i/>
          <w:szCs w:val="24"/>
          <w:shd w:val="clear" w:color="auto" w:fill="FFFFFF"/>
        </w:rPr>
        <w:t xml:space="preserve"> </w:t>
      </w:r>
      <w:r w:rsidRPr="0041741C">
        <w:rPr>
          <w:rFonts w:cs="Times New Roman"/>
          <w:szCs w:val="24"/>
          <w:shd w:val="clear" w:color="auto" w:fill="FFFFFF"/>
        </w:rPr>
        <w:t>New York,</w:t>
      </w:r>
      <w:r>
        <w:t xml:space="preserve"> NY. </w:t>
      </w:r>
      <w:hyperlink r:id="rId19" w:history="1">
        <w:r w:rsidRPr="007A501E">
          <w:rPr>
            <w:rStyle w:val="Hyperlink"/>
          </w:rPr>
          <w:t>http://transitcenter.org/wp-content/uploads/2014/08/WhosOnBoard2014-ForWeb.pdf</w:t>
        </w:r>
      </w:hyperlink>
      <w:r>
        <w:t>. Accessed November 10, 2016.</w:t>
      </w:r>
      <w:r w:rsidRPr="006E31F6">
        <w:t xml:space="preserve"> </w:t>
      </w:r>
    </w:p>
    <w:p w:rsidR="00DE0B24" w:rsidRPr="0041741C" w:rsidRDefault="00DE0B24"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Bhat, C.</w:t>
      </w:r>
      <w:r w:rsidR="0096641F" w:rsidRPr="0041741C">
        <w:rPr>
          <w:rFonts w:cs="Times New Roman"/>
          <w:szCs w:val="24"/>
          <w:shd w:val="clear" w:color="auto" w:fill="FFFFFF"/>
        </w:rPr>
        <w:t xml:space="preserve"> </w:t>
      </w:r>
      <w:r w:rsidR="00033BEE" w:rsidRPr="0041741C">
        <w:rPr>
          <w:rFonts w:cs="Times New Roman"/>
          <w:szCs w:val="24"/>
          <w:shd w:val="clear" w:color="auto" w:fill="FFFFFF"/>
        </w:rPr>
        <w:t>R.</w:t>
      </w:r>
      <w:r w:rsidRPr="0041741C">
        <w:rPr>
          <w:rFonts w:cs="Times New Roman"/>
          <w:szCs w:val="24"/>
          <w:shd w:val="clear" w:color="auto" w:fill="FFFFFF"/>
        </w:rPr>
        <w:t xml:space="preserve"> A </w:t>
      </w:r>
      <w:r w:rsidR="00B86D72" w:rsidRPr="0041741C">
        <w:rPr>
          <w:rFonts w:cs="Times New Roman"/>
          <w:szCs w:val="24"/>
          <w:shd w:val="clear" w:color="auto" w:fill="FFFFFF"/>
        </w:rPr>
        <w:t xml:space="preserve">New Generalized Heterogeneous Data Model </w:t>
      </w:r>
      <w:r w:rsidRPr="0041741C">
        <w:rPr>
          <w:rFonts w:cs="Times New Roman"/>
          <w:szCs w:val="24"/>
          <w:shd w:val="clear" w:color="auto" w:fill="FFFFFF"/>
        </w:rPr>
        <w:t xml:space="preserve">(GHDM) </w:t>
      </w:r>
      <w:r w:rsidR="00BC4E27" w:rsidRPr="0041741C">
        <w:rPr>
          <w:rFonts w:cs="Times New Roman"/>
          <w:szCs w:val="24"/>
          <w:shd w:val="clear" w:color="auto" w:fill="FFFFFF"/>
        </w:rPr>
        <w:t xml:space="preserve">to </w:t>
      </w:r>
      <w:r w:rsidR="00B86D72" w:rsidRPr="0041741C">
        <w:rPr>
          <w:rFonts w:cs="Times New Roman"/>
          <w:szCs w:val="24"/>
          <w:shd w:val="clear" w:color="auto" w:fill="FFFFFF"/>
        </w:rPr>
        <w:t>Jointly Model Mixed Types</w:t>
      </w:r>
      <w:r w:rsidRPr="0041741C">
        <w:rPr>
          <w:rFonts w:cs="Times New Roman"/>
          <w:szCs w:val="24"/>
          <w:shd w:val="clear" w:color="auto" w:fill="FFFFFF"/>
        </w:rPr>
        <w:t xml:space="preserve"> of </w:t>
      </w:r>
      <w:r w:rsidR="00B86D72" w:rsidRPr="0041741C">
        <w:rPr>
          <w:rFonts w:cs="Times New Roman"/>
          <w:szCs w:val="24"/>
          <w:shd w:val="clear" w:color="auto" w:fill="FFFFFF"/>
        </w:rPr>
        <w:t>Dependent Variables</w:t>
      </w:r>
      <w:r w:rsidRPr="0041741C">
        <w:rPr>
          <w:rFonts w:cs="Times New Roman"/>
          <w:szCs w:val="24"/>
          <w:shd w:val="clear" w:color="auto" w:fill="FFFFFF"/>
        </w:rPr>
        <w:t xml:space="preserve">. </w:t>
      </w:r>
      <w:r w:rsidRPr="0041741C">
        <w:rPr>
          <w:rFonts w:cs="Times New Roman"/>
          <w:i/>
          <w:szCs w:val="24"/>
          <w:shd w:val="clear" w:color="auto" w:fill="FFFFFF"/>
        </w:rPr>
        <w:t>Transportation Research Part B</w:t>
      </w:r>
      <w:r w:rsidRPr="0041741C">
        <w:rPr>
          <w:rFonts w:cs="Times New Roman"/>
          <w:szCs w:val="24"/>
          <w:shd w:val="clear" w:color="auto" w:fill="FFFFFF"/>
        </w:rPr>
        <w:t xml:space="preserve">, </w:t>
      </w:r>
      <w:r w:rsidR="00B86D72" w:rsidRPr="0041741C">
        <w:rPr>
          <w:rFonts w:cs="Times New Roman"/>
          <w:szCs w:val="24"/>
          <w:shd w:val="clear" w:color="auto" w:fill="FFFFFF"/>
        </w:rPr>
        <w:t xml:space="preserve">Vol. </w:t>
      </w:r>
      <w:r w:rsidRPr="0041741C">
        <w:rPr>
          <w:rFonts w:cs="Times New Roman"/>
          <w:szCs w:val="24"/>
          <w:shd w:val="clear" w:color="auto" w:fill="FFFFFF"/>
        </w:rPr>
        <w:t xml:space="preserve">79, </w:t>
      </w:r>
      <w:r w:rsidR="00BC7AEF" w:rsidRPr="0041741C">
        <w:rPr>
          <w:rFonts w:cs="Times New Roman"/>
          <w:szCs w:val="24"/>
          <w:shd w:val="clear" w:color="auto" w:fill="FFFFFF"/>
        </w:rPr>
        <w:t xml:space="preserve">2015, </w:t>
      </w:r>
      <w:r w:rsidRPr="0041741C">
        <w:rPr>
          <w:rFonts w:cs="Times New Roman"/>
          <w:szCs w:val="24"/>
          <w:shd w:val="clear" w:color="auto" w:fill="FFFFFF"/>
        </w:rPr>
        <w:t>pp.</w:t>
      </w:r>
      <w:r w:rsidR="00B86D72" w:rsidRPr="0041741C">
        <w:rPr>
          <w:rFonts w:cs="Times New Roman"/>
          <w:szCs w:val="24"/>
          <w:shd w:val="clear" w:color="auto" w:fill="FFFFFF"/>
        </w:rPr>
        <w:t xml:space="preserve"> </w:t>
      </w:r>
      <w:r w:rsidRPr="0041741C">
        <w:rPr>
          <w:rFonts w:cs="Times New Roman"/>
          <w:szCs w:val="24"/>
          <w:shd w:val="clear" w:color="auto" w:fill="FFFFFF"/>
        </w:rPr>
        <w:t>50-77.</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Bagley, M. N.</w:t>
      </w:r>
      <w:r w:rsidR="00033BEE" w:rsidRPr="0041741C">
        <w:rPr>
          <w:rFonts w:cs="Times New Roman"/>
          <w:szCs w:val="24"/>
          <w:shd w:val="clear" w:color="auto" w:fill="FFFFFF"/>
        </w:rPr>
        <w:t>,</w:t>
      </w:r>
      <w:r w:rsidRPr="0041741C">
        <w:rPr>
          <w:rFonts w:cs="Times New Roman"/>
          <w:szCs w:val="24"/>
          <w:shd w:val="clear" w:color="auto" w:fill="FFFFFF"/>
        </w:rPr>
        <w:t xml:space="preserve"> and P. L. Mokhtarian. The Impact of Residential Neighborhood Type on Travel Behavior: A Structural Equations Modeling Approach. </w:t>
      </w:r>
      <w:r w:rsidRPr="0041741C">
        <w:rPr>
          <w:rFonts w:cs="Times New Roman"/>
          <w:i/>
          <w:szCs w:val="24"/>
          <w:shd w:val="clear" w:color="auto" w:fill="FFFFFF"/>
        </w:rPr>
        <w:t>The Annals of Regional Science</w:t>
      </w:r>
      <w:r w:rsidRPr="0041741C">
        <w:rPr>
          <w:rFonts w:cs="Times New Roman"/>
          <w:szCs w:val="24"/>
          <w:shd w:val="clear" w:color="auto" w:fill="FFFFFF"/>
        </w:rPr>
        <w:t xml:space="preserve">, Vol. 36, No. 2, 2002, pp. 279-297. </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 xml:space="preserve">Handy, S., X. Cao, and P. Mokhtarian. Correlation or Causality </w:t>
      </w:r>
      <w:proofErr w:type="gramStart"/>
      <w:r w:rsidRPr="0041741C">
        <w:rPr>
          <w:rFonts w:cs="Times New Roman"/>
          <w:szCs w:val="24"/>
          <w:shd w:val="clear" w:color="auto" w:fill="FFFFFF"/>
        </w:rPr>
        <w:t>Between</w:t>
      </w:r>
      <w:proofErr w:type="gramEnd"/>
      <w:r w:rsidRPr="0041741C">
        <w:rPr>
          <w:rFonts w:cs="Times New Roman"/>
          <w:szCs w:val="24"/>
          <w:shd w:val="clear" w:color="auto" w:fill="FFFFFF"/>
        </w:rPr>
        <w:t xml:space="preserve"> the Built Environment and Travel Behavior? Evidence from Northern California.</w:t>
      </w:r>
      <w:r w:rsidRPr="0041741C">
        <w:rPr>
          <w:rFonts w:cs="Times New Roman"/>
          <w:i/>
          <w:iCs/>
          <w:szCs w:val="24"/>
          <w:shd w:val="clear" w:color="auto" w:fill="FFFFFF"/>
        </w:rPr>
        <w:t xml:space="preserve"> Transportation Research Part D</w:t>
      </w:r>
      <w:r w:rsidRPr="0041741C">
        <w:rPr>
          <w:rFonts w:cs="Times New Roman"/>
          <w:szCs w:val="24"/>
          <w:shd w:val="clear" w:color="auto" w:fill="FFFFFF"/>
        </w:rPr>
        <w:t xml:space="preserve">, Vol. </w:t>
      </w:r>
      <w:r w:rsidRPr="0041741C">
        <w:rPr>
          <w:rFonts w:cs="Times New Roman"/>
          <w:iCs/>
          <w:szCs w:val="24"/>
          <w:shd w:val="clear" w:color="auto" w:fill="FFFFFF"/>
        </w:rPr>
        <w:t>10</w:t>
      </w:r>
      <w:r w:rsidRPr="0041741C">
        <w:rPr>
          <w:rFonts w:cs="Times New Roman"/>
          <w:szCs w:val="24"/>
          <w:shd w:val="clear" w:color="auto" w:fill="FFFFFF"/>
        </w:rPr>
        <w:t>, No. 6, 2005, pp. 427-444.</w:t>
      </w:r>
    </w:p>
    <w:p w:rsidR="003E3C4B" w:rsidRPr="0041741C" w:rsidRDefault="003E3C4B"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Schwanen</w:t>
      </w:r>
      <w:proofErr w:type="spellEnd"/>
      <w:r w:rsidRPr="0041741C">
        <w:rPr>
          <w:rFonts w:cs="Times New Roman"/>
          <w:szCs w:val="24"/>
          <w:shd w:val="clear" w:color="auto" w:fill="FFFFFF"/>
        </w:rPr>
        <w:t>, T.</w:t>
      </w:r>
      <w:r w:rsidR="00033BEE" w:rsidRPr="0041741C">
        <w:rPr>
          <w:rFonts w:cs="Times New Roman"/>
          <w:szCs w:val="24"/>
          <w:shd w:val="clear" w:color="auto" w:fill="FFFFFF"/>
        </w:rPr>
        <w:t>,</w:t>
      </w:r>
      <w:r w:rsidRPr="0041741C">
        <w:rPr>
          <w:rFonts w:cs="Times New Roman"/>
          <w:szCs w:val="24"/>
          <w:shd w:val="clear" w:color="auto" w:fill="FFFFFF"/>
        </w:rPr>
        <w:t xml:space="preserve"> and P. L. Mokhtarian. Attitudes </w:t>
      </w:r>
      <w:proofErr w:type="gramStart"/>
      <w:r w:rsidRPr="0041741C">
        <w:rPr>
          <w:rFonts w:cs="Times New Roman"/>
          <w:szCs w:val="24"/>
          <w:shd w:val="clear" w:color="auto" w:fill="FFFFFF"/>
        </w:rPr>
        <w:t>Toward</w:t>
      </w:r>
      <w:proofErr w:type="gramEnd"/>
      <w:r w:rsidRPr="0041741C">
        <w:rPr>
          <w:rFonts w:cs="Times New Roman"/>
          <w:szCs w:val="24"/>
          <w:shd w:val="clear" w:color="auto" w:fill="FFFFFF"/>
        </w:rPr>
        <w:t xml:space="preserve"> Travel and Land Use and Choice of Residential Neighborhood Type: Evidence from the San Francisco Bay Area. </w:t>
      </w:r>
      <w:r w:rsidRPr="0041741C">
        <w:rPr>
          <w:rFonts w:cs="Times New Roman"/>
          <w:i/>
          <w:iCs/>
          <w:szCs w:val="24"/>
          <w:shd w:val="clear" w:color="auto" w:fill="FFFFFF"/>
        </w:rPr>
        <w:t>Housing Policy Debate</w:t>
      </w:r>
      <w:r w:rsidRPr="0041741C">
        <w:rPr>
          <w:rFonts w:cs="Times New Roman"/>
          <w:szCs w:val="24"/>
          <w:shd w:val="clear" w:color="auto" w:fill="FFFFFF"/>
        </w:rPr>
        <w:t>,</w:t>
      </w:r>
      <w:r w:rsidRPr="0041741C">
        <w:rPr>
          <w:rStyle w:val="apple-converted-space"/>
          <w:rFonts w:cs="Times New Roman"/>
          <w:szCs w:val="24"/>
          <w:shd w:val="clear" w:color="auto" w:fill="FFFFFF"/>
        </w:rPr>
        <w:t xml:space="preserve"> Vol. </w:t>
      </w:r>
      <w:r w:rsidRPr="0041741C">
        <w:rPr>
          <w:rFonts w:cs="Times New Roman"/>
          <w:iCs/>
          <w:szCs w:val="24"/>
          <w:shd w:val="clear" w:color="auto" w:fill="FFFFFF"/>
        </w:rPr>
        <w:t>18</w:t>
      </w:r>
      <w:r w:rsidRPr="0041741C">
        <w:rPr>
          <w:rFonts w:cs="Times New Roman"/>
          <w:szCs w:val="24"/>
          <w:shd w:val="clear" w:color="auto" w:fill="FFFFFF"/>
        </w:rPr>
        <w:t>, No. 1, 2007, pp. 171-207.</w:t>
      </w:r>
    </w:p>
    <w:p w:rsidR="003F39AD" w:rsidRPr="0041741C" w:rsidRDefault="003F39AD" w:rsidP="003F39AD">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rPr>
        <w:t xml:space="preserve">Bhat, C. R. </w:t>
      </w:r>
      <w:r w:rsidRPr="0041741C">
        <w:rPr>
          <w:rFonts w:cs="Times New Roman"/>
          <w:bCs/>
          <w:szCs w:val="24"/>
        </w:rPr>
        <w:t>A Comprehensive Dwelling Unit Choice Model Accommodating Psychological Constructs Within A Search Strategy for Consideration Set Formation</w:t>
      </w:r>
      <w:r w:rsidRPr="0041741C">
        <w:rPr>
          <w:rFonts w:cs="Times New Roman"/>
          <w:szCs w:val="24"/>
        </w:rPr>
        <w:t xml:space="preserve">. </w:t>
      </w:r>
      <w:r w:rsidRPr="0041741C">
        <w:rPr>
          <w:rFonts w:cs="Times New Roman"/>
          <w:i/>
          <w:iCs/>
          <w:szCs w:val="24"/>
        </w:rPr>
        <w:t>Transportation Research Part B</w:t>
      </w:r>
      <w:r w:rsidRPr="0041741C">
        <w:rPr>
          <w:rFonts w:cs="Times New Roman"/>
          <w:szCs w:val="24"/>
        </w:rPr>
        <w:t>, Vol. 79, 2015, pp. 161-188.</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Helsper</w:t>
      </w:r>
      <w:proofErr w:type="spellEnd"/>
      <w:r w:rsidRPr="0041741C">
        <w:rPr>
          <w:rFonts w:cs="Times New Roman"/>
          <w:szCs w:val="24"/>
          <w:shd w:val="clear" w:color="auto" w:fill="FFFFFF"/>
        </w:rPr>
        <w:t>, E. J.</w:t>
      </w:r>
      <w:r w:rsidR="00033BEE" w:rsidRPr="0041741C">
        <w:rPr>
          <w:rFonts w:cs="Times New Roman"/>
          <w:szCs w:val="24"/>
          <w:shd w:val="clear" w:color="auto" w:fill="FFFFFF"/>
        </w:rPr>
        <w:t>,</w:t>
      </w:r>
      <w:r w:rsidRPr="0041741C">
        <w:rPr>
          <w:rFonts w:cs="Times New Roman"/>
          <w:szCs w:val="24"/>
          <w:shd w:val="clear" w:color="auto" w:fill="FFFFFF"/>
        </w:rPr>
        <w:t xml:space="preserve"> and R. </w:t>
      </w:r>
      <w:proofErr w:type="spellStart"/>
      <w:r w:rsidRPr="0041741C">
        <w:rPr>
          <w:rFonts w:cs="Times New Roman"/>
          <w:szCs w:val="24"/>
          <w:shd w:val="clear" w:color="auto" w:fill="FFFFFF"/>
        </w:rPr>
        <w:t>Eynon</w:t>
      </w:r>
      <w:proofErr w:type="spellEnd"/>
      <w:r w:rsidRPr="0041741C">
        <w:rPr>
          <w:rFonts w:cs="Times New Roman"/>
          <w:szCs w:val="24"/>
          <w:shd w:val="clear" w:color="auto" w:fill="FFFFFF"/>
        </w:rPr>
        <w:t xml:space="preserve">. Digital Natives: Where is the Evidence? </w:t>
      </w:r>
      <w:r w:rsidRPr="0041741C">
        <w:rPr>
          <w:rFonts w:cs="Times New Roman"/>
          <w:i/>
          <w:szCs w:val="24"/>
          <w:shd w:val="clear" w:color="auto" w:fill="FFFFFF"/>
        </w:rPr>
        <w:t>British Educational Research Journal</w:t>
      </w:r>
      <w:r w:rsidRPr="0041741C">
        <w:rPr>
          <w:rFonts w:cs="Times New Roman"/>
          <w:szCs w:val="24"/>
          <w:shd w:val="clear" w:color="auto" w:fill="FFFFFF"/>
        </w:rPr>
        <w:t xml:space="preserve">, Vol. 36, No. 3, 2010, pp.503-520. </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Gilleard</w:t>
      </w:r>
      <w:proofErr w:type="spellEnd"/>
      <w:r w:rsidRPr="0041741C">
        <w:rPr>
          <w:rFonts w:cs="Times New Roman"/>
          <w:szCs w:val="24"/>
          <w:shd w:val="clear" w:color="auto" w:fill="FFFFFF"/>
        </w:rPr>
        <w:t>, C., and P. Higgs. Internet Use and the Digital Divide in the English Longitudinal Study of Ageing.</w:t>
      </w:r>
      <w:r w:rsidRPr="0041741C">
        <w:rPr>
          <w:rStyle w:val="apple-converted-space"/>
          <w:rFonts w:cs="Times New Roman"/>
          <w:szCs w:val="24"/>
          <w:shd w:val="clear" w:color="auto" w:fill="FFFFFF"/>
        </w:rPr>
        <w:t xml:space="preserve"> </w:t>
      </w:r>
      <w:r w:rsidRPr="0041741C">
        <w:rPr>
          <w:rFonts w:cs="Times New Roman"/>
          <w:i/>
          <w:iCs/>
          <w:szCs w:val="24"/>
          <w:shd w:val="clear" w:color="auto" w:fill="FFFFFF"/>
        </w:rPr>
        <w:t>European Journal of Ageing</w:t>
      </w:r>
      <w:r w:rsidRPr="0041741C">
        <w:rPr>
          <w:rFonts w:cs="Times New Roman"/>
          <w:szCs w:val="24"/>
          <w:shd w:val="clear" w:color="auto" w:fill="FFFFFF"/>
        </w:rPr>
        <w:t>,</w:t>
      </w:r>
      <w:r w:rsidRPr="0041741C">
        <w:rPr>
          <w:rStyle w:val="apple-converted-space"/>
          <w:rFonts w:cs="Times New Roman"/>
          <w:szCs w:val="24"/>
          <w:shd w:val="clear" w:color="auto" w:fill="FFFFFF"/>
        </w:rPr>
        <w:t xml:space="preserve"> Vol. </w:t>
      </w:r>
      <w:r w:rsidRPr="0041741C">
        <w:rPr>
          <w:rFonts w:cs="Times New Roman"/>
          <w:iCs/>
          <w:szCs w:val="24"/>
          <w:shd w:val="clear" w:color="auto" w:fill="FFFFFF"/>
        </w:rPr>
        <w:t>5</w:t>
      </w:r>
      <w:r w:rsidRPr="0041741C">
        <w:rPr>
          <w:rFonts w:cs="Times New Roman"/>
          <w:szCs w:val="24"/>
          <w:shd w:val="clear" w:color="auto" w:fill="FFFFFF"/>
        </w:rPr>
        <w:t xml:space="preserve">, No. 3, 2008, pp. 233-239. </w:t>
      </w:r>
    </w:p>
    <w:p w:rsidR="00ED6250" w:rsidRPr="0041741C" w:rsidRDefault="00ED6250" w:rsidP="0041741C">
      <w:pPr>
        <w:pStyle w:val="ListParagraph"/>
        <w:numPr>
          <w:ilvl w:val="0"/>
          <w:numId w:val="35"/>
        </w:numPr>
        <w:spacing w:after="0" w:line="240" w:lineRule="auto"/>
        <w:ind w:left="360"/>
        <w:rPr>
          <w:rFonts w:cs="Times New Roman"/>
          <w:szCs w:val="24"/>
        </w:rPr>
      </w:pPr>
      <w:r w:rsidRPr="0041741C">
        <w:rPr>
          <w:rFonts w:cs="Times New Roman"/>
          <w:szCs w:val="24"/>
          <w:shd w:val="clear" w:color="auto" w:fill="FFFFFF"/>
        </w:rPr>
        <w:t xml:space="preserve">Nolan, A. A Dynamic Analysis of Household Car Ownership. </w:t>
      </w:r>
      <w:r w:rsidRPr="0041741C">
        <w:rPr>
          <w:rFonts w:cs="Times New Roman"/>
          <w:i/>
          <w:iCs/>
          <w:szCs w:val="24"/>
          <w:shd w:val="clear" w:color="auto" w:fill="FFFFFF"/>
        </w:rPr>
        <w:t>Transportation Research Part A</w:t>
      </w:r>
      <w:r w:rsidRPr="0041741C">
        <w:rPr>
          <w:rFonts w:cs="Times New Roman"/>
          <w:szCs w:val="24"/>
          <w:shd w:val="clear" w:color="auto" w:fill="FFFFFF"/>
        </w:rPr>
        <w:t>,</w:t>
      </w:r>
      <w:r w:rsidRPr="0041741C">
        <w:rPr>
          <w:rStyle w:val="apple-converted-space"/>
          <w:rFonts w:cs="Times New Roman"/>
          <w:szCs w:val="24"/>
          <w:shd w:val="clear" w:color="auto" w:fill="FFFFFF"/>
        </w:rPr>
        <w:t xml:space="preserve"> Vol. </w:t>
      </w:r>
      <w:r w:rsidRPr="0041741C">
        <w:rPr>
          <w:rFonts w:cs="Times New Roman"/>
          <w:iCs/>
          <w:szCs w:val="24"/>
          <w:shd w:val="clear" w:color="auto" w:fill="FFFFFF"/>
        </w:rPr>
        <w:t>44</w:t>
      </w:r>
      <w:r w:rsidRPr="0041741C">
        <w:rPr>
          <w:rFonts w:cs="Times New Roman"/>
          <w:szCs w:val="24"/>
          <w:shd w:val="clear" w:color="auto" w:fill="FFFFFF"/>
        </w:rPr>
        <w:t>, No. 6, 2010, pp. 446-455.</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rPr>
        <w:lastRenderedPageBreak/>
        <w:t xml:space="preserve">Paleti, R., C. R. Bhat, and R. M. Pendyala. Integrated Model of Residential Location, Work Location, Vehicle Ownership, And Commute Tour Characteristics. </w:t>
      </w:r>
      <w:r w:rsidRPr="0041741C">
        <w:rPr>
          <w:rFonts w:cs="Times New Roman"/>
          <w:i/>
          <w:szCs w:val="24"/>
        </w:rPr>
        <w:t>Transportation Research Record: Journal of the Transportation Research Board</w:t>
      </w:r>
      <w:r w:rsidRPr="0041741C">
        <w:rPr>
          <w:rFonts w:cs="Times New Roman"/>
          <w:szCs w:val="24"/>
        </w:rPr>
        <w:t>, No. 2382, 2013</w:t>
      </w:r>
      <w:r w:rsidR="00033BEE" w:rsidRPr="0041741C">
        <w:rPr>
          <w:rFonts w:cs="Times New Roman"/>
          <w:szCs w:val="24"/>
        </w:rPr>
        <w:t xml:space="preserve">, </w:t>
      </w:r>
      <w:r w:rsidRPr="0041741C">
        <w:rPr>
          <w:rFonts w:cs="Times New Roman"/>
          <w:szCs w:val="24"/>
        </w:rPr>
        <w:t>pp.162-172.</w:t>
      </w:r>
      <w:r w:rsidRPr="0041741C">
        <w:rPr>
          <w:rFonts w:cs="Times New Roman"/>
          <w:szCs w:val="24"/>
          <w:shd w:val="clear" w:color="auto" w:fill="FFFFFF"/>
        </w:rPr>
        <w:t xml:space="preserve"> </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r w:rsidRPr="0041741C">
        <w:rPr>
          <w:rFonts w:cs="Times New Roman"/>
          <w:szCs w:val="24"/>
          <w:shd w:val="clear" w:color="auto" w:fill="FFFFFF"/>
        </w:rPr>
        <w:t xml:space="preserve">Habib, K. M., L. </w:t>
      </w:r>
      <w:proofErr w:type="spellStart"/>
      <w:r w:rsidRPr="0041741C">
        <w:rPr>
          <w:rFonts w:cs="Times New Roman"/>
          <w:szCs w:val="24"/>
          <w:shd w:val="clear" w:color="auto" w:fill="FFFFFF"/>
        </w:rPr>
        <w:t>Kattan</w:t>
      </w:r>
      <w:proofErr w:type="spellEnd"/>
      <w:r w:rsidRPr="0041741C">
        <w:rPr>
          <w:rFonts w:cs="Times New Roman"/>
          <w:szCs w:val="24"/>
          <w:shd w:val="clear" w:color="auto" w:fill="FFFFFF"/>
        </w:rPr>
        <w:t xml:space="preserve">, and M. Islam. Model of Personal Attitudes </w:t>
      </w:r>
      <w:proofErr w:type="gramStart"/>
      <w:r w:rsidRPr="0041741C">
        <w:rPr>
          <w:rFonts w:cs="Times New Roman"/>
          <w:szCs w:val="24"/>
          <w:shd w:val="clear" w:color="auto" w:fill="FFFFFF"/>
        </w:rPr>
        <w:t>Towards</w:t>
      </w:r>
      <w:proofErr w:type="gramEnd"/>
      <w:r w:rsidRPr="0041741C">
        <w:rPr>
          <w:rFonts w:cs="Times New Roman"/>
          <w:szCs w:val="24"/>
          <w:shd w:val="clear" w:color="auto" w:fill="FFFFFF"/>
        </w:rPr>
        <w:t xml:space="preserve"> Transit Service Quality.</w:t>
      </w:r>
      <w:r w:rsidRPr="0041741C">
        <w:rPr>
          <w:rStyle w:val="apple-converted-space"/>
          <w:rFonts w:cs="Times New Roman"/>
          <w:szCs w:val="24"/>
          <w:shd w:val="clear" w:color="auto" w:fill="FFFFFF"/>
        </w:rPr>
        <w:t xml:space="preserve"> </w:t>
      </w:r>
      <w:r w:rsidRPr="0041741C">
        <w:rPr>
          <w:rFonts w:cs="Times New Roman"/>
          <w:i/>
          <w:iCs/>
          <w:szCs w:val="24"/>
          <w:shd w:val="clear" w:color="auto" w:fill="FFFFFF"/>
        </w:rPr>
        <w:t>Journal of Advanced Transportation</w:t>
      </w:r>
      <w:r w:rsidRPr="0041741C">
        <w:rPr>
          <w:rFonts w:cs="Times New Roman"/>
          <w:szCs w:val="24"/>
          <w:shd w:val="clear" w:color="auto" w:fill="FFFFFF"/>
        </w:rPr>
        <w:t>,</w:t>
      </w:r>
      <w:r w:rsidRPr="0041741C">
        <w:rPr>
          <w:rStyle w:val="apple-converted-space"/>
          <w:rFonts w:cs="Times New Roman"/>
          <w:szCs w:val="24"/>
          <w:shd w:val="clear" w:color="auto" w:fill="FFFFFF"/>
        </w:rPr>
        <w:t xml:space="preserve"> Vol. </w:t>
      </w:r>
      <w:r w:rsidRPr="0041741C">
        <w:rPr>
          <w:rFonts w:cs="Times New Roman"/>
          <w:iCs/>
          <w:szCs w:val="24"/>
          <w:shd w:val="clear" w:color="auto" w:fill="FFFFFF"/>
        </w:rPr>
        <w:t>45</w:t>
      </w:r>
      <w:r w:rsidRPr="0041741C">
        <w:rPr>
          <w:rFonts w:cs="Times New Roman"/>
          <w:szCs w:val="24"/>
          <w:shd w:val="clear" w:color="auto" w:fill="FFFFFF"/>
        </w:rPr>
        <w:t>, No. 4, 2011, pp. 271-285.</w:t>
      </w:r>
    </w:p>
    <w:p w:rsidR="00A71E94" w:rsidRPr="0041741C" w:rsidRDefault="00A71E94"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Delbosc</w:t>
      </w:r>
      <w:proofErr w:type="spellEnd"/>
      <w:r w:rsidRPr="0041741C">
        <w:rPr>
          <w:rFonts w:cs="Times New Roman"/>
          <w:szCs w:val="24"/>
          <w:shd w:val="clear" w:color="auto" w:fill="FFFFFF"/>
        </w:rPr>
        <w:t>, A.</w:t>
      </w:r>
      <w:r w:rsidR="00033BEE" w:rsidRPr="0041741C">
        <w:rPr>
          <w:rFonts w:cs="Times New Roman"/>
          <w:szCs w:val="24"/>
          <w:shd w:val="clear" w:color="auto" w:fill="FFFFFF"/>
        </w:rPr>
        <w:t>,</w:t>
      </w:r>
      <w:r w:rsidRPr="0041741C">
        <w:rPr>
          <w:rFonts w:cs="Times New Roman"/>
          <w:szCs w:val="24"/>
          <w:shd w:val="clear" w:color="auto" w:fill="FFFFFF"/>
        </w:rPr>
        <w:t xml:space="preserve"> and </w:t>
      </w:r>
      <w:r w:rsidR="00DD24D5" w:rsidRPr="0041741C">
        <w:rPr>
          <w:rFonts w:cs="Times New Roman"/>
          <w:szCs w:val="24"/>
          <w:shd w:val="clear" w:color="auto" w:fill="FFFFFF"/>
        </w:rPr>
        <w:t xml:space="preserve">G. </w:t>
      </w:r>
      <w:r w:rsidRPr="0041741C">
        <w:rPr>
          <w:rFonts w:cs="Times New Roman"/>
          <w:szCs w:val="24"/>
          <w:shd w:val="clear" w:color="auto" w:fill="FFFFFF"/>
        </w:rPr>
        <w:t xml:space="preserve">Currie. Causes of </w:t>
      </w:r>
      <w:r w:rsidR="00DD24D5" w:rsidRPr="0041741C">
        <w:rPr>
          <w:rFonts w:cs="Times New Roman"/>
          <w:szCs w:val="24"/>
          <w:shd w:val="clear" w:color="auto" w:fill="FFFFFF"/>
        </w:rPr>
        <w:t>Youth Licensing Decline: A Synthesis of Evidence</w:t>
      </w:r>
      <w:r w:rsidRPr="0041741C">
        <w:rPr>
          <w:rFonts w:cs="Times New Roman"/>
          <w:szCs w:val="24"/>
          <w:shd w:val="clear" w:color="auto" w:fill="FFFFFF"/>
        </w:rPr>
        <w:t>.</w:t>
      </w:r>
      <w:r w:rsidR="00DD24D5" w:rsidRPr="0041741C">
        <w:rPr>
          <w:rStyle w:val="apple-converted-space"/>
          <w:rFonts w:cs="Times New Roman"/>
          <w:szCs w:val="24"/>
          <w:shd w:val="clear" w:color="auto" w:fill="FFFFFF"/>
        </w:rPr>
        <w:t xml:space="preserve"> </w:t>
      </w:r>
      <w:r w:rsidRPr="0041741C">
        <w:rPr>
          <w:rFonts w:cs="Times New Roman"/>
          <w:i/>
          <w:iCs/>
          <w:szCs w:val="24"/>
          <w:shd w:val="clear" w:color="auto" w:fill="FFFFFF"/>
        </w:rPr>
        <w:t>Transport Reviews</w:t>
      </w:r>
      <w:r w:rsidRPr="0041741C">
        <w:rPr>
          <w:rFonts w:cs="Times New Roman"/>
          <w:szCs w:val="24"/>
          <w:shd w:val="clear" w:color="auto" w:fill="FFFFFF"/>
        </w:rPr>
        <w:t>,</w:t>
      </w:r>
      <w:r w:rsidR="00DD24D5" w:rsidRPr="0041741C">
        <w:rPr>
          <w:rStyle w:val="apple-converted-space"/>
          <w:rFonts w:cs="Times New Roman"/>
          <w:szCs w:val="24"/>
          <w:shd w:val="clear" w:color="auto" w:fill="FFFFFF"/>
        </w:rPr>
        <w:t xml:space="preserve"> Vol. </w:t>
      </w:r>
      <w:r w:rsidRPr="0041741C">
        <w:rPr>
          <w:rFonts w:cs="Times New Roman"/>
          <w:iCs/>
          <w:szCs w:val="24"/>
          <w:shd w:val="clear" w:color="auto" w:fill="FFFFFF"/>
        </w:rPr>
        <w:t>33</w:t>
      </w:r>
      <w:r w:rsidR="00DD24D5" w:rsidRPr="0041741C">
        <w:rPr>
          <w:rFonts w:cs="Times New Roman"/>
          <w:szCs w:val="24"/>
          <w:shd w:val="clear" w:color="auto" w:fill="FFFFFF"/>
        </w:rPr>
        <w:t xml:space="preserve">, No. </w:t>
      </w:r>
      <w:r w:rsidRPr="0041741C">
        <w:rPr>
          <w:rFonts w:cs="Times New Roman"/>
          <w:szCs w:val="24"/>
          <w:shd w:val="clear" w:color="auto" w:fill="FFFFFF"/>
        </w:rPr>
        <w:t xml:space="preserve">3, </w:t>
      </w:r>
      <w:r w:rsidR="00DD24D5" w:rsidRPr="0041741C">
        <w:rPr>
          <w:rFonts w:cs="Times New Roman"/>
          <w:szCs w:val="24"/>
          <w:shd w:val="clear" w:color="auto" w:fill="FFFFFF"/>
        </w:rPr>
        <w:t xml:space="preserve">2013, </w:t>
      </w:r>
      <w:r w:rsidRPr="0041741C">
        <w:rPr>
          <w:rFonts w:cs="Times New Roman"/>
          <w:szCs w:val="24"/>
          <w:shd w:val="clear" w:color="auto" w:fill="FFFFFF"/>
        </w:rPr>
        <w:t>pp.</w:t>
      </w:r>
      <w:r w:rsidR="00DD24D5" w:rsidRPr="0041741C">
        <w:rPr>
          <w:rFonts w:cs="Times New Roman"/>
          <w:szCs w:val="24"/>
          <w:shd w:val="clear" w:color="auto" w:fill="FFFFFF"/>
        </w:rPr>
        <w:t xml:space="preserve"> </w:t>
      </w:r>
      <w:r w:rsidRPr="0041741C">
        <w:rPr>
          <w:rFonts w:cs="Times New Roman"/>
          <w:szCs w:val="24"/>
          <w:shd w:val="clear" w:color="auto" w:fill="FFFFFF"/>
        </w:rPr>
        <w:t>271-290.</w:t>
      </w:r>
    </w:p>
    <w:p w:rsidR="00ED6250" w:rsidRPr="0041741C" w:rsidRDefault="00ED6250"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Kollmuss</w:t>
      </w:r>
      <w:proofErr w:type="spellEnd"/>
      <w:r w:rsidRPr="0041741C">
        <w:rPr>
          <w:rFonts w:cs="Times New Roman"/>
          <w:szCs w:val="24"/>
          <w:shd w:val="clear" w:color="auto" w:fill="FFFFFF"/>
        </w:rPr>
        <w:t>, A.</w:t>
      </w:r>
      <w:r w:rsidR="00033BEE" w:rsidRPr="0041741C">
        <w:rPr>
          <w:rFonts w:cs="Times New Roman"/>
          <w:szCs w:val="24"/>
          <w:shd w:val="clear" w:color="auto" w:fill="FFFFFF"/>
        </w:rPr>
        <w:t>,</w:t>
      </w:r>
      <w:r w:rsidRPr="0041741C">
        <w:rPr>
          <w:rFonts w:cs="Times New Roman"/>
          <w:szCs w:val="24"/>
          <w:shd w:val="clear" w:color="auto" w:fill="FFFFFF"/>
        </w:rPr>
        <w:t xml:space="preserve"> and J. </w:t>
      </w:r>
      <w:proofErr w:type="spellStart"/>
      <w:r w:rsidRPr="0041741C">
        <w:rPr>
          <w:rFonts w:cs="Times New Roman"/>
          <w:szCs w:val="24"/>
          <w:shd w:val="clear" w:color="auto" w:fill="FFFFFF"/>
        </w:rPr>
        <w:t>Agyeman</w:t>
      </w:r>
      <w:proofErr w:type="spellEnd"/>
      <w:r w:rsidRPr="0041741C">
        <w:rPr>
          <w:rFonts w:cs="Times New Roman"/>
          <w:szCs w:val="24"/>
          <w:shd w:val="clear" w:color="auto" w:fill="FFFFFF"/>
        </w:rPr>
        <w:t xml:space="preserve">. Mind the Gap: Why do People Act Environmentally and </w:t>
      </w:r>
      <w:proofErr w:type="gramStart"/>
      <w:r w:rsidRPr="0041741C">
        <w:rPr>
          <w:rFonts w:cs="Times New Roman"/>
          <w:szCs w:val="24"/>
          <w:shd w:val="clear" w:color="auto" w:fill="FFFFFF"/>
        </w:rPr>
        <w:t>What</w:t>
      </w:r>
      <w:proofErr w:type="gramEnd"/>
      <w:r w:rsidRPr="0041741C">
        <w:rPr>
          <w:rFonts w:cs="Times New Roman"/>
          <w:szCs w:val="24"/>
          <w:shd w:val="clear" w:color="auto" w:fill="FFFFFF"/>
        </w:rPr>
        <w:t xml:space="preserve"> are the Barriers to Pro-Environmental Behavior</w:t>
      </w:r>
      <w:r w:rsidR="00033BEE" w:rsidRPr="0041741C">
        <w:rPr>
          <w:rFonts w:cs="Times New Roman"/>
          <w:szCs w:val="24"/>
          <w:shd w:val="clear" w:color="auto" w:fill="FFFFFF"/>
        </w:rPr>
        <w:t>?</w:t>
      </w:r>
      <w:r w:rsidRPr="0041741C">
        <w:rPr>
          <w:rFonts w:cs="Times New Roman"/>
          <w:szCs w:val="24"/>
          <w:shd w:val="clear" w:color="auto" w:fill="FFFFFF"/>
        </w:rPr>
        <w:t xml:space="preserve"> </w:t>
      </w:r>
      <w:r w:rsidRPr="0041741C">
        <w:rPr>
          <w:rFonts w:cs="Times New Roman"/>
          <w:i/>
          <w:iCs/>
          <w:szCs w:val="24"/>
          <w:shd w:val="clear" w:color="auto" w:fill="FFFFFF"/>
        </w:rPr>
        <w:t>Environmental Education Research</w:t>
      </w:r>
      <w:r w:rsidRPr="0041741C">
        <w:rPr>
          <w:rFonts w:cs="Times New Roman"/>
          <w:szCs w:val="24"/>
          <w:shd w:val="clear" w:color="auto" w:fill="FFFFFF"/>
        </w:rPr>
        <w:t>,</w:t>
      </w:r>
      <w:r w:rsidRPr="0041741C">
        <w:rPr>
          <w:rStyle w:val="apple-converted-space"/>
          <w:rFonts w:cs="Times New Roman"/>
          <w:szCs w:val="24"/>
          <w:shd w:val="clear" w:color="auto" w:fill="FFFFFF"/>
        </w:rPr>
        <w:t xml:space="preserve"> Vol. </w:t>
      </w:r>
      <w:r w:rsidRPr="0041741C">
        <w:rPr>
          <w:rFonts w:cs="Times New Roman"/>
          <w:iCs/>
          <w:szCs w:val="24"/>
          <w:shd w:val="clear" w:color="auto" w:fill="FFFFFF"/>
        </w:rPr>
        <w:t>8</w:t>
      </w:r>
      <w:r w:rsidRPr="0041741C">
        <w:rPr>
          <w:rFonts w:cs="Times New Roman"/>
          <w:szCs w:val="24"/>
          <w:shd w:val="clear" w:color="auto" w:fill="FFFFFF"/>
        </w:rPr>
        <w:t>, No. 3, 2002, pp. 239-260.</w:t>
      </w:r>
    </w:p>
    <w:p w:rsidR="00E76B77" w:rsidRPr="0041741C" w:rsidRDefault="00E76B77" w:rsidP="0041741C">
      <w:pPr>
        <w:pStyle w:val="ListParagraph"/>
        <w:numPr>
          <w:ilvl w:val="0"/>
          <w:numId w:val="35"/>
        </w:numPr>
        <w:spacing w:after="0" w:line="240" w:lineRule="auto"/>
        <w:ind w:left="360"/>
        <w:rPr>
          <w:rFonts w:cs="Times New Roman"/>
          <w:szCs w:val="24"/>
          <w:shd w:val="clear" w:color="auto" w:fill="FFFFFF"/>
        </w:rPr>
      </w:pPr>
      <w:proofErr w:type="spellStart"/>
      <w:r w:rsidRPr="0041741C">
        <w:rPr>
          <w:rFonts w:cs="Times New Roman"/>
          <w:szCs w:val="24"/>
          <w:shd w:val="clear" w:color="auto" w:fill="FFFFFF"/>
        </w:rPr>
        <w:t>Kalof</w:t>
      </w:r>
      <w:proofErr w:type="spellEnd"/>
      <w:r w:rsidRPr="0041741C">
        <w:rPr>
          <w:rFonts w:cs="Times New Roman"/>
          <w:szCs w:val="24"/>
          <w:shd w:val="clear" w:color="auto" w:fill="FFFFFF"/>
        </w:rPr>
        <w:t xml:space="preserve">, L., T. Dietz, G.  </w:t>
      </w:r>
      <w:proofErr w:type="spellStart"/>
      <w:r w:rsidRPr="0041741C">
        <w:rPr>
          <w:rFonts w:cs="Times New Roman"/>
          <w:szCs w:val="24"/>
          <w:shd w:val="clear" w:color="auto" w:fill="FFFFFF"/>
        </w:rPr>
        <w:t>Guagnano</w:t>
      </w:r>
      <w:proofErr w:type="spellEnd"/>
      <w:r w:rsidRPr="0041741C">
        <w:rPr>
          <w:rFonts w:cs="Times New Roman"/>
          <w:szCs w:val="24"/>
          <w:shd w:val="clear" w:color="auto" w:fill="FFFFFF"/>
        </w:rPr>
        <w:t>, and P. C. Stern. Race, Gender and Environmentalism: The Atypical Values and Beliefs of White Men.</w:t>
      </w:r>
      <w:r w:rsidRPr="0041741C">
        <w:rPr>
          <w:rStyle w:val="apple-converted-space"/>
          <w:rFonts w:cs="Times New Roman"/>
          <w:szCs w:val="24"/>
          <w:shd w:val="clear" w:color="auto" w:fill="FFFFFF"/>
        </w:rPr>
        <w:t xml:space="preserve"> </w:t>
      </w:r>
      <w:r w:rsidRPr="0041741C">
        <w:rPr>
          <w:rFonts w:cs="Times New Roman"/>
          <w:i/>
          <w:iCs/>
          <w:szCs w:val="24"/>
          <w:shd w:val="clear" w:color="auto" w:fill="FFFFFF"/>
        </w:rPr>
        <w:t>Race, Gender &amp; Class</w:t>
      </w:r>
      <w:r w:rsidRPr="0041741C">
        <w:rPr>
          <w:rFonts w:cs="Times New Roman"/>
          <w:szCs w:val="24"/>
          <w:shd w:val="clear" w:color="auto" w:fill="FFFFFF"/>
        </w:rPr>
        <w:t>, Vol. 9, No. 2, 2002, pp. 112-130.</w:t>
      </w:r>
    </w:p>
    <w:p w:rsidR="007D578F" w:rsidRPr="00E9661A" w:rsidRDefault="007D578F" w:rsidP="00E9661A">
      <w:pPr>
        <w:spacing w:after="0" w:line="240" w:lineRule="auto"/>
        <w:ind w:left="720" w:hanging="720"/>
        <w:jc w:val="both"/>
        <w:rPr>
          <w:rFonts w:cs="Times New Roman"/>
          <w:szCs w:val="24"/>
          <w:shd w:val="clear" w:color="auto" w:fill="FFFFFF"/>
        </w:rPr>
      </w:pPr>
      <w:r>
        <w:br w:type="page"/>
      </w:r>
    </w:p>
    <w:p w:rsidR="005E68B4" w:rsidRDefault="00C50808" w:rsidP="00FA1DC4">
      <w:pPr>
        <w:spacing w:after="0" w:line="240" w:lineRule="auto"/>
      </w:pPr>
      <w:r w:rsidRPr="00C50808">
        <w:rPr>
          <w:noProof/>
        </w:rPr>
        <w:lastRenderedPageBreak/>
        <w:t xml:space="preserve"> </w:t>
      </w:r>
      <w:r w:rsidR="00625CA5" w:rsidRPr="00625CA5">
        <w:rPr>
          <w:noProof/>
        </w:rPr>
        <w:t xml:space="preserve"> </w:t>
      </w:r>
      <w:r w:rsidR="00625CA5" w:rsidRPr="00625CA5">
        <w:rPr>
          <w:noProof/>
        </w:rPr>
        <w:drawing>
          <wp:inline distT="0" distB="0" distL="0" distR="0" wp14:anchorId="4A57C95F" wp14:editId="24D529AA">
            <wp:extent cx="5612130" cy="4653915"/>
            <wp:effectExtent l="0" t="0" r="762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130" cy="4653915"/>
                    </a:xfrm>
                    <a:prstGeom prst="rect">
                      <a:avLst/>
                    </a:prstGeom>
                    <a:noFill/>
                    <a:ln>
                      <a:noFill/>
                    </a:ln>
                    <a:effectLst/>
                    <a:extLst/>
                  </pic:spPr>
                </pic:pic>
              </a:graphicData>
            </a:graphic>
          </wp:inline>
        </w:drawing>
      </w:r>
    </w:p>
    <w:p w:rsidR="005E68B4" w:rsidRPr="005B0EE9" w:rsidRDefault="00E9661A" w:rsidP="005257FB">
      <w:pPr>
        <w:pStyle w:val="Caption"/>
        <w:spacing w:after="0"/>
        <w:jc w:val="center"/>
        <w:rPr>
          <w:color w:val="auto"/>
          <w:sz w:val="24"/>
          <w:szCs w:val="24"/>
        </w:rPr>
      </w:pPr>
      <w:r>
        <w:rPr>
          <w:color w:val="auto"/>
          <w:sz w:val="24"/>
          <w:szCs w:val="24"/>
        </w:rPr>
        <w:t>FIGURE</w:t>
      </w:r>
      <w:r w:rsidR="005E68B4" w:rsidRPr="005B0EE9">
        <w:rPr>
          <w:color w:val="auto"/>
          <w:sz w:val="24"/>
          <w:szCs w:val="24"/>
        </w:rPr>
        <w:t xml:space="preserve"> </w:t>
      </w:r>
      <w:r w:rsidR="005E68B4" w:rsidRPr="005B0EE9">
        <w:rPr>
          <w:color w:val="auto"/>
          <w:sz w:val="24"/>
          <w:szCs w:val="24"/>
        </w:rPr>
        <w:fldChar w:fldCharType="begin"/>
      </w:r>
      <w:r w:rsidR="005E68B4" w:rsidRPr="005B0EE9">
        <w:rPr>
          <w:color w:val="auto"/>
          <w:sz w:val="24"/>
          <w:szCs w:val="24"/>
        </w:rPr>
        <w:instrText xml:space="preserve"> SEQ Figure \* ARABIC </w:instrText>
      </w:r>
      <w:r w:rsidR="005E68B4" w:rsidRPr="005B0EE9">
        <w:rPr>
          <w:color w:val="auto"/>
          <w:sz w:val="24"/>
          <w:szCs w:val="24"/>
        </w:rPr>
        <w:fldChar w:fldCharType="separate"/>
      </w:r>
      <w:r w:rsidR="006568C8">
        <w:rPr>
          <w:noProof/>
          <w:color w:val="auto"/>
          <w:sz w:val="24"/>
          <w:szCs w:val="24"/>
        </w:rPr>
        <w:t>1</w:t>
      </w:r>
      <w:r w:rsidR="005E68B4" w:rsidRPr="005B0EE9">
        <w:rPr>
          <w:noProof/>
          <w:color w:val="auto"/>
          <w:sz w:val="24"/>
          <w:szCs w:val="24"/>
        </w:rPr>
        <w:fldChar w:fldCharType="end"/>
      </w:r>
      <w:r>
        <w:rPr>
          <w:noProof/>
          <w:color w:val="auto"/>
          <w:sz w:val="24"/>
          <w:szCs w:val="24"/>
        </w:rPr>
        <w:t xml:space="preserve"> </w:t>
      </w:r>
      <w:r w:rsidR="005E68B4" w:rsidRPr="005B0EE9">
        <w:rPr>
          <w:color w:val="auto"/>
          <w:sz w:val="24"/>
          <w:szCs w:val="24"/>
        </w:rPr>
        <w:t xml:space="preserve"> Behavioral framework</w:t>
      </w:r>
      <w:r>
        <w:rPr>
          <w:color w:val="auto"/>
          <w:sz w:val="24"/>
          <w:szCs w:val="24"/>
        </w:rPr>
        <w:t>.</w:t>
      </w:r>
    </w:p>
    <w:p w:rsidR="005E68B4" w:rsidRDefault="005E68B4" w:rsidP="00FA1DC4">
      <w:pPr>
        <w:spacing w:after="0" w:line="240" w:lineRule="auto"/>
        <w:rPr>
          <w:b/>
        </w:rPr>
      </w:pPr>
    </w:p>
    <w:p w:rsidR="005E68B4" w:rsidRDefault="005E68B4" w:rsidP="00FA1DC4">
      <w:pPr>
        <w:spacing w:after="0" w:line="240" w:lineRule="auto"/>
        <w:rPr>
          <w:b/>
        </w:rPr>
      </w:pPr>
      <w:r>
        <w:rPr>
          <w:b/>
        </w:rPr>
        <w:br w:type="page"/>
      </w:r>
    </w:p>
    <w:p w:rsidR="003616B1" w:rsidRDefault="00E9661A" w:rsidP="00DA4AAC">
      <w:pPr>
        <w:spacing w:after="120" w:line="240" w:lineRule="auto"/>
        <w:rPr>
          <w:b/>
          <w:sz w:val="23"/>
          <w:szCs w:val="23"/>
        </w:rPr>
      </w:pPr>
      <w:r w:rsidRPr="00DA4AAC">
        <w:rPr>
          <w:b/>
          <w:sz w:val="23"/>
          <w:szCs w:val="23"/>
        </w:rPr>
        <w:lastRenderedPageBreak/>
        <w:t>TABLE</w:t>
      </w:r>
      <w:r w:rsidR="003616B1" w:rsidRPr="00DA4AAC">
        <w:rPr>
          <w:b/>
          <w:sz w:val="23"/>
          <w:szCs w:val="23"/>
        </w:rPr>
        <w:t xml:space="preserve"> </w:t>
      </w:r>
      <w:proofErr w:type="gramStart"/>
      <w:r w:rsidR="003616B1" w:rsidRPr="00DA4AAC">
        <w:rPr>
          <w:b/>
          <w:sz w:val="23"/>
          <w:szCs w:val="23"/>
        </w:rPr>
        <w:t>1</w:t>
      </w:r>
      <w:r w:rsidR="005A6820" w:rsidRPr="00DA4AAC">
        <w:rPr>
          <w:b/>
          <w:sz w:val="23"/>
          <w:szCs w:val="23"/>
        </w:rPr>
        <w:t xml:space="preserve"> </w:t>
      </w:r>
      <w:r w:rsidRPr="00DA4AAC">
        <w:rPr>
          <w:b/>
          <w:sz w:val="23"/>
          <w:szCs w:val="23"/>
        </w:rPr>
        <w:t xml:space="preserve"> </w:t>
      </w:r>
      <w:r w:rsidR="00150C9B">
        <w:rPr>
          <w:b/>
          <w:sz w:val="23"/>
          <w:szCs w:val="23"/>
        </w:rPr>
        <w:t>Model</w:t>
      </w:r>
      <w:proofErr w:type="gramEnd"/>
      <w:r w:rsidR="00150C9B">
        <w:rPr>
          <w:b/>
          <w:sz w:val="23"/>
          <w:szCs w:val="23"/>
        </w:rPr>
        <w:t xml:space="preserve"> </w:t>
      </w:r>
      <w:r w:rsidR="001B51E5">
        <w:rPr>
          <w:b/>
          <w:sz w:val="23"/>
          <w:szCs w:val="23"/>
        </w:rPr>
        <w:t>G</w:t>
      </w:r>
      <w:r w:rsidR="00150C9B">
        <w:rPr>
          <w:b/>
          <w:sz w:val="23"/>
          <w:szCs w:val="23"/>
        </w:rPr>
        <w:t>oodness-of-</w:t>
      </w:r>
      <w:r w:rsidR="001B51E5">
        <w:rPr>
          <w:b/>
          <w:sz w:val="23"/>
          <w:szCs w:val="23"/>
        </w:rPr>
        <w:t>F</w:t>
      </w:r>
      <w:r w:rsidR="00150C9B">
        <w:rPr>
          <w:b/>
          <w:sz w:val="23"/>
          <w:szCs w:val="23"/>
        </w:rPr>
        <w:t xml:space="preserve">it and </w:t>
      </w:r>
      <w:r w:rsidR="005A6820" w:rsidRPr="00DA4AAC">
        <w:rPr>
          <w:b/>
          <w:sz w:val="23"/>
          <w:szCs w:val="23"/>
        </w:rPr>
        <w:t xml:space="preserve">Structural </w:t>
      </w:r>
      <w:r w:rsidRPr="00DA4AAC">
        <w:rPr>
          <w:b/>
          <w:sz w:val="23"/>
          <w:szCs w:val="23"/>
        </w:rPr>
        <w:t>E</w:t>
      </w:r>
      <w:r w:rsidR="005A6820" w:rsidRPr="00DA4AAC">
        <w:rPr>
          <w:b/>
          <w:sz w:val="23"/>
          <w:szCs w:val="23"/>
        </w:rPr>
        <w:t>quation</w:t>
      </w:r>
      <w:r w:rsidR="003616B1" w:rsidRPr="00DA4AAC">
        <w:rPr>
          <w:b/>
          <w:sz w:val="23"/>
          <w:szCs w:val="23"/>
        </w:rPr>
        <w:t xml:space="preserve"> </w:t>
      </w:r>
      <w:r w:rsidRPr="00DA4AAC">
        <w:rPr>
          <w:b/>
          <w:sz w:val="23"/>
          <w:szCs w:val="23"/>
        </w:rPr>
        <w:t>E</w:t>
      </w:r>
      <w:r w:rsidR="005257FB" w:rsidRPr="00DA4AAC">
        <w:rPr>
          <w:b/>
          <w:sz w:val="23"/>
          <w:szCs w:val="23"/>
        </w:rPr>
        <w:t>stimation</w:t>
      </w:r>
      <w:r w:rsidR="005A6820" w:rsidRPr="00DA4AAC">
        <w:rPr>
          <w:b/>
          <w:sz w:val="23"/>
          <w:szCs w:val="23"/>
        </w:rPr>
        <w:t xml:space="preserve"> </w:t>
      </w:r>
      <w:r w:rsidRPr="00DA4AAC">
        <w:rPr>
          <w:b/>
          <w:sz w:val="23"/>
          <w:szCs w:val="23"/>
        </w:rPr>
        <w:t>R</w:t>
      </w:r>
      <w:r w:rsidR="005A6820" w:rsidRPr="00DA4AAC">
        <w:rPr>
          <w:b/>
          <w:sz w:val="23"/>
          <w:szCs w:val="23"/>
        </w:rPr>
        <w:t>esults</w:t>
      </w:r>
    </w:p>
    <w:tbl>
      <w:tblPr>
        <w:tblW w:w="5114" w:type="pct"/>
        <w:tblInd w:w="-7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3209"/>
        <w:gridCol w:w="721"/>
        <w:gridCol w:w="804"/>
        <w:gridCol w:w="821"/>
        <w:gridCol w:w="878"/>
        <w:gridCol w:w="158"/>
        <w:gridCol w:w="572"/>
        <w:gridCol w:w="11"/>
        <w:gridCol w:w="815"/>
        <w:gridCol w:w="10"/>
        <w:gridCol w:w="11"/>
        <w:gridCol w:w="718"/>
        <w:gridCol w:w="798"/>
      </w:tblGrid>
      <w:tr w:rsidR="000939BD" w:rsidRPr="00C131C0" w:rsidTr="00414AC4">
        <w:trPr>
          <w:trHeight w:val="20"/>
        </w:trPr>
        <w:tc>
          <w:tcPr>
            <w:tcW w:w="5000" w:type="pct"/>
            <w:gridSpan w:val="13"/>
            <w:tcBorders>
              <w:top w:val="double" w:sz="6" w:space="0" w:color="auto"/>
              <w:bottom w:val="double" w:sz="6" w:space="0" w:color="auto"/>
            </w:tcBorders>
            <w:shd w:val="clear" w:color="000000" w:fill="D9D9D9"/>
            <w:noWrap/>
            <w:vAlign w:val="center"/>
            <w:hideMark/>
          </w:tcPr>
          <w:p w:rsidR="000939BD" w:rsidRPr="00C131C0" w:rsidRDefault="000939BD" w:rsidP="000939BD">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Goodness</w:t>
            </w:r>
            <w:r w:rsidRPr="00C131C0">
              <w:rPr>
                <w:rFonts w:eastAsia="Times New Roman" w:cs="Times New Roman"/>
                <w:b/>
                <w:color w:val="000000"/>
                <w:sz w:val="20"/>
                <w:szCs w:val="20"/>
              </w:rPr>
              <w:t>-of-fit</w:t>
            </w:r>
          </w:p>
        </w:tc>
      </w:tr>
      <w:tr w:rsidR="00704A8C" w:rsidRPr="00C131C0" w:rsidTr="00D60792">
        <w:trPr>
          <w:trHeight w:val="20"/>
        </w:trPr>
        <w:tc>
          <w:tcPr>
            <w:tcW w:w="2484" w:type="pct"/>
            <w:gridSpan w:val="3"/>
            <w:tcBorders>
              <w:top w:val="double" w:sz="6" w:space="0" w:color="auto"/>
              <w:bottom w:val="double" w:sz="6" w:space="0" w:color="auto"/>
              <w:right w:val="double" w:sz="4" w:space="0" w:color="auto"/>
            </w:tcBorders>
            <w:shd w:val="clear" w:color="000000" w:fill="D9D9D9"/>
            <w:noWrap/>
            <w:vAlign w:val="center"/>
          </w:tcPr>
          <w:p w:rsidR="00704A8C" w:rsidRDefault="00704A8C" w:rsidP="000939BD">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Summary Statistics</w:t>
            </w:r>
          </w:p>
        </w:tc>
        <w:tc>
          <w:tcPr>
            <w:tcW w:w="1275" w:type="pct"/>
            <w:gridSpan w:val="4"/>
            <w:tcBorders>
              <w:top w:val="double" w:sz="6" w:space="0" w:color="auto"/>
              <w:left w:val="double" w:sz="4" w:space="0" w:color="auto"/>
              <w:bottom w:val="double" w:sz="6" w:space="0" w:color="auto"/>
              <w:right w:val="double" w:sz="4" w:space="0" w:color="auto"/>
            </w:tcBorders>
            <w:shd w:val="clear" w:color="000000" w:fill="D9D9D9"/>
            <w:vAlign w:val="center"/>
          </w:tcPr>
          <w:p w:rsidR="00704A8C" w:rsidRDefault="00704A8C" w:rsidP="000939BD">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GHDM</w:t>
            </w:r>
          </w:p>
        </w:tc>
        <w:tc>
          <w:tcPr>
            <w:tcW w:w="1241" w:type="pct"/>
            <w:gridSpan w:val="6"/>
            <w:tcBorders>
              <w:top w:val="double" w:sz="6" w:space="0" w:color="auto"/>
              <w:left w:val="double" w:sz="4" w:space="0" w:color="auto"/>
              <w:bottom w:val="double" w:sz="6" w:space="0" w:color="auto"/>
            </w:tcBorders>
            <w:shd w:val="clear" w:color="000000" w:fill="D9D9D9"/>
            <w:vAlign w:val="center"/>
          </w:tcPr>
          <w:p w:rsidR="00704A8C" w:rsidRDefault="00704A8C" w:rsidP="000939BD">
            <w:pPr>
              <w:spacing w:after="0" w:line="240" w:lineRule="auto"/>
              <w:jc w:val="center"/>
              <w:rPr>
                <w:rFonts w:eastAsia="Times New Roman" w:cs="Times New Roman"/>
                <w:b/>
                <w:color w:val="000000"/>
                <w:sz w:val="20"/>
                <w:szCs w:val="20"/>
              </w:rPr>
            </w:pPr>
            <w:r>
              <w:rPr>
                <w:rFonts w:eastAsia="Times New Roman" w:cs="Times New Roman"/>
                <w:b/>
                <w:color w:val="000000"/>
                <w:sz w:val="20"/>
                <w:szCs w:val="20"/>
              </w:rPr>
              <w:t>IHDM</w:t>
            </w:r>
          </w:p>
        </w:tc>
      </w:tr>
      <w:tr w:rsidR="00704A8C" w:rsidRPr="00C131C0" w:rsidTr="00704A8C">
        <w:trPr>
          <w:trHeight w:val="20"/>
        </w:trPr>
        <w:tc>
          <w:tcPr>
            <w:tcW w:w="2484" w:type="pct"/>
            <w:gridSpan w:val="3"/>
            <w:tcBorders>
              <w:top w:val="double" w:sz="6" w:space="0" w:color="auto"/>
              <w:bottom w:val="double" w:sz="6" w:space="0" w:color="auto"/>
              <w:right w:val="double" w:sz="4" w:space="0" w:color="auto"/>
            </w:tcBorders>
            <w:shd w:val="clear" w:color="auto" w:fill="auto"/>
            <w:noWrap/>
            <w:vAlign w:val="center"/>
          </w:tcPr>
          <w:p w:rsidR="00704A8C" w:rsidRPr="00704A8C" w:rsidRDefault="00704A8C" w:rsidP="00704A8C">
            <w:pPr>
              <w:spacing w:after="0" w:line="240" w:lineRule="auto"/>
              <w:rPr>
                <w:rFonts w:eastAsia="Times New Roman" w:cs="Times New Roman"/>
                <w:color w:val="000000"/>
                <w:sz w:val="20"/>
                <w:szCs w:val="20"/>
              </w:rPr>
            </w:pPr>
            <w:r w:rsidRPr="00704A8C">
              <w:rPr>
                <w:rFonts w:eastAsia="Times New Roman" w:cs="Times New Roman"/>
                <w:color w:val="000000"/>
                <w:sz w:val="20"/>
                <w:szCs w:val="20"/>
              </w:rPr>
              <w:t>Log-likelihood at constants</w:t>
            </w:r>
          </w:p>
        </w:tc>
        <w:tc>
          <w:tcPr>
            <w:tcW w:w="2516" w:type="pct"/>
            <w:gridSpan w:val="10"/>
            <w:tcBorders>
              <w:top w:val="double" w:sz="6" w:space="0" w:color="auto"/>
              <w:left w:val="double" w:sz="4" w:space="0" w:color="auto"/>
              <w:bottom w:val="double" w:sz="6" w:space="0" w:color="auto"/>
            </w:tcBorders>
            <w:shd w:val="clear" w:color="auto" w:fill="auto"/>
            <w:vAlign w:val="center"/>
          </w:tcPr>
          <w:p w:rsidR="00704A8C" w:rsidRPr="00704A8C" w:rsidRDefault="00704A8C" w:rsidP="000939BD">
            <w:pPr>
              <w:spacing w:after="0" w:line="240" w:lineRule="auto"/>
              <w:jc w:val="center"/>
              <w:rPr>
                <w:rFonts w:eastAsia="Times New Roman" w:cs="Times New Roman"/>
                <w:color w:val="000000"/>
                <w:sz w:val="20"/>
                <w:szCs w:val="20"/>
              </w:rPr>
            </w:pPr>
            <w:r w:rsidRPr="00704A8C">
              <w:rPr>
                <w:rFonts w:eastAsia="Times New Roman" w:cs="Times New Roman"/>
                <w:color w:val="000000"/>
                <w:sz w:val="20"/>
                <w:szCs w:val="20"/>
              </w:rPr>
              <w:t>-9,792.8</w:t>
            </w:r>
          </w:p>
        </w:tc>
      </w:tr>
      <w:tr w:rsidR="00704A8C" w:rsidRPr="00C131C0" w:rsidTr="00D60792">
        <w:trPr>
          <w:trHeight w:val="264"/>
        </w:trPr>
        <w:tc>
          <w:tcPr>
            <w:tcW w:w="2484" w:type="pct"/>
            <w:gridSpan w:val="3"/>
            <w:tcBorders>
              <w:top w:val="double" w:sz="6" w:space="0" w:color="auto"/>
              <w:bottom w:val="double" w:sz="6" w:space="0" w:color="auto"/>
              <w:right w:val="double" w:sz="4" w:space="0" w:color="auto"/>
            </w:tcBorders>
            <w:shd w:val="clear" w:color="auto" w:fill="auto"/>
            <w:noWrap/>
            <w:vAlign w:val="center"/>
          </w:tcPr>
          <w:p w:rsidR="00704A8C" w:rsidRPr="00704A8C" w:rsidRDefault="00704A8C" w:rsidP="00704A8C">
            <w:pPr>
              <w:spacing w:after="0" w:line="240" w:lineRule="auto"/>
              <w:rPr>
                <w:rFonts w:eastAsia="Times New Roman" w:cs="Times New Roman"/>
                <w:color w:val="000000"/>
                <w:sz w:val="20"/>
                <w:szCs w:val="20"/>
              </w:rPr>
            </w:pPr>
            <w:r w:rsidRPr="00704A8C">
              <w:rPr>
                <w:rFonts w:eastAsia="Times New Roman" w:cs="Times New Roman"/>
                <w:color w:val="000000"/>
                <w:sz w:val="20"/>
                <w:szCs w:val="20"/>
              </w:rPr>
              <w:t>Predictive log-likelihood at convergence</w:t>
            </w:r>
          </w:p>
        </w:tc>
        <w:tc>
          <w:tcPr>
            <w:tcW w:w="1275" w:type="pct"/>
            <w:gridSpan w:val="4"/>
            <w:tcBorders>
              <w:top w:val="double" w:sz="6" w:space="0" w:color="auto"/>
              <w:left w:val="double" w:sz="4" w:space="0" w:color="auto"/>
              <w:right w:val="double" w:sz="4" w:space="0" w:color="auto"/>
            </w:tcBorders>
            <w:shd w:val="clear" w:color="auto" w:fill="auto"/>
            <w:vAlign w:val="center"/>
          </w:tcPr>
          <w:p w:rsidR="00704A8C" w:rsidRPr="00704A8C" w:rsidRDefault="00704A8C" w:rsidP="00704A8C">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-7,479.4</w:t>
            </w:r>
          </w:p>
        </w:tc>
        <w:tc>
          <w:tcPr>
            <w:tcW w:w="1241" w:type="pct"/>
            <w:gridSpan w:val="6"/>
            <w:tcBorders>
              <w:top w:val="double" w:sz="6" w:space="0" w:color="auto"/>
              <w:left w:val="double" w:sz="4" w:space="0" w:color="auto"/>
              <w:bottom w:val="double" w:sz="6" w:space="0" w:color="auto"/>
            </w:tcBorders>
            <w:shd w:val="clear" w:color="auto" w:fill="auto"/>
            <w:vAlign w:val="center"/>
          </w:tcPr>
          <w:p w:rsidR="00704A8C" w:rsidRPr="005017C1" w:rsidRDefault="00A82E70" w:rsidP="000939B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-8,211.5</w:t>
            </w:r>
          </w:p>
        </w:tc>
      </w:tr>
      <w:tr w:rsidR="00704A8C" w:rsidRPr="00C131C0" w:rsidTr="00D60792">
        <w:trPr>
          <w:trHeight w:val="262"/>
        </w:trPr>
        <w:tc>
          <w:tcPr>
            <w:tcW w:w="2484" w:type="pct"/>
            <w:gridSpan w:val="3"/>
            <w:tcBorders>
              <w:top w:val="double" w:sz="6" w:space="0" w:color="auto"/>
              <w:bottom w:val="double" w:sz="6" w:space="0" w:color="auto"/>
              <w:right w:val="double" w:sz="4" w:space="0" w:color="auto"/>
            </w:tcBorders>
            <w:shd w:val="clear" w:color="auto" w:fill="auto"/>
            <w:noWrap/>
            <w:vAlign w:val="center"/>
          </w:tcPr>
          <w:p w:rsidR="00704A8C" w:rsidRPr="00704A8C" w:rsidRDefault="00704A8C" w:rsidP="00704A8C">
            <w:pPr>
              <w:spacing w:after="0" w:line="240" w:lineRule="auto"/>
              <w:rPr>
                <w:rFonts w:eastAsia="Times New Roman" w:cs="Times New Roman"/>
                <w:color w:val="000000"/>
                <w:sz w:val="20"/>
                <w:szCs w:val="20"/>
              </w:rPr>
            </w:pPr>
            <w:r w:rsidRPr="00704A8C">
              <w:rPr>
                <w:rFonts w:eastAsia="Times New Roman" w:cs="Times New Roman"/>
                <w:color w:val="000000"/>
                <w:sz w:val="20"/>
                <w:szCs w:val="20"/>
              </w:rPr>
              <w:t>Number of parameters</w:t>
            </w:r>
            <w:r w:rsidR="00E81C38">
              <w:rPr>
                <w:rFonts w:eastAsia="Times New Roman" w:cs="Times New Roman"/>
                <w:color w:val="000000"/>
                <w:sz w:val="20"/>
                <w:szCs w:val="20"/>
              </w:rPr>
              <w:t xml:space="preserve"> (not including constants)</w:t>
            </w:r>
          </w:p>
        </w:tc>
        <w:tc>
          <w:tcPr>
            <w:tcW w:w="1275" w:type="pct"/>
            <w:gridSpan w:val="4"/>
            <w:tcBorders>
              <w:top w:val="double" w:sz="6" w:space="0" w:color="auto"/>
              <w:left w:val="double" w:sz="4" w:space="0" w:color="auto"/>
              <w:right w:val="double" w:sz="4" w:space="0" w:color="auto"/>
            </w:tcBorders>
            <w:shd w:val="clear" w:color="auto" w:fill="auto"/>
            <w:vAlign w:val="center"/>
          </w:tcPr>
          <w:p w:rsidR="00704A8C" w:rsidRPr="00704A8C" w:rsidRDefault="00E81C38" w:rsidP="00A36C1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w:t>
            </w:r>
            <w:r w:rsidR="00A36C18">
              <w:rPr>
                <w:rFonts w:eastAsia="Times New Roman" w:cs="Times New Roman"/>
                <w:color w:val="000000"/>
                <w:sz w:val="20"/>
                <w:szCs w:val="20"/>
              </w:rPr>
              <w:t>1</w:t>
            </w:r>
            <w:r>
              <w:rPr>
                <w:rFonts w:eastAsia="Times New Roman" w:cs="Times New Roman"/>
                <w:color w:val="000000"/>
                <w:sz w:val="20"/>
                <w:szCs w:val="20"/>
              </w:rPr>
              <w:t>9</w:t>
            </w:r>
          </w:p>
        </w:tc>
        <w:tc>
          <w:tcPr>
            <w:tcW w:w="1241" w:type="pct"/>
            <w:gridSpan w:val="6"/>
            <w:tcBorders>
              <w:top w:val="double" w:sz="6" w:space="0" w:color="auto"/>
              <w:left w:val="double" w:sz="4" w:space="0" w:color="auto"/>
              <w:bottom w:val="double" w:sz="6" w:space="0" w:color="auto"/>
            </w:tcBorders>
            <w:shd w:val="clear" w:color="auto" w:fill="auto"/>
            <w:vAlign w:val="center"/>
          </w:tcPr>
          <w:p w:rsidR="00704A8C" w:rsidRPr="005017C1" w:rsidRDefault="00A82E70" w:rsidP="000939B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164</w:t>
            </w:r>
          </w:p>
        </w:tc>
      </w:tr>
      <w:tr w:rsidR="00704A8C" w:rsidRPr="00C131C0" w:rsidTr="00D60792">
        <w:trPr>
          <w:trHeight w:val="262"/>
        </w:trPr>
        <w:tc>
          <w:tcPr>
            <w:tcW w:w="2484" w:type="pct"/>
            <w:gridSpan w:val="3"/>
            <w:tcBorders>
              <w:top w:val="double" w:sz="6" w:space="0" w:color="auto"/>
              <w:bottom w:val="double" w:sz="6" w:space="0" w:color="auto"/>
              <w:right w:val="double" w:sz="4" w:space="0" w:color="auto"/>
            </w:tcBorders>
            <w:shd w:val="clear" w:color="auto" w:fill="auto"/>
            <w:noWrap/>
            <w:vAlign w:val="center"/>
          </w:tcPr>
          <w:p w:rsidR="00704A8C" w:rsidRPr="00704A8C" w:rsidRDefault="00704A8C" w:rsidP="00704A8C">
            <w:pPr>
              <w:spacing w:after="0" w:line="240" w:lineRule="auto"/>
              <w:rPr>
                <w:rFonts w:eastAsia="Times New Roman" w:cs="Times New Roman"/>
                <w:color w:val="000000"/>
                <w:sz w:val="20"/>
                <w:szCs w:val="20"/>
              </w:rPr>
            </w:pPr>
            <w:r w:rsidRPr="00704A8C">
              <w:rPr>
                <w:rFonts w:eastAsia="Times New Roman" w:cs="Times New Roman"/>
                <w:color w:val="000000"/>
                <w:sz w:val="20"/>
                <w:szCs w:val="20"/>
              </w:rPr>
              <w:t>Number of observations</w:t>
            </w:r>
          </w:p>
        </w:tc>
        <w:tc>
          <w:tcPr>
            <w:tcW w:w="1275" w:type="pct"/>
            <w:gridSpan w:val="4"/>
            <w:tcBorders>
              <w:top w:val="double" w:sz="6" w:space="0" w:color="auto"/>
              <w:left w:val="double" w:sz="4" w:space="0" w:color="auto"/>
              <w:right w:val="double" w:sz="4" w:space="0" w:color="auto"/>
            </w:tcBorders>
            <w:shd w:val="clear" w:color="auto" w:fill="auto"/>
            <w:vAlign w:val="center"/>
          </w:tcPr>
          <w:p w:rsidR="00704A8C" w:rsidRPr="00704A8C" w:rsidRDefault="005017C1" w:rsidP="005017C1">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3309</w:t>
            </w:r>
          </w:p>
        </w:tc>
        <w:tc>
          <w:tcPr>
            <w:tcW w:w="1241" w:type="pct"/>
            <w:gridSpan w:val="6"/>
            <w:tcBorders>
              <w:top w:val="double" w:sz="6" w:space="0" w:color="auto"/>
              <w:left w:val="double" w:sz="4" w:space="0" w:color="auto"/>
              <w:bottom w:val="double" w:sz="6" w:space="0" w:color="auto"/>
            </w:tcBorders>
            <w:shd w:val="clear" w:color="auto" w:fill="auto"/>
            <w:vAlign w:val="center"/>
          </w:tcPr>
          <w:p w:rsidR="00704A8C" w:rsidRPr="005017C1" w:rsidRDefault="005017C1" w:rsidP="000939BD">
            <w:pPr>
              <w:spacing w:after="0" w:line="240" w:lineRule="auto"/>
              <w:jc w:val="center"/>
              <w:rPr>
                <w:rFonts w:eastAsia="Times New Roman" w:cs="Times New Roman"/>
                <w:color w:val="000000"/>
                <w:sz w:val="20"/>
                <w:szCs w:val="20"/>
              </w:rPr>
            </w:pPr>
            <w:r w:rsidRPr="005017C1">
              <w:rPr>
                <w:rFonts w:eastAsia="Times New Roman" w:cs="Times New Roman"/>
                <w:color w:val="000000"/>
                <w:sz w:val="20"/>
                <w:szCs w:val="20"/>
              </w:rPr>
              <w:t>3309</w:t>
            </w:r>
          </w:p>
        </w:tc>
      </w:tr>
      <w:tr w:rsidR="00704A8C" w:rsidRPr="00C131C0" w:rsidTr="00D60792">
        <w:trPr>
          <w:trHeight w:val="262"/>
        </w:trPr>
        <w:tc>
          <w:tcPr>
            <w:tcW w:w="2484" w:type="pct"/>
            <w:gridSpan w:val="3"/>
            <w:tcBorders>
              <w:top w:val="double" w:sz="6" w:space="0" w:color="auto"/>
              <w:bottom w:val="double" w:sz="6" w:space="0" w:color="auto"/>
              <w:right w:val="double" w:sz="4" w:space="0" w:color="auto"/>
            </w:tcBorders>
            <w:shd w:val="clear" w:color="auto" w:fill="auto"/>
            <w:noWrap/>
            <w:vAlign w:val="center"/>
          </w:tcPr>
          <w:p w:rsidR="00704A8C" w:rsidRPr="00704A8C" w:rsidRDefault="00704A8C" w:rsidP="00704A8C">
            <w:pPr>
              <w:spacing w:after="0" w:line="240" w:lineRule="auto"/>
              <w:rPr>
                <w:rFonts w:eastAsia="Times New Roman" w:cs="Times New Roman"/>
                <w:color w:val="000000"/>
                <w:sz w:val="20"/>
                <w:szCs w:val="20"/>
              </w:rPr>
            </w:pPr>
            <w:r w:rsidRPr="00704A8C">
              <w:rPr>
                <w:rFonts w:eastAsia="Times New Roman" w:cs="Times New Roman"/>
                <w:color w:val="000000"/>
                <w:sz w:val="20"/>
                <w:szCs w:val="20"/>
              </w:rPr>
              <w:t>Predictive adjusted likelihood ratio test</w:t>
            </w:r>
          </w:p>
        </w:tc>
        <w:tc>
          <w:tcPr>
            <w:tcW w:w="1275" w:type="pct"/>
            <w:gridSpan w:val="4"/>
            <w:tcBorders>
              <w:top w:val="double" w:sz="6" w:space="0" w:color="auto"/>
              <w:left w:val="double" w:sz="4" w:space="0" w:color="auto"/>
              <w:right w:val="double" w:sz="4" w:space="0" w:color="auto"/>
            </w:tcBorders>
            <w:shd w:val="clear" w:color="auto" w:fill="auto"/>
            <w:vAlign w:val="center"/>
          </w:tcPr>
          <w:p w:rsidR="00704A8C" w:rsidRPr="00704A8C" w:rsidRDefault="00E81C38" w:rsidP="00A36C1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0.22</w:t>
            </w:r>
            <w:r w:rsidR="00A36C18">
              <w:rPr>
                <w:rFonts w:eastAsia="Times New Roman" w:cs="Times New Roman"/>
                <w:color w:val="000000"/>
                <w:sz w:val="20"/>
                <w:szCs w:val="20"/>
              </w:rPr>
              <w:t>4</w:t>
            </w:r>
          </w:p>
        </w:tc>
        <w:tc>
          <w:tcPr>
            <w:tcW w:w="1241" w:type="pct"/>
            <w:gridSpan w:val="6"/>
            <w:tcBorders>
              <w:top w:val="double" w:sz="6" w:space="0" w:color="auto"/>
              <w:left w:val="double" w:sz="4" w:space="0" w:color="auto"/>
              <w:bottom w:val="single" w:sz="6" w:space="0" w:color="auto"/>
            </w:tcBorders>
            <w:shd w:val="clear" w:color="auto" w:fill="auto"/>
            <w:vAlign w:val="center"/>
          </w:tcPr>
          <w:p w:rsidR="00704A8C" w:rsidRPr="005017C1" w:rsidRDefault="00A82E70" w:rsidP="000939BD">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0.145</w:t>
            </w:r>
          </w:p>
        </w:tc>
      </w:tr>
      <w:tr w:rsidR="00704A8C" w:rsidRPr="00C131C0" w:rsidTr="00704A8C">
        <w:trPr>
          <w:trHeight w:val="20"/>
        </w:trPr>
        <w:tc>
          <w:tcPr>
            <w:tcW w:w="2484" w:type="pct"/>
            <w:gridSpan w:val="3"/>
            <w:tcBorders>
              <w:top w:val="double" w:sz="6" w:space="0" w:color="auto"/>
              <w:bottom w:val="double" w:sz="6" w:space="0" w:color="auto"/>
              <w:right w:val="double" w:sz="4" w:space="0" w:color="auto"/>
            </w:tcBorders>
            <w:shd w:val="clear" w:color="auto" w:fill="auto"/>
            <w:noWrap/>
            <w:vAlign w:val="center"/>
          </w:tcPr>
          <w:p w:rsidR="00704A8C" w:rsidRPr="00704A8C" w:rsidRDefault="00704A8C" w:rsidP="00704A8C">
            <w:pPr>
              <w:spacing w:after="0" w:line="240" w:lineRule="auto"/>
              <w:rPr>
                <w:rFonts w:eastAsia="Times New Roman" w:cs="Times New Roman"/>
                <w:color w:val="000000"/>
                <w:sz w:val="20"/>
                <w:szCs w:val="20"/>
              </w:rPr>
            </w:pPr>
            <w:r w:rsidRPr="00704A8C">
              <w:rPr>
                <w:rFonts w:eastAsia="Times New Roman" w:cs="Times New Roman"/>
                <w:color w:val="000000"/>
                <w:sz w:val="20"/>
                <w:szCs w:val="20"/>
              </w:rPr>
              <w:t>Non-nested adjusted likelihood ratio test</w:t>
            </w:r>
          </w:p>
        </w:tc>
        <w:tc>
          <w:tcPr>
            <w:tcW w:w="2516" w:type="pct"/>
            <w:gridSpan w:val="10"/>
            <w:tcBorders>
              <w:top w:val="double" w:sz="6" w:space="0" w:color="auto"/>
              <w:left w:val="double" w:sz="4" w:space="0" w:color="auto"/>
              <w:bottom w:val="double" w:sz="6" w:space="0" w:color="auto"/>
            </w:tcBorders>
            <w:shd w:val="clear" w:color="auto" w:fill="auto"/>
            <w:vAlign w:val="center"/>
          </w:tcPr>
          <w:p w:rsidR="00704A8C" w:rsidRPr="00D11444" w:rsidRDefault="00D11444" w:rsidP="000939BD">
            <w:pPr>
              <w:spacing w:after="0" w:line="240" w:lineRule="auto"/>
              <w:jc w:val="center"/>
              <w:rPr>
                <w:rFonts w:eastAsia="Times New Roman" w:cs="Times New Roman"/>
                <w:color w:val="000000"/>
                <w:sz w:val="20"/>
                <w:szCs w:val="20"/>
              </w:rPr>
            </w:pPr>
            <w:r w:rsidRPr="00D11444">
              <w:rPr>
                <w:rFonts w:eastAsia="Times New Roman" w:cs="Times New Roman"/>
                <w:color w:val="000000"/>
                <w:sz w:val="20"/>
                <w:szCs w:val="20"/>
              </w:rPr>
              <w:t>Φ[</w:t>
            </w:r>
            <w:r w:rsidR="00A82E70">
              <w:rPr>
                <w:rFonts w:eastAsia="Times New Roman" w:cs="Times New Roman"/>
                <w:color w:val="000000"/>
                <w:sz w:val="20"/>
                <w:szCs w:val="20"/>
              </w:rPr>
              <w:t>-38.85</w:t>
            </w:r>
            <w:r w:rsidRPr="00D11444">
              <w:rPr>
                <w:rFonts w:eastAsia="Times New Roman" w:cs="Times New Roman"/>
                <w:color w:val="000000"/>
                <w:sz w:val="20"/>
                <w:szCs w:val="20"/>
              </w:rPr>
              <w:t>]&lt;&lt;0.0001</w:t>
            </w:r>
          </w:p>
        </w:tc>
      </w:tr>
      <w:tr w:rsidR="00841A33" w:rsidRPr="0001765D" w:rsidTr="00704A8C">
        <w:trPr>
          <w:trHeight w:val="20"/>
        </w:trPr>
        <w:tc>
          <w:tcPr>
            <w:tcW w:w="2484" w:type="pct"/>
            <w:gridSpan w:val="3"/>
            <w:tcBorders>
              <w:top w:val="double" w:sz="6" w:space="0" w:color="auto"/>
              <w:bottom w:val="double" w:sz="6" w:space="0" w:color="auto"/>
              <w:right w:val="double" w:sz="6" w:space="0" w:color="auto"/>
            </w:tcBorders>
            <w:shd w:val="clear" w:color="000000" w:fill="D9D9D9"/>
            <w:noWrap/>
            <w:vAlign w:val="center"/>
            <w:hideMark/>
          </w:tcPr>
          <w:p w:rsidR="000939BD" w:rsidRPr="00C131C0" w:rsidRDefault="000939BD" w:rsidP="005E2802">
            <w:pPr>
              <w:spacing w:after="0" w:line="240" w:lineRule="auto"/>
              <w:rPr>
                <w:rFonts w:eastAsia="Times New Roman" w:cs="Times New Roman"/>
                <w:color w:val="000000"/>
                <w:sz w:val="20"/>
                <w:szCs w:val="20"/>
              </w:rPr>
            </w:pPr>
          </w:p>
        </w:tc>
        <w:tc>
          <w:tcPr>
            <w:tcW w:w="975" w:type="pct"/>
            <w:gridSpan w:val="3"/>
            <w:tcBorders>
              <w:top w:val="double" w:sz="6" w:space="0" w:color="auto"/>
              <w:left w:val="double" w:sz="6" w:space="0" w:color="auto"/>
              <w:bottom w:val="double" w:sz="6" w:space="0" w:color="auto"/>
              <w:right w:val="double" w:sz="4" w:space="0" w:color="auto"/>
            </w:tcBorders>
            <w:shd w:val="clear" w:color="000000" w:fill="D9D9D9"/>
            <w:noWrap/>
            <w:vAlign w:val="center"/>
            <w:hideMark/>
          </w:tcPr>
          <w:p w:rsidR="000939BD" w:rsidRPr="0001765D" w:rsidRDefault="000939BD" w:rsidP="00A6140E">
            <w:pPr>
              <w:spacing w:after="0" w:line="240" w:lineRule="auto"/>
              <w:jc w:val="center"/>
              <w:rPr>
                <w:rFonts w:eastAsia="Times New Roman" w:cs="Times New Roman"/>
                <w:b/>
                <w:color w:val="000000"/>
                <w:sz w:val="20"/>
                <w:szCs w:val="20"/>
              </w:rPr>
            </w:pPr>
            <w:r w:rsidRPr="0001765D">
              <w:rPr>
                <w:rFonts w:eastAsia="Times New Roman" w:cs="Times New Roman"/>
                <w:b/>
                <w:color w:val="000000"/>
                <w:sz w:val="20"/>
                <w:szCs w:val="20"/>
              </w:rPr>
              <w:t>Car</w:t>
            </w:r>
          </w:p>
        </w:tc>
        <w:tc>
          <w:tcPr>
            <w:tcW w:w="745" w:type="pct"/>
            <w:gridSpan w:val="5"/>
            <w:tcBorders>
              <w:top w:val="double" w:sz="6" w:space="0" w:color="auto"/>
              <w:left w:val="double" w:sz="4" w:space="0" w:color="auto"/>
              <w:bottom w:val="double" w:sz="6" w:space="0" w:color="auto"/>
              <w:right w:val="double" w:sz="4" w:space="0" w:color="auto"/>
            </w:tcBorders>
            <w:shd w:val="clear" w:color="000000" w:fill="D9D9D9"/>
            <w:noWrap/>
            <w:vAlign w:val="center"/>
            <w:hideMark/>
          </w:tcPr>
          <w:p w:rsidR="000939BD" w:rsidRPr="0001765D" w:rsidRDefault="000939BD" w:rsidP="00A6140E">
            <w:pPr>
              <w:spacing w:after="0" w:line="240" w:lineRule="auto"/>
              <w:jc w:val="center"/>
              <w:rPr>
                <w:rFonts w:eastAsia="Times New Roman" w:cs="Times New Roman"/>
                <w:b/>
                <w:color w:val="000000"/>
                <w:sz w:val="20"/>
                <w:szCs w:val="20"/>
              </w:rPr>
            </w:pPr>
            <w:r w:rsidRPr="0001765D">
              <w:rPr>
                <w:rFonts w:eastAsia="Times New Roman" w:cs="Times New Roman"/>
                <w:b/>
                <w:color w:val="000000"/>
                <w:sz w:val="20"/>
                <w:szCs w:val="20"/>
              </w:rPr>
              <w:t>Transit</w:t>
            </w:r>
          </w:p>
        </w:tc>
        <w:tc>
          <w:tcPr>
            <w:tcW w:w="797" w:type="pct"/>
            <w:gridSpan w:val="2"/>
            <w:tcBorders>
              <w:top w:val="double" w:sz="6" w:space="0" w:color="auto"/>
              <w:left w:val="double" w:sz="4" w:space="0" w:color="auto"/>
              <w:bottom w:val="double" w:sz="6" w:space="0" w:color="auto"/>
            </w:tcBorders>
            <w:shd w:val="clear" w:color="000000" w:fill="D9D9D9"/>
            <w:noWrap/>
            <w:vAlign w:val="center"/>
            <w:hideMark/>
          </w:tcPr>
          <w:p w:rsidR="000939BD" w:rsidRPr="0001765D" w:rsidRDefault="000939BD" w:rsidP="00A6140E">
            <w:pPr>
              <w:spacing w:after="0" w:line="240" w:lineRule="auto"/>
              <w:jc w:val="center"/>
              <w:rPr>
                <w:rFonts w:eastAsia="Times New Roman" w:cs="Times New Roman"/>
                <w:b/>
                <w:color w:val="000000"/>
                <w:sz w:val="20"/>
                <w:szCs w:val="20"/>
              </w:rPr>
            </w:pPr>
            <w:r w:rsidRPr="0001765D">
              <w:rPr>
                <w:rFonts w:eastAsia="Times New Roman" w:cs="Times New Roman"/>
                <w:b/>
                <w:color w:val="000000"/>
                <w:sz w:val="20"/>
                <w:szCs w:val="20"/>
              </w:rPr>
              <w:t>Non-motorized</w:t>
            </w:r>
          </w:p>
        </w:tc>
      </w:tr>
      <w:tr w:rsidR="0090402C" w:rsidRPr="00C131C0" w:rsidTr="00704A8C">
        <w:trPr>
          <w:trHeight w:val="20"/>
        </w:trPr>
        <w:tc>
          <w:tcPr>
            <w:tcW w:w="2484" w:type="pct"/>
            <w:gridSpan w:val="3"/>
            <w:tcBorders>
              <w:top w:val="double" w:sz="6" w:space="0" w:color="auto"/>
              <w:bottom w:val="double" w:sz="4" w:space="0" w:color="auto"/>
              <w:right w:val="double" w:sz="6" w:space="0" w:color="auto"/>
            </w:tcBorders>
            <w:shd w:val="clear" w:color="auto" w:fill="auto"/>
            <w:vAlign w:val="center"/>
          </w:tcPr>
          <w:p w:rsidR="0090402C" w:rsidRDefault="0090402C" w:rsidP="005E2802">
            <w:pPr>
              <w:spacing w:after="0" w:line="240" w:lineRule="auto"/>
              <w:rPr>
                <w:rFonts w:eastAsia="Times New Roman" w:cs="Times New Roman"/>
                <w:color w:val="000000"/>
                <w:sz w:val="20"/>
                <w:szCs w:val="20"/>
              </w:rPr>
            </w:pPr>
            <w:r>
              <w:rPr>
                <w:rFonts w:eastAsia="Times New Roman" w:cs="Times New Roman"/>
                <w:color w:val="000000"/>
                <w:sz w:val="20"/>
                <w:szCs w:val="20"/>
              </w:rPr>
              <w:t>Average p</w:t>
            </w:r>
            <w:r w:rsidRPr="00C131C0">
              <w:rPr>
                <w:rFonts w:eastAsia="Times New Roman" w:cs="Times New Roman"/>
                <w:color w:val="000000"/>
                <w:sz w:val="20"/>
                <w:szCs w:val="20"/>
              </w:rPr>
              <w:t>robability of correct prediction for each alternative</w:t>
            </w:r>
          </w:p>
        </w:tc>
        <w:tc>
          <w:tcPr>
            <w:tcW w:w="975" w:type="pct"/>
            <w:gridSpan w:val="3"/>
            <w:tcBorders>
              <w:top w:val="double" w:sz="6" w:space="0" w:color="auto"/>
              <w:left w:val="double" w:sz="6" w:space="0" w:color="auto"/>
              <w:bottom w:val="double" w:sz="4" w:space="0" w:color="auto"/>
              <w:right w:val="double" w:sz="4" w:space="0" w:color="auto"/>
            </w:tcBorders>
            <w:shd w:val="clear" w:color="auto" w:fill="auto"/>
            <w:noWrap/>
            <w:vAlign w:val="center"/>
          </w:tcPr>
          <w:p w:rsidR="0090402C"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76.0%</w:t>
            </w:r>
          </w:p>
        </w:tc>
        <w:tc>
          <w:tcPr>
            <w:tcW w:w="745" w:type="pct"/>
            <w:gridSpan w:val="5"/>
            <w:tcBorders>
              <w:top w:val="double" w:sz="6" w:space="0" w:color="auto"/>
              <w:left w:val="double" w:sz="4" w:space="0" w:color="auto"/>
              <w:bottom w:val="double" w:sz="4" w:space="0" w:color="auto"/>
              <w:right w:val="double" w:sz="4" w:space="0" w:color="auto"/>
            </w:tcBorders>
            <w:shd w:val="clear" w:color="auto" w:fill="auto"/>
            <w:noWrap/>
            <w:vAlign w:val="center"/>
          </w:tcPr>
          <w:p w:rsidR="0090402C"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37.9%</w:t>
            </w:r>
          </w:p>
        </w:tc>
        <w:tc>
          <w:tcPr>
            <w:tcW w:w="797" w:type="pct"/>
            <w:gridSpan w:val="2"/>
            <w:tcBorders>
              <w:top w:val="double" w:sz="6" w:space="0" w:color="auto"/>
              <w:left w:val="double" w:sz="4" w:space="0" w:color="auto"/>
              <w:bottom w:val="double" w:sz="4" w:space="0" w:color="auto"/>
            </w:tcBorders>
            <w:shd w:val="clear" w:color="auto" w:fill="auto"/>
            <w:noWrap/>
            <w:vAlign w:val="center"/>
          </w:tcPr>
          <w:p w:rsidR="0090402C"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26.0%</w:t>
            </w:r>
          </w:p>
        </w:tc>
      </w:tr>
      <w:tr w:rsidR="0090402C" w:rsidRPr="00C131C0" w:rsidTr="00704A8C">
        <w:trPr>
          <w:trHeight w:val="20"/>
        </w:trPr>
        <w:tc>
          <w:tcPr>
            <w:tcW w:w="2484" w:type="pct"/>
            <w:gridSpan w:val="3"/>
            <w:tcBorders>
              <w:top w:val="double" w:sz="6" w:space="0" w:color="auto"/>
              <w:bottom w:val="nil"/>
              <w:right w:val="double" w:sz="6" w:space="0" w:color="auto"/>
            </w:tcBorders>
            <w:shd w:val="clear" w:color="auto" w:fill="auto"/>
            <w:vAlign w:val="center"/>
          </w:tcPr>
          <w:p w:rsidR="0090402C" w:rsidRPr="00C131C0" w:rsidRDefault="0090402C" w:rsidP="005E2802">
            <w:pPr>
              <w:spacing w:after="0" w:line="240" w:lineRule="auto"/>
              <w:rPr>
                <w:rFonts w:eastAsia="Times New Roman" w:cs="Times New Roman"/>
                <w:color w:val="000000"/>
                <w:sz w:val="20"/>
                <w:szCs w:val="20"/>
              </w:rPr>
            </w:pPr>
            <w:r>
              <w:rPr>
                <w:rFonts w:eastAsia="Times New Roman" w:cs="Times New Roman"/>
                <w:color w:val="000000"/>
                <w:sz w:val="20"/>
                <w:szCs w:val="20"/>
              </w:rPr>
              <w:t>Actual</w:t>
            </w:r>
            <w:r w:rsidRPr="00C131C0">
              <w:rPr>
                <w:rFonts w:eastAsia="Times New Roman" w:cs="Times New Roman"/>
                <w:color w:val="000000"/>
                <w:sz w:val="20"/>
                <w:szCs w:val="20"/>
              </w:rPr>
              <w:t xml:space="preserve"> sample shares</w:t>
            </w:r>
          </w:p>
        </w:tc>
        <w:tc>
          <w:tcPr>
            <w:tcW w:w="975" w:type="pct"/>
            <w:gridSpan w:val="3"/>
            <w:tcBorders>
              <w:top w:val="double" w:sz="6" w:space="0" w:color="auto"/>
              <w:left w:val="double" w:sz="6" w:space="0" w:color="auto"/>
              <w:bottom w:val="nil"/>
              <w:right w:val="double" w:sz="4" w:space="0" w:color="auto"/>
            </w:tcBorders>
            <w:shd w:val="clear" w:color="auto" w:fill="auto"/>
            <w:noWrap/>
            <w:vAlign w:val="center"/>
          </w:tcPr>
          <w:p w:rsidR="0090402C" w:rsidRPr="00C131C0"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75.7%</w:t>
            </w:r>
          </w:p>
        </w:tc>
        <w:tc>
          <w:tcPr>
            <w:tcW w:w="745" w:type="pct"/>
            <w:gridSpan w:val="5"/>
            <w:tcBorders>
              <w:top w:val="double" w:sz="6" w:space="0" w:color="auto"/>
              <w:left w:val="double" w:sz="4" w:space="0" w:color="auto"/>
              <w:bottom w:val="nil"/>
              <w:right w:val="double" w:sz="4" w:space="0" w:color="auto"/>
            </w:tcBorders>
            <w:shd w:val="clear" w:color="auto" w:fill="auto"/>
            <w:noWrap/>
            <w:vAlign w:val="center"/>
          </w:tcPr>
          <w:p w:rsidR="0090402C" w:rsidRPr="00C131C0"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13.8%</w:t>
            </w:r>
          </w:p>
        </w:tc>
        <w:tc>
          <w:tcPr>
            <w:tcW w:w="797" w:type="pct"/>
            <w:gridSpan w:val="2"/>
            <w:tcBorders>
              <w:top w:val="double" w:sz="6" w:space="0" w:color="auto"/>
              <w:left w:val="double" w:sz="4" w:space="0" w:color="auto"/>
              <w:bottom w:val="nil"/>
            </w:tcBorders>
            <w:shd w:val="clear" w:color="auto" w:fill="auto"/>
            <w:noWrap/>
            <w:vAlign w:val="center"/>
          </w:tcPr>
          <w:p w:rsidR="0090402C" w:rsidRPr="00C131C0"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10.5%</w:t>
            </w:r>
          </w:p>
        </w:tc>
      </w:tr>
      <w:tr w:rsidR="0090402C" w:rsidRPr="00C131C0" w:rsidTr="00704A8C">
        <w:trPr>
          <w:trHeight w:val="20"/>
        </w:trPr>
        <w:tc>
          <w:tcPr>
            <w:tcW w:w="2484" w:type="pct"/>
            <w:gridSpan w:val="3"/>
            <w:tcBorders>
              <w:top w:val="nil"/>
              <w:bottom w:val="nil"/>
              <w:right w:val="double" w:sz="6" w:space="0" w:color="auto"/>
            </w:tcBorders>
            <w:shd w:val="clear" w:color="auto" w:fill="auto"/>
            <w:vAlign w:val="center"/>
          </w:tcPr>
          <w:p w:rsidR="0090402C" w:rsidRPr="00C131C0" w:rsidRDefault="0090402C" w:rsidP="005E2802">
            <w:pPr>
              <w:spacing w:after="0" w:line="240" w:lineRule="auto"/>
              <w:rPr>
                <w:rFonts w:eastAsia="Times New Roman" w:cs="Times New Roman"/>
                <w:color w:val="000000"/>
                <w:sz w:val="20"/>
                <w:szCs w:val="20"/>
              </w:rPr>
            </w:pPr>
            <w:r w:rsidRPr="00C131C0">
              <w:rPr>
                <w:rFonts w:eastAsia="Times New Roman" w:cs="Times New Roman"/>
                <w:color w:val="000000"/>
                <w:sz w:val="20"/>
                <w:szCs w:val="20"/>
              </w:rPr>
              <w:t>Predicted shares</w:t>
            </w:r>
          </w:p>
        </w:tc>
        <w:tc>
          <w:tcPr>
            <w:tcW w:w="975" w:type="pct"/>
            <w:gridSpan w:val="3"/>
            <w:tcBorders>
              <w:top w:val="nil"/>
              <w:left w:val="double" w:sz="6" w:space="0" w:color="auto"/>
              <w:bottom w:val="nil"/>
              <w:right w:val="double" w:sz="4" w:space="0" w:color="auto"/>
            </w:tcBorders>
            <w:shd w:val="clear" w:color="auto" w:fill="auto"/>
            <w:noWrap/>
            <w:vAlign w:val="center"/>
          </w:tcPr>
          <w:p w:rsidR="0090402C" w:rsidRPr="00C131C0"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75.6%</w:t>
            </w:r>
          </w:p>
        </w:tc>
        <w:tc>
          <w:tcPr>
            <w:tcW w:w="745" w:type="pct"/>
            <w:gridSpan w:val="5"/>
            <w:tcBorders>
              <w:top w:val="nil"/>
              <w:left w:val="double" w:sz="4" w:space="0" w:color="auto"/>
              <w:bottom w:val="nil"/>
              <w:right w:val="double" w:sz="4" w:space="0" w:color="auto"/>
            </w:tcBorders>
            <w:shd w:val="clear" w:color="auto" w:fill="auto"/>
            <w:noWrap/>
            <w:vAlign w:val="center"/>
          </w:tcPr>
          <w:p w:rsidR="0090402C" w:rsidRPr="00C131C0"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14.1%</w:t>
            </w:r>
          </w:p>
        </w:tc>
        <w:tc>
          <w:tcPr>
            <w:tcW w:w="797" w:type="pct"/>
            <w:gridSpan w:val="2"/>
            <w:tcBorders>
              <w:top w:val="nil"/>
              <w:left w:val="double" w:sz="4" w:space="0" w:color="auto"/>
              <w:bottom w:val="nil"/>
            </w:tcBorders>
            <w:shd w:val="clear" w:color="auto" w:fill="auto"/>
            <w:noWrap/>
            <w:vAlign w:val="center"/>
          </w:tcPr>
          <w:p w:rsidR="0090402C" w:rsidRPr="00C131C0" w:rsidRDefault="0090402C" w:rsidP="0030047A">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10.3%</w:t>
            </w:r>
          </w:p>
        </w:tc>
      </w:tr>
      <w:tr w:rsidR="0090402C" w:rsidRPr="00C131C0" w:rsidTr="00704A8C">
        <w:trPr>
          <w:trHeight w:val="20"/>
        </w:trPr>
        <w:tc>
          <w:tcPr>
            <w:tcW w:w="2484" w:type="pct"/>
            <w:gridSpan w:val="3"/>
            <w:tcBorders>
              <w:top w:val="nil"/>
              <w:bottom w:val="double" w:sz="4" w:space="0" w:color="auto"/>
              <w:right w:val="double" w:sz="6" w:space="0" w:color="auto"/>
            </w:tcBorders>
            <w:shd w:val="clear" w:color="auto" w:fill="auto"/>
            <w:vAlign w:val="center"/>
          </w:tcPr>
          <w:p w:rsidR="0090402C" w:rsidRPr="00C131C0" w:rsidRDefault="0090402C" w:rsidP="00414AC4">
            <w:pPr>
              <w:spacing w:after="0" w:line="240" w:lineRule="auto"/>
              <w:rPr>
                <w:rFonts w:eastAsia="Times New Roman" w:cs="Times New Roman"/>
                <w:color w:val="000000"/>
                <w:sz w:val="20"/>
                <w:szCs w:val="20"/>
              </w:rPr>
            </w:pPr>
            <w:r>
              <w:rPr>
                <w:rFonts w:eastAsia="Times New Roman" w:cs="Times New Roman"/>
                <w:color w:val="000000"/>
                <w:sz w:val="20"/>
                <w:szCs w:val="20"/>
              </w:rPr>
              <w:t>Absolute percentage bias</w:t>
            </w:r>
          </w:p>
        </w:tc>
        <w:tc>
          <w:tcPr>
            <w:tcW w:w="975" w:type="pct"/>
            <w:gridSpan w:val="3"/>
            <w:tcBorders>
              <w:top w:val="nil"/>
              <w:left w:val="double" w:sz="6" w:space="0" w:color="auto"/>
              <w:bottom w:val="double" w:sz="4" w:space="0" w:color="auto"/>
              <w:right w:val="double" w:sz="4" w:space="0" w:color="auto"/>
            </w:tcBorders>
            <w:shd w:val="clear" w:color="auto" w:fill="auto"/>
            <w:noWrap/>
            <w:vAlign w:val="center"/>
          </w:tcPr>
          <w:p w:rsidR="0090402C" w:rsidRPr="00C131C0" w:rsidRDefault="0090402C">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0.13%</w:t>
            </w:r>
          </w:p>
        </w:tc>
        <w:tc>
          <w:tcPr>
            <w:tcW w:w="745" w:type="pct"/>
            <w:gridSpan w:val="5"/>
            <w:tcBorders>
              <w:top w:val="nil"/>
              <w:left w:val="double" w:sz="4" w:space="0" w:color="auto"/>
              <w:bottom w:val="double" w:sz="4" w:space="0" w:color="auto"/>
              <w:right w:val="double" w:sz="4" w:space="0" w:color="auto"/>
            </w:tcBorders>
            <w:shd w:val="clear" w:color="auto" w:fill="auto"/>
            <w:noWrap/>
            <w:vAlign w:val="center"/>
          </w:tcPr>
          <w:p w:rsidR="0090402C" w:rsidRPr="00C131C0" w:rsidRDefault="0090402C">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2.17%</w:t>
            </w:r>
          </w:p>
        </w:tc>
        <w:tc>
          <w:tcPr>
            <w:tcW w:w="797" w:type="pct"/>
            <w:gridSpan w:val="2"/>
            <w:tcBorders>
              <w:top w:val="nil"/>
              <w:left w:val="double" w:sz="4" w:space="0" w:color="auto"/>
              <w:bottom w:val="double" w:sz="4" w:space="0" w:color="auto"/>
            </w:tcBorders>
            <w:shd w:val="clear" w:color="auto" w:fill="auto"/>
            <w:noWrap/>
            <w:vAlign w:val="center"/>
          </w:tcPr>
          <w:p w:rsidR="0090402C" w:rsidRPr="00C131C0" w:rsidRDefault="0090402C">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1.90%</w:t>
            </w:r>
          </w:p>
        </w:tc>
      </w:tr>
      <w:tr w:rsidR="00681614" w:rsidRPr="00C131C0" w:rsidTr="00704A8C">
        <w:trPr>
          <w:trHeight w:val="20"/>
        </w:trPr>
        <w:tc>
          <w:tcPr>
            <w:tcW w:w="2484" w:type="pct"/>
            <w:gridSpan w:val="3"/>
            <w:tcBorders>
              <w:top w:val="nil"/>
              <w:bottom w:val="double" w:sz="4" w:space="0" w:color="auto"/>
              <w:right w:val="double" w:sz="6" w:space="0" w:color="auto"/>
            </w:tcBorders>
            <w:shd w:val="clear" w:color="auto" w:fill="auto"/>
            <w:vAlign w:val="center"/>
          </w:tcPr>
          <w:p w:rsidR="00681614" w:rsidRDefault="00681614" w:rsidP="00681614">
            <w:pPr>
              <w:spacing w:after="0" w:line="240" w:lineRule="auto"/>
              <w:rPr>
                <w:rFonts w:eastAsia="Times New Roman" w:cs="Times New Roman"/>
                <w:color w:val="000000"/>
                <w:sz w:val="20"/>
                <w:szCs w:val="20"/>
              </w:rPr>
            </w:pPr>
            <w:r w:rsidRPr="00C131C0">
              <w:rPr>
                <w:rFonts w:eastAsia="Times New Roman" w:cs="Times New Roman"/>
                <w:color w:val="000000"/>
                <w:sz w:val="20"/>
                <w:szCs w:val="20"/>
              </w:rPr>
              <w:t>Overall probability of correct prediction</w:t>
            </w:r>
          </w:p>
        </w:tc>
        <w:tc>
          <w:tcPr>
            <w:tcW w:w="2516" w:type="pct"/>
            <w:gridSpan w:val="10"/>
            <w:tcBorders>
              <w:top w:val="nil"/>
              <w:left w:val="double" w:sz="6" w:space="0" w:color="auto"/>
              <w:bottom w:val="double" w:sz="4" w:space="0" w:color="auto"/>
            </w:tcBorders>
            <w:shd w:val="clear" w:color="auto" w:fill="auto"/>
            <w:noWrap/>
            <w:vAlign w:val="center"/>
          </w:tcPr>
          <w:p w:rsidR="00681614" w:rsidRDefault="00681614" w:rsidP="0068161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64.8%</w:t>
            </w:r>
          </w:p>
        </w:tc>
      </w:tr>
      <w:tr w:rsidR="00681614" w:rsidRPr="00C131C0" w:rsidTr="007943CC">
        <w:trPr>
          <w:trHeight w:val="20"/>
        </w:trPr>
        <w:tc>
          <w:tcPr>
            <w:tcW w:w="5000" w:type="pct"/>
            <w:gridSpan w:val="13"/>
            <w:tcBorders>
              <w:top w:val="double" w:sz="4" w:space="0" w:color="auto"/>
              <w:bottom w:val="double" w:sz="6" w:space="0" w:color="auto"/>
            </w:tcBorders>
            <w:shd w:val="clear" w:color="auto" w:fill="D9D9D9" w:themeFill="background1" w:themeFillShade="D9"/>
            <w:vAlign w:val="center"/>
          </w:tcPr>
          <w:p w:rsidR="00681614" w:rsidRDefault="00681614" w:rsidP="00681614">
            <w:pPr>
              <w:spacing w:after="0" w:line="240" w:lineRule="auto"/>
              <w:jc w:val="center"/>
              <w:rPr>
                <w:rFonts w:eastAsia="Times New Roman" w:cs="Times New Roman"/>
                <w:color w:val="000000"/>
                <w:sz w:val="20"/>
                <w:szCs w:val="20"/>
              </w:rPr>
            </w:pPr>
            <w:r w:rsidRPr="00F13996">
              <w:rPr>
                <w:rFonts w:eastAsia="Times New Roman" w:cs="Times New Roman"/>
                <w:b/>
                <w:bCs/>
                <w:color w:val="000000"/>
                <w:sz w:val="20"/>
                <w:szCs w:val="20"/>
              </w:rPr>
              <w:t>Structural Equation Component</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0"/>
        </w:trPr>
        <w:tc>
          <w:tcPr>
            <w:tcW w:w="1684" w:type="pct"/>
            <w:tcBorders>
              <w:top w:val="double" w:sz="6" w:space="0" w:color="auto"/>
              <w:left w:val="double" w:sz="6" w:space="0" w:color="auto"/>
              <w:bottom w:val="double" w:sz="6" w:space="0" w:color="000000"/>
              <w:right w:val="double" w:sz="6" w:space="0" w:color="000000"/>
            </w:tcBorders>
            <w:shd w:val="clear" w:color="000000" w:fill="D9D9D9"/>
            <w:vAlign w:val="center"/>
            <w:hideMark/>
          </w:tcPr>
          <w:p w:rsidR="00681614" w:rsidRPr="00F13996" w:rsidRDefault="00681614" w:rsidP="00681614">
            <w:pPr>
              <w:spacing w:after="0" w:line="240" w:lineRule="auto"/>
              <w:rPr>
                <w:rFonts w:eastAsia="Times New Roman" w:cs="Times New Roman"/>
                <w:b/>
                <w:bCs/>
                <w:color w:val="000000"/>
                <w:sz w:val="20"/>
                <w:szCs w:val="20"/>
              </w:rPr>
            </w:pPr>
          </w:p>
        </w:tc>
        <w:tc>
          <w:tcPr>
            <w:tcW w:w="799" w:type="pct"/>
            <w:gridSpan w:val="2"/>
            <w:tcBorders>
              <w:top w:val="double" w:sz="6" w:space="0" w:color="auto"/>
              <w:left w:val="nil"/>
              <w:bottom w:val="double" w:sz="6" w:space="0" w:color="auto"/>
              <w:right w:val="double" w:sz="6" w:space="0" w:color="auto"/>
            </w:tcBorders>
            <w:shd w:val="clear" w:color="000000" w:fill="D9D9D9"/>
            <w:vAlign w:val="center"/>
            <w:hideMark/>
          </w:tcPr>
          <w:p w:rsidR="00681614" w:rsidRPr="00F13996" w:rsidRDefault="00681614" w:rsidP="00681614">
            <w:pPr>
              <w:spacing w:after="0" w:line="240" w:lineRule="auto"/>
              <w:jc w:val="center"/>
              <w:rPr>
                <w:rFonts w:eastAsia="Times New Roman" w:cs="Times New Roman"/>
                <w:b/>
                <w:bCs/>
                <w:color w:val="000000"/>
                <w:sz w:val="20"/>
                <w:szCs w:val="20"/>
              </w:rPr>
            </w:pPr>
            <w:r w:rsidRPr="00F13996">
              <w:rPr>
                <w:rFonts w:eastAsia="Times New Roman" w:cs="Times New Roman"/>
                <w:b/>
                <w:bCs/>
                <w:color w:val="000000"/>
                <w:sz w:val="20"/>
                <w:szCs w:val="20"/>
              </w:rPr>
              <w:t>Tech-</w:t>
            </w:r>
            <w:r>
              <w:rPr>
                <w:rFonts w:eastAsia="Times New Roman" w:cs="Times New Roman"/>
                <w:b/>
                <w:bCs/>
                <w:color w:val="000000"/>
                <w:sz w:val="20"/>
                <w:szCs w:val="20"/>
              </w:rPr>
              <w:t>dependency</w:t>
            </w:r>
          </w:p>
        </w:tc>
        <w:tc>
          <w:tcPr>
            <w:tcW w:w="892" w:type="pct"/>
            <w:gridSpan w:val="2"/>
            <w:tcBorders>
              <w:top w:val="double" w:sz="6" w:space="0" w:color="auto"/>
              <w:left w:val="double" w:sz="6" w:space="0" w:color="auto"/>
              <w:bottom w:val="double" w:sz="6" w:space="0" w:color="auto"/>
              <w:right w:val="double" w:sz="6" w:space="0" w:color="000000"/>
            </w:tcBorders>
            <w:shd w:val="clear" w:color="000000" w:fill="D9D9D9"/>
            <w:vAlign w:val="center"/>
            <w:hideMark/>
          </w:tcPr>
          <w:p w:rsidR="00681614" w:rsidRPr="00F13996" w:rsidRDefault="00681614" w:rsidP="00681614">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Pro-car</w:t>
            </w:r>
          </w:p>
        </w:tc>
        <w:tc>
          <w:tcPr>
            <w:tcW w:w="828" w:type="pct"/>
            <w:gridSpan w:val="6"/>
            <w:tcBorders>
              <w:top w:val="double" w:sz="6" w:space="0" w:color="auto"/>
              <w:left w:val="nil"/>
              <w:bottom w:val="double" w:sz="6" w:space="0" w:color="auto"/>
              <w:right w:val="double" w:sz="6" w:space="0" w:color="auto"/>
            </w:tcBorders>
            <w:shd w:val="clear" w:color="000000" w:fill="D9D9D9"/>
            <w:vAlign w:val="center"/>
            <w:hideMark/>
          </w:tcPr>
          <w:p w:rsidR="00681614" w:rsidRPr="00F13996" w:rsidRDefault="00681614" w:rsidP="00681614">
            <w:pPr>
              <w:spacing w:after="0" w:line="240" w:lineRule="auto"/>
              <w:jc w:val="center"/>
              <w:rPr>
                <w:rFonts w:eastAsia="Times New Roman" w:cs="Times New Roman"/>
                <w:b/>
                <w:bCs/>
                <w:color w:val="000000"/>
                <w:sz w:val="20"/>
                <w:szCs w:val="20"/>
              </w:rPr>
            </w:pPr>
            <w:r w:rsidRPr="00F13996">
              <w:rPr>
                <w:rFonts w:eastAsia="Times New Roman" w:cs="Times New Roman"/>
                <w:b/>
                <w:bCs/>
                <w:color w:val="000000"/>
                <w:sz w:val="20"/>
                <w:szCs w:val="20"/>
              </w:rPr>
              <w:t>Pro-transit</w:t>
            </w:r>
          </w:p>
        </w:tc>
        <w:tc>
          <w:tcPr>
            <w:tcW w:w="797" w:type="pct"/>
            <w:gridSpan w:val="2"/>
            <w:tcBorders>
              <w:top w:val="double" w:sz="6" w:space="0" w:color="auto"/>
              <w:left w:val="double" w:sz="6" w:space="0" w:color="auto"/>
              <w:bottom w:val="double" w:sz="6" w:space="0" w:color="auto"/>
              <w:right w:val="double" w:sz="6" w:space="0" w:color="000000"/>
            </w:tcBorders>
            <w:shd w:val="clear" w:color="000000" w:fill="D9D9D9"/>
            <w:vAlign w:val="center"/>
            <w:hideMark/>
          </w:tcPr>
          <w:p w:rsidR="00681614" w:rsidRPr="00F13996" w:rsidRDefault="00681614" w:rsidP="00681614">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Pro-e</w:t>
            </w:r>
            <w:r w:rsidRPr="00F13996">
              <w:rPr>
                <w:rFonts w:eastAsia="Times New Roman" w:cs="Times New Roman"/>
                <w:b/>
                <w:bCs/>
                <w:color w:val="000000"/>
                <w:sz w:val="20"/>
                <w:szCs w:val="20"/>
              </w:rPr>
              <w:t>nvironment</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double" w:sz="6" w:space="0" w:color="000000"/>
              <w:left w:val="double" w:sz="6" w:space="0" w:color="auto"/>
              <w:bottom w:val="nil"/>
              <w:right w:val="double" w:sz="6" w:space="0" w:color="000000"/>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i/>
                <w:iCs/>
                <w:color w:val="000000"/>
                <w:sz w:val="20"/>
                <w:szCs w:val="20"/>
              </w:rPr>
            </w:pPr>
            <w:r>
              <w:rPr>
                <w:rFonts w:eastAsia="Times New Roman" w:cs="Times New Roman"/>
                <w:b/>
                <w:bCs/>
                <w:color w:val="000000"/>
                <w:sz w:val="20"/>
                <w:szCs w:val="20"/>
              </w:rPr>
              <w:t>Variable</w:t>
            </w:r>
          </w:p>
        </w:tc>
        <w:tc>
          <w:tcPr>
            <w:tcW w:w="378" w:type="pct"/>
            <w:tcBorders>
              <w:top w:val="double" w:sz="6" w:space="0" w:color="auto"/>
              <w:left w:val="nil"/>
              <w:bottom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proofErr w:type="spellStart"/>
            <w:r>
              <w:rPr>
                <w:rFonts w:eastAsia="Times New Roman" w:cs="Times New Roman"/>
                <w:b/>
                <w:bCs/>
                <w:color w:val="000000"/>
                <w:sz w:val="20"/>
                <w:szCs w:val="20"/>
              </w:rPr>
              <w:t>Coef</w:t>
            </w:r>
            <w:proofErr w:type="spellEnd"/>
          </w:p>
        </w:tc>
        <w:tc>
          <w:tcPr>
            <w:tcW w:w="421" w:type="pct"/>
            <w:tcBorders>
              <w:top w:val="double" w:sz="6" w:space="0" w:color="auto"/>
              <w:left w:val="nil"/>
              <w:bottom w:val="double" w:sz="6" w:space="0" w:color="auto"/>
              <w:right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r w:rsidRPr="00F13996">
              <w:rPr>
                <w:rFonts w:eastAsia="Times New Roman" w:cs="Times New Roman"/>
                <w:b/>
                <w:bCs/>
                <w:color w:val="000000"/>
                <w:sz w:val="20"/>
                <w:szCs w:val="20"/>
              </w:rPr>
              <w:t>(t-</w:t>
            </w:r>
            <w:r>
              <w:rPr>
                <w:rFonts w:eastAsia="Times New Roman" w:cs="Times New Roman"/>
                <w:b/>
                <w:bCs/>
                <w:color w:val="000000"/>
                <w:sz w:val="20"/>
                <w:szCs w:val="20"/>
              </w:rPr>
              <w:t>s</w:t>
            </w:r>
            <w:r w:rsidRPr="00F13996">
              <w:rPr>
                <w:rFonts w:eastAsia="Times New Roman" w:cs="Times New Roman"/>
                <w:b/>
                <w:bCs/>
                <w:color w:val="000000"/>
                <w:sz w:val="20"/>
                <w:szCs w:val="20"/>
              </w:rPr>
              <w:t>tat)</w:t>
            </w:r>
          </w:p>
        </w:tc>
        <w:tc>
          <w:tcPr>
            <w:tcW w:w="431" w:type="pct"/>
            <w:tcBorders>
              <w:top w:val="double" w:sz="6" w:space="0" w:color="auto"/>
              <w:left w:val="double" w:sz="6" w:space="0" w:color="auto"/>
              <w:bottom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proofErr w:type="spellStart"/>
            <w:r>
              <w:rPr>
                <w:rFonts w:eastAsia="Times New Roman" w:cs="Times New Roman"/>
                <w:b/>
                <w:bCs/>
                <w:color w:val="000000"/>
                <w:sz w:val="20"/>
                <w:szCs w:val="20"/>
              </w:rPr>
              <w:t>Coef</w:t>
            </w:r>
            <w:proofErr w:type="spellEnd"/>
          </w:p>
        </w:tc>
        <w:tc>
          <w:tcPr>
            <w:tcW w:w="461" w:type="pct"/>
            <w:tcBorders>
              <w:top w:val="double" w:sz="6" w:space="0" w:color="auto"/>
              <w:left w:val="nil"/>
              <w:bottom w:val="double" w:sz="6" w:space="0" w:color="auto"/>
              <w:right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r w:rsidRPr="00F13996">
              <w:rPr>
                <w:rFonts w:eastAsia="Times New Roman" w:cs="Times New Roman"/>
                <w:b/>
                <w:bCs/>
                <w:color w:val="000000"/>
                <w:sz w:val="20"/>
                <w:szCs w:val="20"/>
              </w:rPr>
              <w:t>(t-</w:t>
            </w:r>
            <w:r>
              <w:rPr>
                <w:rFonts w:eastAsia="Times New Roman" w:cs="Times New Roman"/>
                <w:b/>
                <w:bCs/>
                <w:color w:val="000000"/>
                <w:sz w:val="20"/>
                <w:szCs w:val="20"/>
              </w:rPr>
              <w:t>s</w:t>
            </w:r>
            <w:r w:rsidRPr="00F13996">
              <w:rPr>
                <w:rFonts w:eastAsia="Times New Roman" w:cs="Times New Roman"/>
                <w:b/>
                <w:bCs/>
                <w:color w:val="000000"/>
                <w:sz w:val="20"/>
                <w:szCs w:val="20"/>
              </w:rPr>
              <w:t>tat)</w:t>
            </w:r>
          </w:p>
        </w:tc>
        <w:tc>
          <w:tcPr>
            <w:tcW w:w="389" w:type="pct"/>
            <w:gridSpan w:val="3"/>
            <w:tcBorders>
              <w:top w:val="double" w:sz="6" w:space="0" w:color="auto"/>
              <w:left w:val="double" w:sz="6" w:space="0" w:color="auto"/>
              <w:bottom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proofErr w:type="spellStart"/>
            <w:r>
              <w:rPr>
                <w:rFonts w:eastAsia="Times New Roman" w:cs="Times New Roman"/>
                <w:b/>
                <w:bCs/>
                <w:color w:val="000000"/>
                <w:sz w:val="20"/>
                <w:szCs w:val="20"/>
              </w:rPr>
              <w:t>Coef</w:t>
            </w:r>
            <w:proofErr w:type="spellEnd"/>
          </w:p>
        </w:tc>
        <w:tc>
          <w:tcPr>
            <w:tcW w:w="428" w:type="pct"/>
            <w:tcBorders>
              <w:top w:val="double" w:sz="6" w:space="0" w:color="auto"/>
              <w:left w:val="nil"/>
              <w:bottom w:val="double" w:sz="6" w:space="0" w:color="auto"/>
              <w:right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r w:rsidRPr="00F13996">
              <w:rPr>
                <w:rFonts w:eastAsia="Times New Roman" w:cs="Times New Roman"/>
                <w:b/>
                <w:bCs/>
                <w:color w:val="000000"/>
                <w:sz w:val="20"/>
                <w:szCs w:val="20"/>
              </w:rPr>
              <w:t>(t-</w:t>
            </w:r>
            <w:r>
              <w:rPr>
                <w:rFonts w:eastAsia="Times New Roman" w:cs="Times New Roman"/>
                <w:b/>
                <w:bCs/>
                <w:color w:val="000000"/>
                <w:sz w:val="20"/>
                <w:szCs w:val="20"/>
              </w:rPr>
              <w:t>s</w:t>
            </w:r>
            <w:r w:rsidRPr="00F13996">
              <w:rPr>
                <w:rFonts w:eastAsia="Times New Roman" w:cs="Times New Roman"/>
                <w:b/>
                <w:bCs/>
                <w:color w:val="000000"/>
                <w:sz w:val="20"/>
                <w:szCs w:val="20"/>
              </w:rPr>
              <w:t>tat)</w:t>
            </w:r>
          </w:p>
        </w:tc>
        <w:tc>
          <w:tcPr>
            <w:tcW w:w="388" w:type="pct"/>
            <w:gridSpan w:val="3"/>
            <w:tcBorders>
              <w:top w:val="double" w:sz="6" w:space="0" w:color="auto"/>
              <w:left w:val="double" w:sz="6" w:space="0" w:color="auto"/>
              <w:bottom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proofErr w:type="spellStart"/>
            <w:r>
              <w:rPr>
                <w:rFonts w:eastAsia="Times New Roman" w:cs="Times New Roman"/>
                <w:b/>
                <w:bCs/>
                <w:color w:val="000000"/>
                <w:sz w:val="20"/>
                <w:szCs w:val="20"/>
              </w:rPr>
              <w:t>Coef</w:t>
            </w:r>
            <w:proofErr w:type="spellEnd"/>
          </w:p>
        </w:tc>
        <w:tc>
          <w:tcPr>
            <w:tcW w:w="420" w:type="pct"/>
            <w:tcBorders>
              <w:top w:val="double" w:sz="6" w:space="0" w:color="auto"/>
              <w:left w:val="nil"/>
              <w:bottom w:val="double" w:sz="6" w:space="0" w:color="auto"/>
              <w:right w:val="double" w:sz="6" w:space="0" w:color="auto"/>
            </w:tcBorders>
            <w:shd w:val="clear" w:color="auto" w:fill="D9D9D9" w:themeFill="background1" w:themeFillShade="D9"/>
            <w:vAlign w:val="center"/>
          </w:tcPr>
          <w:p w:rsidR="00681614" w:rsidRPr="00F13996" w:rsidRDefault="00681614" w:rsidP="00681614">
            <w:pPr>
              <w:spacing w:after="0" w:line="240" w:lineRule="auto"/>
              <w:jc w:val="center"/>
              <w:rPr>
                <w:rFonts w:eastAsia="Times New Roman" w:cs="Times New Roman"/>
                <w:b/>
                <w:bCs/>
                <w:color w:val="000000"/>
                <w:sz w:val="20"/>
                <w:szCs w:val="20"/>
              </w:rPr>
            </w:pPr>
            <w:r w:rsidRPr="00F13996">
              <w:rPr>
                <w:rFonts w:eastAsia="Times New Roman" w:cs="Times New Roman"/>
                <w:b/>
                <w:bCs/>
                <w:color w:val="000000"/>
                <w:sz w:val="20"/>
                <w:szCs w:val="20"/>
              </w:rPr>
              <w:t>(t-</w:t>
            </w:r>
            <w:r>
              <w:rPr>
                <w:rFonts w:eastAsia="Times New Roman" w:cs="Times New Roman"/>
                <w:b/>
                <w:bCs/>
                <w:color w:val="000000"/>
                <w:sz w:val="20"/>
                <w:szCs w:val="20"/>
              </w:rPr>
              <w:t>s</w:t>
            </w:r>
            <w:r w:rsidRPr="00F13996">
              <w:rPr>
                <w:rFonts w:eastAsia="Times New Roman" w:cs="Times New Roman"/>
                <w:b/>
                <w:bCs/>
                <w:color w:val="000000"/>
                <w:sz w:val="20"/>
                <w:szCs w:val="20"/>
              </w:rPr>
              <w:t>tat)</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double" w:sz="6" w:space="0" w:color="000000"/>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i/>
                <w:iCs/>
                <w:color w:val="000000"/>
                <w:sz w:val="20"/>
                <w:szCs w:val="20"/>
              </w:rPr>
            </w:pPr>
            <w:r w:rsidRPr="00F13996">
              <w:rPr>
                <w:rFonts w:eastAsia="Times New Roman" w:cs="Times New Roman"/>
                <w:i/>
                <w:iCs/>
                <w:color w:val="000000"/>
                <w:sz w:val="20"/>
                <w:szCs w:val="20"/>
              </w:rPr>
              <w:t xml:space="preserve">Education (base: </w:t>
            </w:r>
            <w:r>
              <w:rPr>
                <w:rFonts w:eastAsia="Times New Roman" w:cs="Times New Roman"/>
                <w:i/>
                <w:iCs/>
                <w:color w:val="000000"/>
                <w:sz w:val="20"/>
                <w:szCs w:val="20"/>
              </w:rPr>
              <w:t>&lt;</w:t>
            </w:r>
            <w:r w:rsidRPr="00F13996">
              <w:rPr>
                <w:rFonts w:eastAsia="Times New Roman" w:cs="Times New Roman"/>
                <w:i/>
                <w:iCs/>
                <w:color w:val="000000"/>
                <w:sz w:val="20"/>
                <w:szCs w:val="20"/>
              </w:rPr>
              <w:t xml:space="preserve"> Bachelor’s</w:t>
            </w:r>
            <w:r>
              <w:rPr>
                <w:rFonts w:eastAsia="Times New Roman" w:cs="Times New Roman"/>
                <w:i/>
                <w:iCs/>
                <w:color w:val="000000"/>
                <w:sz w:val="20"/>
                <w:szCs w:val="20"/>
              </w:rPr>
              <w:t xml:space="preserve"> degree</w:t>
            </w:r>
            <w:r w:rsidRPr="00F13996">
              <w:rPr>
                <w:rFonts w:eastAsia="Times New Roman" w:cs="Times New Roman"/>
                <w:i/>
                <w:iCs/>
                <w:color w:val="000000"/>
                <w:sz w:val="20"/>
                <w:szCs w:val="20"/>
              </w:rPr>
              <w:t>)</w:t>
            </w:r>
          </w:p>
        </w:tc>
        <w:tc>
          <w:tcPr>
            <w:tcW w:w="378" w:type="pct"/>
            <w:tcBorders>
              <w:top w:val="double" w:sz="6" w:space="0" w:color="auto"/>
              <w:left w:val="nil"/>
              <w:bottom w:val="nil"/>
              <w:right w:val="nil"/>
            </w:tcBorders>
            <w:shd w:val="clear" w:color="auto" w:fill="auto"/>
            <w:vAlign w:val="center"/>
            <w:hideMark/>
          </w:tcPr>
          <w:p w:rsidR="00681614" w:rsidRPr="00F13996" w:rsidRDefault="00681614" w:rsidP="00681614">
            <w:pPr>
              <w:spacing w:after="0" w:line="240" w:lineRule="auto"/>
              <w:jc w:val="right"/>
              <w:rPr>
                <w:rFonts w:eastAsia="Times New Roman" w:cs="Times New Roman"/>
                <w:color w:val="000000"/>
                <w:sz w:val="20"/>
                <w:szCs w:val="20"/>
              </w:rPr>
            </w:pPr>
          </w:p>
        </w:tc>
        <w:tc>
          <w:tcPr>
            <w:tcW w:w="421" w:type="pct"/>
            <w:tcBorders>
              <w:top w:val="double" w:sz="6" w:space="0" w:color="auto"/>
              <w:left w:val="nil"/>
              <w:bottom w:val="nil"/>
              <w:right w:val="double" w:sz="6" w:space="0" w:color="auto"/>
            </w:tcBorders>
            <w:shd w:val="clear" w:color="auto" w:fill="auto"/>
            <w:vAlign w:val="center"/>
            <w:hideMark/>
          </w:tcPr>
          <w:p w:rsidR="00681614" w:rsidRPr="00F13996" w:rsidRDefault="00681614" w:rsidP="00681614">
            <w:pPr>
              <w:spacing w:after="0" w:line="240" w:lineRule="auto"/>
              <w:jc w:val="right"/>
              <w:rPr>
                <w:rFonts w:eastAsia="Times New Roman" w:cs="Times New Roman"/>
                <w:color w:val="000000"/>
                <w:sz w:val="20"/>
                <w:szCs w:val="20"/>
              </w:rPr>
            </w:pPr>
          </w:p>
        </w:tc>
        <w:tc>
          <w:tcPr>
            <w:tcW w:w="431" w:type="pct"/>
            <w:tcBorders>
              <w:top w:val="double" w:sz="6" w:space="0" w:color="auto"/>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61" w:type="pct"/>
            <w:tcBorders>
              <w:top w:val="double" w:sz="6" w:space="0" w:color="auto"/>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389" w:type="pct"/>
            <w:gridSpan w:val="3"/>
            <w:tcBorders>
              <w:top w:val="double" w:sz="6" w:space="0" w:color="auto"/>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28" w:type="pct"/>
            <w:tcBorders>
              <w:top w:val="double" w:sz="6" w:space="0" w:color="auto"/>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388" w:type="pct"/>
            <w:gridSpan w:val="3"/>
            <w:tcBorders>
              <w:top w:val="double" w:sz="6" w:space="0" w:color="auto"/>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20" w:type="pct"/>
            <w:tcBorders>
              <w:top w:val="double" w:sz="6" w:space="0" w:color="auto"/>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 xml:space="preserve">Bachelor's degree </w:t>
            </w:r>
          </w:p>
        </w:tc>
        <w:tc>
          <w:tcPr>
            <w:tcW w:w="378" w:type="pct"/>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2.692</w:t>
            </w:r>
          </w:p>
        </w:tc>
        <w:tc>
          <w:tcPr>
            <w:tcW w:w="421"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(2.31)</w:t>
            </w:r>
          </w:p>
        </w:tc>
        <w:tc>
          <w:tcPr>
            <w:tcW w:w="431" w:type="pct"/>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0.253</w:t>
            </w:r>
          </w:p>
        </w:tc>
        <w:tc>
          <w:tcPr>
            <w:tcW w:w="461"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(6.14)</w:t>
            </w:r>
          </w:p>
        </w:tc>
        <w:tc>
          <w:tcPr>
            <w:tcW w:w="389" w:type="pct"/>
            <w:gridSpan w:val="3"/>
            <w:tcBorders>
              <w:top w:val="nil"/>
              <w:left w:val="nil"/>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8"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0"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 xml:space="preserve">Graduate degree </w:t>
            </w:r>
          </w:p>
        </w:tc>
        <w:tc>
          <w:tcPr>
            <w:tcW w:w="378" w:type="pct"/>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2.692</w:t>
            </w:r>
          </w:p>
        </w:tc>
        <w:tc>
          <w:tcPr>
            <w:tcW w:w="421"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(2.31)</w:t>
            </w:r>
          </w:p>
        </w:tc>
        <w:tc>
          <w:tcPr>
            <w:tcW w:w="431" w:type="pct"/>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0.253</w:t>
            </w:r>
          </w:p>
        </w:tc>
        <w:tc>
          <w:tcPr>
            <w:tcW w:w="461"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(6.14)</w:t>
            </w: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0.116</w:t>
            </w: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(1.79)</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0"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i/>
                <w:iCs/>
                <w:color w:val="000000"/>
                <w:sz w:val="20"/>
                <w:szCs w:val="20"/>
              </w:rPr>
            </w:pPr>
            <w:r w:rsidRPr="00F13996">
              <w:rPr>
                <w:rFonts w:eastAsia="Times New Roman" w:cs="Times New Roman"/>
                <w:i/>
                <w:iCs/>
                <w:color w:val="000000"/>
                <w:sz w:val="20"/>
                <w:szCs w:val="20"/>
              </w:rPr>
              <w:t>Age (base: 30-33 years old)</w:t>
            </w:r>
          </w:p>
        </w:tc>
        <w:tc>
          <w:tcPr>
            <w:tcW w:w="378" w:type="pct"/>
            <w:tcBorders>
              <w:top w:val="nil"/>
              <w:left w:val="nil"/>
              <w:bottom w:val="nil"/>
              <w:right w:val="nil"/>
            </w:tcBorders>
            <w:shd w:val="clear" w:color="auto" w:fill="auto"/>
            <w:vAlign w:val="center"/>
            <w:hideMark/>
          </w:tcPr>
          <w:p w:rsidR="00681614" w:rsidRPr="00F13996" w:rsidRDefault="00681614" w:rsidP="00681614">
            <w:pPr>
              <w:spacing w:after="0" w:line="240" w:lineRule="auto"/>
              <w:jc w:val="right"/>
              <w:rPr>
                <w:rFonts w:eastAsia="Times New Roman" w:cs="Times New Roman"/>
                <w:color w:val="000000"/>
                <w:sz w:val="20"/>
                <w:szCs w:val="20"/>
              </w:rPr>
            </w:pP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681614">
            <w:pPr>
              <w:spacing w:after="0" w:line="240" w:lineRule="auto"/>
              <w:jc w:val="right"/>
              <w:rPr>
                <w:rFonts w:eastAsia="Times New Roman" w:cs="Times New Roman"/>
                <w:color w:val="000000"/>
                <w:sz w:val="20"/>
                <w:szCs w:val="20"/>
              </w:rPr>
            </w:pPr>
          </w:p>
        </w:tc>
        <w:tc>
          <w:tcPr>
            <w:tcW w:w="431" w:type="pct"/>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61"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20"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18 to 20 years old</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31" w:type="pct"/>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-0.263</w:t>
            </w:r>
          </w:p>
        </w:tc>
        <w:tc>
          <w:tcPr>
            <w:tcW w:w="461"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(-3.82)</w:t>
            </w: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-0.136</w:t>
            </w: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(-2.07)</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0.060</w:t>
            </w:r>
          </w:p>
        </w:tc>
        <w:tc>
          <w:tcPr>
            <w:tcW w:w="420"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(1.53)</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21 to 24 years old</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31" w:type="pct"/>
            <w:tcBorders>
              <w:top w:val="nil"/>
              <w:left w:val="double" w:sz="6" w:space="0" w:color="auto"/>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61"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9" w:type="pct"/>
            <w:gridSpan w:val="3"/>
            <w:tcBorders>
              <w:top w:val="nil"/>
              <w:left w:val="nil"/>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8"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0.060</w:t>
            </w:r>
          </w:p>
        </w:tc>
        <w:tc>
          <w:tcPr>
            <w:tcW w:w="420"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(1.53)</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25 to 29 years old</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31" w:type="pct"/>
            <w:tcBorders>
              <w:top w:val="nil"/>
              <w:left w:val="double" w:sz="6" w:space="0" w:color="auto"/>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61"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9" w:type="pct"/>
            <w:gridSpan w:val="3"/>
            <w:tcBorders>
              <w:top w:val="nil"/>
              <w:left w:val="nil"/>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8"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w:t>
            </w:r>
          </w:p>
        </w:tc>
        <w:tc>
          <w:tcPr>
            <w:tcW w:w="420"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Pr>
                <w:rFonts w:eastAsia="Times New Roman" w:cs="Times New Roman"/>
                <w:i/>
                <w:iCs/>
                <w:color w:val="000000"/>
                <w:sz w:val="20"/>
                <w:szCs w:val="20"/>
              </w:rPr>
              <w:t>Male</w:t>
            </w:r>
            <w:r w:rsidRPr="00F13996">
              <w:rPr>
                <w:rFonts w:eastAsia="Times New Roman" w:cs="Times New Roman"/>
                <w:i/>
                <w:iCs/>
                <w:color w:val="000000"/>
                <w:sz w:val="20"/>
                <w:szCs w:val="20"/>
              </w:rPr>
              <w:t xml:space="preserve"> (base: female)</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31" w:type="pct"/>
            <w:tcBorders>
              <w:top w:val="nil"/>
              <w:left w:val="double" w:sz="6" w:space="0" w:color="auto"/>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61"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0.222</w:t>
            </w: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(4.32)</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-0.094</w:t>
            </w:r>
          </w:p>
        </w:tc>
        <w:tc>
          <w:tcPr>
            <w:tcW w:w="420"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(-2.31)</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Pr>
                <w:rFonts w:eastAsia="Times New Roman" w:cs="Times New Roman"/>
                <w:i/>
                <w:iCs/>
                <w:color w:val="000000"/>
                <w:sz w:val="20"/>
                <w:szCs w:val="20"/>
              </w:rPr>
              <w:t xml:space="preserve">Parent </w:t>
            </w:r>
            <w:r w:rsidRPr="00F13996">
              <w:rPr>
                <w:rFonts w:eastAsia="Times New Roman" w:cs="Times New Roman"/>
                <w:i/>
                <w:iCs/>
                <w:color w:val="000000"/>
                <w:sz w:val="20"/>
                <w:szCs w:val="20"/>
              </w:rPr>
              <w:t xml:space="preserve"> (base: no kids)</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31" w:type="pct"/>
            <w:tcBorders>
              <w:top w:val="nil"/>
              <w:left w:val="double" w:sz="6" w:space="0" w:color="auto"/>
              <w:bottom w:val="nil"/>
              <w:right w:val="nil"/>
            </w:tcBorders>
            <w:shd w:val="clear" w:color="auto" w:fill="auto"/>
            <w:noWrap/>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0.285</w:t>
            </w:r>
          </w:p>
        </w:tc>
        <w:tc>
          <w:tcPr>
            <w:tcW w:w="461" w:type="pct"/>
            <w:tcBorders>
              <w:top w:val="nil"/>
              <w:left w:val="nil"/>
              <w:bottom w:val="nil"/>
              <w:right w:val="double" w:sz="6" w:space="0" w:color="auto"/>
            </w:tcBorders>
            <w:shd w:val="clear" w:color="auto" w:fill="auto"/>
            <w:noWrap/>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(4.17)</w:t>
            </w:r>
          </w:p>
        </w:tc>
        <w:tc>
          <w:tcPr>
            <w:tcW w:w="389" w:type="pct"/>
            <w:gridSpan w:val="3"/>
            <w:tcBorders>
              <w:top w:val="nil"/>
              <w:left w:val="nil"/>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8" w:type="pct"/>
            <w:tcBorders>
              <w:top w:val="nil"/>
              <w:left w:val="nil"/>
              <w:bottom w:val="nil"/>
              <w:right w:val="double" w:sz="6" w:space="0" w:color="auto"/>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0.062</w:t>
            </w:r>
          </w:p>
        </w:tc>
        <w:tc>
          <w:tcPr>
            <w:tcW w:w="420" w:type="pct"/>
            <w:tcBorders>
              <w:top w:val="nil"/>
              <w:left w:val="nil"/>
              <w:bottom w:val="nil"/>
              <w:right w:val="double" w:sz="6" w:space="0" w:color="auto"/>
            </w:tcBorders>
            <w:shd w:val="clear" w:color="auto" w:fill="auto"/>
            <w:noWrap/>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(1.52)</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i/>
                <w:iCs/>
                <w:color w:val="000000"/>
                <w:sz w:val="20"/>
                <w:szCs w:val="20"/>
              </w:rPr>
            </w:pPr>
            <w:r>
              <w:rPr>
                <w:rFonts w:eastAsia="Times New Roman" w:cs="Times New Roman"/>
                <w:i/>
                <w:iCs/>
                <w:color w:val="000000"/>
                <w:sz w:val="20"/>
                <w:szCs w:val="20"/>
              </w:rPr>
              <w:t>White</w:t>
            </w:r>
            <w:r w:rsidRPr="00F13996">
              <w:rPr>
                <w:rFonts w:eastAsia="Times New Roman" w:cs="Times New Roman"/>
                <w:i/>
                <w:iCs/>
                <w:color w:val="000000"/>
                <w:sz w:val="20"/>
                <w:szCs w:val="20"/>
              </w:rPr>
              <w:t xml:space="preserve"> (Base: Asian, Black, Native</w:t>
            </w:r>
            <w:r>
              <w:rPr>
                <w:rFonts w:eastAsia="Times New Roman" w:cs="Times New Roman"/>
                <w:i/>
                <w:iCs/>
                <w:color w:val="000000"/>
                <w:sz w:val="20"/>
                <w:szCs w:val="20"/>
              </w:rPr>
              <w:t xml:space="preserve"> Am</w:t>
            </w:r>
            <w:r w:rsidRPr="00F13996">
              <w:rPr>
                <w:rFonts w:eastAsia="Times New Roman" w:cs="Times New Roman"/>
                <w:i/>
                <w:iCs/>
                <w:color w:val="000000"/>
                <w:sz w:val="20"/>
                <w:szCs w:val="20"/>
              </w:rPr>
              <w:t>)</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31" w:type="pct"/>
            <w:tcBorders>
              <w:top w:val="nil"/>
              <w:left w:val="double" w:sz="6" w:space="0" w:color="auto"/>
              <w:bottom w:val="nil"/>
              <w:right w:val="nil"/>
            </w:tcBorders>
            <w:shd w:val="clear" w:color="auto" w:fill="auto"/>
            <w:noWrap/>
            <w:vAlign w:val="center"/>
          </w:tcPr>
          <w:p w:rsidR="00681614" w:rsidRPr="00F13996" w:rsidRDefault="00681614" w:rsidP="00B952B8">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w:t>
            </w:r>
          </w:p>
        </w:tc>
        <w:tc>
          <w:tcPr>
            <w:tcW w:w="461" w:type="pct"/>
            <w:tcBorders>
              <w:top w:val="nil"/>
              <w:left w:val="nil"/>
              <w:bottom w:val="nil"/>
              <w:right w:val="double" w:sz="6" w:space="0" w:color="auto"/>
            </w:tcBorders>
            <w:shd w:val="clear" w:color="auto" w:fill="auto"/>
            <w:noWrap/>
            <w:vAlign w:val="center"/>
          </w:tcPr>
          <w:p w:rsidR="00681614" w:rsidRPr="00F13996" w:rsidRDefault="00681614" w:rsidP="00B952B8">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w:t>
            </w: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-0.372</w:t>
            </w: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(-6.50)</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-0.369</w:t>
            </w:r>
          </w:p>
        </w:tc>
        <w:tc>
          <w:tcPr>
            <w:tcW w:w="420" w:type="pct"/>
            <w:tcBorders>
              <w:top w:val="nil"/>
              <w:left w:val="nil"/>
              <w:bottom w:val="nil"/>
              <w:right w:val="double" w:sz="6" w:space="0" w:color="auto"/>
            </w:tcBorders>
            <w:shd w:val="clear" w:color="auto" w:fill="auto"/>
            <w:noWrap/>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(-7.29)</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Pr>
                <w:rFonts w:eastAsia="Times New Roman" w:cs="Times New Roman"/>
                <w:i/>
                <w:iCs/>
                <w:color w:val="000000"/>
                <w:sz w:val="20"/>
                <w:szCs w:val="20"/>
              </w:rPr>
              <w:t>Hispanic</w:t>
            </w:r>
            <w:r w:rsidRPr="00F13996">
              <w:rPr>
                <w:rFonts w:eastAsia="Times New Roman" w:cs="Times New Roman"/>
                <w:i/>
                <w:iCs/>
                <w:color w:val="000000"/>
                <w:sz w:val="20"/>
                <w:szCs w:val="20"/>
              </w:rPr>
              <w:t xml:space="preserve"> (base: non-Hispanic)</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31" w:type="pct"/>
            <w:tcBorders>
              <w:top w:val="nil"/>
              <w:left w:val="double" w:sz="6" w:space="0" w:color="auto"/>
              <w:bottom w:val="nil"/>
              <w:right w:val="nil"/>
            </w:tcBorders>
            <w:shd w:val="clear" w:color="auto" w:fill="auto"/>
            <w:noWrap/>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61" w:type="pct"/>
            <w:tcBorders>
              <w:top w:val="nil"/>
              <w:left w:val="nil"/>
              <w:bottom w:val="nil"/>
              <w:right w:val="double" w:sz="6" w:space="0" w:color="auto"/>
            </w:tcBorders>
            <w:shd w:val="clear" w:color="auto" w:fill="auto"/>
            <w:noWrap/>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0.368</w:t>
            </w: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(5.58)</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0.191</w:t>
            </w:r>
          </w:p>
        </w:tc>
        <w:tc>
          <w:tcPr>
            <w:tcW w:w="420" w:type="pct"/>
            <w:tcBorders>
              <w:top w:val="nil"/>
              <w:left w:val="nil"/>
              <w:bottom w:val="nil"/>
              <w:right w:val="double" w:sz="6" w:space="0" w:color="auto"/>
            </w:tcBorders>
            <w:shd w:val="clear" w:color="auto" w:fill="auto"/>
            <w:noWrap/>
            <w:vAlign w:val="center"/>
          </w:tcPr>
          <w:p w:rsidR="00681614" w:rsidRPr="00AF6D80"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(3.26)</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i/>
                <w:iCs/>
                <w:color w:val="000000"/>
                <w:sz w:val="20"/>
                <w:szCs w:val="20"/>
              </w:rPr>
            </w:pPr>
            <w:r w:rsidRPr="00F13996">
              <w:rPr>
                <w:rFonts w:eastAsia="Times New Roman" w:cs="Times New Roman"/>
                <w:i/>
                <w:iCs/>
                <w:color w:val="000000"/>
                <w:sz w:val="20"/>
                <w:szCs w:val="20"/>
              </w:rPr>
              <w:t>City type (base: transit deficient)</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p>
        </w:tc>
        <w:tc>
          <w:tcPr>
            <w:tcW w:w="431" w:type="pct"/>
            <w:tcBorders>
              <w:top w:val="nil"/>
              <w:left w:val="double" w:sz="6" w:space="0" w:color="auto"/>
              <w:bottom w:val="nil"/>
              <w:right w:val="nil"/>
            </w:tcBorders>
            <w:shd w:val="clear" w:color="auto" w:fill="auto"/>
            <w:noWrap/>
            <w:vAlign w:val="center"/>
          </w:tcPr>
          <w:p w:rsidR="00681614" w:rsidRPr="00F13996" w:rsidRDefault="00681614" w:rsidP="00B952B8">
            <w:pPr>
              <w:spacing w:after="0" w:line="240" w:lineRule="auto"/>
              <w:jc w:val="center"/>
              <w:rPr>
                <w:rFonts w:eastAsia="Times New Roman" w:cs="Times New Roman"/>
                <w:color w:val="000000"/>
                <w:sz w:val="20"/>
                <w:szCs w:val="20"/>
              </w:rPr>
            </w:pPr>
          </w:p>
        </w:tc>
        <w:tc>
          <w:tcPr>
            <w:tcW w:w="461" w:type="pct"/>
            <w:tcBorders>
              <w:top w:val="nil"/>
              <w:left w:val="nil"/>
              <w:bottom w:val="nil"/>
              <w:right w:val="double" w:sz="6" w:space="0" w:color="auto"/>
            </w:tcBorders>
            <w:shd w:val="clear" w:color="auto" w:fill="auto"/>
            <w:noWrap/>
            <w:vAlign w:val="center"/>
          </w:tcPr>
          <w:p w:rsidR="00681614" w:rsidRPr="00F13996" w:rsidRDefault="00681614" w:rsidP="00B952B8">
            <w:pPr>
              <w:spacing w:after="0" w:line="240" w:lineRule="auto"/>
              <w:jc w:val="center"/>
              <w:rPr>
                <w:rFonts w:eastAsia="Times New Roman" w:cs="Times New Roman"/>
                <w:color w:val="000000"/>
                <w:sz w:val="20"/>
                <w:szCs w:val="20"/>
              </w:rPr>
            </w:pP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p>
        </w:tc>
        <w:tc>
          <w:tcPr>
            <w:tcW w:w="420" w:type="pct"/>
            <w:tcBorders>
              <w:top w:val="nil"/>
              <w:left w:val="nil"/>
              <w:bottom w:val="nil"/>
              <w:right w:val="double" w:sz="6" w:space="0" w:color="auto"/>
            </w:tcBorders>
            <w:shd w:val="clear" w:color="auto" w:fill="auto"/>
            <w:noWrap/>
            <w:vAlign w:val="center"/>
          </w:tcPr>
          <w:p w:rsidR="00681614" w:rsidRPr="00F13996" w:rsidRDefault="00681614" w:rsidP="00681614">
            <w:pPr>
              <w:spacing w:after="0" w:line="240" w:lineRule="auto"/>
              <w:jc w:val="right"/>
              <w:rPr>
                <w:rFonts w:ascii="Calibri" w:eastAsia="Times New Roman" w:hAnsi="Calibri" w:cs="Times New Roman"/>
                <w:color w:val="000000"/>
                <w:sz w:val="22"/>
              </w:rPr>
            </w:pP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1684" w:type="pct"/>
            <w:tcBorders>
              <w:top w:val="nil"/>
              <w:left w:val="double" w:sz="6" w:space="0" w:color="auto"/>
              <w:bottom w:val="nil"/>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Transit</w:t>
            </w:r>
            <w:r>
              <w:rPr>
                <w:rFonts w:eastAsia="Times New Roman" w:cs="Times New Roman"/>
                <w:color w:val="000000"/>
                <w:sz w:val="20"/>
                <w:szCs w:val="20"/>
              </w:rPr>
              <w:t>-</w:t>
            </w:r>
            <w:r w:rsidRPr="00F13996">
              <w:rPr>
                <w:rFonts w:eastAsia="Times New Roman" w:cs="Times New Roman"/>
                <w:color w:val="000000"/>
                <w:sz w:val="20"/>
                <w:szCs w:val="20"/>
              </w:rPr>
              <w:t>Progressive</w:t>
            </w:r>
          </w:p>
        </w:tc>
        <w:tc>
          <w:tcPr>
            <w:tcW w:w="378" w:type="pct"/>
            <w:tcBorders>
              <w:top w:val="nil"/>
              <w:left w:val="nil"/>
              <w:bottom w:val="nil"/>
              <w:right w:val="nil"/>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sidRPr="00F13996">
              <w:rPr>
                <w:rFonts w:eastAsia="Times New Roman" w:cs="Times New Roman"/>
                <w:color w:val="000000"/>
                <w:sz w:val="20"/>
                <w:szCs w:val="20"/>
              </w:rPr>
              <w:t>--</w:t>
            </w:r>
          </w:p>
        </w:tc>
        <w:tc>
          <w:tcPr>
            <w:tcW w:w="421" w:type="pct"/>
            <w:tcBorders>
              <w:top w:val="nil"/>
              <w:left w:val="nil"/>
              <w:bottom w:val="nil"/>
              <w:right w:val="double" w:sz="6" w:space="0" w:color="auto"/>
            </w:tcBorders>
            <w:shd w:val="clear" w:color="auto" w:fill="auto"/>
            <w:vAlign w:val="center"/>
            <w:hideMark/>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31" w:type="pct"/>
            <w:tcBorders>
              <w:top w:val="nil"/>
              <w:left w:val="double" w:sz="6" w:space="0" w:color="auto"/>
              <w:right w:val="nil"/>
            </w:tcBorders>
            <w:shd w:val="clear" w:color="auto" w:fill="auto"/>
            <w:noWrap/>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61" w:type="pct"/>
            <w:tcBorders>
              <w:top w:val="nil"/>
              <w:left w:val="nil"/>
              <w:right w:val="double" w:sz="6" w:space="0" w:color="auto"/>
            </w:tcBorders>
            <w:shd w:val="clear" w:color="auto" w:fill="auto"/>
            <w:noWrap/>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389" w:type="pct"/>
            <w:gridSpan w:val="3"/>
            <w:tcBorders>
              <w:top w:val="nil"/>
              <w:left w:val="nil"/>
              <w:bottom w:val="nil"/>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0.309</w:t>
            </w:r>
          </w:p>
        </w:tc>
        <w:tc>
          <w:tcPr>
            <w:tcW w:w="428" w:type="pct"/>
            <w:tcBorders>
              <w:top w:val="nil"/>
              <w:left w:val="nil"/>
              <w:bottom w:val="nil"/>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(5.66)</w:t>
            </w:r>
          </w:p>
        </w:tc>
        <w:tc>
          <w:tcPr>
            <w:tcW w:w="388" w:type="pct"/>
            <w:gridSpan w:val="3"/>
            <w:tcBorders>
              <w:top w:val="nil"/>
              <w:left w:val="double" w:sz="6" w:space="0" w:color="auto"/>
              <w:bottom w:val="nil"/>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0" w:type="pct"/>
            <w:tcBorders>
              <w:top w:val="nil"/>
              <w:left w:val="nil"/>
              <w:bottom w:val="nil"/>
              <w:right w:val="double" w:sz="6" w:space="0" w:color="auto"/>
            </w:tcBorders>
            <w:shd w:val="clear" w:color="auto" w:fill="auto"/>
            <w:noWrap/>
            <w:vAlign w:val="center"/>
          </w:tcPr>
          <w:p w:rsidR="00681614" w:rsidRPr="00F13996" w:rsidRDefault="00681614" w:rsidP="00B952B8">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w:t>
            </w:r>
          </w:p>
        </w:tc>
      </w:tr>
      <w:tr w:rsidR="00681614" w:rsidRPr="00F13996" w:rsidTr="00704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684" w:type="pct"/>
            <w:tcBorders>
              <w:top w:val="nil"/>
              <w:left w:val="double" w:sz="6" w:space="0" w:color="auto"/>
              <w:bottom w:val="double" w:sz="6" w:space="0" w:color="auto"/>
              <w:right w:val="double" w:sz="6" w:space="0" w:color="000000"/>
            </w:tcBorders>
            <w:shd w:val="clear" w:color="auto" w:fill="auto"/>
            <w:vAlign w:val="center"/>
            <w:hideMark/>
          </w:tcPr>
          <w:p w:rsidR="00681614" w:rsidRPr="00F13996" w:rsidRDefault="00681614" w:rsidP="00681614">
            <w:pPr>
              <w:spacing w:after="0" w:line="240" w:lineRule="auto"/>
              <w:rPr>
                <w:rFonts w:eastAsia="Times New Roman" w:cs="Times New Roman"/>
                <w:color w:val="000000"/>
                <w:sz w:val="20"/>
                <w:szCs w:val="20"/>
              </w:rPr>
            </w:pPr>
            <w:r>
              <w:rPr>
                <w:rFonts w:eastAsia="Times New Roman" w:cs="Times New Roman"/>
                <w:color w:val="000000"/>
                <w:sz w:val="20"/>
                <w:szCs w:val="20"/>
              </w:rPr>
              <w:t>Transit-Rich</w:t>
            </w:r>
          </w:p>
        </w:tc>
        <w:tc>
          <w:tcPr>
            <w:tcW w:w="378" w:type="pct"/>
            <w:tcBorders>
              <w:top w:val="nil"/>
              <w:left w:val="nil"/>
              <w:bottom w:val="double" w:sz="6" w:space="0" w:color="auto"/>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1.015</w:t>
            </w:r>
          </w:p>
        </w:tc>
        <w:tc>
          <w:tcPr>
            <w:tcW w:w="421" w:type="pct"/>
            <w:tcBorders>
              <w:top w:val="nil"/>
              <w:left w:val="nil"/>
              <w:bottom w:val="double" w:sz="6" w:space="0" w:color="auto"/>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(1.83)</w:t>
            </w:r>
          </w:p>
        </w:tc>
        <w:tc>
          <w:tcPr>
            <w:tcW w:w="431" w:type="pct"/>
            <w:tcBorders>
              <w:top w:val="nil"/>
              <w:left w:val="double" w:sz="6" w:space="0" w:color="auto"/>
              <w:bottom w:val="double" w:sz="6" w:space="0" w:color="auto"/>
              <w:right w:val="nil"/>
            </w:tcBorders>
            <w:shd w:val="clear" w:color="auto" w:fill="auto"/>
            <w:noWrap/>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-0.252</w:t>
            </w:r>
          </w:p>
        </w:tc>
        <w:tc>
          <w:tcPr>
            <w:tcW w:w="461" w:type="pct"/>
            <w:tcBorders>
              <w:top w:val="nil"/>
              <w:left w:val="nil"/>
              <w:bottom w:val="double" w:sz="6" w:space="0" w:color="auto"/>
              <w:right w:val="double" w:sz="6" w:space="0" w:color="auto"/>
            </w:tcBorders>
            <w:shd w:val="clear" w:color="auto" w:fill="auto"/>
            <w:noWrap/>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(-6.22)</w:t>
            </w:r>
          </w:p>
        </w:tc>
        <w:tc>
          <w:tcPr>
            <w:tcW w:w="389" w:type="pct"/>
            <w:gridSpan w:val="3"/>
            <w:tcBorders>
              <w:top w:val="nil"/>
              <w:left w:val="nil"/>
              <w:bottom w:val="double" w:sz="6" w:space="0" w:color="auto"/>
              <w:right w:val="nil"/>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0.574</w:t>
            </w:r>
          </w:p>
        </w:tc>
        <w:tc>
          <w:tcPr>
            <w:tcW w:w="428" w:type="pct"/>
            <w:tcBorders>
              <w:top w:val="nil"/>
              <w:left w:val="nil"/>
              <w:bottom w:val="double" w:sz="6" w:space="0" w:color="auto"/>
              <w:right w:val="double" w:sz="6" w:space="0" w:color="auto"/>
            </w:tcBorders>
            <w:shd w:val="clear" w:color="auto" w:fill="auto"/>
            <w:vAlign w:val="center"/>
          </w:tcPr>
          <w:p w:rsidR="00681614" w:rsidRPr="00F13996" w:rsidRDefault="00681614" w:rsidP="00681614">
            <w:pPr>
              <w:spacing w:after="0" w:line="240" w:lineRule="auto"/>
              <w:jc w:val="right"/>
              <w:rPr>
                <w:rFonts w:eastAsia="Times New Roman" w:cs="Times New Roman"/>
                <w:color w:val="000000"/>
                <w:sz w:val="20"/>
                <w:szCs w:val="20"/>
              </w:rPr>
            </w:pPr>
            <w:r>
              <w:rPr>
                <w:rFonts w:eastAsia="Times New Roman" w:cs="Times New Roman"/>
                <w:color w:val="000000"/>
                <w:sz w:val="20"/>
                <w:szCs w:val="20"/>
              </w:rPr>
              <w:t>(7.77)</w:t>
            </w:r>
          </w:p>
        </w:tc>
        <w:tc>
          <w:tcPr>
            <w:tcW w:w="388" w:type="pct"/>
            <w:gridSpan w:val="3"/>
            <w:tcBorders>
              <w:top w:val="nil"/>
              <w:left w:val="double" w:sz="6" w:space="0" w:color="auto"/>
              <w:bottom w:val="double" w:sz="6" w:space="0" w:color="auto"/>
              <w:right w:val="nil"/>
            </w:tcBorders>
            <w:shd w:val="clear" w:color="auto" w:fill="auto"/>
            <w:vAlign w:val="center"/>
          </w:tcPr>
          <w:p w:rsidR="00681614" w:rsidRPr="00F13996" w:rsidRDefault="00681614" w:rsidP="00B952B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w:t>
            </w:r>
          </w:p>
        </w:tc>
        <w:tc>
          <w:tcPr>
            <w:tcW w:w="420" w:type="pct"/>
            <w:tcBorders>
              <w:top w:val="nil"/>
              <w:left w:val="nil"/>
              <w:bottom w:val="double" w:sz="6" w:space="0" w:color="auto"/>
              <w:right w:val="double" w:sz="6" w:space="0" w:color="auto"/>
            </w:tcBorders>
            <w:shd w:val="clear" w:color="auto" w:fill="auto"/>
            <w:noWrap/>
            <w:vAlign w:val="center"/>
          </w:tcPr>
          <w:p w:rsidR="00681614" w:rsidRPr="00F13996" w:rsidRDefault="00681614" w:rsidP="00B952B8">
            <w:pPr>
              <w:spacing w:after="0" w:line="240" w:lineRule="auto"/>
              <w:jc w:val="center"/>
              <w:rPr>
                <w:rFonts w:ascii="Calibri" w:eastAsia="Times New Roman" w:hAnsi="Calibri" w:cs="Times New Roman"/>
                <w:color w:val="000000"/>
                <w:sz w:val="22"/>
              </w:rPr>
            </w:pPr>
            <w:r>
              <w:rPr>
                <w:rFonts w:ascii="Calibri" w:eastAsia="Times New Roman" w:hAnsi="Calibri" w:cs="Times New Roman"/>
                <w:color w:val="000000"/>
                <w:sz w:val="22"/>
              </w:rPr>
              <w:t>--</w:t>
            </w:r>
          </w:p>
        </w:tc>
      </w:tr>
      <w:tr w:rsidR="00681614" w:rsidRPr="00D11544" w:rsidTr="00704A8C">
        <w:trPr>
          <w:trHeight w:val="252"/>
        </w:trPr>
        <w:tc>
          <w:tcPr>
            <w:tcW w:w="3375" w:type="pct"/>
            <w:gridSpan w:val="5"/>
            <w:tcBorders>
              <w:top w:val="single" w:sz="6" w:space="0" w:color="auto"/>
              <w:left w:val="double" w:sz="6" w:space="0" w:color="000000"/>
              <w:bottom w:val="double" w:sz="6" w:space="0" w:color="auto"/>
              <w:right w:val="single" w:sz="6" w:space="0" w:color="auto"/>
            </w:tcBorders>
            <w:shd w:val="clear" w:color="auto" w:fill="D9D9D9" w:themeFill="background1" w:themeFillShade="D9"/>
            <w:vAlign w:val="center"/>
          </w:tcPr>
          <w:p w:rsidR="00681614" w:rsidRPr="00D11544" w:rsidRDefault="00681614" w:rsidP="00681614">
            <w:pPr>
              <w:spacing w:after="0" w:line="240" w:lineRule="auto"/>
              <w:rPr>
                <w:rFonts w:eastAsia="Times New Roman" w:cs="Times New Roman"/>
                <w:b/>
                <w:color w:val="000000"/>
                <w:sz w:val="20"/>
                <w:szCs w:val="20"/>
              </w:rPr>
            </w:pPr>
            <w:r w:rsidRPr="00D11544">
              <w:rPr>
                <w:rFonts w:eastAsia="Times New Roman" w:cs="Times New Roman"/>
                <w:b/>
                <w:color w:val="000000"/>
                <w:sz w:val="20"/>
                <w:szCs w:val="20"/>
              </w:rPr>
              <w:t>Latent variables correlations</w:t>
            </w:r>
          </w:p>
        </w:tc>
        <w:tc>
          <w:tcPr>
            <w:tcW w:w="822" w:type="pct"/>
            <w:gridSpan w:val="5"/>
            <w:tcBorders>
              <w:top w:val="single" w:sz="6" w:space="0" w:color="auto"/>
              <w:left w:val="double" w:sz="6" w:space="0" w:color="auto"/>
              <w:bottom w:val="double" w:sz="6" w:space="0" w:color="auto"/>
              <w:right w:val="nil"/>
            </w:tcBorders>
            <w:shd w:val="clear" w:color="auto" w:fill="D9D9D9" w:themeFill="background1" w:themeFillShade="D9"/>
            <w:vAlign w:val="center"/>
          </w:tcPr>
          <w:p w:rsidR="00681614" w:rsidRPr="00D11544" w:rsidRDefault="00681614" w:rsidP="00681614">
            <w:pPr>
              <w:spacing w:after="0" w:line="240" w:lineRule="auto"/>
              <w:jc w:val="center"/>
              <w:rPr>
                <w:rFonts w:eastAsia="Times New Roman" w:cs="Times New Roman"/>
                <w:b/>
                <w:color w:val="000000"/>
                <w:sz w:val="20"/>
                <w:szCs w:val="20"/>
              </w:rPr>
            </w:pPr>
            <w:r w:rsidRPr="00D11544">
              <w:rPr>
                <w:rFonts w:eastAsia="Times New Roman" w:cs="Times New Roman"/>
                <w:b/>
                <w:color w:val="000000"/>
                <w:sz w:val="20"/>
                <w:szCs w:val="20"/>
              </w:rPr>
              <w:t>Coefficient</w:t>
            </w:r>
          </w:p>
        </w:tc>
        <w:tc>
          <w:tcPr>
            <w:tcW w:w="803" w:type="pct"/>
            <w:gridSpan w:val="3"/>
            <w:tcBorders>
              <w:top w:val="nil"/>
              <w:left w:val="nil"/>
              <w:bottom w:val="double" w:sz="6" w:space="0" w:color="auto"/>
              <w:right w:val="double" w:sz="6" w:space="0" w:color="auto"/>
            </w:tcBorders>
            <w:shd w:val="clear" w:color="auto" w:fill="D9D9D9" w:themeFill="background1" w:themeFillShade="D9"/>
            <w:vAlign w:val="center"/>
          </w:tcPr>
          <w:p w:rsidR="00681614" w:rsidRPr="00D11544" w:rsidRDefault="00681614" w:rsidP="00681614">
            <w:pPr>
              <w:spacing w:after="0" w:line="240" w:lineRule="auto"/>
              <w:jc w:val="center"/>
              <w:rPr>
                <w:rFonts w:eastAsia="Times New Roman" w:cs="Times New Roman"/>
                <w:b/>
                <w:color w:val="000000"/>
                <w:sz w:val="20"/>
                <w:szCs w:val="20"/>
              </w:rPr>
            </w:pPr>
            <w:r w:rsidRPr="00D11544">
              <w:rPr>
                <w:rFonts w:eastAsia="Times New Roman" w:cs="Times New Roman"/>
                <w:b/>
                <w:color w:val="000000"/>
                <w:sz w:val="20"/>
                <w:szCs w:val="20"/>
              </w:rPr>
              <w:t>(t-stat)</w:t>
            </w:r>
          </w:p>
        </w:tc>
      </w:tr>
      <w:tr w:rsidR="00681614" w:rsidTr="00704A8C">
        <w:trPr>
          <w:trHeight w:val="234"/>
        </w:trPr>
        <w:tc>
          <w:tcPr>
            <w:tcW w:w="3375" w:type="pct"/>
            <w:gridSpan w:val="5"/>
            <w:tcBorders>
              <w:top w:val="double" w:sz="6" w:space="0" w:color="auto"/>
              <w:left w:val="double" w:sz="6" w:space="0" w:color="000000"/>
              <w:bottom w:val="double" w:sz="6" w:space="0" w:color="auto"/>
              <w:right w:val="single" w:sz="6" w:space="0" w:color="auto"/>
            </w:tcBorders>
            <w:shd w:val="clear" w:color="auto" w:fill="auto"/>
            <w:vAlign w:val="center"/>
          </w:tcPr>
          <w:p w:rsidR="00681614" w:rsidRPr="00F13996" w:rsidRDefault="00681614" w:rsidP="00681614">
            <w:pPr>
              <w:spacing w:after="0" w:line="240" w:lineRule="auto"/>
              <w:rPr>
                <w:rFonts w:eastAsia="Times New Roman" w:cs="Times New Roman"/>
                <w:color w:val="000000"/>
                <w:sz w:val="20"/>
                <w:szCs w:val="20"/>
              </w:rPr>
            </w:pPr>
            <w:r>
              <w:rPr>
                <w:rFonts w:eastAsia="Times New Roman" w:cs="Times New Roman"/>
                <w:color w:val="000000"/>
                <w:sz w:val="20"/>
                <w:szCs w:val="20"/>
              </w:rPr>
              <w:t>Tech-dependency and pro-environment</w:t>
            </w:r>
          </w:p>
        </w:tc>
        <w:tc>
          <w:tcPr>
            <w:tcW w:w="822" w:type="pct"/>
            <w:gridSpan w:val="5"/>
            <w:tcBorders>
              <w:top w:val="double" w:sz="6" w:space="0" w:color="auto"/>
              <w:left w:val="double" w:sz="6" w:space="0" w:color="auto"/>
              <w:bottom w:val="double" w:sz="6" w:space="0" w:color="auto"/>
              <w:right w:val="nil"/>
            </w:tcBorders>
            <w:shd w:val="clear" w:color="auto" w:fill="auto"/>
            <w:vAlign w:val="center"/>
          </w:tcPr>
          <w:p w:rsidR="00681614" w:rsidRDefault="00681614" w:rsidP="0068161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0.354</w:t>
            </w:r>
          </w:p>
        </w:tc>
        <w:tc>
          <w:tcPr>
            <w:tcW w:w="803" w:type="pct"/>
            <w:gridSpan w:val="3"/>
            <w:tcBorders>
              <w:top w:val="double" w:sz="6" w:space="0" w:color="auto"/>
              <w:left w:val="nil"/>
              <w:bottom w:val="double" w:sz="6" w:space="0" w:color="auto"/>
              <w:right w:val="double" w:sz="6" w:space="0" w:color="auto"/>
            </w:tcBorders>
            <w:shd w:val="clear" w:color="auto" w:fill="auto"/>
            <w:vAlign w:val="center"/>
          </w:tcPr>
          <w:p w:rsidR="00681614" w:rsidRDefault="00681614" w:rsidP="0068161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(2.22)</w:t>
            </w:r>
          </w:p>
        </w:tc>
      </w:tr>
      <w:tr w:rsidR="00681614" w:rsidTr="00704A8C">
        <w:trPr>
          <w:trHeight w:val="216"/>
        </w:trPr>
        <w:tc>
          <w:tcPr>
            <w:tcW w:w="3375" w:type="pct"/>
            <w:gridSpan w:val="5"/>
            <w:tcBorders>
              <w:top w:val="double" w:sz="6" w:space="0" w:color="auto"/>
              <w:left w:val="double" w:sz="6" w:space="0" w:color="000000"/>
              <w:bottom w:val="double" w:sz="6" w:space="0" w:color="auto"/>
              <w:right w:val="single" w:sz="6" w:space="0" w:color="auto"/>
            </w:tcBorders>
            <w:shd w:val="clear" w:color="auto" w:fill="auto"/>
            <w:vAlign w:val="center"/>
          </w:tcPr>
          <w:p w:rsidR="00681614" w:rsidRPr="00F13996" w:rsidRDefault="00681614" w:rsidP="00681614">
            <w:pPr>
              <w:spacing w:after="0" w:line="240" w:lineRule="auto"/>
              <w:rPr>
                <w:rFonts w:eastAsia="Times New Roman" w:cs="Times New Roman"/>
                <w:color w:val="000000"/>
                <w:sz w:val="20"/>
                <w:szCs w:val="20"/>
              </w:rPr>
            </w:pPr>
            <w:r>
              <w:rPr>
                <w:rFonts w:eastAsia="Times New Roman" w:cs="Times New Roman"/>
                <w:color w:val="000000"/>
                <w:sz w:val="20"/>
                <w:szCs w:val="20"/>
              </w:rPr>
              <w:t>Pro-car and pro-environment</w:t>
            </w:r>
          </w:p>
        </w:tc>
        <w:tc>
          <w:tcPr>
            <w:tcW w:w="822" w:type="pct"/>
            <w:gridSpan w:val="5"/>
            <w:tcBorders>
              <w:top w:val="double" w:sz="6" w:space="0" w:color="auto"/>
              <w:left w:val="double" w:sz="6" w:space="0" w:color="auto"/>
              <w:bottom w:val="double" w:sz="6" w:space="0" w:color="auto"/>
              <w:right w:val="nil"/>
            </w:tcBorders>
            <w:shd w:val="clear" w:color="auto" w:fill="auto"/>
            <w:vAlign w:val="center"/>
          </w:tcPr>
          <w:p w:rsidR="00681614" w:rsidRDefault="00681614" w:rsidP="0068161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0.382</w:t>
            </w:r>
          </w:p>
        </w:tc>
        <w:tc>
          <w:tcPr>
            <w:tcW w:w="803" w:type="pct"/>
            <w:gridSpan w:val="3"/>
            <w:tcBorders>
              <w:top w:val="double" w:sz="6" w:space="0" w:color="auto"/>
              <w:left w:val="nil"/>
              <w:bottom w:val="double" w:sz="6" w:space="0" w:color="auto"/>
              <w:right w:val="double" w:sz="6" w:space="0" w:color="auto"/>
            </w:tcBorders>
            <w:shd w:val="clear" w:color="auto" w:fill="auto"/>
            <w:vAlign w:val="center"/>
          </w:tcPr>
          <w:p w:rsidR="00681614" w:rsidRDefault="00681614" w:rsidP="0068161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(9.25)</w:t>
            </w:r>
          </w:p>
        </w:tc>
      </w:tr>
      <w:tr w:rsidR="00681614" w:rsidTr="00704A8C">
        <w:trPr>
          <w:trHeight w:val="207"/>
        </w:trPr>
        <w:tc>
          <w:tcPr>
            <w:tcW w:w="3375" w:type="pct"/>
            <w:gridSpan w:val="5"/>
            <w:tcBorders>
              <w:top w:val="double" w:sz="6" w:space="0" w:color="auto"/>
              <w:left w:val="double" w:sz="6" w:space="0" w:color="000000"/>
              <w:bottom w:val="double" w:sz="6" w:space="0" w:color="auto"/>
              <w:right w:val="single" w:sz="6" w:space="0" w:color="auto"/>
            </w:tcBorders>
            <w:shd w:val="clear" w:color="auto" w:fill="auto"/>
            <w:vAlign w:val="center"/>
          </w:tcPr>
          <w:p w:rsidR="00681614" w:rsidRPr="00F13996" w:rsidRDefault="00681614" w:rsidP="00681614">
            <w:pPr>
              <w:spacing w:after="0" w:line="240" w:lineRule="auto"/>
              <w:rPr>
                <w:rFonts w:eastAsia="Times New Roman" w:cs="Times New Roman"/>
                <w:color w:val="000000"/>
                <w:sz w:val="20"/>
                <w:szCs w:val="20"/>
              </w:rPr>
            </w:pPr>
            <w:r>
              <w:rPr>
                <w:rFonts w:eastAsia="Times New Roman" w:cs="Times New Roman"/>
                <w:color w:val="000000"/>
                <w:sz w:val="20"/>
                <w:szCs w:val="20"/>
              </w:rPr>
              <w:t>Pro-transit and pro-environment</w:t>
            </w:r>
          </w:p>
        </w:tc>
        <w:tc>
          <w:tcPr>
            <w:tcW w:w="822" w:type="pct"/>
            <w:gridSpan w:val="5"/>
            <w:tcBorders>
              <w:top w:val="double" w:sz="6" w:space="0" w:color="auto"/>
              <w:left w:val="double" w:sz="6" w:space="0" w:color="auto"/>
              <w:bottom w:val="double" w:sz="6" w:space="0" w:color="auto"/>
              <w:right w:val="nil"/>
            </w:tcBorders>
            <w:shd w:val="clear" w:color="auto" w:fill="auto"/>
            <w:vAlign w:val="center"/>
          </w:tcPr>
          <w:p w:rsidR="00681614" w:rsidRDefault="00681614" w:rsidP="0068161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0.724</w:t>
            </w:r>
          </w:p>
        </w:tc>
        <w:tc>
          <w:tcPr>
            <w:tcW w:w="803" w:type="pct"/>
            <w:gridSpan w:val="3"/>
            <w:tcBorders>
              <w:top w:val="double" w:sz="6" w:space="0" w:color="auto"/>
              <w:left w:val="nil"/>
              <w:bottom w:val="double" w:sz="6" w:space="0" w:color="auto"/>
              <w:right w:val="double" w:sz="6" w:space="0" w:color="auto"/>
            </w:tcBorders>
            <w:shd w:val="clear" w:color="auto" w:fill="auto"/>
            <w:vAlign w:val="center"/>
          </w:tcPr>
          <w:p w:rsidR="00681614" w:rsidRDefault="00681614" w:rsidP="0068161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(15.90)</w:t>
            </w:r>
          </w:p>
        </w:tc>
      </w:tr>
    </w:tbl>
    <w:p w:rsidR="00E428CF" w:rsidRPr="00A6140E" w:rsidRDefault="00C56D08" w:rsidP="00361784">
      <w:pPr>
        <w:rPr>
          <w:sz w:val="20"/>
          <w:szCs w:val="20"/>
        </w:rPr>
      </w:pPr>
      <w:r w:rsidRPr="00A6140E">
        <w:rPr>
          <w:sz w:val="20"/>
          <w:szCs w:val="20"/>
        </w:rPr>
        <w:t>(--) not statistically significant</w:t>
      </w:r>
      <w:r>
        <w:rPr>
          <w:sz w:val="20"/>
          <w:szCs w:val="20"/>
        </w:rPr>
        <w:t xml:space="preserve"> and therefore removed from the model</w:t>
      </w:r>
    </w:p>
    <w:p w:rsidR="00C56D08" w:rsidRDefault="00C56D08"/>
    <w:p w:rsidR="00C56D08" w:rsidRDefault="00C56D08">
      <w:pPr>
        <w:rPr>
          <w:b/>
          <w:sz w:val="23"/>
          <w:szCs w:val="23"/>
        </w:rPr>
      </w:pPr>
      <w:r>
        <w:rPr>
          <w:b/>
          <w:sz w:val="23"/>
          <w:szCs w:val="23"/>
        </w:rPr>
        <w:br w:type="page"/>
      </w:r>
    </w:p>
    <w:p w:rsidR="00E428CF" w:rsidRPr="00DA4AAC" w:rsidRDefault="00E428CF" w:rsidP="00E428CF">
      <w:pPr>
        <w:spacing w:after="120" w:line="240" w:lineRule="auto"/>
        <w:rPr>
          <w:b/>
          <w:sz w:val="23"/>
          <w:szCs w:val="23"/>
        </w:rPr>
      </w:pPr>
      <w:r w:rsidRPr="00DA4AAC">
        <w:rPr>
          <w:b/>
          <w:sz w:val="23"/>
          <w:szCs w:val="23"/>
        </w:rPr>
        <w:lastRenderedPageBreak/>
        <w:t xml:space="preserve">TABLE </w:t>
      </w:r>
      <w:proofErr w:type="gramStart"/>
      <w:r>
        <w:rPr>
          <w:b/>
          <w:sz w:val="23"/>
          <w:szCs w:val="23"/>
        </w:rPr>
        <w:t>2</w:t>
      </w:r>
      <w:r w:rsidRPr="00DA4AAC">
        <w:rPr>
          <w:b/>
          <w:sz w:val="23"/>
          <w:szCs w:val="23"/>
        </w:rPr>
        <w:t xml:space="preserve">  </w:t>
      </w:r>
      <w:r w:rsidR="00533F3B">
        <w:rPr>
          <w:b/>
          <w:sz w:val="23"/>
          <w:szCs w:val="23"/>
        </w:rPr>
        <w:t>I</w:t>
      </w:r>
      <w:r>
        <w:rPr>
          <w:b/>
          <w:sz w:val="23"/>
          <w:szCs w:val="23"/>
        </w:rPr>
        <w:t>mpact</w:t>
      </w:r>
      <w:proofErr w:type="gramEnd"/>
      <w:r>
        <w:rPr>
          <w:b/>
          <w:sz w:val="23"/>
          <w:szCs w:val="23"/>
        </w:rPr>
        <w:t xml:space="preserve"> of </w:t>
      </w:r>
      <w:r w:rsidR="001B51E5">
        <w:rPr>
          <w:b/>
          <w:sz w:val="23"/>
          <w:szCs w:val="23"/>
        </w:rPr>
        <w:t>L</w:t>
      </w:r>
      <w:r>
        <w:rPr>
          <w:b/>
          <w:sz w:val="23"/>
          <w:szCs w:val="23"/>
        </w:rPr>
        <w:t xml:space="preserve">atent </w:t>
      </w:r>
      <w:r w:rsidR="001B51E5">
        <w:rPr>
          <w:b/>
          <w:sz w:val="23"/>
          <w:szCs w:val="23"/>
        </w:rPr>
        <w:t>V</w:t>
      </w:r>
      <w:r>
        <w:rPr>
          <w:b/>
          <w:sz w:val="23"/>
          <w:szCs w:val="23"/>
        </w:rPr>
        <w:t xml:space="preserve">ariables on </w:t>
      </w:r>
      <w:r w:rsidR="001B51E5">
        <w:rPr>
          <w:b/>
          <w:sz w:val="23"/>
          <w:szCs w:val="23"/>
        </w:rPr>
        <w:t>N</w:t>
      </w:r>
      <w:r w:rsidR="00150C9B">
        <w:rPr>
          <w:b/>
          <w:sz w:val="23"/>
          <w:szCs w:val="23"/>
        </w:rPr>
        <w:t>on-</w:t>
      </w:r>
      <w:r w:rsidR="00462545">
        <w:rPr>
          <w:b/>
          <w:sz w:val="23"/>
          <w:szCs w:val="23"/>
        </w:rPr>
        <w:t xml:space="preserve">nominal </w:t>
      </w:r>
      <w:r w:rsidR="001B51E5">
        <w:rPr>
          <w:b/>
          <w:sz w:val="23"/>
          <w:szCs w:val="23"/>
        </w:rPr>
        <w:t>D</w:t>
      </w:r>
      <w:r w:rsidR="00533F3B">
        <w:rPr>
          <w:b/>
          <w:sz w:val="23"/>
          <w:szCs w:val="23"/>
        </w:rPr>
        <w:t xml:space="preserve">ependent </w:t>
      </w:r>
      <w:r w:rsidR="001B51E5">
        <w:rPr>
          <w:b/>
          <w:sz w:val="23"/>
          <w:szCs w:val="23"/>
        </w:rPr>
        <w:t>V</w:t>
      </w:r>
      <w:r w:rsidR="00533F3B">
        <w:rPr>
          <w:b/>
          <w:sz w:val="23"/>
          <w:szCs w:val="23"/>
        </w:rPr>
        <w:t>ariables</w:t>
      </w:r>
      <w:r w:rsidR="001B51E5">
        <w:rPr>
          <w:b/>
          <w:sz w:val="23"/>
          <w:szCs w:val="23"/>
        </w:rPr>
        <w:t xml:space="preserve"> </w:t>
      </w:r>
      <w:r w:rsidR="00150C9B">
        <w:rPr>
          <w:b/>
          <w:sz w:val="23"/>
          <w:szCs w:val="23"/>
        </w:rPr>
        <w:t xml:space="preserve">and </w:t>
      </w:r>
      <w:r w:rsidR="001B51E5">
        <w:rPr>
          <w:b/>
          <w:sz w:val="23"/>
          <w:szCs w:val="23"/>
        </w:rPr>
        <w:t>Correlations Among L</w:t>
      </w:r>
      <w:r w:rsidR="00150C9B">
        <w:rPr>
          <w:b/>
          <w:sz w:val="23"/>
          <w:szCs w:val="23"/>
        </w:rPr>
        <w:t xml:space="preserve">atent </w:t>
      </w:r>
      <w:r w:rsidR="001B51E5">
        <w:rPr>
          <w:b/>
          <w:sz w:val="23"/>
          <w:szCs w:val="23"/>
        </w:rPr>
        <w:t>Constructs</w:t>
      </w:r>
    </w:p>
    <w:tbl>
      <w:tblPr>
        <w:tblW w:w="5039" w:type="pct"/>
        <w:tblInd w:w="-72" w:type="dxa"/>
        <w:tblLayout w:type="fixed"/>
        <w:tblLook w:val="04A0" w:firstRow="1" w:lastRow="0" w:firstColumn="1" w:lastColumn="0" w:noHBand="0" w:noVBand="1"/>
      </w:tblPr>
      <w:tblGrid>
        <w:gridCol w:w="1658"/>
        <w:gridCol w:w="4511"/>
        <w:gridCol w:w="811"/>
        <w:gridCol w:w="809"/>
        <w:gridCol w:w="721"/>
        <w:gridCol w:w="877"/>
      </w:tblGrid>
      <w:tr w:rsidR="0006615D" w:rsidRPr="00F13996" w:rsidTr="00A6140E">
        <w:trPr>
          <w:trHeight w:val="288"/>
        </w:trPr>
        <w:tc>
          <w:tcPr>
            <w:tcW w:w="5000" w:type="pct"/>
            <w:gridSpan w:val="6"/>
            <w:tcBorders>
              <w:top w:val="double" w:sz="6" w:space="0" w:color="000000"/>
              <w:left w:val="double" w:sz="6" w:space="0" w:color="000000"/>
              <w:bottom w:val="double" w:sz="6" w:space="0" w:color="000000"/>
              <w:right w:val="double" w:sz="6" w:space="0" w:color="000000"/>
            </w:tcBorders>
            <w:shd w:val="clear" w:color="000000" w:fill="D9D9D9"/>
            <w:vAlign w:val="center"/>
          </w:tcPr>
          <w:p w:rsidR="0006615D" w:rsidRPr="00F13996" w:rsidRDefault="0006615D" w:rsidP="002C6AFF">
            <w:pPr>
              <w:spacing w:after="0" w:line="240" w:lineRule="auto"/>
              <w:jc w:val="center"/>
              <w:rPr>
                <w:rFonts w:eastAsia="Times New Roman" w:cs="Times New Roman"/>
                <w:b/>
                <w:bCs/>
                <w:color w:val="000000"/>
                <w:sz w:val="20"/>
                <w:szCs w:val="20"/>
              </w:rPr>
            </w:pPr>
            <w:r>
              <w:rPr>
                <w:rFonts w:eastAsia="Times New Roman" w:cs="Times New Roman"/>
                <w:b/>
                <w:bCs/>
                <w:color w:val="000000"/>
                <w:sz w:val="20"/>
                <w:szCs w:val="20"/>
              </w:rPr>
              <w:t>Impact of Latent Variable on Non-</w:t>
            </w:r>
            <w:r w:rsidR="00462545">
              <w:rPr>
                <w:rFonts w:eastAsia="Times New Roman" w:cs="Times New Roman"/>
                <w:b/>
                <w:bCs/>
                <w:color w:val="000000"/>
                <w:sz w:val="20"/>
                <w:szCs w:val="20"/>
              </w:rPr>
              <w:t xml:space="preserve">nominal </w:t>
            </w:r>
            <w:r>
              <w:rPr>
                <w:rFonts w:eastAsia="Times New Roman" w:cs="Times New Roman"/>
                <w:b/>
                <w:bCs/>
                <w:color w:val="000000"/>
                <w:sz w:val="20"/>
                <w:szCs w:val="20"/>
              </w:rPr>
              <w:t>Indicators</w:t>
            </w:r>
          </w:p>
        </w:tc>
      </w:tr>
      <w:tr w:rsidR="002A4E63" w:rsidRPr="00F13996" w:rsidTr="002462AF">
        <w:trPr>
          <w:trHeight w:val="324"/>
        </w:trPr>
        <w:tc>
          <w:tcPr>
            <w:tcW w:w="883" w:type="pct"/>
            <w:tcBorders>
              <w:top w:val="double" w:sz="6" w:space="0" w:color="000000"/>
              <w:left w:val="double" w:sz="6" w:space="0" w:color="000000"/>
              <w:bottom w:val="double" w:sz="6" w:space="0" w:color="000000"/>
              <w:right w:val="double" w:sz="6" w:space="0" w:color="auto"/>
            </w:tcBorders>
            <w:shd w:val="clear" w:color="000000" w:fill="D9D9D9"/>
            <w:vAlign w:val="center"/>
            <w:hideMark/>
          </w:tcPr>
          <w:p w:rsidR="002A4E63" w:rsidRPr="00F13996" w:rsidRDefault="002A4E63" w:rsidP="00FA1DC4">
            <w:pPr>
              <w:spacing w:after="0" w:line="240" w:lineRule="auto"/>
              <w:rPr>
                <w:rFonts w:eastAsia="Times New Roman" w:cs="Times New Roman"/>
                <w:b/>
                <w:bCs/>
                <w:color w:val="000000"/>
                <w:sz w:val="20"/>
                <w:szCs w:val="20"/>
              </w:rPr>
            </w:pPr>
            <w:r>
              <w:rPr>
                <w:rFonts w:eastAsia="Times New Roman" w:cs="Times New Roman"/>
                <w:b/>
                <w:bCs/>
                <w:color w:val="000000"/>
                <w:sz w:val="20"/>
                <w:szCs w:val="20"/>
              </w:rPr>
              <w:t>Latent variable</w:t>
            </w:r>
          </w:p>
        </w:tc>
        <w:tc>
          <w:tcPr>
            <w:tcW w:w="2403" w:type="pct"/>
            <w:tcBorders>
              <w:top w:val="double" w:sz="6" w:space="0" w:color="auto"/>
              <w:left w:val="double" w:sz="6" w:space="0" w:color="auto"/>
              <w:bottom w:val="double" w:sz="6" w:space="0" w:color="auto"/>
              <w:right w:val="double" w:sz="6" w:space="0" w:color="000000"/>
            </w:tcBorders>
            <w:shd w:val="clear" w:color="000000" w:fill="D9D9D9"/>
            <w:vAlign w:val="center"/>
            <w:hideMark/>
          </w:tcPr>
          <w:p w:rsidR="002A4E63" w:rsidRPr="00F13996" w:rsidRDefault="002A4E63" w:rsidP="00FA1DC4">
            <w:pPr>
              <w:spacing w:after="0" w:line="240" w:lineRule="auto"/>
              <w:rPr>
                <w:rFonts w:eastAsia="Times New Roman" w:cs="Times New Roman"/>
                <w:b/>
                <w:bCs/>
                <w:color w:val="000000"/>
                <w:sz w:val="20"/>
                <w:szCs w:val="20"/>
              </w:rPr>
            </w:pPr>
            <w:r w:rsidRPr="00F13996">
              <w:rPr>
                <w:rFonts w:eastAsia="Times New Roman" w:cs="Times New Roman"/>
                <w:b/>
                <w:bCs/>
                <w:color w:val="000000"/>
                <w:sz w:val="20"/>
                <w:szCs w:val="20"/>
              </w:rPr>
              <w:t>Indicators</w:t>
            </w:r>
          </w:p>
        </w:tc>
        <w:tc>
          <w:tcPr>
            <w:tcW w:w="432" w:type="pct"/>
            <w:tcBorders>
              <w:top w:val="double" w:sz="6" w:space="0" w:color="auto"/>
              <w:left w:val="double" w:sz="6" w:space="0" w:color="auto"/>
              <w:bottom w:val="double" w:sz="6" w:space="0" w:color="000000"/>
            </w:tcBorders>
            <w:shd w:val="clear" w:color="000000" w:fill="D9D9D9"/>
            <w:vAlign w:val="center"/>
            <w:hideMark/>
          </w:tcPr>
          <w:p w:rsidR="002A4E63" w:rsidRPr="00F13996" w:rsidRDefault="002A4E63" w:rsidP="002A4E63">
            <w:pPr>
              <w:spacing w:after="0" w:line="240" w:lineRule="auto"/>
              <w:rPr>
                <w:rFonts w:eastAsia="Times New Roman" w:cs="Times New Roman"/>
                <w:b/>
                <w:bCs/>
                <w:color w:val="000000"/>
                <w:sz w:val="20"/>
                <w:szCs w:val="20"/>
              </w:rPr>
            </w:pPr>
            <w:r w:rsidRPr="00F13996">
              <w:rPr>
                <w:rFonts w:eastAsia="Times New Roman" w:cs="Times New Roman"/>
                <w:b/>
                <w:bCs/>
                <w:color w:val="000000"/>
                <w:sz w:val="20"/>
                <w:szCs w:val="20"/>
              </w:rPr>
              <w:t>Const</w:t>
            </w:r>
            <w:r w:rsidR="002462AF">
              <w:rPr>
                <w:rFonts w:eastAsia="Times New Roman" w:cs="Times New Roman"/>
                <w:b/>
                <w:bCs/>
                <w:color w:val="000000"/>
                <w:sz w:val="20"/>
                <w:szCs w:val="20"/>
              </w:rPr>
              <w:t>.</w:t>
            </w:r>
          </w:p>
        </w:tc>
        <w:tc>
          <w:tcPr>
            <w:tcW w:w="431" w:type="pct"/>
            <w:tcBorders>
              <w:top w:val="double" w:sz="6" w:space="0" w:color="auto"/>
              <w:left w:val="nil"/>
              <w:bottom w:val="double" w:sz="6" w:space="0" w:color="000000"/>
              <w:right w:val="double" w:sz="6" w:space="0" w:color="000000"/>
            </w:tcBorders>
            <w:shd w:val="clear" w:color="000000" w:fill="D9D9D9"/>
            <w:vAlign w:val="center"/>
          </w:tcPr>
          <w:p w:rsidR="002A4E63" w:rsidRPr="00F13996" w:rsidRDefault="002A4E63" w:rsidP="005E2802">
            <w:pPr>
              <w:spacing w:after="0" w:line="240" w:lineRule="auto"/>
              <w:rPr>
                <w:rFonts w:eastAsia="Times New Roman" w:cs="Times New Roman"/>
                <w:b/>
                <w:bCs/>
                <w:color w:val="000000"/>
                <w:sz w:val="20"/>
                <w:szCs w:val="20"/>
              </w:rPr>
            </w:pPr>
            <w:r w:rsidRPr="00F13996">
              <w:rPr>
                <w:rFonts w:eastAsia="Times New Roman" w:cs="Times New Roman"/>
                <w:b/>
                <w:bCs/>
                <w:color w:val="000000"/>
                <w:sz w:val="20"/>
                <w:szCs w:val="20"/>
              </w:rPr>
              <w:t>(t-</w:t>
            </w:r>
            <w:r>
              <w:rPr>
                <w:rFonts w:eastAsia="Times New Roman" w:cs="Times New Roman"/>
                <w:b/>
                <w:bCs/>
                <w:color w:val="000000"/>
                <w:sz w:val="20"/>
                <w:szCs w:val="20"/>
              </w:rPr>
              <w:t>s</w:t>
            </w:r>
            <w:r w:rsidRPr="00F13996">
              <w:rPr>
                <w:rFonts w:eastAsia="Times New Roman" w:cs="Times New Roman"/>
                <w:b/>
                <w:bCs/>
                <w:color w:val="000000"/>
                <w:sz w:val="20"/>
                <w:szCs w:val="20"/>
              </w:rPr>
              <w:t>tat)</w:t>
            </w:r>
          </w:p>
        </w:tc>
        <w:tc>
          <w:tcPr>
            <w:tcW w:w="384" w:type="pct"/>
            <w:tcBorders>
              <w:top w:val="double" w:sz="6" w:space="0" w:color="auto"/>
              <w:left w:val="double" w:sz="6" w:space="0" w:color="auto"/>
              <w:bottom w:val="double" w:sz="6" w:space="0" w:color="000000"/>
            </w:tcBorders>
            <w:shd w:val="clear" w:color="000000" w:fill="D9D9D9"/>
            <w:vAlign w:val="center"/>
            <w:hideMark/>
          </w:tcPr>
          <w:p w:rsidR="002A4E63" w:rsidRPr="00F13996" w:rsidRDefault="002A4E63" w:rsidP="000E0760">
            <w:pPr>
              <w:spacing w:after="0" w:line="240" w:lineRule="auto"/>
              <w:rPr>
                <w:rFonts w:eastAsia="Times New Roman" w:cs="Times New Roman"/>
                <w:b/>
                <w:bCs/>
                <w:color w:val="000000"/>
                <w:sz w:val="20"/>
                <w:szCs w:val="20"/>
              </w:rPr>
            </w:pPr>
            <w:proofErr w:type="spellStart"/>
            <w:r>
              <w:rPr>
                <w:rFonts w:eastAsia="Times New Roman" w:cs="Times New Roman"/>
                <w:b/>
                <w:bCs/>
                <w:color w:val="000000"/>
                <w:sz w:val="20"/>
                <w:szCs w:val="20"/>
              </w:rPr>
              <w:t>Coef</w:t>
            </w:r>
            <w:proofErr w:type="spellEnd"/>
            <w:r>
              <w:rPr>
                <w:rFonts w:eastAsia="Times New Roman" w:cs="Times New Roman"/>
                <w:b/>
                <w:bCs/>
                <w:color w:val="000000"/>
                <w:sz w:val="20"/>
                <w:szCs w:val="20"/>
              </w:rPr>
              <w:t>.</w:t>
            </w:r>
            <w:r w:rsidRPr="00F13996">
              <w:rPr>
                <w:rFonts w:eastAsia="Times New Roman" w:cs="Times New Roman"/>
                <w:b/>
                <w:bCs/>
                <w:color w:val="000000"/>
                <w:sz w:val="20"/>
                <w:szCs w:val="20"/>
              </w:rPr>
              <w:t xml:space="preserve"> </w:t>
            </w:r>
          </w:p>
        </w:tc>
        <w:tc>
          <w:tcPr>
            <w:tcW w:w="467" w:type="pct"/>
            <w:tcBorders>
              <w:top w:val="double" w:sz="6" w:space="0" w:color="auto"/>
              <w:left w:val="nil"/>
              <w:bottom w:val="double" w:sz="6" w:space="0" w:color="000000"/>
              <w:right w:val="double" w:sz="6" w:space="0" w:color="000000"/>
            </w:tcBorders>
            <w:shd w:val="clear" w:color="000000" w:fill="D9D9D9"/>
            <w:vAlign w:val="center"/>
          </w:tcPr>
          <w:p w:rsidR="002A4E63" w:rsidRPr="00F13996" w:rsidRDefault="002A4E63" w:rsidP="000E0760">
            <w:pPr>
              <w:spacing w:after="0" w:line="240" w:lineRule="auto"/>
              <w:rPr>
                <w:rFonts w:eastAsia="Times New Roman" w:cs="Times New Roman"/>
                <w:b/>
                <w:bCs/>
                <w:color w:val="000000"/>
                <w:sz w:val="20"/>
                <w:szCs w:val="20"/>
              </w:rPr>
            </w:pPr>
            <w:r w:rsidRPr="00F13996">
              <w:rPr>
                <w:rFonts w:eastAsia="Times New Roman" w:cs="Times New Roman"/>
                <w:b/>
                <w:bCs/>
                <w:color w:val="000000"/>
                <w:sz w:val="20"/>
                <w:szCs w:val="20"/>
              </w:rPr>
              <w:t>(t-</w:t>
            </w:r>
            <w:r>
              <w:rPr>
                <w:rFonts w:eastAsia="Times New Roman" w:cs="Times New Roman"/>
                <w:b/>
                <w:bCs/>
                <w:color w:val="000000"/>
                <w:sz w:val="20"/>
                <w:szCs w:val="20"/>
              </w:rPr>
              <w:t>s</w:t>
            </w:r>
            <w:r w:rsidRPr="00F13996">
              <w:rPr>
                <w:rFonts w:eastAsia="Times New Roman" w:cs="Times New Roman"/>
                <w:b/>
                <w:bCs/>
                <w:color w:val="000000"/>
                <w:sz w:val="20"/>
                <w:szCs w:val="20"/>
              </w:rPr>
              <w:t>tat)</w:t>
            </w:r>
          </w:p>
        </w:tc>
      </w:tr>
      <w:tr w:rsidR="002A4E63" w:rsidRPr="00F13996" w:rsidTr="002462AF">
        <w:trPr>
          <w:trHeight w:val="20"/>
        </w:trPr>
        <w:tc>
          <w:tcPr>
            <w:tcW w:w="883" w:type="pct"/>
            <w:tcBorders>
              <w:top w:val="nil"/>
              <w:left w:val="double" w:sz="6" w:space="0" w:color="000000"/>
              <w:bottom w:val="double" w:sz="6" w:space="0" w:color="auto"/>
              <w:right w:val="double" w:sz="6" w:space="0" w:color="auto"/>
            </w:tcBorders>
            <w:shd w:val="clear" w:color="auto" w:fill="auto"/>
            <w:noWrap/>
            <w:vAlign w:val="center"/>
            <w:hideMark/>
          </w:tcPr>
          <w:p w:rsidR="002A4E63" w:rsidRPr="00F13996" w:rsidRDefault="002A4E63" w:rsidP="00FA1DC4">
            <w:pPr>
              <w:spacing w:after="0" w:line="240" w:lineRule="auto"/>
              <w:rPr>
                <w:rFonts w:ascii="Calibri" w:eastAsia="Times New Roman" w:hAnsi="Calibri" w:cs="Times New Roman"/>
                <w:color w:val="000000"/>
                <w:sz w:val="22"/>
              </w:rPr>
            </w:pPr>
            <w:r w:rsidRPr="00F13996">
              <w:rPr>
                <w:rFonts w:ascii="Calibri" w:eastAsia="Times New Roman" w:hAnsi="Calibri" w:cs="Times New Roman"/>
                <w:color w:val="000000"/>
                <w:sz w:val="22"/>
              </w:rPr>
              <w:t> </w:t>
            </w:r>
          </w:p>
        </w:tc>
        <w:tc>
          <w:tcPr>
            <w:tcW w:w="2403" w:type="pct"/>
            <w:tcBorders>
              <w:top w:val="double" w:sz="6" w:space="0" w:color="auto"/>
              <w:left w:val="nil"/>
              <w:bottom w:val="double" w:sz="6" w:space="0" w:color="auto"/>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b/>
                <w:bCs/>
                <w:color w:val="000000"/>
                <w:sz w:val="20"/>
                <w:szCs w:val="20"/>
              </w:rPr>
            </w:pPr>
            <w:r w:rsidRPr="00F13996">
              <w:rPr>
                <w:rFonts w:eastAsia="Times New Roman" w:cs="Times New Roman"/>
                <w:b/>
                <w:bCs/>
                <w:color w:val="000000"/>
                <w:sz w:val="20"/>
                <w:szCs w:val="20"/>
              </w:rPr>
              <w:t>Ordinal</w:t>
            </w:r>
          </w:p>
        </w:tc>
        <w:tc>
          <w:tcPr>
            <w:tcW w:w="432" w:type="pct"/>
            <w:tcBorders>
              <w:top w:val="double" w:sz="6" w:space="0" w:color="auto"/>
              <w:left w:val="double" w:sz="6" w:space="0" w:color="auto"/>
              <w:bottom w:val="double" w:sz="6" w:space="0" w:color="auto"/>
              <w:right w:val="nil"/>
            </w:tcBorders>
            <w:shd w:val="clear" w:color="auto" w:fill="auto"/>
            <w:noWrap/>
            <w:vAlign w:val="center"/>
            <w:hideMark/>
          </w:tcPr>
          <w:p w:rsidR="002A4E63" w:rsidRPr="00F13996" w:rsidRDefault="002A4E63" w:rsidP="00FA1DC4">
            <w:pPr>
              <w:spacing w:after="0" w:line="240" w:lineRule="auto"/>
              <w:rPr>
                <w:rFonts w:ascii="Calibri" w:eastAsia="Times New Roman" w:hAnsi="Calibri" w:cs="Times New Roman"/>
                <w:color w:val="000000"/>
                <w:sz w:val="22"/>
              </w:rPr>
            </w:pPr>
            <w:r w:rsidRPr="00F13996">
              <w:rPr>
                <w:rFonts w:ascii="Calibri" w:eastAsia="Times New Roman" w:hAnsi="Calibri" w:cs="Times New Roman"/>
                <w:color w:val="000000"/>
                <w:sz w:val="22"/>
              </w:rPr>
              <w:t> </w:t>
            </w:r>
          </w:p>
        </w:tc>
        <w:tc>
          <w:tcPr>
            <w:tcW w:w="431" w:type="pct"/>
            <w:tcBorders>
              <w:top w:val="double" w:sz="6" w:space="0" w:color="auto"/>
              <w:left w:val="nil"/>
              <w:bottom w:val="double" w:sz="6" w:space="0" w:color="auto"/>
              <w:right w:val="double" w:sz="6" w:space="0" w:color="auto"/>
            </w:tcBorders>
            <w:shd w:val="clear" w:color="auto" w:fill="auto"/>
            <w:noWrap/>
            <w:vAlign w:val="center"/>
            <w:hideMark/>
          </w:tcPr>
          <w:p w:rsidR="002A4E63" w:rsidRPr="00F13996" w:rsidRDefault="002A4E63" w:rsidP="00FA1DC4">
            <w:pPr>
              <w:spacing w:after="0" w:line="240" w:lineRule="auto"/>
              <w:rPr>
                <w:rFonts w:ascii="Calibri" w:eastAsia="Times New Roman" w:hAnsi="Calibri" w:cs="Times New Roman"/>
                <w:color w:val="000000"/>
                <w:sz w:val="22"/>
              </w:rPr>
            </w:pPr>
            <w:r w:rsidRPr="00F13996">
              <w:rPr>
                <w:rFonts w:ascii="Calibri" w:eastAsia="Times New Roman" w:hAnsi="Calibri" w:cs="Times New Roman"/>
                <w:color w:val="000000"/>
                <w:sz w:val="22"/>
              </w:rPr>
              <w:t> </w:t>
            </w:r>
          </w:p>
        </w:tc>
        <w:tc>
          <w:tcPr>
            <w:tcW w:w="384" w:type="pct"/>
            <w:tcBorders>
              <w:top w:val="double" w:sz="6" w:space="0" w:color="000000"/>
              <w:left w:val="double" w:sz="6" w:space="0" w:color="auto"/>
              <w:bottom w:val="double" w:sz="6" w:space="0" w:color="auto"/>
              <w:right w:val="nil"/>
            </w:tcBorders>
            <w:shd w:val="clear" w:color="auto" w:fill="auto"/>
            <w:noWrap/>
            <w:vAlign w:val="center"/>
            <w:hideMark/>
          </w:tcPr>
          <w:p w:rsidR="002A4E63" w:rsidRPr="00F13996" w:rsidRDefault="002A4E63" w:rsidP="00FA1DC4">
            <w:pPr>
              <w:spacing w:after="0" w:line="240" w:lineRule="auto"/>
              <w:rPr>
                <w:rFonts w:ascii="Calibri" w:eastAsia="Times New Roman" w:hAnsi="Calibri" w:cs="Times New Roman"/>
                <w:color w:val="000000"/>
                <w:sz w:val="22"/>
              </w:rPr>
            </w:pPr>
            <w:r w:rsidRPr="00F13996">
              <w:rPr>
                <w:rFonts w:ascii="Calibri" w:eastAsia="Times New Roman" w:hAnsi="Calibri" w:cs="Times New Roman"/>
                <w:color w:val="000000"/>
                <w:sz w:val="22"/>
              </w:rPr>
              <w:t> </w:t>
            </w:r>
          </w:p>
        </w:tc>
        <w:tc>
          <w:tcPr>
            <w:tcW w:w="467" w:type="pct"/>
            <w:tcBorders>
              <w:top w:val="double" w:sz="6" w:space="0" w:color="000000"/>
              <w:left w:val="nil"/>
              <w:bottom w:val="double" w:sz="6" w:space="0" w:color="auto"/>
              <w:right w:val="double" w:sz="6" w:space="0" w:color="000000"/>
            </w:tcBorders>
            <w:shd w:val="clear" w:color="auto" w:fill="auto"/>
            <w:noWrap/>
            <w:vAlign w:val="center"/>
            <w:hideMark/>
          </w:tcPr>
          <w:p w:rsidR="002A4E63" w:rsidRPr="00F13996" w:rsidRDefault="002A4E63" w:rsidP="00FA1DC4">
            <w:pPr>
              <w:spacing w:after="0" w:line="240" w:lineRule="auto"/>
              <w:rPr>
                <w:rFonts w:ascii="Calibri" w:eastAsia="Times New Roman" w:hAnsi="Calibri" w:cs="Times New Roman"/>
                <w:color w:val="000000"/>
                <w:sz w:val="22"/>
              </w:rPr>
            </w:pPr>
            <w:r w:rsidRPr="00F13996">
              <w:rPr>
                <w:rFonts w:ascii="Calibri" w:eastAsia="Times New Roman" w:hAnsi="Calibri" w:cs="Times New Roman"/>
                <w:color w:val="000000"/>
                <w:sz w:val="22"/>
              </w:rPr>
              <w:t> </w:t>
            </w:r>
          </w:p>
        </w:tc>
      </w:tr>
      <w:tr w:rsidR="002A4E63" w:rsidRPr="00F13996" w:rsidTr="002462AF">
        <w:trPr>
          <w:trHeight w:val="20"/>
        </w:trPr>
        <w:tc>
          <w:tcPr>
            <w:tcW w:w="883" w:type="pct"/>
            <w:vMerge w:val="restart"/>
            <w:tcBorders>
              <w:top w:val="nil"/>
              <w:left w:val="double" w:sz="6" w:space="0" w:color="000000"/>
              <w:bottom w:val="double" w:sz="6" w:space="0" w:color="000000"/>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Pr>
                <w:rFonts w:eastAsia="Times New Roman" w:cs="Times New Roman"/>
                <w:color w:val="000000"/>
                <w:sz w:val="20"/>
                <w:szCs w:val="20"/>
              </w:rPr>
              <w:t>Pro-car attitude</w:t>
            </w:r>
          </w:p>
        </w:tc>
        <w:tc>
          <w:tcPr>
            <w:tcW w:w="2403" w:type="pct"/>
            <w:tcBorders>
              <w:top w:val="nil"/>
              <w:left w:val="nil"/>
              <w:bottom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I need to drive my car to get where I need to go</w:t>
            </w:r>
          </w:p>
        </w:tc>
        <w:tc>
          <w:tcPr>
            <w:tcW w:w="432" w:type="pct"/>
            <w:tcBorders>
              <w:top w:val="double" w:sz="6" w:space="0" w:color="auto"/>
              <w:left w:val="double" w:sz="6" w:space="0" w:color="auto"/>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1.531</w:t>
            </w:r>
          </w:p>
        </w:tc>
        <w:tc>
          <w:tcPr>
            <w:tcW w:w="431" w:type="pct"/>
            <w:tcBorders>
              <w:top w:val="double" w:sz="6" w:space="0" w:color="auto"/>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(35.81)</w:t>
            </w:r>
          </w:p>
        </w:tc>
        <w:tc>
          <w:tcPr>
            <w:tcW w:w="384" w:type="pct"/>
            <w:tcBorders>
              <w:top w:val="double" w:sz="6" w:space="0" w:color="auto"/>
              <w:left w:val="nil"/>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0.711</w:t>
            </w:r>
          </w:p>
        </w:tc>
        <w:tc>
          <w:tcPr>
            <w:tcW w:w="467" w:type="pct"/>
            <w:tcBorders>
              <w:top w:val="double" w:sz="6" w:space="0" w:color="auto"/>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(29.93)</w:t>
            </w:r>
          </w:p>
        </w:tc>
      </w:tr>
      <w:tr w:rsidR="002A4E63" w:rsidRPr="00F13996" w:rsidTr="002462AF">
        <w:trPr>
          <w:trHeight w:val="20"/>
        </w:trPr>
        <w:tc>
          <w:tcPr>
            <w:tcW w:w="883" w:type="pct"/>
            <w:vMerge/>
            <w:tcBorders>
              <w:top w:val="nil"/>
              <w:left w:val="double" w:sz="6" w:space="0" w:color="000000"/>
              <w:bottom w:val="double" w:sz="6" w:space="0" w:color="000000"/>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top w:val="nil"/>
              <w:left w:val="nil"/>
              <w:bottom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I love the freedom and independence I get from owning one or more cars</w:t>
            </w:r>
          </w:p>
        </w:tc>
        <w:tc>
          <w:tcPr>
            <w:tcW w:w="432" w:type="pct"/>
            <w:tcBorders>
              <w:top w:val="nil"/>
              <w:left w:val="double" w:sz="6" w:space="0" w:color="auto"/>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2.396</w:t>
            </w:r>
          </w:p>
        </w:tc>
        <w:tc>
          <w:tcPr>
            <w:tcW w:w="431"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(37.06)</w:t>
            </w:r>
          </w:p>
        </w:tc>
        <w:tc>
          <w:tcPr>
            <w:tcW w:w="384" w:type="pct"/>
            <w:tcBorders>
              <w:top w:val="nil"/>
              <w:left w:val="nil"/>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1.165</w:t>
            </w:r>
          </w:p>
        </w:tc>
        <w:tc>
          <w:tcPr>
            <w:tcW w:w="467"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(50.16)</w:t>
            </w:r>
          </w:p>
        </w:tc>
      </w:tr>
      <w:tr w:rsidR="002A4E63" w:rsidRPr="00F13996" w:rsidTr="002462AF">
        <w:trPr>
          <w:trHeight w:val="20"/>
        </w:trPr>
        <w:tc>
          <w:tcPr>
            <w:tcW w:w="883" w:type="pct"/>
            <w:vMerge/>
            <w:tcBorders>
              <w:top w:val="nil"/>
              <w:left w:val="double" w:sz="6" w:space="0" w:color="000000"/>
              <w:bottom w:val="double" w:sz="6" w:space="0" w:color="000000"/>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top w:val="nil"/>
              <w:left w:val="nil"/>
              <w:bottom w:val="double" w:sz="6" w:space="0" w:color="auto"/>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When making a trip, I prefer to have the flexibility to use a car in case my plans change</w:t>
            </w:r>
          </w:p>
        </w:tc>
        <w:tc>
          <w:tcPr>
            <w:tcW w:w="432" w:type="pct"/>
            <w:tcBorders>
              <w:top w:val="nil"/>
              <w:left w:val="double" w:sz="6" w:space="0" w:color="auto"/>
              <w:bottom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2.159</w:t>
            </w:r>
          </w:p>
        </w:tc>
        <w:tc>
          <w:tcPr>
            <w:tcW w:w="431" w:type="pct"/>
            <w:tcBorders>
              <w:top w:val="nil"/>
              <w:left w:val="nil"/>
              <w:bottom w:val="double" w:sz="6" w:space="0" w:color="auto"/>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(39.56)</w:t>
            </w:r>
          </w:p>
        </w:tc>
        <w:tc>
          <w:tcPr>
            <w:tcW w:w="384" w:type="pct"/>
            <w:tcBorders>
              <w:top w:val="nil"/>
              <w:left w:val="nil"/>
              <w:bottom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0.868</w:t>
            </w:r>
          </w:p>
        </w:tc>
        <w:tc>
          <w:tcPr>
            <w:tcW w:w="467" w:type="pct"/>
            <w:tcBorders>
              <w:top w:val="nil"/>
              <w:left w:val="nil"/>
              <w:bottom w:val="double" w:sz="6" w:space="0" w:color="auto"/>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(40.13)</w:t>
            </w:r>
          </w:p>
        </w:tc>
      </w:tr>
      <w:tr w:rsidR="002A4E63" w:rsidRPr="00F13996" w:rsidTr="002462AF">
        <w:trPr>
          <w:trHeight w:val="20"/>
        </w:trPr>
        <w:tc>
          <w:tcPr>
            <w:tcW w:w="883" w:type="pct"/>
            <w:vMerge w:val="restart"/>
            <w:tcBorders>
              <w:top w:val="nil"/>
              <w:left w:val="double" w:sz="6" w:space="0" w:color="000000"/>
              <w:bottom w:val="double" w:sz="6" w:space="0" w:color="000000"/>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Pro-transit</w:t>
            </w:r>
          </w:p>
        </w:tc>
        <w:tc>
          <w:tcPr>
            <w:tcW w:w="2403" w:type="pct"/>
            <w:tcBorders>
              <w:top w:val="double" w:sz="6" w:space="0" w:color="auto"/>
              <w:left w:val="nil"/>
              <w:bottom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Riding transit is less stressful than driving on congested highways</w:t>
            </w:r>
          </w:p>
        </w:tc>
        <w:tc>
          <w:tcPr>
            <w:tcW w:w="432" w:type="pct"/>
            <w:tcBorders>
              <w:top w:val="nil"/>
              <w:left w:val="double" w:sz="6" w:space="0" w:color="auto"/>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1.925</w:t>
            </w:r>
          </w:p>
        </w:tc>
        <w:tc>
          <w:tcPr>
            <w:tcW w:w="431"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(25.35)</w:t>
            </w:r>
          </w:p>
        </w:tc>
        <w:tc>
          <w:tcPr>
            <w:tcW w:w="384" w:type="pct"/>
            <w:tcBorders>
              <w:top w:val="nil"/>
              <w:left w:val="nil"/>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0.872</w:t>
            </w:r>
          </w:p>
        </w:tc>
        <w:tc>
          <w:tcPr>
            <w:tcW w:w="467"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(33.50)</w:t>
            </w:r>
          </w:p>
        </w:tc>
      </w:tr>
      <w:tr w:rsidR="002A4E63" w:rsidRPr="00F13996" w:rsidTr="002462AF">
        <w:trPr>
          <w:trHeight w:val="20"/>
        </w:trPr>
        <w:tc>
          <w:tcPr>
            <w:tcW w:w="883" w:type="pct"/>
            <w:vMerge/>
            <w:tcBorders>
              <w:top w:val="nil"/>
              <w:left w:val="double" w:sz="6" w:space="0" w:color="000000"/>
              <w:bottom w:val="double" w:sz="6" w:space="0" w:color="000000"/>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top w:val="nil"/>
              <w:left w:val="nil"/>
              <w:bottom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I feel safe when riding public transportation.</w:t>
            </w:r>
          </w:p>
        </w:tc>
        <w:tc>
          <w:tcPr>
            <w:tcW w:w="432" w:type="pct"/>
            <w:tcBorders>
              <w:top w:val="nil"/>
              <w:left w:val="double" w:sz="6" w:space="0" w:color="auto"/>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2.112</w:t>
            </w:r>
          </w:p>
        </w:tc>
        <w:tc>
          <w:tcPr>
            <w:tcW w:w="431"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(29.45)</w:t>
            </w:r>
          </w:p>
        </w:tc>
        <w:tc>
          <w:tcPr>
            <w:tcW w:w="384" w:type="pct"/>
            <w:tcBorders>
              <w:top w:val="nil"/>
              <w:left w:val="nil"/>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0.820</w:t>
            </w:r>
          </w:p>
        </w:tc>
        <w:tc>
          <w:tcPr>
            <w:tcW w:w="467"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(21.67)</w:t>
            </w:r>
          </w:p>
        </w:tc>
      </w:tr>
      <w:tr w:rsidR="002A4E63" w:rsidRPr="00F13996" w:rsidTr="002462AF">
        <w:trPr>
          <w:trHeight w:val="20"/>
        </w:trPr>
        <w:tc>
          <w:tcPr>
            <w:tcW w:w="883" w:type="pct"/>
            <w:vMerge/>
            <w:tcBorders>
              <w:top w:val="nil"/>
              <w:left w:val="double" w:sz="6" w:space="0" w:color="000000"/>
              <w:bottom w:val="double" w:sz="6" w:space="0" w:color="000000"/>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top w:val="nil"/>
              <w:left w:val="nil"/>
              <w:bottom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Proximity to public transportation is important when choosing household location</w:t>
            </w:r>
          </w:p>
        </w:tc>
        <w:tc>
          <w:tcPr>
            <w:tcW w:w="432" w:type="pct"/>
            <w:tcBorders>
              <w:top w:val="nil"/>
              <w:left w:val="double" w:sz="6" w:space="0" w:color="auto"/>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1.171</w:t>
            </w:r>
          </w:p>
        </w:tc>
        <w:tc>
          <w:tcPr>
            <w:tcW w:w="431"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(21.14)</w:t>
            </w:r>
          </w:p>
        </w:tc>
        <w:tc>
          <w:tcPr>
            <w:tcW w:w="384" w:type="pct"/>
            <w:tcBorders>
              <w:top w:val="nil"/>
              <w:left w:val="nil"/>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0.630</w:t>
            </w:r>
          </w:p>
        </w:tc>
        <w:tc>
          <w:tcPr>
            <w:tcW w:w="467"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(22.87)</w:t>
            </w:r>
          </w:p>
        </w:tc>
      </w:tr>
      <w:tr w:rsidR="002A4E63" w:rsidRPr="00F13996" w:rsidTr="002462AF">
        <w:trPr>
          <w:trHeight w:val="20"/>
        </w:trPr>
        <w:tc>
          <w:tcPr>
            <w:tcW w:w="883" w:type="pct"/>
            <w:vMerge/>
            <w:tcBorders>
              <w:top w:val="nil"/>
              <w:left w:val="double" w:sz="6" w:space="0" w:color="000000"/>
              <w:bottom w:val="double" w:sz="6" w:space="0" w:color="000000"/>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top w:val="nil"/>
              <w:left w:val="nil"/>
              <w:bottom w:val="double" w:sz="6" w:space="0" w:color="auto"/>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I like the idea of doing something good for the environment when I ride transit</w:t>
            </w:r>
          </w:p>
        </w:tc>
        <w:tc>
          <w:tcPr>
            <w:tcW w:w="432" w:type="pct"/>
            <w:tcBorders>
              <w:top w:val="nil"/>
              <w:left w:val="double" w:sz="6" w:space="0" w:color="auto"/>
              <w:bottom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3.241</w:t>
            </w:r>
          </w:p>
        </w:tc>
        <w:tc>
          <w:tcPr>
            <w:tcW w:w="431" w:type="pct"/>
            <w:tcBorders>
              <w:top w:val="nil"/>
              <w:left w:val="nil"/>
              <w:bottom w:val="double" w:sz="6" w:space="0" w:color="auto"/>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(29.67)</w:t>
            </w:r>
          </w:p>
        </w:tc>
        <w:tc>
          <w:tcPr>
            <w:tcW w:w="384" w:type="pct"/>
            <w:tcBorders>
              <w:top w:val="nil"/>
              <w:left w:val="nil"/>
              <w:bottom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0.137</w:t>
            </w:r>
          </w:p>
        </w:tc>
        <w:tc>
          <w:tcPr>
            <w:tcW w:w="467" w:type="pct"/>
            <w:tcBorders>
              <w:top w:val="nil"/>
              <w:left w:val="nil"/>
              <w:bottom w:val="double" w:sz="6" w:space="0" w:color="auto"/>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(2.66)</w:t>
            </w:r>
          </w:p>
        </w:tc>
      </w:tr>
      <w:tr w:rsidR="002A4E63" w:rsidRPr="00F13996" w:rsidTr="002462AF">
        <w:trPr>
          <w:trHeight w:val="20"/>
        </w:trPr>
        <w:tc>
          <w:tcPr>
            <w:tcW w:w="883" w:type="pct"/>
            <w:vMerge w:val="restart"/>
            <w:tcBorders>
              <w:top w:val="nil"/>
              <w:left w:val="double" w:sz="6" w:space="0" w:color="000000"/>
              <w:bottom w:val="double" w:sz="6" w:space="0" w:color="000000"/>
              <w:right w:val="double" w:sz="6" w:space="0" w:color="auto"/>
            </w:tcBorders>
            <w:shd w:val="clear" w:color="auto" w:fill="auto"/>
            <w:vAlign w:val="center"/>
            <w:hideMark/>
          </w:tcPr>
          <w:p w:rsidR="002A4E63" w:rsidRPr="00F13996" w:rsidRDefault="002A4E63" w:rsidP="00F645B9">
            <w:pPr>
              <w:spacing w:after="0" w:line="240" w:lineRule="auto"/>
              <w:rPr>
                <w:rFonts w:eastAsia="Times New Roman" w:cs="Times New Roman"/>
                <w:color w:val="000000"/>
                <w:sz w:val="20"/>
                <w:szCs w:val="20"/>
              </w:rPr>
            </w:pPr>
            <w:r>
              <w:rPr>
                <w:rFonts w:eastAsia="Times New Roman" w:cs="Times New Roman"/>
                <w:color w:val="000000"/>
                <w:sz w:val="20"/>
                <w:szCs w:val="20"/>
              </w:rPr>
              <w:t>Pro-</w:t>
            </w:r>
            <w:r w:rsidRPr="00F13996">
              <w:rPr>
                <w:rFonts w:eastAsia="Times New Roman" w:cs="Times New Roman"/>
                <w:color w:val="000000"/>
                <w:sz w:val="20"/>
                <w:szCs w:val="20"/>
              </w:rPr>
              <w:t>Environment</w:t>
            </w:r>
          </w:p>
        </w:tc>
        <w:tc>
          <w:tcPr>
            <w:tcW w:w="2403" w:type="pct"/>
            <w:tcBorders>
              <w:top w:val="double" w:sz="6" w:space="0" w:color="auto"/>
              <w:left w:val="nil"/>
              <w:bottom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I like the idea of doing something good for the environment when I ride transit</w:t>
            </w:r>
          </w:p>
        </w:tc>
        <w:tc>
          <w:tcPr>
            <w:tcW w:w="432" w:type="pct"/>
            <w:tcBorders>
              <w:top w:val="nil"/>
              <w:left w:val="double" w:sz="6" w:space="0" w:color="auto"/>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3.241</w:t>
            </w:r>
          </w:p>
        </w:tc>
        <w:tc>
          <w:tcPr>
            <w:tcW w:w="431"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(29.67)</w:t>
            </w:r>
          </w:p>
        </w:tc>
        <w:tc>
          <w:tcPr>
            <w:tcW w:w="384" w:type="pct"/>
            <w:tcBorders>
              <w:top w:val="nil"/>
              <w:left w:val="nil"/>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1.075</w:t>
            </w:r>
          </w:p>
        </w:tc>
        <w:tc>
          <w:tcPr>
            <w:tcW w:w="467"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(15.41)</w:t>
            </w:r>
          </w:p>
        </w:tc>
      </w:tr>
      <w:tr w:rsidR="002A4E63" w:rsidRPr="00F13996" w:rsidTr="002462AF">
        <w:trPr>
          <w:trHeight w:val="20"/>
        </w:trPr>
        <w:tc>
          <w:tcPr>
            <w:tcW w:w="883" w:type="pct"/>
            <w:vMerge/>
            <w:tcBorders>
              <w:top w:val="nil"/>
              <w:left w:val="double" w:sz="6" w:space="0" w:color="000000"/>
              <w:bottom w:val="double" w:sz="6" w:space="0" w:color="000000"/>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top w:val="nil"/>
              <w:left w:val="nil"/>
              <w:bottom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If everyone works together, we could improve the environment and future for the earth</w:t>
            </w:r>
          </w:p>
        </w:tc>
        <w:tc>
          <w:tcPr>
            <w:tcW w:w="432" w:type="pct"/>
            <w:tcBorders>
              <w:top w:val="nil"/>
              <w:left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2.838</w:t>
            </w:r>
          </w:p>
        </w:tc>
        <w:tc>
          <w:tcPr>
            <w:tcW w:w="431" w:type="pct"/>
            <w:tcBorders>
              <w:top w:val="nil"/>
              <w:left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(29.20)</w:t>
            </w:r>
          </w:p>
        </w:tc>
        <w:tc>
          <w:tcPr>
            <w:tcW w:w="384" w:type="pct"/>
            <w:tcBorders>
              <w:top w:val="nil"/>
              <w:left w:val="nil"/>
              <w:bottom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0.610</w:t>
            </w:r>
          </w:p>
        </w:tc>
        <w:tc>
          <w:tcPr>
            <w:tcW w:w="467" w:type="pct"/>
            <w:tcBorders>
              <w:top w:val="nil"/>
              <w:left w:val="nil"/>
              <w:bottom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(31.14)</w:t>
            </w:r>
          </w:p>
        </w:tc>
      </w:tr>
      <w:tr w:rsidR="002A4E63" w:rsidRPr="00F13996" w:rsidTr="002462AF">
        <w:trPr>
          <w:trHeight w:val="20"/>
        </w:trPr>
        <w:tc>
          <w:tcPr>
            <w:tcW w:w="883" w:type="pct"/>
            <w:vMerge/>
            <w:tcBorders>
              <w:top w:val="nil"/>
              <w:left w:val="double" w:sz="6" w:space="0" w:color="000000"/>
              <w:bottom w:val="double" w:sz="6" w:space="0" w:color="000000"/>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top w:val="nil"/>
              <w:left w:val="nil"/>
              <w:bottom w:val="double" w:sz="6" w:space="0" w:color="000000"/>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I would switch to a different form of transportation if it would improve air quality</w:t>
            </w:r>
          </w:p>
        </w:tc>
        <w:tc>
          <w:tcPr>
            <w:tcW w:w="432" w:type="pct"/>
            <w:tcBorders>
              <w:top w:val="nil"/>
              <w:left w:val="double" w:sz="6" w:space="0" w:color="auto"/>
              <w:bottom w:val="double" w:sz="6" w:space="0" w:color="000000"/>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2.954</w:t>
            </w:r>
          </w:p>
        </w:tc>
        <w:tc>
          <w:tcPr>
            <w:tcW w:w="431" w:type="pct"/>
            <w:tcBorders>
              <w:top w:val="nil"/>
              <w:left w:val="nil"/>
              <w:bottom w:val="double" w:sz="6" w:space="0" w:color="000000"/>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(33.65)</w:t>
            </w:r>
          </w:p>
        </w:tc>
        <w:tc>
          <w:tcPr>
            <w:tcW w:w="384" w:type="pct"/>
            <w:tcBorders>
              <w:top w:val="nil"/>
              <w:left w:val="nil"/>
              <w:bottom w:val="double" w:sz="6" w:space="0" w:color="000000"/>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1.079</w:t>
            </w:r>
          </w:p>
        </w:tc>
        <w:tc>
          <w:tcPr>
            <w:tcW w:w="467" w:type="pct"/>
            <w:tcBorders>
              <w:top w:val="nil"/>
              <w:left w:val="nil"/>
              <w:bottom w:val="double" w:sz="6" w:space="0" w:color="000000"/>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(47.54)</w:t>
            </w:r>
          </w:p>
        </w:tc>
      </w:tr>
      <w:tr w:rsidR="00C24646" w:rsidRPr="00F13996" w:rsidTr="002462AF">
        <w:trPr>
          <w:trHeight w:val="20"/>
        </w:trPr>
        <w:tc>
          <w:tcPr>
            <w:tcW w:w="883" w:type="pct"/>
            <w:tcBorders>
              <w:top w:val="nil"/>
              <w:left w:val="double" w:sz="6" w:space="0" w:color="000000"/>
              <w:bottom w:val="double" w:sz="6" w:space="0" w:color="auto"/>
              <w:right w:val="double" w:sz="6" w:space="0" w:color="auto"/>
            </w:tcBorders>
            <w:shd w:val="clear" w:color="auto" w:fill="auto"/>
            <w:noWrap/>
            <w:vAlign w:val="center"/>
            <w:hideMark/>
          </w:tcPr>
          <w:p w:rsidR="00C24646" w:rsidRPr="00F13996" w:rsidRDefault="00C24646" w:rsidP="004B612F">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Tech-</w:t>
            </w:r>
            <w:r>
              <w:rPr>
                <w:rFonts w:eastAsia="Times New Roman" w:cs="Times New Roman"/>
                <w:color w:val="000000"/>
                <w:sz w:val="20"/>
                <w:szCs w:val="20"/>
              </w:rPr>
              <w:t>dependency</w:t>
            </w:r>
          </w:p>
        </w:tc>
        <w:tc>
          <w:tcPr>
            <w:tcW w:w="2403" w:type="pct"/>
            <w:tcBorders>
              <w:top w:val="double" w:sz="6" w:space="0" w:color="auto"/>
              <w:left w:val="nil"/>
              <w:bottom w:val="double" w:sz="6" w:space="0" w:color="auto"/>
              <w:right w:val="double" w:sz="6" w:space="0" w:color="auto"/>
            </w:tcBorders>
            <w:shd w:val="clear" w:color="auto" w:fill="auto"/>
            <w:vAlign w:val="center"/>
            <w:hideMark/>
          </w:tcPr>
          <w:p w:rsidR="00C24646" w:rsidRPr="00F13996" w:rsidRDefault="00C24646" w:rsidP="004B612F">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Importance of </w:t>
            </w:r>
            <w:r w:rsidRPr="00F13996">
              <w:rPr>
                <w:rFonts w:eastAsia="Times New Roman" w:cs="Times New Roman"/>
                <w:color w:val="000000"/>
                <w:sz w:val="20"/>
                <w:szCs w:val="20"/>
              </w:rPr>
              <w:t xml:space="preserve"> hav</w:t>
            </w:r>
            <w:r>
              <w:rPr>
                <w:rFonts w:eastAsia="Times New Roman" w:cs="Times New Roman"/>
                <w:color w:val="000000"/>
                <w:sz w:val="20"/>
                <w:szCs w:val="20"/>
              </w:rPr>
              <w:t xml:space="preserve">ing </w:t>
            </w:r>
            <w:r w:rsidRPr="00F13996">
              <w:rPr>
                <w:rFonts w:eastAsia="Times New Roman" w:cs="Times New Roman"/>
                <w:color w:val="000000"/>
                <w:sz w:val="20"/>
                <w:szCs w:val="20"/>
              </w:rPr>
              <w:t>access to ICT throughout the day</w:t>
            </w:r>
          </w:p>
        </w:tc>
        <w:tc>
          <w:tcPr>
            <w:tcW w:w="432" w:type="pct"/>
            <w:tcBorders>
              <w:top w:val="double" w:sz="6" w:space="0" w:color="auto"/>
              <w:left w:val="double" w:sz="6" w:space="0" w:color="auto"/>
              <w:bottom w:val="double" w:sz="6" w:space="0" w:color="auto"/>
              <w:right w:val="nil"/>
            </w:tcBorders>
            <w:shd w:val="clear" w:color="auto" w:fill="auto"/>
            <w:vAlign w:val="center"/>
          </w:tcPr>
          <w:p w:rsidR="00C24646" w:rsidRPr="00F13996" w:rsidRDefault="00C24646"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2.237</w:t>
            </w:r>
          </w:p>
        </w:tc>
        <w:tc>
          <w:tcPr>
            <w:tcW w:w="431" w:type="pct"/>
            <w:tcBorders>
              <w:top w:val="double" w:sz="6" w:space="0" w:color="auto"/>
              <w:left w:val="nil"/>
              <w:bottom w:val="double" w:sz="6" w:space="0" w:color="auto"/>
              <w:right w:val="double" w:sz="6" w:space="0" w:color="auto"/>
            </w:tcBorders>
            <w:shd w:val="clear" w:color="auto" w:fill="auto"/>
            <w:vAlign w:val="center"/>
          </w:tcPr>
          <w:p w:rsidR="00C24646" w:rsidRPr="00F13996" w:rsidRDefault="00C24646"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(23.53)</w:t>
            </w:r>
          </w:p>
        </w:tc>
        <w:tc>
          <w:tcPr>
            <w:tcW w:w="384" w:type="pct"/>
            <w:tcBorders>
              <w:top w:val="double" w:sz="6" w:space="0" w:color="auto"/>
              <w:left w:val="nil"/>
              <w:bottom w:val="double" w:sz="6" w:space="0" w:color="auto"/>
              <w:right w:val="nil"/>
            </w:tcBorders>
            <w:shd w:val="clear" w:color="auto" w:fill="auto"/>
            <w:vAlign w:val="center"/>
          </w:tcPr>
          <w:p w:rsidR="00C24646" w:rsidRPr="00F13996" w:rsidRDefault="00C24646"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0.042</w:t>
            </w:r>
          </w:p>
        </w:tc>
        <w:tc>
          <w:tcPr>
            <w:tcW w:w="467" w:type="pct"/>
            <w:tcBorders>
              <w:top w:val="double" w:sz="6" w:space="0" w:color="auto"/>
              <w:left w:val="nil"/>
              <w:bottom w:val="double" w:sz="6" w:space="0" w:color="auto"/>
              <w:right w:val="double" w:sz="6" w:space="0" w:color="auto"/>
            </w:tcBorders>
            <w:shd w:val="clear" w:color="auto" w:fill="auto"/>
            <w:vAlign w:val="center"/>
          </w:tcPr>
          <w:p w:rsidR="00C24646" w:rsidRPr="00F13996" w:rsidRDefault="00C24646"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(1.88)</w:t>
            </w:r>
          </w:p>
        </w:tc>
      </w:tr>
      <w:tr w:rsidR="002A4E63" w:rsidRPr="00F13996" w:rsidTr="002462AF">
        <w:trPr>
          <w:trHeight w:val="20"/>
        </w:trPr>
        <w:tc>
          <w:tcPr>
            <w:tcW w:w="883" w:type="pct"/>
            <w:tcBorders>
              <w:top w:val="double" w:sz="6" w:space="0" w:color="000000"/>
              <w:left w:val="double" w:sz="6" w:space="0" w:color="000000"/>
              <w:bottom w:val="double" w:sz="6" w:space="0" w:color="auto"/>
              <w:right w:val="nil"/>
            </w:tcBorders>
            <w:shd w:val="clear" w:color="auto" w:fill="auto"/>
            <w:noWrap/>
            <w:vAlign w:val="center"/>
            <w:hideMark/>
          </w:tcPr>
          <w:p w:rsidR="002A4E63" w:rsidRPr="00F13996" w:rsidRDefault="002A4E63" w:rsidP="00FA1DC4">
            <w:pPr>
              <w:spacing w:after="0" w:line="240" w:lineRule="auto"/>
              <w:rPr>
                <w:rFonts w:ascii="Calibri" w:eastAsia="Times New Roman" w:hAnsi="Calibri" w:cs="Times New Roman"/>
                <w:color w:val="000000"/>
                <w:sz w:val="22"/>
              </w:rPr>
            </w:pPr>
            <w:r w:rsidRPr="00F13996">
              <w:rPr>
                <w:rFonts w:ascii="Calibri" w:eastAsia="Times New Roman" w:hAnsi="Calibri" w:cs="Times New Roman"/>
                <w:color w:val="000000"/>
                <w:sz w:val="22"/>
              </w:rPr>
              <w:t> </w:t>
            </w:r>
          </w:p>
        </w:tc>
        <w:tc>
          <w:tcPr>
            <w:tcW w:w="2403" w:type="pct"/>
            <w:tcBorders>
              <w:top w:val="double" w:sz="6" w:space="0" w:color="auto"/>
              <w:left w:val="double" w:sz="6" w:space="0" w:color="auto"/>
              <w:bottom w:val="double" w:sz="6" w:space="0" w:color="auto"/>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b/>
                <w:bCs/>
                <w:color w:val="000000"/>
                <w:sz w:val="20"/>
                <w:szCs w:val="20"/>
              </w:rPr>
            </w:pPr>
            <w:r w:rsidRPr="00F13996">
              <w:rPr>
                <w:rFonts w:eastAsia="Times New Roman" w:cs="Times New Roman"/>
                <w:b/>
                <w:bCs/>
                <w:color w:val="000000"/>
                <w:sz w:val="20"/>
                <w:szCs w:val="20"/>
              </w:rPr>
              <w:t>Count</w:t>
            </w:r>
          </w:p>
        </w:tc>
        <w:tc>
          <w:tcPr>
            <w:tcW w:w="432" w:type="pct"/>
            <w:tcBorders>
              <w:top w:val="double" w:sz="6" w:space="0" w:color="000000"/>
              <w:left w:val="double" w:sz="6" w:space="0" w:color="auto"/>
              <w:bottom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p>
        </w:tc>
        <w:tc>
          <w:tcPr>
            <w:tcW w:w="431" w:type="pct"/>
            <w:tcBorders>
              <w:top w:val="double" w:sz="6" w:space="0" w:color="000000"/>
              <w:left w:val="nil"/>
              <w:bottom w:val="double" w:sz="6" w:space="0" w:color="auto"/>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p>
        </w:tc>
        <w:tc>
          <w:tcPr>
            <w:tcW w:w="384" w:type="pct"/>
            <w:tcBorders>
              <w:top w:val="double" w:sz="6" w:space="0" w:color="000000"/>
              <w:left w:val="nil"/>
              <w:bottom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p>
        </w:tc>
        <w:tc>
          <w:tcPr>
            <w:tcW w:w="467" w:type="pct"/>
            <w:tcBorders>
              <w:top w:val="double" w:sz="6" w:space="0" w:color="000000"/>
              <w:left w:val="nil"/>
              <w:bottom w:val="double" w:sz="6" w:space="0" w:color="auto"/>
              <w:right w:val="double" w:sz="6" w:space="0" w:color="000000"/>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p>
        </w:tc>
      </w:tr>
      <w:tr w:rsidR="002A4E63" w:rsidRPr="00F13996" w:rsidTr="002462AF">
        <w:trPr>
          <w:trHeight w:val="20"/>
        </w:trPr>
        <w:tc>
          <w:tcPr>
            <w:tcW w:w="883" w:type="pct"/>
            <w:vMerge w:val="restart"/>
            <w:tcBorders>
              <w:top w:val="nil"/>
              <w:left w:val="double" w:sz="6" w:space="0" w:color="000000"/>
              <w:bottom w:val="double" w:sz="6" w:space="0" w:color="000000"/>
              <w:right w:val="double" w:sz="6" w:space="0" w:color="auto"/>
            </w:tcBorders>
            <w:shd w:val="clear" w:color="auto" w:fill="auto"/>
            <w:noWrap/>
            <w:vAlign w:val="center"/>
            <w:hideMark/>
          </w:tcPr>
          <w:p w:rsidR="002A4E63" w:rsidRPr="00F13996" w:rsidRDefault="002A4E63" w:rsidP="00F645B9">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Tech-</w:t>
            </w:r>
            <w:r>
              <w:rPr>
                <w:rFonts w:eastAsia="Times New Roman" w:cs="Times New Roman"/>
                <w:color w:val="000000"/>
                <w:sz w:val="20"/>
                <w:szCs w:val="20"/>
              </w:rPr>
              <w:t>dependency</w:t>
            </w:r>
          </w:p>
        </w:tc>
        <w:tc>
          <w:tcPr>
            <w:tcW w:w="2403" w:type="pct"/>
            <w:tcBorders>
              <w:top w:val="double" w:sz="6" w:space="0" w:color="auto"/>
              <w:left w:val="nil"/>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Number of ICT devices that the individual owns</w:t>
            </w:r>
          </w:p>
        </w:tc>
        <w:tc>
          <w:tcPr>
            <w:tcW w:w="432" w:type="pct"/>
            <w:tcBorders>
              <w:top w:val="double" w:sz="6" w:space="0" w:color="auto"/>
              <w:left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1.461</w:t>
            </w:r>
          </w:p>
        </w:tc>
        <w:tc>
          <w:tcPr>
            <w:tcW w:w="431" w:type="pct"/>
            <w:tcBorders>
              <w:top w:val="double" w:sz="6" w:space="0" w:color="auto"/>
              <w:left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(37.94)</w:t>
            </w:r>
          </w:p>
        </w:tc>
        <w:tc>
          <w:tcPr>
            <w:tcW w:w="384" w:type="pct"/>
            <w:tcBorders>
              <w:top w:val="double" w:sz="6" w:space="0" w:color="auto"/>
              <w:left w:val="nil"/>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0.114</w:t>
            </w:r>
          </w:p>
        </w:tc>
        <w:tc>
          <w:tcPr>
            <w:tcW w:w="467" w:type="pct"/>
            <w:tcBorders>
              <w:top w:val="double" w:sz="6" w:space="0" w:color="auto"/>
              <w:left w:val="nil"/>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(2.47)</w:t>
            </w:r>
          </w:p>
        </w:tc>
      </w:tr>
      <w:tr w:rsidR="002A4E63" w:rsidRPr="00F13996" w:rsidTr="002462AF">
        <w:trPr>
          <w:trHeight w:val="20"/>
        </w:trPr>
        <w:tc>
          <w:tcPr>
            <w:tcW w:w="883" w:type="pct"/>
            <w:vMerge/>
            <w:tcBorders>
              <w:top w:val="nil"/>
              <w:left w:val="double" w:sz="6" w:space="0" w:color="000000"/>
              <w:bottom w:val="double" w:sz="6" w:space="0" w:color="auto"/>
              <w:right w:val="double" w:sz="6" w:space="0" w:color="auto"/>
            </w:tcBorders>
            <w:vAlign w:val="center"/>
            <w:hideMark/>
          </w:tcPr>
          <w:p w:rsidR="002A4E63" w:rsidRPr="00F13996" w:rsidRDefault="002A4E63" w:rsidP="00FA1DC4">
            <w:pPr>
              <w:spacing w:after="0" w:line="240" w:lineRule="auto"/>
              <w:rPr>
                <w:rFonts w:eastAsia="Times New Roman" w:cs="Times New Roman"/>
                <w:color w:val="000000"/>
                <w:sz w:val="20"/>
                <w:szCs w:val="20"/>
              </w:rPr>
            </w:pPr>
          </w:p>
        </w:tc>
        <w:tc>
          <w:tcPr>
            <w:tcW w:w="2403" w:type="pct"/>
            <w:tcBorders>
              <w:left w:val="nil"/>
              <w:bottom w:val="double" w:sz="6" w:space="0" w:color="auto"/>
              <w:right w:val="double" w:sz="6" w:space="0" w:color="auto"/>
            </w:tcBorders>
            <w:shd w:val="clear" w:color="auto" w:fill="auto"/>
            <w:vAlign w:val="center"/>
            <w:hideMark/>
          </w:tcPr>
          <w:p w:rsidR="002A4E63" w:rsidRPr="00F13996" w:rsidRDefault="002A4E63" w:rsidP="00FA1DC4">
            <w:pPr>
              <w:spacing w:after="0" w:line="240" w:lineRule="auto"/>
              <w:rPr>
                <w:rFonts w:eastAsia="Times New Roman" w:cs="Times New Roman"/>
                <w:color w:val="000000"/>
                <w:sz w:val="20"/>
                <w:szCs w:val="20"/>
              </w:rPr>
            </w:pPr>
            <w:r w:rsidRPr="00F13996">
              <w:rPr>
                <w:rFonts w:eastAsia="Times New Roman" w:cs="Times New Roman"/>
                <w:color w:val="000000"/>
                <w:sz w:val="20"/>
                <w:szCs w:val="20"/>
              </w:rPr>
              <w:t xml:space="preserve">Number of activities conducted using ICT devices </w:t>
            </w:r>
          </w:p>
        </w:tc>
        <w:tc>
          <w:tcPr>
            <w:tcW w:w="432" w:type="pct"/>
            <w:tcBorders>
              <w:left w:val="double" w:sz="6" w:space="0" w:color="auto"/>
              <w:bottom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0.927</w:t>
            </w:r>
          </w:p>
        </w:tc>
        <w:tc>
          <w:tcPr>
            <w:tcW w:w="431" w:type="pct"/>
            <w:tcBorders>
              <w:bottom w:val="double" w:sz="6" w:space="0" w:color="auto"/>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(28.38)</w:t>
            </w:r>
          </w:p>
        </w:tc>
        <w:tc>
          <w:tcPr>
            <w:tcW w:w="384" w:type="pct"/>
            <w:tcBorders>
              <w:left w:val="nil"/>
              <w:bottom w:val="double" w:sz="6" w:space="0" w:color="auto"/>
              <w:right w:val="nil"/>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0.094</w:t>
            </w:r>
          </w:p>
        </w:tc>
        <w:tc>
          <w:tcPr>
            <w:tcW w:w="467" w:type="pct"/>
            <w:tcBorders>
              <w:left w:val="nil"/>
              <w:bottom w:val="double" w:sz="6" w:space="0" w:color="auto"/>
              <w:right w:val="double" w:sz="6" w:space="0" w:color="auto"/>
            </w:tcBorders>
            <w:shd w:val="clear" w:color="auto" w:fill="auto"/>
            <w:vAlign w:val="center"/>
          </w:tcPr>
          <w:p w:rsidR="002A4E63" w:rsidRPr="00F13996" w:rsidRDefault="002A4E63" w:rsidP="008E1DF7">
            <w:pPr>
              <w:spacing w:after="0" w:line="240" w:lineRule="auto"/>
              <w:jc w:val="right"/>
              <w:rPr>
                <w:rFonts w:eastAsia="Times New Roman" w:cs="Times New Roman"/>
                <w:color w:val="000000"/>
                <w:sz w:val="20"/>
                <w:szCs w:val="20"/>
              </w:rPr>
            </w:pPr>
            <w:r>
              <w:rPr>
                <w:rFonts w:eastAsia="Times New Roman" w:cs="Times New Roman"/>
                <w:color w:val="000000"/>
                <w:sz w:val="20"/>
                <w:szCs w:val="20"/>
              </w:rPr>
              <w:t>(2.34)</w:t>
            </w:r>
          </w:p>
        </w:tc>
      </w:tr>
    </w:tbl>
    <w:p w:rsidR="00D915C8" w:rsidRDefault="00D915C8" w:rsidP="00FA1DC4">
      <w:pPr>
        <w:spacing w:after="0" w:line="240" w:lineRule="auto"/>
        <w:sectPr w:rsidR="00D915C8" w:rsidSect="00B271F1">
          <w:headerReference w:type="default" r:id="rId21"/>
          <w:headerReference w:type="first" r:id="rId22"/>
          <w:pgSz w:w="12240" w:h="15840" w:code="1"/>
          <w:pgMar w:top="1440" w:right="1440" w:bottom="1440" w:left="1440" w:header="720" w:footer="720" w:gutter="0"/>
          <w:pgNumType w:start="1"/>
          <w:cols w:space="720"/>
          <w:docGrid w:linePitch="360"/>
        </w:sectPr>
      </w:pPr>
    </w:p>
    <w:p w:rsidR="00E55368" w:rsidRDefault="00E55368" w:rsidP="00671933">
      <w:pPr>
        <w:spacing w:after="0" w:line="240" w:lineRule="auto"/>
      </w:pPr>
      <w:r w:rsidRPr="00DA4AAC">
        <w:rPr>
          <w:b/>
          <w:sz w:val="23"/>
          <w:szCs w:val="23"/>
        </w:rPr>
        <w:lastRenderedPageBreak/>
        <w:t xml:space="preserve">TABLE </w:t>
      </w:r>
      <w:r>
        <w:rPr>
          <w:b/>
          <w:sz w:val="23"/>
          <w:szCs w:val="23"/>
        </w:rPr>
        <w:t>3</w:t>
      </w:r>
      <w:r w:rsidR="00E60D3C">
        <w:rPr>
          <w:b/>
          <w:sz w:val="23"/>
          <w:szCs w:val="23"/>
        </w:rPr>
        <w:t xml:space="preserve">  </w:t>
      </w:r>
      <w:r w:rsidR="000A4341">
        <w:rPr>
          <w:b/>
          <w:sz w:val="23"/>
          <w:szCs w:val="23"/>
        </w:rPr>
        <w:t>Pseudo-e</w:t>
      </w:r>
      <w:r>
        <w:rPr>
          <w:b/>
          <w:sz w:val="23"/>
          <w:szCs w:val="23"/>
        </w:rPr>
        <w:t>lasticiti</w:t>
      </w:r>
      <w:r w:rsidR="000A4341">
        <w:rPr>
          <w:b/>
          <w:sz w:val="23"/>
          <w:szCs w:val="23"/>
        </w:rPr>
        <w:t xml:space="preserve">es for </w:t>
      </w:r>
      <w:r w:rsidR="00D915C8">
        <w:rPr>
          <w:b/>
          <w:sz w:val="23"/>
          <w:szCs w:val="23"/>
        </w:rPr>
        <w:t>A</w:t>
      </w:r>
      <w:r w:rsidR="00D915C8" w:rsidRPr="00D915C8">
        <w:rPr>
          <w:b/>
          <w:sz w:val="23"/>
          <w:szCs w:val="23"/>
        </w:rPr>
        <w:t xml:space="preserve">ge, </w:t>
      </w:r>
      <w:r w:rsidR="00D915C8">
        <w:rPr>
          <w:b/>
          <w:sz w:val="23"/>
          <w:szCs w:val="23"/>
        </w:rPr>
        <w:t>G</w:t>
      </w:r>
      <w:r w:rsidR="00D915C8" w:rsidRPr="00D915C8">
        <w:rPr>
          <w:b/>
          <w:sz w:val="23"/>
          <w:szCs w:val="23"/>
        </w:rPr>
        <w:t xml:space="preserve">eographic and </w:t>
      </w:r>
      <w:r w:rsidR="00D915C8">
        <w:rPr>
          <w:b/>
          <w:sz w:val="23"/>
          <w:szCs w:val="23"/>
        </w:rPr>
        <w:t>P</w:t>
      </w:r>
      <w:r w:rsidR="00D915C8" w:rsidRPr="00D915C8">
        <w:rPr>
          <w:b/>
          <w:sz w:val="23"/>
          <w:szCs w:val="23"/>
        </w:rPr>
        <w:t xml:space="preserve">arenting </w:t>
      </w:r>
      <w:r w:rsidR="00D915C8">
        <w:rPr>
          <w:b/>
          <w:sz w:val="23"/>
          <w:szCs w:val="23"/>
        </w:rPr>
        <w:t>E</w:t>
      </w:r>
      <w:r w:rsidR="00D915C8" w:rsidRPr="00D915C8">
        <w:rPr>
          <w:b/>
          <w:sz w:val="23"/>
          <w:szCs w:val="23"/>
        </w:rPr>
        <w:t xml:space="preserve">ffects on </w:t>
      </w:r>
      <w:r w:rsidR="000A4341">
        <w:rPr>
          <w:b/>
          <w:sz w:val="23"/>
          <w:szCs w:val="23"/>
        </w:rPr>
        <w:t xml:space="preserve">Driver’s License Holding, </w:t>
      </w:r>
      <w:r>
        <w:rPr>
          <w:b/>
          <w:sz w:val="23"/>
          <w:szCs w:val="23"/>
        </w:rPr>
        <w:t xml:space="preserve">Personal Vehicle Ownership </w:t>
      </w:r>
      <w:r w:rsidR="000A4341">
        <w:rPr>
          <w:b/>
          <w:sz w:val="23"/>
          <w:szCs w:val="23"/>
        </w:rPr>
        <w:t>and Commute Mode Choice</w:t>
      </w:r>
    </w:p>
    <w:tbl>
      <w:tblPr>
        <w:tblStyle w:val="TableGrid"/>
        <w:tblpPr w:leftFromText="180" w:rightFromText="180" w:vertAnchor="page" w:horzAnchor="margin" w:tblpY="2524"/>
        <w:tblW w:w="13132"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4608"/>
        <w:gridCol w:w="810"/>
        <w:gridCol w:w="869"/>
        <w:gridCol w:w="841"/>
        <w:gridCol w:w="900"/>
        <w:gridCol w:w="819"/>
        <w:gridCol w:w="819"/>
        <w:gridCol w:w="864"/>
        <w:gridCol w:w="859"/>
        <w:gridCol w:w="800"/>
        <w:gridCol w:w="92"/>
        <w:gridCol w:w="851"/>
      </w:tblGrid>
      <w:tr w:rsidR="00C022F7" w:rsidRPr="007E60F3" w:rsidTr="00671933">
        <w:tc>
          <w:tcPr>
            <w:tcW w:w="4608" w:type="dxa"/>
            <w:tcBorders>
              <w:top w:val="double" w:sz="4" w:space="0" w:color="auto"/>
              <w:bottom w:val="nil"/>
              <w:right w:val="double" w:sz="4" w:space="0" w:color="auto"/>
            </w:tcBorders>
            <w:shd w:val="clear" w:color="auto" w:fill="D9D9D9" w:themeFill="background1" w:themeFillShade="D9"/>
          </w:tcPr>
          <w:p w:rsidR="00C022F7" w:rsidRPr="007E60F3" w:rsidRDefault="00C022F7" w:rsidP="00671933">
            <w:pPr>
              <w:rPr>
                <w:sz w:val="20"/>
                <w:szCs w:val="20"/>
              </w:rPr>
            </w:pPr>
          </w:p>
        </w:tc>
        <w:tc>
          <w:tcPr>
            <w:tcW w:w="1679" w:type="dxa"/>
            <w:gridSpan w:val="2"/>
            <w:tcBorders>
              <w:top w:val="double" w:sz="4" w:space="0" w:color="auto"/>
              <w:left w:val="double" w:sz="4" w:space="0" w:color="auto"/>
              <w:bottom w:val="nil"/>
              <w:right w:val="double" w:sz="4" w:space="0" w:color="auto"/>
            </w:tcBorders>
            <w:shd w:val="clear" w:color="auto" w:fill="D9D9D9" w:themeFill="background1" w:themeFillShade="D9"/>
            <w:vAlign w:val="center"/>
          </w:tcPr>
          <w:p w:rsidR="00C022F7" w:rsidRPr="007E60F3" w:rsidRDefault="00C022F7" w:rsidP="00671933">
            <w:pPr>
              <w:jc w:val="center"/>
              <w:rPr>
                <w:sz w:val="20"/>
                <w:szCs w:val="20"/>
              </w:rPr>
            </w:pPr>
            <w:r w:rsidRPr="007E60F3">
              <w:rPr>
                <w:rFonts w:eastAsia="Times New Roman" w:cs="Times New Roman"/>
                <w:b/>
                <w:bCs/>
                <w:color w:val="000000"/>
                <w:sz w:val="20"/>
                <w:szCs w:val="20"/>
              </w:rPr>
              <w:t>Driver’s License</w:t>
            </w:r>
          </w:p>
        </w:tc>
        <w:tc>
          <w:tcPr>
            <w:tcW w:w="1741" w:type="dxa"/>
            <w:gridSpan w:val="2"/>
            <w:tcBorders>
              <w:top w:val="double" w:sz="4" w:space="0" w:color="auto"/>
              <w:left w:val="double" w:sz="4" w:space="0" w:color="auto"/>
              <w:bottom w:val="nil"/>
              <w:right w:val="double" w:sz="4" w:space="0" w:color="auto"/>
            </w:tcBorders>
            <w:shd w:val="clear" w:color="auto" w:fill="D9D9D9" w:themeFill="background1" w:themeFillShade="D9"/>
            <w:vAlign w:val="center"/>
          </w:tcPr>
          <w:p w:rsidR="00C022F7" w:rsidRPr="007E60F3" w:rsidRDefault="00C022F7" w:rsidP="00671933">
            <w:pPr>
              <w:jc w:val="center"/>
              <w:rPr>
                <w:sz w:val="20"/>
                <w:szCs w:val="20"/>
              </w:rPr>
            </w:pPr>
            <w:r w:rsidRPr="007E60F3">
              <w:rPr>
                <w:rFonts w:eastAsia="Times New Roman" w:cs="Times New Roman"/>
                <w:b/>
                <w:bCs/>
                <w:color w:val="000000"/>
                <w:sz w:val="20"/>
                <w:szCs w:val="20"/>
              </w:rPr>
              <w:t>Personal Vehicle</w:t>
            </w:r>
          </w:p>
        </w:tc>
        <w:tc>
          <w:tcPr>
            <w:tcW w:w="1638" w:type="dxa"/>
            <w:gridSpan w:val="2"/>
            <w:tcBorders>
              <w:top w:val="double" w:sz="4" w:space="0" w:color="auto"/>
              <w:left w:val="double" w:sz="4" w:space="0" w:color="auto"/>
              <w:bottom w:val="nil"/>
              <w:right w:val="double" w:sz="4" w:space="0" w:color="auto"/>
            </w:tcBorders>
            <w:shd w:val="clear" w:color="auto" w:fill="D9D9D9" w:themeFill="background1" w:themeFillShade="D9"/>
            <w:vAlign w:val="center"/>
          </w:tcPr>
          <w:p w:rsidR="00C022F7" w:rsidRPr="007E60F3" w:rsidRDefault="00C022F7" w:rsidP="00671933">
            <w:pPr>
              <w:jc w:val="center"/>
              <w:rPr>
                <w:sz w:val="20"/>
                <w:szCs w:val="20"/>
              </w:rPr>
            </w:pPr>
            <w:r w:rsidRPr="007E60F3">
              <w:rPr>
                <w:rFonts w:eastAsia="Times New Roman" w:cs="Times New Roman"/>
                <w:b/>
                <w:bCs/>
                <w:color w:val="000000"/>
                <w:sz w:val="20"/>
                <w:szCs w:val="20"/>
              </w:rPr>
              <w:t>Car Commute</w:t>
            </w:r>
          </w:p>
        </w:tc>
        <w:tc>
          <w:tcPr>
            <w:tcW w:w="1723" w:type="dxa"/>
            <w:gridSpan w:val="2"/>
            <w:tcBorders>
              <w:top w:val="double" w:sz="4" w:space="0" w:color="auto"/>
              <w:left w:val="double" w:sz="4" w:space="0" w:color="auto"/>
              <w:bottom w:val="nil"/>
              <w:right w:val="double" w:sz="4" w:space="0" w:color="auto"/>
            </w:tcBorders>
            <w:shd w:val="clear" w:color="auto" w:fill="D9D9D9" w:themeFill="background1" w:themeFillShade="D9"/>
            <w:vAlign w:val="center"/>
          </w:tcPr>
          <w:p w:rsidR="00C022F7" w:rsidRPr="007E60F3" w:rsidRDefault="00C022F7" w:rsidP="00671933">
            <w:pPr>
              <w:jc w:val="center"/>
              <w:rPr>
                <w:sz w:val="20"/>
                <w:szCs w:val="20"/>
              </w:rPr>
            </w:pPr>
            <w:r w:rsidRPr="007E60F3">
              <w:rPr>
                <w:rFonts w:eastAsia="Times New Roman" w:cs="Times New Roman"/>
                <w:b/>
                <w:color w:val="000000"/>
                <w:sz w:val="20"/>
                <w:szCs w:val="20"/>
              </w:rPr>
              <w:t>Transit Commute</w:t>
            </w:r>
          </w:p>
        </w:tc>
        <w:tc>
          <w:tcPr>
            <w:tcW w:w="1743" w:type="dxa"/>
            <w:gridSpan w:val="3"/>
            <w:tcBorders>
              <w:top w:val="double" w:sz="4" w:space="0" w:color="auto"/>
              <w:left w:val="double" w:sz="4" w:space="0" w:color="auto"/>
              <w:bottom w:val="nil"/>
            </w:tcBorders>
            <w:shd w:val="clear" w:color="auto" w:fill="D9D9D9" w:themeFill="background1" w:themeFillShade="D9"/>
            <w:vAlign w:val="center"/>
          </w:tcPr>
          <w:p w:rsidR="00C022F7" w:rsidRPr="007E60F3" w:rsidRDefault="00C022F7" w:rsidP="00671933">
            <w:pPr>
              <w:jc w:val="center"/>
              <w:rPr>
                <w:sz w:val="20"/>
                <w:szCs w:val="20"/>
              </w:rPr>
            </w:pPr>
            <w:r w:rsidRPr="007E60F3">
              <w:rPr>
                <w:rFonts w:eastAsia="Times New Roman" w:cs="Times New Roman"/>
                <w:b/>
                <w:color w:val="000000"/>
                <w:sz w:val="20"/>
                <w:szCs w:val="20"/>
              </w:rPr>
              <w:t>Non-motorized Commute</w:t>
            </w:r>
          </w:p>
        </w:tc>
      </w:tr>
      <w:tr w:rsidR="001E5CAA" w:rsidRPr="007E60F3" w:rsidTr="00671933">
        <w:trPr>
          <w:trHeight w:val="288"/>
        </w:trPr>
        <w:tc>
          <w:tcPr>
            <w:tcW w:w="4608" w:type="dxa"/>
            <w:tcBorders>
              <w:top w:val="nil"/>
              <w:bottom w:val="double" w:sz="4" w:space="0" w:color="auto"/>
              <w:right w:val="double" w:sz="4" w:space="0" w:color="auto"/>
            </w:tcBorders>
            <w:shd w:val="clear" w:color="auto" w:fill="D9D9D9" w:themeFill="background1" w:themeFillShade="D9"/>
          </w:tcPr>
          <w:p w:rsidR="00C022F7" w:rsidRPr="007E60F3" w:rsidRDefault="00C022F7" w:rsidP="00671933">
            <w:pPr>
              <w:rPr>
                <w:sz w:val="20"/>
                <w:szCs w:val="20"/>
              </w:rPr>
            </w:pPr>
          </w:p>
        </w:tc>
        <w:tc>
          <w:tcPr>
            <w:tcW w:w="810" w:type="dxa"/>
            <w:tcBorders>
              <w:top w:val="nil"/>
              <w:left w:val="double" w:sz="4" w:space="0" w:color="auto"/>
              <w:bottom w:val="double" w:sz="4" w:space="0" w:color="auto"/>
              <w:right w:val="nil"/>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proofErr w:type="spellStart"/>
            <w:r w:rsidRPr="007E60F3">
              <w:rPr>
                <w:rFonts w:eastAsia="Times New Roman" w:cs="Times New Roman"/>
                <w:b/>
                <w:bCs/>
                <w:color w:val="000000"/>
                <w:sz w:val="20"/>
                <w:szCs w:val="20"/>
              </w:rPr>
              <w:t>Coef</w:t>
            </w:r>
            <w:proofErr w:type="spellEnd"/>
            <w:r w:rsidRPr="007E60F3">
              <w:rPr>
                <w:rFonts w:eastAsia="Times New Roman" w:cs="Times New Roman"/>
                <w:b/>
                <w:bCs/>
                <w:color w:val="000000"/>
                <w:sz w:val="20"/>
                <w:szCs w:val="20"/>
              </w:rPr>
              <w:t>.</w:t>
            </w:r>
          </w:p>
        </w:tc>
        <w:tc>
          <w:tcPr>
            <w:tcW w:w="869" w:type="dxa"/>
            <w:tcBorders>
              <w:top w:val="nil"/>
              <w:left w:val="nil"/>
              <w:bottom w:val="double" w:sz="4" w:space="0" w:color="auto"/>
              <w:right w:val="double" w:sz="4" w:space="0" w:color="auto"/>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r w:rsidRPr="007E60F3">
              <w:rPr>
                <w:rFonts w:eastAsia="Times New Roman" w:cs="Times New Roman"/>
                <w:b/>
                <w:bCs/>
                <w:color w:val="000000"/>
                <w:sz w:val="20"/>
                <w:szCs w:val="20"/>
              </w:rPr>
              <w:t>(t-stat)</w:t>
            </w:r>
          </w:p>
        </w:tc>
        <w:tc>
          <w:tcPr>
            <w:tcW w:w="841" w:type="dxa"/>
            <w:tcBorders>
              <w:top w:val="nil"/>
              <w:left w:val="double" w:sz="4" w:space="0" w:color="auto"/>
              <w:bottom w:val="double" w:sz="4" w:space="0" w:color="auto"/>
              <w:right w:val="nil"/>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proofErr w:type="spellStart"/>
            <w:r w:rsidRPr="007E60F3">
              <w:rPr>
                <w:rFonts w:eastAsia="Times New Roman" w:cs="Times New Roman"/>
                <w:b/>
                <w:bCs/>
                <w:color w:val="000000"/>
                <w:sz w:val="20"/>
                <w:szCs w:val="20"/>
              </w:rPr>
              <w:t>Coef</w:t>
            </w:r>
            <w:proofErr w:type="spellEnd"/>
            <w:r w:rsidRPr="007E60F3">
              <w:rPr>
                <w:rFonts w:eastAsia="Times New Roman" w:cs="Times New Roman"/>
                <w:b/>
                <w:bCs/>
                <w:color w:val="000000"/>
                <w:sz w:val="20"/>
                <w:szCs w:val="20"/>
              </w:rPr>
              <w:t>.</w:t>
            </w:r>
          </w:p>
        </w:tc>
        <w:tc>
          <w:tcPr>
            <w:tcW w:w="900" w:type="dxa"/>
            <w:tcBorders>
              <w:top w:val="nil"/>
              <w:left w:val="nil"/>
              <w:bottom w:val="double" w:sz="4" w:space="0" w:color="auto"/>
              <w:right w:val="double" w:sz="4" w:space="0" w:color="auto"/>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r w:rsidRPr="007E60F3">
              <w:rPr>
                <w:rFonts w:eastAsia="Times New Roman" w:cs="Times New Roman"/>
                <w:b/>
                <w:bCs/>
                <w:color w:val="000000"/>
                <w:sz w:val="20"/>
                <w:szCs w:val="20"/>
              </w:rPr>
              <w:t>(t-stat)</w:t>
            </w:r>
          </w:p>
        </w:tc>
        <w:tc>
          <w:tcPr>
            <w:tcW w:w="819" w:type="dxa"/>
            <w:tcBorders>
              <w:top w:val="nil"/>
              <w:left w:val="double" w:sz="4" w:space="0" w:color="auto"/>
              <w:bottom w:val="double" w:sz="4" w:space="0" w:color="auto"/>
              <w:right w:val="nil"/>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proofErr w:type="spellStart"/>
            <w:r w:rsidRPr="007E60F3">
              <w:rPr>
                <w:rFonts w:eastAsia="Times New Roman" w:cs="Times New Roman"/>
                <w:b/>
                <w:bCs/>
                <w:color w:val="000000"/>
                <w:sz w:val="20"/>
                <w:szCs w:val="20"/>
              </w:rPr>
              <w:t>Coef</w:t>
            </w:r>
            <w:proofErr w:type="spellEnd"/>
            <w:r w:rsidRPr="007E60F3">
              <w:rPr>
                <w:rFonts w:eastAsia="Times New Roman" w:cs="Times New Roman"/>
                <w:b/>
                <w:bCs/>
                <w:color w:val="000000"/>
                <w:sz w:val="20"/>
                <w:szCs w:val="20"/>
              </w:rPr>
              <w:t>.</w:t>
            </w:r>
          </w:p>
        </w:tc>
        <w:tc>
          <w:tcPr>
            <w:tcW w:w="819" w:type="dxa"/>
            <w:tcBorders>
              <w:top w:val="nil"/>
              <w:left w:val="nil"/>
              <w:bottom w:val="double" w:sz="4" w:space="0" w:color="auto"/>
              <w:right w:val="double" w:sz="4" w:space="0" w:color="auto"/>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r w:rsidRPr="007E60F3">
              <w:rPr>
                <w:rFonts w:eastAsia="Times New Roman" w:cs="Times New Roman"/>
                <w:b/>
                <w:bCs/>
                <w:color w:val="000000"/>
                <w:sz w:val="20"/>
                <w:szCs w:val="20"/>
              </w:rPr>
              <w:t>(t-stat)</w:t>
            </w:r>
          </w:p>
        </w:tc>
        <w:tc>
          <w:tcPr>
            <w:tcW w:w="864" w:type="dxa"/>
            <w:tcBorders>
              <w:top w:val="nil"/>
              <w:left w:val="double" w:sz="4" w:space="0" w:color="auto"/>
              <w:bottom w:val="double" w:sz="4" w:space="0" w:color="auto"/>
              <w:right w:val="nil"/>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proofErr w:type="spellStart"/>
            <w:r w:rsidRPr="007E60F3">
              <w:rPr>
                <w:rFonts w:eastAsia="Times New Roman" w:cs="Times New Roman"/>
                <w:b/>
                <w:bCs/>
                <w:color w:val="000000"/>
                <w:sz w:val="20"/>
                <w:szCs w:val="20"/>
              </w:rPr>
              <w:t>Coef</w:t>
            </w:r>
            <w:proofErr w:type="spellEnd"/>
            <w:r w:rsidRPr="007E60F3">
              <w:rPr>
                <w:rFonts w:eastAsia="Times New Roman" w:cs="Times New Roman"/>
                <w:b/>
                <w:bCs/>
                <w:color w:val="000000"/>
                <w:sz w:val="20"/>
                <w:szCs w:val="20"/>
              </w:rPr>
              <w:t>.</w:t>
            </w:r>
          </w:p>
        </w:tc>
        <w:tc>
          <w:tcPr>
            <w:tcW w:w="859" w:type="dxa"/>
            <w:tcBorders>
              <w:top w:val="nil"/>
              <w:left w:val="nil"/>
              <w:bottom w:val="double" w:sz="4" w:space="0" w:color="auto"/>
              <w:right w:val="double" w:sz="4" w:space="0" w:color="auto"/>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r w:rsidRPr="007E60F3">
              <w:rPr>
                <w:rFonts w:eastAsia="Times New Roman" w:cs="Times New Roman"/>
                <w:b/>
                <w:bCs/>
                <w:color w:val="000000"/>
                <w:sz w:val="20"/>
                <w:szCs w:val="20"/>
              </w:rPr>
              <w:t>(t-stat)</w:t>
            </w:r>
          </w:p>
        </w:tc>
        <w:tc>
          <w:tcPr>
            <w:tcW w:w="800" w:type="dxa"/>
            <w:tcBorders>
              <w:top w:val="nil"/>
              <w:left w:val="double" w:sz="4" w:space="0" w:color="auto"/>
              <w:bottom w:val="double" w:sz="4" w:space="0" w:color="auto"/>
              <w:right w:val="nil"/>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proofErr w:type="spellStart"/>
            <w:r w:rsidRPr="007E60F3">
              <w:rPr>
                <w:rFonts w:eastAsia="Times New Roman" w:cs="Times New Roman"/>
                <w:b/>
                <w:bCs/>
                <w:color w:val="000000"/>
                <w:sz w:val="20"/>
                <w:szCs w:val="20"/>
              </w:rPr>
              <w:t>Coef</w:t>
            </w:r>
            <w:proofErr w:type="spellEnd"/>
            <w:r w:rsidRPr="007E60F3">
              <w:rPr>
                <w:rFonts w:eastAsia="Times New Roman" w:cs="Times New Roman"/>
                <w:b/>
                <w:bCs/>
                <w:color w:val="000000"/>
                <w:sz w:val="20"/>
                <w:szCs w:val="20"/>
              </w:rPr>
              <w:t>.</w:t>
            </w:r>
          </w:p>
        </w:tc>
        <w:tc>
          <w:tcPr>
            <w:tcW w:w="943" w:type="dxa"/>
            <w:gridSpan w:val="2"/>
            <w:tcBorders>
              <w:top w:val="nil"/>
              <w:left w:val="nil"/>
              <w:bottom w:val="double" w:sz="4" w:space="0" w:color="auto"/>
            </w:tcBorders>
            <w:shd w:val="clear" w:color="auto" w:fill="D9D9D9" w:themeFill="background1" w:themeFillShade="D9"/>
            <w:vAlign w:val="center"/>
          </w:tcPr>
          <w:p w:rsidR="00C022F7" w:rsidRPr="007E60F3" w:rsidRDefault="00C022F7" w:rsidP="00671933">
            <w:pPr>
              <w:jc w:val="center"/>
              <w:rPr>
                <w:rFonts w:eastAsia="Times New Roman" w:cs="Times New Roman"/>
                <w:b/>
                <w:bCs/>
                <w:color w:val="000000"/>
                <w:sz w:val="20"/>
                <w:szCs w:val="20"/>
              </w:rPr>
            </w:pPr>
            <w:r w:rsidRPr="007E60F3">
              <w:rPr>
                <w:rFonts w:eastAsia="Times New Roman" w:cs="Times New Roman"/>
                <w:b/>
                <w:bCs/>
                <w:color w:val="000000"/>
                <w:sz w:val="20"/>
                <w:szCs w:val="20"/>
              </w:rPr>
              <w:t>(t-stat)</w:t>
            </w:r>
          </w:p>
        </w:tc>
      </w:tr>
      <w:tr w:rsidR="00C022F7" w:rsidRPr="007E60F3" w:rsidTr="00671933">
        <w:tc>
          <w:tcPr>
            <w:tcW w:w="13132" w:type="dxa"/>
            <w:gridSpan w:val="12"/>
            <w:tcBorders>
              <w:top w:val="double" w:sz="4" w:space="0" w:color="auto"/>
              <w:bottom w:val="double" w:sz="4" w:space="0" w:color="auto"/>
            </w:tcBorders>
            <w:shd w:val="clear" w:color="auto" w:fill="D9D9D9" w:themeFill="background1" w:themeFillShade="D9"/>
            <w:vAlign w:val="center"/>
          </w:tcPr>
          <w:p w:rsidR="00C022F7" w:rsidRPr="0013002B" w:rsidRDefault="00C022F7" w:rsidP="00671933">
            <w:pPr>
              <w:rPr>
                <w:b/>
                <w:color w:val="000000"/>
                <w:sz w:val="20"/>
                <w:szCs w:val="20"/>
              </w:rPr>
            </w:pPr>
            <w:r w:rsidRPr="0013002B">
              <w:rPr>
                <w:rFonts w:eastAsia="Times New Roman" w:cs="Times New Roman"/>
                <w:b/>
                <w:i/>
                <w:color w:val="000000"/>
                <w:sz w:val="20"/>
                <w:szCs w:val="20"/>
              </w:rPr>
              <w:t>Age Effects</w:t>
            </w:r>
          </w:p>
        </w:tc>
      </w:tr>
      <w:tr w:rsidR="00C022F7" w:rsidRPr="007E60F3" w:rsidTr="002462AF">
        <w:trPr>
          <w:trHeight w:val="288"/>
        </w:trPr>
        <w:tc>
          <w:tcPr>
            <w:tcW w:w="4608" w:type="dxa"/>
            <w:tcBorders>
              <w:top w:val="double" w:sz="4" w:space="0" w:color="auto"/>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sidRPr="007E60F3">
              <w:rPr>
                <w:rFonts w:eastAsia="Times New Roman" w:cs="Times New Roman"/>
                <w:color w:val="000000"/>
                <w:sz w:val="20"/>
                <w:szCs w:val="20"/>
              </w:rPr>
              <w:t>Age 18 to 20 (base: ≥ 25 years)</w:t>
            </w:r>
          </w:p>
        </w:tc>
        <w:tc>
          <w:tcPr>
            <w:tcW w:w="810" w:type="dxa"/>
            <w:tcBorders>
              <w:top w:val="double" w:sz="4" w:space="0" w:color="auto"/>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-7.3%</w:t>
            </w:r>
          </w:p>
        </w:tc>
        <w:tc>
          <w:tcPr>
            <w:tcW w:w="869" w:type="dxa"/>
            <w:tcBorders>
              <w:top w:val="double" w:sz="4" w:space="0" w:color="auto"/>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(-3.68)</w:t>
            </w:r>
          </w:p>
        </w:tc>
        <w:tc>
          <w:tcPr>
            <w:tcW w:w="841" w:type="dxa"/>
            <w:tcBorders>
              <w:top w:val="double" w:sz="4" w:space="0" w:color="auto"/>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-14.1%</w:t>
            </w:r>
          </w:p>
        </w:tc>
        <w:tc>
          <w:tcPr>
            <w:tcW w:w="900" w:type="dxa"/>
            <w:tcBorders>
              <w:top w:val="double" w:sz="4" w:space="0" w:color="auto"/>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(-8.09)</w:t>
            </w:r>
          </w:p>
        </w:tc>
        <w:tc>
          <w:tcPr>
            <w:tcW w:w="819" w:type="dxa"/>
            <w:tcBorders>
              <w:top w:val="double" w:sz="4" w:space="0" w:color="auto"/>
              <w:left w:val="double" w:sz="4" w:space="0" w:color="auto"/>
              <w:bottom w:val="nil"/>
              <w:right w:val="nil"/>
            </w:tcBorders>
            <w:vAlign w:val="center"/>
          </w:tcPr>
          <w:p w:rsidR="00C022F7" w:rsidRPr="007E60F3" w:rsidRDefault="00C022F7" w:rsidP="00671933">
            <w:pPr>
              <w:jc w:val="right"/>
              <w:rPr>
                <w:rFonts w:eastAsia="Times New Roman" w:cs="Times New Roman"/>
                <w:bCs/>
                <w:color w:val="000000"/>
                <w:sz w:val="20"/>
                <w:szCs w:val="20"/>
              </w:rPr>
            </w:pPr>
            <w:r w:rsidRPr="007E60F3">
              <w:rPr>
                <w:color w:val="000000"/>
                <w:sz w:val="20"/>
                <w:szCs w:val="20"/>
              </w:rPr>
              <w:t>-6.8%</w:t>
            </w:r>
          </w:p>
        </w:tc>
        <w:tc>
          <w:tcPr>
            <w:tcW w:w="819" w:type="dxa"/>
            <w:tcBorders>
              <w:top w:val="double" w:sz="4" w:space="0" w:color="auto"/>
              <w:left w:val="nil"/>
              <w:bottom w:val="nil"/>
              <w:right w:val="double" w:sz="4" w:space="0" w:color="auto"/>
            </w:tcBorders>
            <w:vAlign w:val="center"/>
          </w:tcPr>
          <w:p w:rsidR="00C022F7" w:rsidRPr="007E60F3" w:rsidRDefault="00C022F7" w:rsidP="00671933">
            <w:pPr>
              <w:jc w:val="right"/>
              <w:rPr>
                <w:rFonts w:eastAsia="Times New Roman" w:cs="Times New Roman"/>
                <w:bCs/>
                <w:color w:val="000000"/>
                <w:sz w:val="20"/>
                <w:szCs w:val="20"/>
              </w:rPr>
            </w:pPr>
            <w:r w:rsidRPr="007E60F3">
              <w:rPr>
                <w:color w:val="000000"/>
                <w:sz w:val="20"/>
                <w:szCs w:val="20"/>
              </w:rPr>
              <w:t>(-3.57)</w:t>
            </w:r>
          </w:p>
        </w:tc>
        <w:tc>
          <w:tcPr>
            <w:tcW w:w="864" w:type="dxa"/>
            <w:tcBorders>
              <w:top w:val="double" w:sz="4" w:space="0" w:color="auto"/>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-10.2%</w:t>
            </w:r>
          </w:p>
        </w:tc>
        <w:tc>
          <w:tcPr>
            <w:tcW w:w="859" w:type="dxa"/>
            <w:tcBorders>
              <w:top w:val="double" w:sz="4" w:space="0" w:color="auto"/>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(-2.33)</w:t>
            </w:r>
          </w:p>
        </w:tc>
        <w:tc>
          <w:tcPr>
            <w:tcW w:w="892" w:type="dxa"/>
            <w:gridSpan w:val="2"/>
            <w:tcBorders>
              <w:top w:val="double" w:sz="4" w:space="0" w:color="auto"/>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90.8%</w:t>
            </w:r>
          </w:p>
        </w:tc>
        <w:tc>
          <w:tcPr>
            <w:tcW w:w="851" w:type="dxa"/>
            <w:tcBorders>
              <w:top w:val="double" w:sz="4" w:space="0" w:color="auto"/>
              <w:left w:val="nil"/>
              <w:bottom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(6.64)</w:t>
            </w:r>
          </w:p>
        </w:tc>
      </w:tr>
      <w:tr w:rsidR="00C022F7" w:rsidRPr="007E60F3" w:rsidTr="002462AF">
        <w:trPr>
          <w:trHeight w:val="288"/>
        </w:trPr>
        <w:tc>
          <w:tcPr>
            <w:tcW w:w="4608" w:type="dxa"/>
            <w:tcBorders>
              <w:top w:val="nil"/>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sidRPr="007E60F3">
              <w:rPr>
                <w:rFonts w:eastAsia="Times New Roman" w:cs="Times New Roman"/>
                <w:color w:val="000000"/>
                <w:sz w:val="20"/>
                <w:szCs w:val="20"/>
              </w:rPr>
              <w:t>Age 21 to 24 (base: ≥ 25 years)</w:t>
            </w:r>
          </w:p>
        </w:tc>
        <w:tc>
          <w:tcPr>
            <w:tcW w:w="810"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-0.5%</w:t>
            </w:r>
          </w:p>
        </w:tc>
        <w:tc>
          <w:tcPr>
            <w:tcW w:w="869"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(-1.21)</w:t>
            </w:r>
          </w:p>
        </w:tc>
        <w:tc>
          <w:tcPr>
            <w:tcW w:w="841"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-6.1%</w:t>
            </w:r>
          </w:p>
        </w:tc>
        <w:tc>
          <w:tcPr>
            <w:tcW w:w="900"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(-7.42)</w:t>
            </w:r>
          </w:p>
        </w:tc>
        <w:tc>
          <w:tcPr>
            <w:tcW w:w="819"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bCs/>
                <w:color w:val="000000"/>
                <w:sz w:val="20"/>
                <w:szCs w:val="20"/>
              </w:rPr>
            </w:pPr>
            <w:r w:rsidRPr="007E60F3">
              <w:rPr>
                <w:color w:val="000000"/>
                <w:sz w:val="20"/>
                <w:szCs w:val="20"/>
              </w:rPr>
              <w:t>-4.1%</w:t>
            </w:r>
          </w:p>
        </w:tc>
        <w:tc>
          <w:tcPr>
            <w:tcW w:w="819"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bCs/>
                <w:color w:val="000000"/>
                <w:sz w:val="20"/>
                <w:szCs w:val="20"/>
              </w:rPr>
            </w:pPr>
            <w:r w:rsidRPr="007E60F3">
              <w:rPr>
                <w:color w:val="000000"/>
                <w:sz w:val="20"/>
                <w:szCs w:val="20"/>
              </w:rPr>
              <w:t>(-3.91)</w:t>
            </w:r>
          </w:p>
        </w:tc>
        <w:tc>
          <w:tcPr>
            <w:tcW w:w="864"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-3.5%</w:t>
            </w:r>
          </w:p>
        </w:tc>
        <w:tc>
          <w:tcPr>
            <w:tcW w:w="859"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(-2.08)</w:t>
            </w:r>
          </w:p>
        </w:tc>
        <w:tc>
          <w:tcPr>
            <w:tcW w:w="892" w:type="dxa"/>
            <w:gridSpan w:val="2"/>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49.5%</w:t>
            </w:r>
          </w:p>
        </w:tc>
        <w:tc>
          <w:tcPr>
            <w:tcW w:w="851" w:type="dxa"/>
            <w:tcBorders>
              <w:top w:val="nil"/>
              <w:left w:val="nil"/>
              <w:bottom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(5.53)</w:t>
            </w:r>
          </w:p>
        </w:tc>
      </w:tr>
      <w:tr w:rsidR="00854C8E" w:rsidRPr="007E60F3" w:rsidTr="002462AF">
        <w:trPr>
          <w:trHeight w:val="288"/>
        </w:trPr>
        <w:tc>
          <w:tcPr>
            <w:tcW w:w="4608" w:type="dxa"/>
            <w:tcBorders>
              <w:top w:val="nil"/>
              <w:bottom w:val="double" w:sz="4" w:space="0" w:color="auto"/>
              <w:right w:val="double" w:sz="4" w:space="0" w:color="auto"/>
            </w:tcBorders>
            <w:vAlign w:val="center"/>
          </w:tcPr>
          <w:p w:rsidR="00854C8E" w:rsidRPr="007E60F3" w:rsidRDefault="00854C8E" w:rsidP="00671933">
            <w:pPr>
              <w:rPr>
                <w:rFonts w:eastAsia="Times New Roman" w:cs="Times New Roman"/>
                <w:color w:val="000000"/>
                <w:sz w:val="20"/>
                <w:szCs w:val="20"/>
              </w:rPr>
            </w:pPr>
            <w:r w:rsidRPr="007E60F3">
              <w:rPr>
                <w:rFonts w:eastAsia="Times New Roman" w:cs="Times New Roman"/>
                <w:color w:val="000000"/>
                <w:sz w:val="20"/>
                <w:szCs w:val="20"/>
              </w:rPr>
              <w:t>Young parent (base: old parent)</w:t>
            </w:r>
          </w:p>
        </w:tc>
        <w:tc>
          <w:tcPr>
            <w:tcW w:w="810" w:type="dxa"/>
            <w:tcBorders>
              <w:top w:val="nil"/>
              <w:left w:val="double" w:sz="4" w:space="0" w:color="auto"/>
              <w:bottom w:val="double" w:sz="4" w:space="0" w:color="auto"/>
              <w:right w:val="nil"/>
            </w:tcBorders>
            <w:vAlign w:val="center"/>
          </w:tcPr>
          <w:p w:rsidR="00854C8E" w:rsidRPr="007E60F3" w:rsidRDefault="00854C8E" w:rsidP="00671933">
            <w:pPr>
              <w:jc w:val="right"/>
              <w:rPr>
                <w:rFonts w:eastAsia="Times New Roman" w:cs="Times New Roman"/>
                <w:color w:val="000000"/>
                <w:sz w:val="20"/>
                <w:szCs w:val="20"/>
              </w:rPr>
            </w:pPr>
            <w:r w:rsidRPr="007E60F3">
              <w:rPr>
                <w:rFonts w:eastAsia="Times New Roman" w:cs="Times New Roman"/>
                <w:color w:val="000000"/>
                <w:sz w:val="20"/>
                <w:szCs w:val="20"/>
              </w:rPr>
              <w:t>-</w:t>
            </w:r>
            <w:r>
              <w:rPr>
                <w:rFonts w:eastAsia="Times New Roman" w:cs="Times New Roman"/>
                <w:color w:val="000000"/>
                <w:sz w:val="20"/>
                <w:szCs w:val="20"/>
              </w:rPr>
              <w:t>5.9</w:t>
            </w:r>
            <w:r w:rsidRPr="007E60F3">
              <w:rPr>
                <w:rFonts w:eastAsia="Times New Roman" w:cs="Times New Roman"/>
                <w:color w:val="000000"/>
                <w:sz w:val="20"/>
                <w:szCs w:val="20"/>
              </w:rPr>
              <w:t>%</w:t>
            </w:r>
          </w:p>
        </w:tc>
        <w:tc>
          <w:tcPr>
            <w:tcW w:w="869" w:type="dxa"/>
            <w:tcBorders>
              <w:top w:val="nil"/>
              <w:left w:val="nil"/>
              <w:bottom w:val="double" w:sz="4" w:space="0" w:color="auto"/>
              <w:right w:val="double" w:sz="4" w:space="0" w:color="auto"/>
            </w:tcBorders>
            <w:vAlign w:val="center"/>
          </w:tcPr>
          <w:p w:rsidR="00854C8E" w:rsidRPr="007E60F3" w:rsidRDefault="00854C8E" w:rsidP="00671933">
            <w:pPr>
              <w:jc w:val="right"/>
              <w:rPr>
                <w:rFonts w:eastAsia="Times New Roman" w:cs="Times New Roman"/>
                <w:color w:val="000000"/>
                <w:sz w:val="20"/>
                <w:szCs w:val="20"/>
              </w:rPr>
            </w:pPr>
            <w:r w:rsidRPr="007E60F3">
              <w:rPr>
                <w:rFonts w:eastAsia="Times New Roman" w:cs="Times New Roman"/>
                <w:color w:val="000000"/>
                <w:sz w:val="20"/>
                <w:szCs w:val="20"/>
              </w:rPr>
              <w:t>(-</w:t>
            </w:r>
            <w:r>
              <w:rPr>
                <w:rFonts w:eastAsia="Times New Roman" w:cs="Times New Roman"/>
                <w:color w:val="000000"/>
                <w:sz w:val="20"/>
                <w:szCs w:val="20"/>
              </w:rPr>
              <w:t>3.71</w:t>
            </w:r>
            <w:r w:rsidRPr="007E60F3">
              <w:rPr>
                <w:rFonts w:eastAsia="Times New Roman" w:cs="Times New Roman"/>
                <w:color w:val="000000"/>
                <w:sz w:val="20"/>
                <w:szCs w:val="20"/>
              </w:rPr>
              <w:t>)</w:t>
            </w:r>
          </w:p>
        </w:tc>
        <w:tc>
          <w:tcPr>
            <w:tcW w:w="841" w:type="dxa"/>
            <w:tcBorders>
              <w:top w:val="nil"/>
              <w:left w:val="double" w:sz="4" w:space="0" w:color="auto"/>
              <w:bottom w:val="double" w:sz="4" w:space="0" w:color="auto"/>
              <w:right w:val="nil"/>
            </w:tcBorders>
            <w:vAlign w:val="center"/>
          </w:tcPr>
          <w:p w:rsidR="00854C8E" w:rsidRPr="007E60F3" w:rsidRDefault="00854C8E" w:rsidP="00671933">
            <w:pPr>
              <w:jc w:val="right"/>
              <w:rPr>
                <w:rFonts w:eastAsia="Times New Roman" w:cs="Times New Roman"/>
                <w:color w:val="000000"/>
                <w:sz w:val="20"/>
                <w:szCs w:val="20"/>
              </w:rPr>
            </w:pPr>
            <w:r w:rsidRPr="007E60F3">
              <w:rPr>
                <w:rFonts w:eastAsia="Times New Roman" w:cs="Times New Roman"/>
                <w:color w:val="000000"/>
                <w:sz w:val="20"/>
                <w:szCs w:val="20"/>
              </w:rPr>
              <w:t>-</w:t>
            </w:r>
            <w:r>
              <w:rPr>
                <w:rFonts w:eastAsia="Times New Roman" w:cs="Times New Roman"/>
                <w:color w:val="000000"/>
                <w:sz w:val="20"/>
                <w:szCs w:val="20"/>
              </w:rPr>
              <w:t>21.9</w:t>
            </w:r>
            <w:r w:rsidRPr="007E60F3">
              <w:rPr>
                <w:rFonts w:eastAsia="Times New Roman" w:cs="Times New Roman"/>
                <w:color w:val="000000"/>
                <w:sz w:val="20"/>
                <w:szCs w:val="20"/>
              </w:rPr>
              <w:t>%</w:t>
            </w:r>
          </w:p>
        </w:tc>
        <w:tc>
          <w:tcPr>
            <w:tcW w:w="900" w:type="dxa"/>
            <w:tcBorders>
              <w:top w:val="nil"/>
              <w:left w:val="nil"/>
              <w:bottom w:val="double" w:sz="4" w:space="0" w:color="auto"/>
              <w:right w:val="double" w:sz="4" w:space="0" w:color="auto"/>
            </w:tcBorders>
            <w:vAlign w:val="center"/>
          </w:tcPr>
          <w:p w:rsidR="00854C8E" w:rsidRPr="007E60F3" w:rsidRDefault="00854C8E" w:rsidP="00671933">
            <w:pPr>
              <w:jc w:val="right"/>
              <w:rPr>
                <w:rFonts w:eastAsia="Times New Roman" w:cs="Times New Roman"/>
                <w:color w:val="000000"/>
                <w:sz w:val="20"/>
                <w:szCs w:val="20"/>
              </w:rPr>
            </w:pPr>
            <w:r w:rsidRPr="007E60F3">
              <w:rPr>
                <w:rFonts w:eastAsia="Times New Roman" w:cs="Times New Roman"/>
                <w:color w:val="000000"/>
                <w:sz w:val="20"/>
                <w:szCs w:val="20"/>
              </w:rPr>
              <w:t>(-</w:t>
            </w:r>
            <w:r>
              <w:rPr>
                <w:rFonts w:eastAsia="Times New Roman" w:cs="Times New Roman"/>
                <w:color w:val="000000"/>
                <w:sz w:val="20"/>
                <w:szCs w:val="20"/>
              </w:rPr>
              <w:t>6.64</w:t>
            </w:r>
            <w:r w:rsidRPr="007E60F3">
              <w:rPr>
                <w:rFonts w:eastAsia="Times New Roman" w:cs="Times New Roman"/>
                <w:color w:val="000000"/>
                <w:sz w:val="20"/>
                <w:szCs w:val="20"/>
              </w:rPr>
              <w:t>)</w:t>
            </w:r>
          </w:p>
        </w:tc>
        <w:tc>
          <w:tcPr>
            <w:tcW w:w="819" w:type="dxa"/>
            <w:tcBorders>
              <w:top w:val="nil"/>
              <w:left w:val="double" w:sz="4" w:space="0" w:color="auto"/>
              <w:bottom w:val="double" w:sz="4" w:space="0" w:color="auto"/>
              <w:right w:val="nil"/>
            </w:tcBorders>
            <w:vAlign w:val="center"/>
          </w:tcPr>
          <w:p w:rsidR="00854C8E" w:rsidRPr="007E60F3" w:rsidRDefault="00854C8E" w:rsidP="00671933">
            <w:pPr>
              <w:jc w:val="right"/>
              <w:rPr>
                <w:color w:val="000000"/>
                <w:sz w:val="20"/>
                <w:szCs w:val="20"/>
              </w:rPr>
            </w:pPr>
            <w:r>
              <w:rPr>
                <w:color w:val="000000"/>
                <w:sz w:val="20"/>
                <w:szCs w:val="20"/>
              </w:rPr>
              <w:t>-15.0</w:t>
            </w:r>
            <w:r w:rsidRPr="007E60F3">
              <w:rPr>
                <w:color w:val="000000"/>
                <w:sz w:val="20"/>
                <w:szCs w:val="20"/>
              </w:rPr>
              <w:t>%</w:t>
            </w:r>
          </w:p>
        </w:tc>
        <w:tc>
          <w:tcPr>
            <w:tcW w:w="819" w:type="dxa"/>
            <w:tcBorders>
              <w:top w:val="nil"/>
              <w:left w:val="nil"/>
              <w:bottom w:val="double" w:sz="4" w:space="0" w:color="auto"/>
              <w:right w:val="double" w:sz="4" w:space="0" w:color="auto"/>
            </w:tcBorders>
            <w:vAlign w:val="center"/>
          </w:tcPr>
          <w:p w:rsidR="00854C8E" w:rsidRPr="007E60F3" w:rsidRDefault="00854C8E" w:rsidP="00671933">
            <w:pPr>
              <w:jc w:val="right"/>
              <w:rPr>
                <w:color w:val="000000"/>
                <w:sz w:val="20"/>
                <w:szCs w:val="20"/>
              </w:rPr>
            </w:pPr>
            <w:r w:rsidRPr="007E60F3">
              <w:rPr>
                <w:color w:val="000000"/>
                <w:sz w:val="20"/>
                <w:szCs w:val="20"/>
              </w:rPr>
              <w:t>(</w:t>
            </w:r>
            <w:r>
              <w:rPr>
                <w:color w:val="000000"/>
                <w:sz w:val="20"/>
                <w:szCs w:val="20"/>
              </w:rPr>
              <w:t>-4.55</w:t>
            </w:r>
            <w:r w:rsidRPr="007E60F3">
              <w:rPr>
                <w:color w:val="000000"/>
                <w:sz w:val="20"/>
                <w:szCs w:val="20"/>
              </w:rPr>
              <w:t>)</w:t>
            </w:r>
          </w:p>
        </w:tc>
        <w:tc>
          <w:tcPr>
            <w:tcW w:w="864" w:type="dxa"/>
            <w:tcBorders>
              <w:top w:val="nil"/>
              <w:left w:val="double" w:sz="4" w:space="0" w:color="auto"/>
              <w:bottom w:val="double" w:sz="4" w:space="0" w:color="auto"/>
              <w:right w:val="nil"/>
            </w:tcBorders>
            <w:vAlign w:val="center"/>
          </w:tcPr>
          <w:p w:rsidR="00854C8E" w:rsidRPr="007E60F3" w:rsidRDefault="00854C8E" w:rsidP="00671933">
            <w:pPr>
              <w:jc w:val="right"/>
              <w:rPr>
                <w:color w:val="000000"/>
                <w:sz w:val="20"/>
                <w:szCs w:val="20"/>
              </w:rPr>
            </w:pPr>
            <w:r w:rsidRPr="007E60F3">
              <w:rPr>
                <w:color w:val="000000"/>
                <w:sz w:val="20"/>
                <w:szCs w:val="20"/>
              </w:rPr>
              <w:t>-</w:t>
            </w:r>
            <w:r>
              <w:rPr>
                <w:color w:val="000000"/>
                <w:sz w:val="20"/>
                <w:szCs w:val="20"/>
              </w:rPr>
              <w:t>5.8</w:t>
            </w:r>
            <w:r w:rsidRPr="007E60F3">
              <w:rPr>
                <w:color w:val="000000"/>
                <w:sz w:val="20"/>
                <w:szCs w:val="20"/>
              </w:rPr>
              <w:t>%</w:t>
            </w:r>
          </w:p>
        </w:tc>
        <w:tc>
          <w:tcPr>
            <w:tcW w:w="859" w:type="dxa"/>
            <w:tcBorders>
              <w:top w:val="nil"/>
              <w:left w:val="nil"/>
              <w:bottom w:val="double" w:sz="4" w:space="0" w:color="auto"/>
              <w:right w:val="double" w:sz="4" w:space="0" w:color="auto"/>
            </w:tcBorders>
            <w:vAlign w:val="center"/>
          </w:tcPr>
          <w:p w:rsidR="00854C8E" w:rsidRPr="007E60F3" w:rsidRDefault="00854C8E" w:rsidP="00671933">
            <w:pPr>
              <w:jc w:val="right"/>
              <w:rPr>
                <w:color w:val="000000"/>
                <w:sz w:val="20"/>
                <w:szCs w:val="20"/>
              </w:rPr>
            </w:pPr>
            <w:r w:rsidRPr="007E60F3">
              <w:rPr>
                <w:color w:val="000000"/>
                <w:sz w:val="20"/>
                <w:szCs w:val="20"/>
              </w:rPr>
              <w:t>(-</w:t>
            </w:r>
            <w:r>
              <w:rPr>
                <w:color w:val="000000"/>
                <w:sz w:val="20"/>
                <w:szCs w:val="20"/>
              </w:rPr>
              <w:t>0.93</w:t>
            </w:r>
            <w:r w:rsidRPr="007E60F3">
              <w:rPr>
                <w:color w:val="000000"/>
                <w:sz w:val="20"/>
                <w:szCs w:val="20"/>
              </w:rPr>
              <w:t>)</w:t>
            </w:r>
          </w:p>
        </w:tc>
        <w:tc>
          <w:tcPr>
            <w:tcW w:w="892" w:type="dxa"/>
            <w:gridSpan w:val="2"/>
            <w:tcBorders>
              <w:top w:val="nil"/>
              <w:left w:val="double" w:sz="4" w:space="0" w:color="auto"/>
              <w:bottom w:val="double" w:sz="4" w:space="0" w:color="auto"/>
              <w:right w:val="nil"/>
            </w:tcBorders>
            <w:vAlign w:val="center"/>
          </w:tcPr>
          <w:p w:rsidR="00854C8E" w:rsidRPr="007E60F3" w:rsidRDefault="00854C8E" w:rsidP="00671933">
            <w:pPr>
              <w:jc w:val="right"/>
              <w:rPr>
                <w:color w:val="000000"/>
                <w:sz w:val="20"/>
                <w:szCs w:val="20"/>
              </w:rPr>
            </w:pPr>
            <w:r>
              <w:rPr>
                <w:color w:val="000000"/>
                <w:sz w:val="20"/>
                <w:szCs w:val="20"/>
              </w:rPr>
              <w:t>169.6</w:t>
            </w:r>
            <w:r w:rsidRPr="007E60F3">
              <w:rPr>
                <w:color w:val="000000"/>
                <w:sz w:val="20"/>
                <w:szCs w:val="20"/>
              </w:rPr>
              <w:t>%</w:t>
            </w:r>
          </w:p>
        </w:tc>
        <w:tc>
          <w:tcPr>
            <w:tcW w:w="851" w:type="dxa"/>
            <w:tcBorders>
              <w:top w:val="nil"/>
              <w:left w:val="nil"/>
              <w:bottom w:val="double" w:sz="4" w:space="0" w:color="auto"/>
            </w:tcBorders>
            <w:vAlign w:val="center"/>
          </w:tcPr>
          <w:p w:rsidR="00854C8E" w:rsidRPr="007E60F3" w:rsidRDefault="00854C8E" w:rsidP="00671933">
            <w:pPr>
              <w:jc w:val="right"/>
              <w:rPr>
                <w:color w:val="000000"/>
                <w:sz w:val="20"/>
                <w:szCs w:val="20"/>
              </w:rPr>
            </w:pPr>
            <w:r w:rsidRPr="007E60F3">
              <w:rPr>
                <w:color w:val="000000"/>
                <w:sz w:val="20"/>
                <w:szCs w:val="20"/>
              </w:rPr>
              <w:t>(</w:t>
            </w:r>
            <w:r>
              <w:rPr>
                <w:color w:val="000000"/>
                <w:sz w:val="20"/>
                <w:szCs w:val="20"/>
              </w:rPr>
              <w:t>7.11</w:t>
            </w:r>
            <w:r w:rsidRPr="007E60F3">
              <w:rPr>
                <w:color w:val="000000"/>
                <w:sz w:val="20"/>
                <w:szCs w:val="20"/>
              </w:rPr>
              <w:t>)</w:t>
            </w:r>
          </w:p>
        </w:tc>
      </w:tr>
      <w:tr w:rsidR="00C022F7" w:rsidRPr="007E60F3" w:rsidTr="00671933">
        <w:tc>
          <w:tcPr>
            <w:tcW w:w="13132" w:type="dxa"/>
            <w:gridSpan w:val="12"/>
            <w:tcBorders>
              <w:top w:val="double" w:sz="4" w:space="0" w:color="auto"/>
              <w:bottom w:val="double" w:sz="4" w:space="0" w:color="auto"/>
            </w:tcBorders>
            <w:shd w:val="clear" w:color="auto" w:fill="D9D9D9" w:themeFill="background1" w:themeFillShade="D9"/>
            <w:vAlign w:val="center"/>
          </w:tcPr>
          <w:p w:rsidR="00C022F7" w:rsidRPr="0013002B" w:rsidRDefault="00C022F7" w:rsidP="00671933">
            <w:pPr>
              <w:rPr>
                <w:rFonts w:eastAsia="Times New Roman" w:cs="Times New Roman"/>
                <w:b/>
                <w:color w:val="000000"/>
                <w:sz w:val="20"/>
                <w:szCs w:val="20"/>
              </w:rPr>
            </w:pPr>
            <w:r w:rsidRPr="0013002B">
              <w:rPr>
                <w:rFonts w:eastAsia="Times New Roman" w:cs="Times New Roman"/>
                <w:b/>
                <w:i/>
                <w:color w:val="000000"/>
                <w:sz w:val="20"/>
                <w:szCs w:val="20"/>
              </w:rPr>
              <w:t>Geographic and Land Use Effects</w:t>
            </w:r>
          </w:p>
        </w:tc>
      </w:tr>
      <w:tr w:rsidR="00C022F7" w:rsidRPr="007E60F3" w:rsidTr="002462AF">
        <w:trPr>
          <w:trHeight w:val="288"/>
        </w:trPr>
        <w:tc>
          <w:tcPr>
            <w:tcW w:w="4608" w:type="dxa"/>
            <w:tcBorders>
              <w:top w:val="double" w:sz="4" w:space="0" w:color="auto"/>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Pr>
                <w:rFonts w:eastAsia="Times New Roman" w:cs="Times New Roman"/>
                <w:color w:val="000000"/>
                <w:sz w:val="20"/>
                <w:szCs w:val="20"/>
              </w:rPr>
              <w:t>Urban (base: non-urban area)</w:t>
            </w:r>
          </w:p>
        </w:tc>
        <w:tc>
          <w:tcPr>
            <w:tcW w:w="810" w:type="dxa"/>
            <w:tcBorders>
              <w:top w:val="double" w:sz="4" w:space="0" w:color="auto"/>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color w:val="000000"/>
                <w:sz w:val="20"/>
                <w:szCs w:val="20"/>
              </w:rPr>
              <w:t>-1.9%</w:t>
            </w:r>
          </w:p>
        </w:tc>
        <w:tc>
          <w:tcPr>
            <w:tcW w:w="869" w:type="dxa"/>
            <w:tcBorders>
              <w:top w:val="double" w:sz="4" w:space="0" w:color="auto"/>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color w:val="000000"/>
                <w:sz w:val="20"/>
                <w:szCs w:val="20"/>
              </w:rPr>
              <w:t>(-0.86)</w:t>
            </w:r>
          </w:p>
        </w:tc>
        <w:tc>
          <w:tcPr>
            <w:tcW w:w="841" w:type="dxa"/>
            <w:tcBorders>
              <w:top w:val="double" w:sz="4" w:space="0" w:color="auto"/>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color w:val="000000"/>
                <w:sz w:val="20"/>
                <w:szCs w:val="20"/>
              </w:rPr>
              <w:t>-4.2%</w:t>
            </w:r>
          </w:p>
        </w:tc>
        <w:tc>
          <w:tcPr>
            <w:tcW w:w="900" w:type="dxa"/>
            <w:tcBorders>
              <w:top w:val="double" w:sz="4" w:space="0" w:color="auto"/>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color w:val="000000"/>
                <w:sz w:val="20"/>
                <w:szCs w:val="20"/>
              </w:rPr>
              <w:t>(-2.32)</w:t>
            </w:r>
          </w:p>
        </w:tc>
        <w:tc>
          <w:tcPr>
            <w:tcW w:w="819" w:type="dxa"/>
            <w:tcBorders>
              <w:top w:val="double" w:sz="4" w:space="0" w:color="auto"/>
              <w:left w:val="double" w:sz="4" w:space="0" w:color="auto"/>
              <w:bottom w:val="nil"/>
              <w:right w:val="nil"/>
            </w:tcBorders>
            <w:vAlign w:val="center"/>
          </w:tcPr>
          <w:p w:rsidR="00C022F7" w:rsidRPr="007E60F3" w:rsidRDefault="00C022F7" w:rsidP="00671933">
            <w:pPr>
              <w:jc w:val="right"/>
              <w:rPr>
                <w:color w:val="000000"/>
                <w:sz w:val="20"/>
                <w:szCs w:val="20"/>
              </w:rPr>
            </w:pPr>
            <w:r>
              <w:rPr>
                <w:color w:val="000000"/>
                <w:sz w:val="20"/>
                <w:szCs w:val="20"/>
              </w:rPr>
              <w:t>-5.4%</w:t>
            </w:r>
          </w:p>
        </w:tc>
        <w:tc>
          <w:tcPr>
            <w:tcW w:w="819" w:type="dxa"/>
            <w:tcBorders>
              <w:top w:val="double" w:sz="4" w:space="0" w:color="auto"/>
              <w:left w:val="nil"/>
              <w:bottom w:val="nil"/>
              <w:right w:val="double" w:sz="4" w:space="0" w:color="auto"/>
            </w:tcBorders>
            <w:vAlign w:val="center"/>
          </w:tcPr>
          <w:p w:rsidR="00C022F7" w:rsidRPr="007E60F3" w:rsidRDefault="00C022F7" w:rsidP="00671933">
            <w:pPr>
              <w:jc w:val="right"/>
              <w:rPr>
                <w:color w:val="000000"/>
                <w:sz w:val="20"/>
                <w:szCs w:val="20"/>
              </w:rPr>
            </w:pPr>
            <w:r>
              <w:rPr>
                <w:color w:val="000000"/>
                <w:sz w:val="20"/>
                <w:szCs w:val="20"/>
              </w:rPr>
              <w:t>(-4.54)</w:t>
            </w:r>
          </w:p>
        </w:tc>
        <w:tc>
          <w:tcPr>
            <w:tcW w:w="864" w:type="dxa"/>
            <w:tcBorders>
              <w:top w:val="double" w:sz="4" w:space="0" w:color="auto"/>
              <w:left w:val="double" w:sz="4" w:space="0" w:color="auto"/>
              <w:bottom w:val="nil"/>
              <w:right w:val="nil"/>
            </w:tcBorders>
            <w:vAlign w:val="center"/>
          </w:tcPr>
          <w:p w:rsidR="00C022F7" w:rsidRPr="007E60F3" w:rsidRDefault="00C022F7" w:rsidP="00671933">
            <w:pPr>
              <w:jc w:val="right"/>
              <w:rPr>
                <w:color w:val="000000"/>
                <w:sz w:val="20"/>
                <w:szCs w:val="20"/>
              </w:rPr>
            </w:pPr>
            <w:r>
              <w:rPr>
                <w:color w:val="000000"/>
                <w:sz w:val="20"/>
                <w:szCs w:val="20"/>
              </w:rPr>
              <w:t>18.3%</w:t>
            </w:r>
          </w:p>
        </w:tc>
        <w:tc>
          <w:tcPr>
            <w:tcW w:w="859" w:type="dxa"/>
            <w:tcBorders>
              <w:top w:val="double" w:sz="4" w:space="0" w:color="auto"/>
              <w:left w:val="nil"/>
              <w:bottom w:val="nil"/>
              <w:right w:val="double" w:sz="4" w:space="0" w:color="auto"/>
            </w:tcBorders>
            <w:vAlign w:val="center"/>
          </w:tcPr>
          <w:p w:rsidR="00C022F7" w:rsidRPr="007E60F3" w:rsidRDefault="00C022F7" w:rsidP="00671933">
            <w:pPr>
              <w:jc w:val="right"/>
              <w:rPr>
                <w:color w:val="000000"/>
                <w:sz w:val="20"/>
                <w:szCs w:val="20"/>
              </w:rPr>
            </w:pPr>
            <w:r>
              <w:rPr>
                <w:color w:val="000000"/>
                <w:sz w:val="20"/>
                <w:szCs w:val="20"/>
              </w:rPr>
              <w:t>(5.23)</w:t>
            </w:r>
          </w:p>
        </w:tc>
        <w:tc>
          <w:tcPr>
            <w:tcW w:w="892" w:type="dxa"/>
            <w:gridSpan w:val="2"/>
            <w:tcBorders>
              <w:top w:val="double" w:sz="4" w:space="0" w:color="auto"/>
              <w:left w:val="double" w:sz="4" w:space="0" w:color="auto"/>
              <w:bottom w:val="nil"/>
              <w:right w:val="nil"/>
            </w:tcBorders>
            <w:vAlign w:val="center"/>
          </w:tcPr>
          <w:p w:rsidR="00C022F7" w:rsidRPr="007E60F3" w:rsidRDefault="00C022F7" w:rsidP="00671933">
            <w:pPr>
              <w:jc w:val="right"/>
              <w:rPr>
                <w:color w:val="000000"/>
                <w:sz w:val="20"/>
                <w:szCs w:val="20"/>
              </w:rPr>
            </w:pPr>
            <w:r>
              <w:rPr>
                <w:color w:val="000000"/>
                <w:sz w:val="20"/>
                <w:szCs w:val="20"/>
              </w:rPr>
              <w:t>19.2%</w:t>
            </w:r>
          </w:p>
        </w:tc>
        <w:tc>
          <w:tcPr>
            <w:tcW w:w="851" w:type="dxa"/>
            <w:tcBorders>
              <w:top w:val="double" w:sz="4" w:space="0" w:color="auto"/>
              <w:left w:val="nil"/>
              <w:bottom w:val="nil"/>
            </w:tcBorders>
            <w:vAlign w:val="center"/>
          </w:tcPr>
          <w:p w:rsidR="00C022F7" w:rsidRPr="007E60F3" w:rsidRDefault="00C022F7" w:rsidP="00671933">
            <w:pPr>
              <w:jc w:val="right"/>
              <w:rPr>
                <w:color w:val="000000"/>
                <w:sz w:val="20"/>
                <w:szCs w:val="20"/>
              </w:rPr>
            </w:pPr>
            <w:r>
              <w:rPr>
                <w:color w:val="000000"/>
                <w:sz w:val="20"/>
                <w:szCs w:val="20"/>
              </w:rPr>
              <w:t>(2.47)</w:t>
            </w:r>
          </w:p>
        </w:tc>
      </w:tr>
      <w:tr w:rsidR="00C022F7" w:rsidRPr="007E60F3" w:rsidTr="002462AF">
        <w:tc>
          <w:tcPr>
            <w:tcW w:w="4608" w:type="dxa"/>
            <w:tcBorders>
              <w:top w:val="nil"/>
              <w:bottom w:val="nil"/>
              <w:right w:val="double" w:sz="4" w:space="0" w:color="auto"/>
            </w:tcBorders>
            <w:vAlign w:val="center"/>
          </w:tcPr>
          <w:p w:rsidR="00C022F7" w:rsidRDefault="00C022F7" w:rsidP="00671933">
            <w:pPr>
              <w:rPr>
                <w:rFonts w:eastAsia="Times New Roman" w:cs="Times New Roman"/>
                <w:color w:val="000000"/>
                <w:sz w:val="20"/>
                <w:szCs w:val="20"/>
              </w:rPr>
            </w:pPr>
            <w:r>
              <w:rPr>
                <w:rFonts w:eastAsia="Times New Roman" w:cs="Times New Roman"/>
                <w:color w:val="000000"/>
                <w:sz w:val="20"/>
                <w:szCs w:val="20"/>
              </w:rPr>
              <w:t xml:space="preserve">Transit-rich </w:t>
            </w:r>
            <w:r w:rsidRPr="007E60F3">
              <w:rPr>
                <w:rFonts w:eastAsia="Times New Roman" w:cs="Times New Roman"/>
                <w:color w:val="000000"/>
                <w:sz w:val="20"/>
                <w:szCs w:val="20"/>
              </w:rPr>
              <w:t xml:space="preserve">city (base: </w:t>
            </w:r>
            <w:r w:rsidR="00426348" w:rsidRPr="007E60F3">
              <w:rPr>
                <w:rFonts w:eastAsia="Times New Roman" w:cs="Times New Roman"/>
                <w:color w:val="000000"/>
                <w:sz w:val="20"/>
                <w:szCs w:val="20"/>
              </w:rPr>
              <w:t>transit</w:t>
            </w:r>
            <w:r w:rsidR="00426348">
              <w:rPr>
                <w:rFonts w:eastAsia="Times New Roman" w:cs="Times New Roman"/>
                <w:color w:val="000000"/>
                <w:sz w:val="20"/>
                <w:szCs w:val="20"/>
              </w:rPr>
              <w:t>-</w:t>
            </w:r>
            <w:r w:rsidRPr="007E60F3">
              <w:rPr>
                <w:rFonts w:eastAsia="Times New Roman" w:cs="Times New Roman"/>
                <w:color w:val="000000"/>
                <w:sz w:val="20"/>
                <w:szCs w:val="20"/>
              </w:rPr>
              <w:t xml:space="preserve">progressive </w:t>
            </w:r>
            <w:r>
              <w:rPr>
                <w:rFonts w:eastAsia="Times New Roman" w:cs="Times New Roman"/>
                <w:color w:val="000000"/>
                <w:sz w:val="20"/>
                <w:szCs w:val="20"/>
              </w:rPr>
              <w:t>or</w:t>
            </w:r>
            <w:r w:rsidRPr="007E60F3">
              <w:rPr>
                <w:rFonts w:eastAsia="Times New Roman" w:cs="Times New Roman"/>
                <w:color w:val="000000"/>
                <w:sz w:val="20"/>
                <w:szCs w:val="20"/>
              </w:rPr>
              <w:t xml:space="preserve"> deficient cities)</w:t>
            </w:r>
          </w:p>
        </w:tc>
        <w:tc>
          <w:tcPr>
            <w:tcW w:w="810"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-3.4%</w:t>
            </w:r>
          </w:p>
        </w:tc>
        <w:tc>
          <w:tcPr>
            <w:tcW w:w="869"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(-4.85)</w:t>
            </w:r>
          </w:p>
        </w:tc>
        <w:tc>
          <w:tcPr>
            <w:tcW w:w="841"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-2.4%</w:t>
            </w:r>
          </w:p>
        </w:tc>
        <w:tc>
          <w:tcPr>
            <w:tcW w:w="900"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(-3.52)</w:t>
            </w:r>
          </w:p>
        </w:tc>
        <w:tc>
          <w:tcPr>
            <w:tcW w:w="819"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bCs/>
                <w:color w:val="000000" w:themeColor="text1"/>
                <w:sz w:val="20"/>
                <w:szCs w:val="20"/>
              </w:rPr>
            </w:pPr>
            <w:r w:rsidRPr="006A62DC">
              <w:rPr>
                <w:rFonts w:eastAsia="Times New Roman" w:cs="Times New Roman"/>
                <w:bCs/>
                <w:color w:val="000000" w:themeColor="text1"/>
                <w:sz w:val="20"/>
                <w:szCs w:val="20"/>
              </w:rPr>
              <w:t>-11.5%</w:t>
            </w:r>
          </w:p>
        </w:tc>
        <w:tc>
          <w:tcPr>
            <w:tcW w:w="819"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bCs/>
                <w:color w:val="000000" w:themeColor="text1"/>
                <w:sz w:val="20"/>
                <w:szCs w:val="20"/>
              </w:rPr>
            </w:pPr>
            <w:r w:rsidRPr="006A62DC">
              <w:rPr>
                <w:rFonts w:eastAsia="Times New Roman" w:cs="Times New Roman"/>
                <w:bCs/>
                <w:color w:val="000000" w:themeColor="text1"/>
                <w:sz w:val="20"/>
                <w:szCs w:val="20"/>
              </w:rPr>
              <w:t>(-2.36)</w:t>
            </w:r>
          </w:p>
        </w:tc>
        <w:tc>
          <w:tcPr>
            <w:tcW w:w="864"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84.3%</w:t>
            </w:r>
          </w:p>
        </w:tc>
        <w:tc>
          <w:tcPr>
            <w:tcW w:w="859"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(5.02)</w:t>
            </w:r>
          </w:p>
        </w:tc>
        <w:tc>
          <w:tcPr>
            <w:tcW w:w="892" w:type="dxa"/>
            <w:gridSpan w:val="2"/>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-10.0%</w:t>
            </w:r>
          </w:p>
        </w:tc>
        <w:tc>
          <w:tcPr>
            <w:tcW w:w="851" w:type="dxa"/>
            <w:tcBorders>
              <w:top w:val="nil"/>
              <w:left w:val="nil"/>
              <w:bottom w:val="nil"/>
            </w:tcBorders>
            <w:vAlign w:val="center"/>
          </w:tcPr>
          <w:p w:rsidR="00C022F7" w:rsidRPr="006A62DC" w:rsidRDefault="00C022F7" w:rsidP="00671933">
            <w:pPr>
              <w:jc w:val="right"/>
              <w:rPr>
                <w:rFonts w:eastAsia="Times New Roman" w:cs="Times New Roman"/>
                <w:color w:val="000000" w:themeColor="text1"/>
                <w:sz w:val="20"/>
                <w:szCs w:val="20"/>
              </w:rPr>
            </w:pPr>
            <w:r w:rsidRPr="006A62DC">
              <w:rPr>
                <w:rFonts w:eastAsia="Times New Roman" w:cs="Times New Roman"/>
                <w:color w:val="000000" w:themeColor="text1"/>
                <w:sz w:val="20"/>
                <w:szCs w:val="20"/>
              </w:rPr>
              <w:t>(-1.54)</w:t>
            </w:r>
          </w:p>
        </w:tc>
      </w:tr>
      <w:tr w:rsidR="00C022F7" w:rsidRPr="007E60F3" w:rsidTr="002462AF">
        <w:tc>
          <w:tcPr>
            <w:tcW w:w="4608" w:type="dxa"/>
            <w:tcBorders>
              <w:top w:val="nil"/>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Pr>
                <w:rFonts w:eastAsia="Times New Roman" w:cs="Times New Roman"/>
                <w:color w:val="000000"/>
                <w:sz w:val="20"/>
                <w:szCs w:val="20"/>
              </w:rPr>
              <w:t xml:space="preserve">Transit-rich city and urban (base: </w:t>
            </w:r>
            <w:r w:rsidRPr="007E60F3">
              <w:rPr>
                <w:rFonts w:eastAsia="Times New Roman" w:cs="Times New Roman"/>
                <w:color w:val="000000"/>
                <w:sz w:val="20"/>
                <w:szCs w:val="20"/>
              </w:rPr>
              <w:t xml:space="preserve"> </w:t>
            </w:r>
            <w:r w:rsidR="00426348" w:rsidRPr="007E60F3">
              <w:rPr>
                <w:rFonts w:eastAsia="Times New Roman" w:cs="Times New Roman"/>
                <w:color w:val="000000"/>
                <w:sz w:val="20"/>
                <w:szCs w:val="20"/>
              </w:rPr>
              <w:t>transit</w:t>
            </w:r>
            <w:r w:rsidR="00426348">
              <w:rPr>
                <w:rFonts w:eastAsia="Times New Roman" w:cs="Times New Roman"/>
                <w:color w:val="000000"/>
                <w:sz w:val="20"/>
                <w:szCs w:val="20"/>
              </w:rPr>
              <w:t>-</w:t>
            </w:r>
            <w:r w:rsidRPr="007E60F3">
              <w:rPr>
                <w:rFonts w:eastAsia="Times New Roman" w:cs="Times New Roman"/>
                <w:color w:val="000000"/>
                <w:sz w:val="20"/>
                <w:szCs w:val="20"/>
              </w:rPr>
              <w:t>progressive</w:t>
            </w:r>
            <w:r>
              <w:rPr>
                <w:rFonts w:eastAsia="Times New Roman" w:cs="Times New Roman"/>
                <w:color w:val="000000"/>
                <w:sz w:val="20"/>
                <w:szCs w:val="20"/>
              </w:rPr>
              <w:t xml:space="preserve"> or </w:t>
            </w:r>
            <w:r w:rsidRPr="007E60F3">
              <w:rPr>
                <w:rFonts w:eastAsia="Times New Roman" w:cs="Times New Roman"/>
                <w:color w:val="000000"/>
                <w:sz w:val="20"/>
                <w:szCs w:val="20"/>
              </w:rPr>
              <w:t>deficient cities</w:t>
            </w:r>
            <w:r>
              <w:rPr>
                <w:rFonts w:eastAsia="Times New Roman" w:cs="Times New Roman"/>
                <w:color w:val="000000"/>
                <w:sz w:val="20"/>
                <w:szCs w:val="20"/>
              </w:rPr>
              <w:t xml:space="preserve"> and urban</w:t>
            </w:r>
            <w:r w:rsidRPr="007E60F3">
              <w:rPr>
                <w:rFonts w:eastAsia="Times New Roman" w:cs="Times New Roman"/>
                <w:color w:val="000000"/>
                <w:sz w:val="20"/>
                <w:szCs w:val="20"/>
              </w:rPr>
              <w:t>)</w:t>
            </w:r>
          </w:p>
        </w:tc>
        <w:tc>
          <w:tcPr>
            <w:tcW w:w="810"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rFonts w:eastAsia="Times New Roman" w:cs="Times New Roman"/>
                <w:sz w:val="20"/>
                <w:szCs w:val="20"/>
              </w:rPr>
              <w:t>-3.6%</w:t>
            </w:r>
          </w:p>
        </w:tc>
        <w:tc>
          <w:tcPr>
            <w:tcW w:w="869"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rFonts w:eastAsia="Times New Roman" w:cs="Times New Roman"/>
                <w:sz w:val="20"/>
                <w:szCs w:val="20"/>
              </w:rPr>
              <w:t>(-4.63)</w:t>
            </w:r>
          </w:p>
        </w:tc>
        <w:tc>
          <w:tcPr>
            <w:tcW w:w="841"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rFonts w:eastAsia="Times New Roman" w:cs="Times New Roman"/>
                <w:sz w:val="20"/>
                <w:szCs w:val="20"/>
              </w:rPr>
              <w:t>-2.5%</w:t>
            </w:r>
          </w:p>
        </w:tc>
        <w:tc>
          <w:tcPr>
            <w:tcW w:w="900"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rFonts w:eastAsia="Times New Roman" w:cs="Times New Roman"/>
                <w:sz w:val="20"/>
                <w:szCs w:val="20"/>
              </w:rPr>
              <w:t>(-3.53)</w:t>
            </w:r>
          </w:p>
        </w:tc>
        <w:tc>
          <w:tcPr>
            <w:tcW w:w="819"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bCs/>
                <w:color w:val="000000" w:themeColor="text1"/>
                <w:sz w:val="20"/>
                <w:szCs w:val="20"/>
              </w:rPr>
            </w:pPr>
            <w:r w:rsidRPr="0013002B">
              <w:rPr>
                <w:sz w:val="20"/>
                <w:szCs w:val="20"/>
              </w:rPr>
              <w:t>-19.5%</w:t>
            </w:r>
          </w:p>
        </w:tc>
        <w:tc>
          <w:tcPr>
            <w:tcW w:w="819"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bCs/>
                <w:color w:val="000000" w:themeColor="text1"/>
                <w:sz w:val="20"/>
                <w:szCs w:val="20"/>
              </w:rPr>
            </w:pPr>
            <w:r w:rsidRPr="0013002B">
              <w:rPr>
                <w:sz w:val="20"/>
                <w:szCs w:val="20"/>
              </w:rPr>
              <w:t>(-2.92)</w:t>
            </w:r>
          </w:p>
        </w:tc>
        <w:tc>
          <w:tcPr>
            <w:tcW w:w="864" w:type="dxa"/>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sz w:val="20"/>
                <w:szCs w:val="20"/>
              </w:rPr>
              <w:t>141.3%</w:t>
            </w:r>
          </w:p>
        </w:tc>
        <w:tc>
          <w:tcPr>
            <w:tcW w:w="859" w:type="dxa"/>
            <w:tcBorders>
              <w:top w:val="nil"/>
              <w:left w:val="nil"/>
              <w:bottom w:val="nil"/>
              <w:right w:val="double" w:sz="4" w:space="0" w:color="auto"/>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sz w:val="20"/>
                <w:szCs w:val="20"/>
              </w:rPr>
              <w:t>(6.51)</w:t>
            </w:r>
          </w:p>
        </w:tc>
        <w:tc>
          <w:tcPr>
            <w:tcW w:w="892" w:type="dxa"/>
            <w:gridSpan w:val="2"/>
            <w:tcBorders>
              <w:top w:val="nil"/>
              <w:left w:val="double" w:sz="4" w:space="0" w:color="auto"/>
              <w:bottom w:val="nil"/>
              <w:right w:val="nil"/>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sz w:val="20"/>
                <w:szCs w:val="20"/>
              </w:rPr>
              <w:t>-15.1%</w:t>
            </w:r>
          </w:p>
        </w:tc>
        <w:tc>
          <w:tcPr>
            <w:tcW w:w="851" w:type="dxa"/>
            <w:tcBorders>
              <w:top w:val="nil"/>
              <w:left w:val="nil"/>
              <w:bottom w:val="nil"/>
            </w:tcBorders>
            <w:vAlign w:val="center"/>
          </w:tcPr>
          <w:p w:rsidR="00C022F7" w:rsidRPr="006A62DC" w:rsidRDefault="00C022F7" w:rsidP="00671933">
            <w:pPr>
              <w:jc w:val="right"/>
              <w:rPr>
                <w:rFonts w:eastAsia="Times New Roman" w:cs="Times New Roman"/>
                <w:color w:val="000000" w:themeColor="text1"/>
                <w:sz w:val="20"/>
                <w:szCs w:val="20"/>
              </w:rPr>
            </w:pPr>
            <w:r w:rsidRPr="0013002B">
              <w:rPr>
                <w:sz w:val="20"/>
                <w:szCs w:val="20"/>
              </w:rPr>
              <w:t>(-2.32)</w:t>
            </w:r>
          </w:p>
        </w:tc>
      </w:tr>
      <w:tr w:rsidR="00C022F7" w:rsidRPr="007E60F3" w:rsidTr="002462AF">
        <w:tc>
          <w:tcPr>
            <w:tcW w:w="4608" w:type="dxa"/>
            <w:tcBorders>
              <w:top w:val="nil"/>
              <w:bottom w:val="nil"/>
              <w:right w:val="double" w:sz="4" w:space="0" w:color="auto"/>
            </w:tcBorders>
            <w:vAlign w:val="center"/>
          </w:tcPr>
          <w:p w:rsidR="00C022F7" w:rsidRDefault="00C022F7" w:rsidP="00671933">
            <w:pPr>
              <w:rPr>
                <w:rFonts w:eastAsia="Times New Roman" w:cs="Times New Roman"/>
                <w:color w:val="000000"/>
                <w:sz w:val="20"/>
                <w:szCs w:val="20"/>
              </w:rPr>
            </w:pPr>
            <w:r>
              <w:rPr>
                <w:rFonts w:eastAsia="Times New Roman" w:cs="Times New Roman"/>
                <w:color w:val="000000"/>
                <w:sz w:val="20"/>
                <w:szCs w:val="20"/>
              </w:rPr>
              <w:t>Urban and transit-rich city (base: non-urban area and transit-rich city</w:t>
            </w:r>
            <w:r w:rsidRPr="007E60F3">
              <w:rPr>
                <w:rFonts w:eastAsia="Times New Roman" w:cs="Times New Roman"/>
                <w:color w:val="000000"/>
                <w:sz w:val="20"/>
                <w:szCs w:val="20"/>
              </w:rPr>
              <w:t>)</w:t>
            </w:r>
          </w:p>
        </w:tc>
        <w:tc>
          <w:tcPr>
            <w:tcW w:w="810" w:type="dxa"/>
            <w:tcBorders>
              <w:top w:val="nil"/>
              <w:left w:val="double" w:sz="4" w:space="0" w:color="auto"/>
              <w:bottom w:val="nil"/>
              <w:right w:val="nil"/>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sz w:val="20"/>
                <w:szCs w:val="20"/>
              </w:rPr>
              <w:t>-2.3%</w:t>
            </w:r>
          </w:p>
        </w:tc>
        <w:tc>
          <w:tcPr>
            <w:tcW w:w="869" w:type="dxa"/>
            <w:tcBorders>
              <w:top w:val="nil"/>
              <w:left w:val="nil"/>
              <w:bottom w:val="nil"/>
              <w:right w:val="double" w:sz="4" w:space="0" w:color="auto"/>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sz w:val="20"/>
                <w:szCs w:val="20"/>
              </w:rPr>
              <w:t>(-0.85)</w:t>
            </w:r>
          </w:p>
        </w:tc>
        <w:tc>
          <w:tcPr>
            <w:tcW w:w="841" w:type="dxa"/>
            <w:tcBorders>
              <w:top w:val="nil"/>
              <w:left w:val="double" w:sz="4" w:space="0" w:color="auto"/>
              <w:bottom w:val="nil"/>
              <w:right w:val="nil"/>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sz w:val="20"/>
                <w:szCs w:val="20"/>
              </w:rPr>
              <w:t>-4.4%</w:t>
            </w:r>
          </w:p>
        </w:tc>
        <w:tc>
          <w:tcPr>
            <w:tcW w:w="900" w:type="dxa"/>
            <w:tcBorders>
              <w:top w:val="nil"/>
              <w:left w:val="nil"/>
              <w:bottom w:val="nil"/>
              <w:right w:val="double" w:sz="4" w:space="0" w:color="auto"/>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sz w:val="20"/>
                <w:szCs w:val="20"/>
              </w:rPr>
              <w:t>(-2.30)</w:t>
            </w:r>
          </w:p>
        </w:tc>
        <w:tc>
          <w:tcPr>
            <w:tcW w:w="819" w:type="dxa"/>
            <w:tcBorders>
              <w:top w:val="nil"/>
              <w:left w:val="double" w:sz="4" w:space="0" w:color="auto"/>
              <w:bottom w:val="nil"/>
              <w:right w:val="nil"/>
            </w:tcBorders>
            <w:vAlign w:val="center"/>
          </w:tcPr>
          <w:p w:rsidR="00C022F7" w:rsidRPr="0013002B" w:rsidRDefault="00C022F7" w:rsidP="00671933">
            <w:pPr>
              <w:jc w:val="right"/>
              <w:rPr>
                <w:sz w:val="20"/>
                <w:szCs w:val="20"/>
              </w:rPr>
            </w:pPr>
            <w:r>
              <w:rPr>
                <w:sz w:val="20"/>
                <w:szCs w:val="20"/>
              </w:rPr>
              <w:t>-16.5%</w:t>
            </w:r>
          </w:p>
        </w:tc>
        <w:tc>
          <w:tcPr>
            <w:tcW w:w="819" w:type="dxa"/>
            <w:tcBorders>
              <w:top w:val="nil"/>
              <w:left w:val="nil"/>
              <w:bottom w:val="nil"/>
              <w:right w:val="double" w:sz="4" w:space="0" w:color="auto"/>
            </w:tcBorders>
            <w:vAlign w:val="center"/>
          </w:tcPr>
          <w:p w:rsidR="00C022F7" w:rsidRPr="0013002B" w:rsidRDefault="00C022F7" w:rsidP="00671933">
            <w:pPr>
              <w:jc w:val="right"/>
              <w:rPr>
                <w:sz w:val="20"/>
                <w:szCs w:val="20"/>
              </w:rPr>
            </w:pPr>
            <w:r>
              <w:rPr>
                <w:sz w:val="20"/>
                <w:szCs w:val="20"/>
              </w:rPr>
              <w:t>(-4.19)</w:t>
            </w:r>
          </w:p>
        </w:tc>
        <w:tc>
          <w:tcPr>
            <w:tcW w:w="864" w:type="dxa"/>
            <w:tcBorders>
              <w:top w:val="nil"/>
              <w:left w:val="double" w:sz="4" w:space="0" w:color="auto"/>
              <w:bottom w:val="nil"/>
              <w:right w:val="nil"/>
            </w:tcBorders>
            <w:vAlign w:val="center"/>
          </w:tcPr>
          <w:p w:rsidR="00C022F7" w:rsidRPr="0013002B" w:rsidRDefault="00C022F7" w:rsidP="00671933">
            <w:pPr>
              <w:jc w:val="right"/>
              <w:rPr>
                <w:sz w:val="20"/>
                <w:szCs w:val="20"/>
              </w:rPr>
            </w:pPr>
            <w:r>
              <w:rPr>
                <w:sz w:val="20"/>
                <w:szCs w:val="20"/>
              </w:rPr>
              <w:t>68.6%</w:t>
            </w:r>
          </w:p>
        </w:tc>
        <w:tc>
          <w:tcPr>
            <w:tcW w:w="859" w:type="dxa"/>
            <w:tcBorders>
              <w:top w:val="nil"/>
              <w:left w:val="nil"/>
              <w:bottom w:val="nil"/>
              <w:right w:val="double" w:sz="4" w:space="0" w:color="auto"/>
            </w:tcBorders>
            <w:vAlign w:val="center"/>
          </w:tcPr>
          <w:p w:rsidR="00C022F7" w:rsidRPr="0013002B" w:rsidRDefault="00C022F7" w:rsidP="00671933">
            <w:pPr>
              <w:jc w:val="right"/>
              <w:rPr>
                <w:sz w:val="20"/>
                <w:szCs w:val="20"/>
              </w:rPr>
            </w:pPr>
            <w:r>
              <w:rPr>
                <w:sz w:val="20"/>
                <w:szCs w:val="20"/>
              </w:rPr>
              <w:t>(7.26)</w:t>
            </w:r>
          </w:p>
        </w:tc>
        <w:tc>
          <w:tcPr>
            <w:tcW w:w="892" w:type="dxa"/>
            <w:gridSpan w:val="2"/>
            <w:tcBorders>
              <w:top w:val="nil"/>
              <w:left w:val="double" w:sz="4" w:space="0" w:color="auto"/>
              <w:bottom w:val="nil"/>
              <w:right w:val="nil"/>
            </w:tcBorders>
            <w:vAlign w:val="center"/>
          </w:tcPr>
          <w:p w:rsidR="00C022F7" w:rsidRPr="0013002B" w:rsidRDefault="00C022F7" w:rsidP="00671933">
            <w:pPr>
              <w:jc w:val="right"/>
              <w:rPr>
                <w:sz w:val="20"/>
                <w:szCs w:val="20"/>
              </w:rPr>
            </w:pPr>
            <w:r>
              <w:rPr>
                <w:sz w:val="20"/>
                <w:szCs w:val="20"/>
              </w:rPr>
              <w:t>7.8%</w:t>
            </w:r>
          </w:p>
        </w:tc>
        <w:tc>
          <w:tcPr>
            <w:tcW w:w="851" w:type="dxa"/>
            <w:tcBorders>
              <w:top w:val="nil"/>
              <w:left w:val="nil"/>
              <w:bottom w:val="nil"/>
            </w:tcBorders>
            <w:vAlign w:val="center"/>
          </w:tcPr>
          <w:p w:rsidR="00C022F7" w:rsidRPr="0013002B" w:rsidRDefault="00C022F7" w:rsidP="00671933">
            <w:pPr>
              <w:jc w:val="right"/>
              <w:rPr>
                <w:sz w:val="20"/>
                <w:szCs w:val="20"/>
              </w:rPr>
            </w:pPr>
            <w:r>
              <w:rPr>
                <w:sz w:val="20"/>
                <w:szCs w:val="20"/>
              </w:rPr>
              <w:t>(1.02)</w:t>
            </w:r>
          </w:p>
        </w:tc>
      </w:tr>
      <w:tr w:rsidR="00C022F7" w:rsidRPr="007E60F3" w:rsidTr="002462AF">
        <w:trPr>
          <w:trHeight w:val="288"/>
        </w:trPr>
        <w:tc>
          <w:tcPr>
            <w:tcW w:w="4608" w:type="dxa"/>
            <w:tcBorders>
              <w:top w:val="nil"/>
              <w:bottom w:val="nil"/>
              <w:right w:val="double" w:sz="4" w:space="0" w:color="auto"/>
            </w:tcBorders>
            <w:vAlign w:val="center"/>
          </w:tcPr>
          <w:p w:rsidR="00C022F7" w:rsidRDefault="00C022F7" w:rsidP="00671933">
            <w:pPr>
              <w:rPr>
                <w:rFonts w:eastAsia="Times New Roman" w:cs="Times New Roman"/>
                <w:color w:val="000000"/>
                <w:sz w:val="20"/>
                <w:szCs w:val="20"/>
              </w:rPr>
            </w:pPr>
            <w:r w:rsidRPr="007E60F3">
              <w:rPr>
                <w:color w:val="000000"/>
                <w:sz w:val="20"/>
                <w:szCs w:val="20"/>
              </w:rPr>
              <w:t xml:space="preserve">Parent in </w:t>
            </w:r>
            <w:r>
              <w:rPr>
                <w:color w:val="000000"/>
                <w:sz w:val="20"/>
                <w:szCs w:val="20"/>
              </w:rPr>
              <w:t>urban area</w:t>
            </w:r>
            <w:r w:rsidRPr="007E60F3">
              <w:rPr>
                <w:color w:val="000000"/>
                <w:sz w:val="20"/>
                <w:szCs w:val="20"/>
              </w:rPr>
              <w:t xml:space="preserve"> (base: parent in</w:t>
            </w:r>
            <w:r>
              <w:rPr>
                <w:color w:val="000000"/>
                <w:sz w:val="20"/>
                <w:szCs w:val="20"/>
              </w:rPr>
              <w:t xml:space="preserve"> </w:t>
            </w:r>
            <w:r>
              <w:rPr>
                <w:rFonts w:eastAsia="Times New Roman" w:cs="Times New Roman"/>
                <w:color w:val="000000"/>
                <w:sz w:val="20"/>
                <w:szCs w:val="20"/>
              </w:rPr>
              <w:t>non-urban area</w:t>
            </w:r>
            <w:r w:rsidRPr="007E60F3">
              <w:rPr>
                <w:color w:val="000000"/>
                <w:sz w:val="20"/>
                <w:szCs w:val="20"/>
              </w:rPr>
              <w:t>)</w:t>
            </w:r>
          </w:p>
        </w:tc>
        <w:tc>
          <w:tcPr>
            <w:tcW w:w="810" w:type="dxa"/>
            <w:tcBorders>
              <w:top w:val="nil"/>
              <w:left w:val="double" w:sz="4" w:space="0" w:color="auto"/>
              <w:bottom w:val="nil"/>
              <w:right w:val="nil"/>
            </w:tcBorders>
            <w:vAlign w:val="center"/>
          </w:tcPr>
          <w:p w:rsidR="00C022F7" w:rsidRDefault="00C022F7" w:rsidP="00671933">
            <w:pPr>
              <w:jc w:val="right"/>
              <w:rPr>
                <w:rFonts w:eastAsia="Times New Roman" w:cs="Times New Roman"/>
                <w:sz w:val="20"/>
                <w:szCs w:val="20"/>
              </w:rPr>
            </w:pPr>
            <w:r w:rsidRPr="00383F58">
              <w:rPr>
                <w:color w:val="000000" w:themeColor="text1"/>
                <w:sz w:val="20"/>
                <w:szCs w:val="20"/>
              </w:rPr>
              <w:t>-1.6%</w:t>
            </w:r>
          </w:p>
        </w:tc>
        <w:tc>
          <w:tcPr>
            <w:tcW w:w="869" w:type="dxa"/>
            <w:tcBorders>
              <w:top w:val="nil"/>
              <w:left w:val="nil"/>
              <w:bottom w:val="nil"/>
              <w:right w:val="double" w:sz="4" w:space="0" w:color="auto"/>
            </w:tcBorders>
            <w:vAlign w:val="center"/>
          </w:tcPr>
          <w:p w:rsidR="00C022F7" w:rsidRDefault="00C022F7" w:rsidP="00671933">
            <w:pPr>
              <w:jc w:val="right"/>
              <w:rPr>
                <w:rFonts w:eastAsia="Times New Roman" w:cs="Times New Roman"/>
                <w:sz w:val="20"/>
                <w:szCs w:val="20"/>
              </w:rPr>
            </w:pPr>
            <w:r w:rsidRPr="00383F58">
              <w:rPr>
                <w:color w:val="000000" w:themeColor="text1"/>
                <w:sz w:val="20"/>
                <w:szCs w:val="20"/>
              </w:rPr>
              <w:t>(-0.84)</w:t>
            </w:r>
          </w:p>
        </w:tc>
        <w:tc>
          <w:tcPr>
            <w:tcW w:w="841" w:type="dxa"/>
            <w:tcBorders>
              <w:top w:val="nil"/>
              <w:left w:val="double" w:sz="4" w:space="0" w:color="auto"/>
              <w:bottom w:val="nil"/>
              <w:right w:val="nil"/>
            </w:tcBorders>
            <w:vAlign w:val="center"/>
          </w:tcPr>
          <w:p w:rsidR="00C022F7" w:rsidRDefault="00C022F7" w:rsidP="00671933">
            <w:pPr>
              <w:jc w:val="right"/>
              <w:rPr>
                <w:rFonts w:eastAsia="Times New Roman" w:cs="Times New Roman"/>
                <w:sz w:val="20"/>
                <w:szCs w:val="20"/>
              </w:rPr>
            </w:pPr>
            <w:r w:rsidRPr="00383F58">
              <w:rPr>
                <w:rFonts w:eastAsia="Times New Roman" w:cs="Times New Roman"/>
                <w:color w:val="000000" w:themeColor="text1"/>
                <w:sz w:val="20"/>
                <w:szCs w:val="20"/>
              </w:rPr>
              <w:t>-6.0%</w:t>
            </w:r>
          </w:p>
        </w:tc>
        <w:tc>
          <w:tcPr>
            <w:tcW w:w="900" w:type="dxa"/>
            <w:tcBorders>
              <w:top w:val="nil"/>
              <w:left w:val="nil"/>
              <w:bottom w:val="nil"/>
              <w:right w:val="double" w:sz="4" w:space="0" w:color="auto"/>
            </w:tcBorders>
            <w:vAlign w:val="center"/>
          </w:tcPr>
          <w:p w:rsidR="00C022F7" w:rsidRDefault="00C022F7" w:rsidP="00671933">
            <w:pPr>
              <w:jc w:val="right"/>
              <w:rPr>
                <w:rFonts w:eastAsia="Times New Roman" w:cs="Times New Roman"/>
                <w:sz w:val="20"/>
                <w:szCs w:val="20"/>
              </w:rPr>
            </w:pPr>
            <w:r w:rsidRPr="00383F58">
              <w:rPr>
                <w:rFonts w:eastAsia="Times New Roman" w:cs="Times New Roman"/>
                <w:color w:val="000000" w:themeColor="text1"/>
                <w:sz w:val="20"/>
                <w:szCs w:val="20"/>
              </w:rPr>
              <w:t>(-3.34)</w:t>
            </w:r>
          </w:p>
        </w:tc>
        <w:tc>
          <w:tcPr>
            <w:tcW w:w="819" w:type="dxa"/>
            <w:tcBorders>
              <w:top w:val="nil"/>
              <w:left w:val="double" w:sz="4" w:space="0" w:color="auto"/>
              <w:bottom w:val="nil"/>
              <w:right w:val="nil"/>
            </w:tcBorders>
            <w:vAlign w:val="center"/>
          </w:tcPr>
          <w:p w:rsidR="00C022F7" w:rsidRDefault="00C022F7" w:rsidP="00671933">
            <w:pPr>
              <w:jc w:val="right"/>
              <w:rPr>
                <w:sz w:val="20"/>
                <w:szCs w:val="20"/>
              </w:rPr>
            </w:pPr>
            <w:r w:rsidRPr="00383F58">
              <w:rPr>
                <w:color w:val="000000" w:themeColor="text1"/>
                <w:sz w:val="20"/>
                <w:szCs w:val="20"/>
              </w:rPr>
              <w:t>-7.7%</w:t>
            </w:r>
          </w:p>
        </w:tc>
        <w:tc>
          <w:tcPr>
            <w:tcW w:w="819" w:type="dxa"/>
            <w:tcBorders>
              <w:top w:val="nil"/>
              <w:left w:val="nil"/>
              <w:bottom w:val="nil"/>
              <w:right w:val="double" w:sz="4" w:space="0" w:color="auto"/>
            </w:tcBorders>
            <w:vAlign w:val="center"/>
          </w:tcPr>
          <w:p w:rsidR="00C022F7" w:rsidRDefault="00C022F7" w:rsidP="00671933">
            <w:pPr>
              <w:jc w:val="right"/>
              <w:rPr>
                <w:sz w:val="20"/>
                <w:szCs w:val="20"/>
              </w:rPr>
            </w:pPr>
            <w:r w:rsidRPr="00383F58">
              <w:rPr>
                <w:color w:val="000000" w:themeColor="text1"/>
                <w:sz w:val="20"/>
                <w:szCs w:val="20"/>
              </w:rPr>
              <w:t xml:space="preserve"> (-4.49)</w:t>
            </w:r>
          </w:p>
        </w:tc>
        <w:tc>
          <w:tcPr>
            <w:tcW w:w="864" w:type="dxa"/>
            <w:tcBorders>
              <w:top w:val="nil"/>
              <w:left w:val="double" w:sz="4" w:space="0" w:color="auto"/>
              <w:bottom w:val="nil"/>
              <w:right w:val="nil"/>
            </w:tcBorders>
            <w:vAlign w:val="center"/>
          </w:tcPr>
          <w:p w:rsidR="00C022F7" w:rsidRDefault="00C022F7" w:rsidP="00671933">
            <w:pPr>
              <w:jc w:val="right"/>
              <w:rPr>
                <w:sz w:val="20"/>
                <w:szCs w:val="20"/>
              </w:rPr>
            </w:pPr>
            <w:r w:rsidRPr="00383F58">
              <w:rPr>
                <w:color w:val="000000" w:themeColor="text1"/>
                <w:sz w:val="20"/>
                <w:szCs w:val="20"/>
              </w:rPr>
              <w:t>40.5%</w:t>
            </w:r>
          </w:p>
        </w:tc>
        <w:tc>
          <w:tcPr>
            <w:tcW w:w="859" w:type="dxa"/>
            <w:tcBorders>
              <w:top w:val="nil"/>
              <w:left w:val="nil"/>
              <w:bottom w:val="nil"/>
              <w:right w:val="double" w:sz="4" w:space="0" w:color="auto"/>
            </w:tcBorders>
            <w:vAlign w:val="center"/>
          </w:tcPr>
          <w:p w:rsidR="00C022F7" w:rsidRDefault="00C022F7" w:rsidP="00671933">
            <w:pPr>
              <w:jc w:val="right"/>
              <w:rPr>
                <w:sz w:val="20"/>
                <w:szCs w:val="20"/>
              </w:rPr>
            </w:pPr>
            <w:r w:rsidRPr="00383F58">
              <w:rPr>
                <w:color w:val="000000" w:themeColor="text1"/>
                <w:sz w:val="20"/>
                <w:szCs w:val="20"/>
              </w:rPr>
              <w:t>(7.93)</w:t>
            </w:r>
          </w:p>
        </w:tc>
        <w:tc>
          <w:tcPr>
            <w:tcW w:w="892" w:type="dxa"/>
            <w:gridSpan w:val="2"/>
            <w:tcBorders>
              <w:top w:val="nil"/>
              <w:left w:val="double" w:sz="4" w:space="0" w:color="auto"/>
              <w:bottom w:val="nil"/>
              <w:right w:val="nil"/>
            </w:tcBorders>
            <w:vAlign w:val="center"/>
          </w:tcPr>
          <w:p w:rsidR="00C022F7" w:rsidRDefault="00C022F7" w:rsidP="00671933">
            <w:pPr>
              <w:jc w:val="right"/>
              <w:rPr>
                <w:sz w:val="20"/>
                <w:szCs w:val="20"/>
              </w:rPr>
            </w:pPr>
            <w:r w:rsidRPr="00383F58">
              <w:rPr>
                <w:color w:val="000000" w:themeColor="text1"/>
                <w:sz w:val="20"/>
                <w:szCs w:val="20"/>
              </w:rPr>
              <w:t>13.7%</w:t>
            </w:r>
          </w:p>
        </w:tc>
        <w:tc>
          <w:tcPr>
            <w:tcW w:w="851" w:type="dxa"/>
            <w:tcBorders>
              <w:top w:val="nil"/>
              <w:left w:val="nil"/>
              <w:bottom w:val="nil"/>
            </w:tcBorders>
            <w:vAlign w:val="center"/>
          </w:tcPr>
          <w:p w:rsidR="00C022F7" w:rsidRDefault="00C022F7" w:rsidP="00671933">
            <w:pPr>
              <w:jc w:val="right"/>
              <w:rPr>
                <w:sz w:val="20"/>
                <w:szCs w:val="20"/>
              </w:rPr>
            </w:pPr>
            <w:r w:rsidRPr="00383F58">
              <w:rPr>
                <w:color w:val="000000" w:themeColor="text1"/>
                <w:sz w:val="20"/>
                <w:szCs w:val="20"/>
              </w:rPr>
              <w:t>(1.81)</w:t>
            </w:r>
          </w:p>
        </w:tc>
      </w:tr>
      <w:tr w:rsidR="00C022F7" w:rsidRPr="007E60F3" w:rsidTr="002462AF">
        <w:tc>
          <w:tcPr>
            <w:tcW w:w="4608" w:type="dxa"/>
            <w:tcBorders>
              <w:top w:val="nil"/>
              <w:bottom w:val="nil"/>
              <w:right w:val="double" w:sz="4" w:space="0" w:color="auto"/>
            </w:tcBorders>
            <w:vAlign w:val="center"/>
          </w:tcPr>
          <w:p w:rsidR="00C022F7" w:rsidRDefault="00C022F7" w:rsidP="00671933">
            <w:pPr>
              <w:rPr>
                <w:rFonts w:eastAsia="Times New Roman" w:cs="Times New Roman"/>
                <w:color w:val="000000"/>
                <w:sz w:val="20"/>
                <w:szCs w:val="20"/>
              </w:rPr>
            </w:pPr>
            <w:r>
              <w:rPr>
                <w:color w:val="000000"/>
                <w:sz w:val="20"/>
                <w:szCs w:val="20"/>
              </w:rPr>
              <w:t xml:space="preserve">Parent in transit-rich </w:t>
            </w:r>
            <w:r w:rsidRPr="007E60F3">
              <w:rPr>
                <w:color w:val="000000"/>
                <w:sz w:val="20"/>
                <w:szCs w:val="20"/>
              </w:rPr>
              <w:t>city (base: parent in transit</w:t>
            </w:r>
            <w:r w:rsidR="00426348">
              <w:rPr>
                <w:color w:val="000000"/>
                <w:sz w:val="20"/>
                <w:szCs w:val="20"/>
              </w:rPr>
              <w:t>-</w:t>
            </w:r>
            <w:r w:rsidRPr="007E60F3">
              <w:rPr>
                <w:color w:val="000000"/>
                <w:sz w:val="20"/>
                <w:szCs w:val="20"/>
              </w:rPr>
              <w:t>progressive or deficient cities)</w:t>
            </w:r>
          </w:p>
        </w:tc>
        <w:tc>
          <w:tcPr>
            <w:tcW w:w="810" w:type="dxa"/>
            <w:tcBorders>
              <w:top w:val="nil"/>
              <w:left w:val="double" w:sz="4" w:space="0" w:color="auto"/>
              <w:bottom w:val="nil"/>
              <w:right w:val="nil"/>
            </w:tcBorders>
            <w:vAlign w:val="center"/>
          </w:tcPr>
          <w:p w:rsidR="00C022F7" w:rsidRDefault="00C022F7" w:rsidP="00671933">
            <w:pPr>
              <w:jc w:val="right"/>
              <w:rPr>
                <w:rFonts w:eastAsia="Times New Roman" w:cs="Times New Roman"/>
                <w:sz w:val="20"/>
                <w:szCs w:val="20"/>
              </w:rPr>
            </w:pPr>
            <w:r w:rsidRPr="0052448B">
              <w:rPr>
                <w:rFonts w:eastAsia="Times New Roman" w:cs="Times New Roman"/>
                <w:sz w:val="20"/>
                <w:szCs w:val="20"/>
              </w:rPr>
              <w:t>-1.2%</w:t>
            </w:r>
          </w:p>
        </w:tc>
        <w:tc>
          <w:tcPr>
            <w:tcW w:w="869" w:type="dxa"/>
            <w:tcBorders>
              <w:top w:val="nil"/>
              <w:left w:val="nil"/>
              <w:bottom w:val="nil"/>
              <w:right w:val="double" w:sz="4" w:space="0" w:color="auto"/>
            </w:tcBorders>
            <w:vAlign w:val="center"/>
          </w:tcPr>
          <w:p w:rsidR="00C022F7" w:rsidRDefault="00C022F7" w:rsidP="00671933">
            <w:pPr>
              <w:jc w:val="right"/>
              <w:rPr>
                <w:rFonts w:eastAsia="Times New Roman" w:cs="Times New Roman"/>
                <w:sz w:val="20"/>
                <w:szCs w:val="20"/>
              </w:rPr>
            </w:pPr>
            <w:r w:rsidRPr="0052448B">
              <w:rPr>
                <w:rFonts w:eastAsia="Times New Roman" w:cs="Times New Roman"/>
                <w:sz w:val="20"/>
                <w:szCs w:val="20"/>
              </w:rPr>
              <w:t>(-3.79)</w:t>
            </w:r>
          </w:p>
        </w:tc>
        <w:tc>
          <w:tcPr>
            <w:tcW w:w="841" w:type="dxa"/>
            <w:tcBorders>
              <w:top w:val="nil"/>
              <w:left w:val="double" w:sz="4" w:space="0" w:color="auto"/>
              <w:bottom w:val="nil"/>
              <w:right w:val="nil"/>
            </w:tcBorders>
            <w:vAlign w:val="center"/>
          </w:tcPr>
          <w:p w:rsidR="00C022F7" w:rsidRDefault="00C022F7" w:rsidP="00671933">
            <w:pPr>
              <w:jc w:val="right"/>
              <w:rPr>
                <w:rFonts w:eastAsia="Times New Roman" w:cs="Times New Roman"/>
                <w:sz w:val="20"/>
                <w:szCs w:val="20"/>
              </w:rPr>
            </w:pPr>
            <w:r w:rsidRPr="0052448B">
              <w:rPr>
                <w:rFonts w:eastAsia="Times New Roman" w:cs="Times New Roman"/>
                <w:sz w:val="20"/>
                <w:szCs w:val="20"/>
              </w:rPr>
              <w:t>-0.4%</w:t>
            </w:r>
          </w:p>
        </w:tc>
        <w:tc>
          <w:tcPr>
            <w:tcW w:w="900" w:type="dxa"/>
            <w:tcBorders>
              <w:top w:val="nil"/>
              <w:left w:val="nil"/>
              <w:bottom w:val="nil"/>
              <w:right w:val="double" w:sz="4" w:space="0" w:color="auto"/>
            </w:tcBorders>
            <w:vAlign w:val="center"/>
          </w:tcPr>
          <w:p w:rsidR="00C022F7" w:rsidRDefault="00C022F7" w:rsidP="00671933">
            <w:pPr>
              <w:jc w:val="right"/>
              <w:rPr>
                <w:rFonts w:eastAsia="Times New Roman" w:cs="Times New Roman"/>
                <w:sz w:val="20"/>
                <w:szCs w:val="20"/>
              </w:rPr>
            </w:pPr>
            <w:r w:rsidRPr="0052448B">
              <w:rPr>
                <w:rFonts w:eastAsia="Times New Roman" w:cs="Times New Roman"/>
                <w:sz w:val="20"/>
                <w:szCs w:val="20"/>
              </w:rPr>
              <w:t>(-1.04)</w:t>
            </w:r>
          </w:p>
        </w:tc>
        <w:tc>
          <w:tcPr>
            <w:tcW w:w="819" w:type="dxa"/>
            <w:tcBorders>
              <w:top w:val="nil"/>
              <w:left w:val="double" w:sz="4" w:space="0" w:color="auto"/>
              <w:bottom w:val="nil"/>
              <w:right w:val="nil"/>
            </w:tcBorders>
            <w:vAlign w:val="center"/>
          </w:tcPr>
          <w:p w:rsidR="00C022F7" w:rsidRDefault="00C022F7" w:rsidP="00671933">
            <w:pPr>
              <w:jc w:val="right"/>
              <w:rPr>
                <w:sz w:val="20"/>
                <w:szCs w:val="20"/>
              </w:rPr>
            </w:pPr>
            <w:r w:rsidRPr="0052448B">
              <w:rPr>
                <w:sz w:val="20"/>
                <w:szCs w:val="20"/>
              </w:rPr>
              <w:t>-3.8%</w:t>
            </w:r>
          </w:p>
        </w:tc>
        <w:tc>
          <w:tcPr>
            <w:tcW w:w="819" w:type="dxa"/>
            <w:tcBorders>
              <w:top w:val="nil"/>
              <w:left w:val="nil"/>
              <w:bottom w:val="nil"/>
              <w:right w:val="double" w:sz="4" w:space="0" w:color="auto"/>
            </w:tcBorders>
            <w:vAlign w:val="center"/>
          </w:tcPr>
          <w:p w:rsidR="00C022F7" w:rsidRDefault="00C022F7" w:rsidP="00671933">
            <w:pPr>
              <w:jc w:val="right"/>
              <w:rPr>
                <w:sz w:val="20"/>
                <w:szCs w:val="20"/>
              </w:rPr>
            </w:pPr>
            <w:r w:rsidRPr="0052448B">
              <w:rPr>
                <w:sz w:val="20"/>
                <w:szCs w:val="20"/>
              </w:rPr>
              <w:t>(-2.10)</w:t>
            </w:r>
          </w:p>
        </w:tc>
        <w:tc>
          <w:tcPr>
            <w:tcW w:w="864" w:type="dxa"/>
            <w:tcBorders>
              <w:top w:val="nil"/>
              <w:left w:val="double" w:sz="4" w:space="0" w:color="auto"/>
              <w:bottom w:val="nil"/>
              <w:right w:val="nil"/>
            </w:tcBorders>
            <w:vAlign w:val="center"/>
          </w:tcPr>
          <w:p w:rsidR="00C022F7" w:rsidRDefault="00C022F7" w:rsidP="00671933">
            <w:pPr>
              <w:jc w:val="right"/>
              <w:rPr>
                <w:sz w:val="20"/>
                <w:szCs w:val="20"/>
              </w:rPr>
            </w:pPr>
            <w:r w:rsidRPr="0052448B">
              <w:rPr>
                <w:sz w:val="20"/>
                <w:szCs w:val="20"/>
              </w:rPr>
              <w:t>25.8%</w:t>
            </w:r>
          </w:p>
        </w:tc>
        <w:tc>
          <w:tcPr>
            <w:tcW w:w="859" w:type="dxa"/>
            <w:tcBorders>
              <w:top w:val="nil"/>
              <w:left w:val="nil"/>
              <w:bottom w:val="nil"/>
              <w:right w:val="double" w:sz="4" w:space="0" w:color="auto"/>
            </w:tcBorders>
            <w:vAlign w:val="center"/>
          </w:tcPr>
          <w:p w:rsidR="00C022F7" w:rsidRDefault="00C022F7" w:rsidP="00671933">
            <w:pPr>
              <w:jc w:val="right"/>
              <w:rPr>
                <w:sz w:val="20"/>
                <w:szCs w:val="20"/>
              </w:rPr>
            </w:pPr>
            <w:r w:rsidRPr="0052448B">
              <w:rPr>
                <w:sz w:val="20"/>
                <w:szCs w:val="20"/>
              </w:rPr>
              <w:t>(3.72)</w:t>
            </w:r>
          </w:p>
        </w:tc>
        <w:tc>
          <w:tcPr>
            <w:tcW w:w="892" w:type="dxa"/>
            <w:gridSpan w:val="2"/>
            <w:tcBorders>
              <w:top w:val="nil"/>
              <w:left w:val="double" w:sz="4" w:space="0" w:color="auto"/>
              <w:bottom w:val="nil"/>
              <w:right w:val="nil"/>
            </w:tcBorders>
            <w:vAlign w:val="center"/>
          </w:tcPr>
          <w:p w:rsidR="00C022F7" w:rsidRDefault="00C022F7" w:rsidP="00671933">
            <w:pPr>
              <w:jc w:val="right"/>
              <w:rPr>
                <w:sz w:val="20"/>
                <w:szCs w:val="20"/>
              </w:rPr>
            </w:pPr>
            <w:r w:rsidRPr="0052448B">
              <w:rPr>
                <w:sz w:val="20"/>
                <w:szCs w:val="20"/>
              </w:rPr>
              <w:t>-3.7%</w:t>
            </w:r>
          </w:p>
        </w:tc>
        <w:tc>
          <w:tcPr>
            <w:tcW w:w="851" w:type="dxa"/>
            <w:tcBorders>
              <w:top w:val="nil"/>
              <w:left w:val="nil"/>
              <w:bottom w:val="nil"/>
            </w:tcBorders>
            <w:vAlign w:val="center"/>
          </w:tcPr>
          <w:p w:rsidR="00C022F7" w:rsidRDefault="00C022F7" w:rsidP="00671933">
            <w:pPr>
              <w:jc w:val="right"/>
              <w:rPr>
                <w:sz w:val="20"/>
                <w:szCs w:val="20"/>
              </w:rPr>
            </w:pPr>
            <w:r w:rsidRPr="0052448B">
              <w:rPr>
                <w:sz w:val="20"/>
                <w:szCs w:val="20"/>
              </w:rPr>
              <w:t>(-1.14)</w:t>
            </w:r>
          </w:p>
        </w:tc>
      </w:tr>
      <w:tr w:rsidR="00C022F7" w:rsidRPr="007E60F3" w:rsidTr="002462AF">
        <w:tc>
          <w:tcPr>
            <w:tcW w:w="4608" w:type="dxa"/>
            <w:tcBorders>
              <w:top w:val="nil"/>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sidRPr="007E60F3">
              <w:rPr>
                <w:color w:val="000000"/>
                <w:sz w:val="20"/>
                <w:szCs w:val="20"/>
              </w:rPr>
              <w:t xml:space="preserve">Parent in </w:t>
            </w:r>
            <w:r>
              <w:rPr>
                <w:color w:val="000000"/>
                <w:sz w:val="20"/>
                <w:szCs w:val="20"/>
              </w:rPr>
              <w:t>urban area in a transit-rich city</w:t>
            </w:r>
            <w:r w:rsidRPr="007E60F3">
              <w:rPr>
                <w:color w:val="000000"/>
                <w:sz w:val="20"/>
                <w:szCs w:val="20"/>
              </w:rPr>
              <w:t xml:space="preserve"> (base: parent in</w:t>
            </w:r>
            <w:r>
              <w:rPr>
                <w:color w:val="000000"/>
                <w:sz w:val="20"/>
                <w:szCs w:val="20"/>
              </w:rPr>
              <w:t xml:space="preserve"> </w:t>
            </w:r>
            <w:r>
              <w:rPr>
                <w:rFonts w:eastAsia="Times New Roman" w:cs="Times New Roman"/>
                <w:color w:val="000000"/>
                <w:sz w:val="20"/>
                <w:szCs w:val="20"/>
              </w:rPr>
              <w:t xml:space="preserve">urban area </w:t>
            </w:r>
            <w:r>
              <w:rPr>
                <w:color w:val="000000"/>
                <w:sz w:val="20"/>
                <w:szCs w:val="20"/>
              </w:rPr>
              <w:t xml:space="preserve">in </w:t>
            </w:r>
            <w:r w:rsidRPr="007E60F3">
              <w:rPr>
                <w:color w:val="000000"/>
                <w:sz w:val="20"/>
                <w:szCs w:val="20"/>
              </w:rPr>
              <w:t>progressive or deficient cities)</w:t>
            </w:r>
          </w:p>
        </w:tc>
        <w:tc>
          <w:tcPr>
            <w:tcW w:w="810" w:type="dxa"/>
            <w:tcBorders>
              <w:top w:val="nil"/>
              <w:left w:val="double" w:sz="4" w:space="0" w:color="auto"/>
              <w:bottom w:val="nil"/>
              <w:right w:val="nil"/>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-3.0%</w:t>
            </w:r>
          </w:p>
        </w:tc>
        <w:tc>
          <w:tcPr>
            <w:tcW w:w="869" w:type="dxa"/>
            <w:tcBorders>
              <w:top w:val="nil"/>
              <w:left w:val="nil"/>
              <w:bottom w:val="nil"/>
              <w:right w:val="double" w:sz="4" w:space="0" w:color="auto"/>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(-4.19)</w:t>
            </w:r>
          </w:p>
        </w:tc>
        <w:tc>
          <w:tcPr>
            <w:tcW w:w="841" w:type="dxa"/>
            <w:tcBorders>
              <w:top w:val="nil"/>
              <w:left w:val="double" w:sz="4" w:space="0" w:color="auto"/>
              <w:bottom w:val="nil"/>
              <w:right w:val="nil"/>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-0.1%</w:t>
            </w:r>
          </w:p>
        </w:tc>
        <w:tc>
          <w:tcPr>
            <w:tcW w:w="900" w:type="dxa"/>
            <w:tcBorders>
              <w:top w:val="nil"/>
              <w:left w:val="nil"/>
              <w:bottom w:val="nil"/>
              <w:right w:val="double" w:sz="4" w:space="0" w:color="auto"/>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(-0.07)</w:t>
            </w:r>
          </w:p>
        </w:tc>
        <w:tc>
          <w:tcPr>
            <w:tcW w:w="819" w:type="dxa"/>
            <w:tcBorders>
              <w:top w:val="nil"/>
              <w:left w:val="double" w:sz="4" w:space="0" w:color="auto"/>
              <w:bottom w:val="nil"/>
              <w:right w:val="nil"/>
            </w:tcBorders>
            <w:vAlign w:val="center"/>
          </w:tcPr>
          <w:p w:rsidR="00C022F7" w:rsidRPr="0013002B" w:rsidRDefault="00C022F7" w:rsidP="00671933">
            <w:pPr>
              <w:jc w:val="right"/>
              <w:rPr>
                <w:sz w:val="20"/>
                <w:szCs w:val="20"/>
              </w:rPr>
            </w:pPr>
            <w:r>
              <w:rPr>
                <w:rFonts w:eastAsia="Times New Roman" w:cs="Times New Roman"/>
                <w:bCs/>
                <w:color w:val="000000"/>
                <w:sz w:val="20"/>
                <w:szCs w:val="20"/>
              </w:rPr>
              <w:t>-22.7%</w:t>
            </w:r>
          </w:p>
        </w:tc>
        <w:tc>
          <w:tcPr>
            <w:tcW w:w="819" w:type="dxa"/>
            <w:tcBorders>
              <w:top w:val="nil"/>
              <w:left w:val="nil"/>
              <w:bottom w:val="nil"/>
              <w:right w:val="double" w:sz="4" w:space="0" w:color="auto"/>
            </w:tcBorders>
            <w:vAlign w:val="center"/>
          </w:tcPr>
          <w:p w:rsidR="00C022F7" w:rsidRPr="0013002B" w:rsidRDefault="00C022F7" w:rsidP="00671933">
            <w:pPr>
              <w:jc w:val="right"/>
              <w:rPr>
                <w:sz w:val="20"/>
                <w:szCs w:val="20"/>
              </w:rPr>
            </w:pPr>
            <w:r>
              <w:rPr>
                <w:rFonts w:eastAsia="Times New Roman" w:cs="Times New Roman"/>
                <w:bCs/>
                <w:color w:val="000000"/>
                <w:sz w:val="20"/>
                <w:szCs w:val="20"/>
              </w:rPr>
              <w:t>(-3.19)</w:t>
            </w:r>
          </w:p>
        </w:tc>
        <w:tc>
          <w:tcPr>
            <w:tcW w:w="864" w:type="dxa"/>
            <w:tcBorders>
              <w:top w:val="nil"/>
              <w:left w:val="double" w:sz="4" w:space="0" w:color="auto"/>
              <w:bottom w:val="nil"/>
              <w:right w:val="nil"/>
            </w:tcBorders>
            <w:vAlign w:val="center"/>
          </w:tcPr>
          <w:p w:rsidR="00C022F7" w:rsidRPr="0013002B" w:rsidRDefault="00C022F7" w:rsidP="00671933">
            <w:pPr>
              <w:jc w:val="right"/>
              <w:rPr>
                <w:sz w:val="20"/>
                <w:szCs w:val="20"/>
              </w:rPr>
            </w:pPr>
            <w:r>
              <w:rPr>
                <w:rFonts w:eastAsia="Times New Roman" w:cs="Times New Roman"/>
                <w:color w:val="000000"/>
                <w:sz w:val="20"/>
                <w:szCs w:val="20"/>
              </w:rPr>
              <w:t>159.0%</w:t>
            </w:r>
          </w:p>
        </w:tc>
        <w:tc>
          <w:tcPr>
            <w:tcW w:w="859" w:type="dxa"/>
            <w:tcBorders>
              <w:top w:val="nil"/>
              <w:left w:val="nil"/>
              <w:bottom w:val="nil"/>
              <w:right w:val="double" w:sz="4" w:space="0" w:color="auto"/>
            </w:tcBorders>
            <w:vAlign w:val="center"/>
          </w:tcPr>
          <w:p w:rsidR="00C022F7" w:rsidRPr="0013002B" w:rsidRDefault="00C022F7" w:rsidP="00671933">
            <w:pPr>
              <w:jc w:val="right"/>
              <w:rPr>
                <w:sz w:val="20"/>
                <w:szCs w:val="20"/>
              </w:rPr>
            </w:pPr>
            <w:r>
              <w:rPr>
                <w:rFonts w:eastAsia="Times New Roman" w:cs="Times New Roman"/>
                <w:color w:val="000000"/>
                <w:sz w:val="20"/>
                <w:szCs w:val="20"/>
              </w:rPr>
              <w:t>(6.76)</w:t>
            </w:r>
          </w:p>
        </w:tc>
        <w:tc>
          <w:tcPr>
            <w:tcW w:w="892" w:type="dxa"/>
            <w:gridSpan w:val="2"/>
            <w:tcBorders>
              <w:top w:val="nil"/>
              <w:left w:val="double" w:sz="4" w:space="0" w:color="auto"/>
              <w:bottom w:val="nil"/>
              <w:right w:val="nil"/>
            </w:tcBorders>
            <w:vAlign w:val="center"/>
          </w:tcPr>
          <w:p w:rsidR="00C022F7" w:rsidRPr="0013002B" w:rsidRDefault="00C022F7" w:rsidP="00671933">
            <w:pPr>
              <w:jc w:val="right"/>
              <w:rPr>
                <w:sz w:val="20"/>
                <w:szCs w:val="20"/>
              </w:rPr>
            </w:pPr>
            <w:r>
              <w:rPr>
                <w:rFonts w:eastAsia="Times New Roman" w:cs="Times New Roman"/>
                <w:color w:val="000000"/>
                <w:sz w:val="20"/>
                <w:szCs w:val="20"/>
              </w:rPr>
              <w:t>-19.2%</w:t>
            </w:r>
          </w:p>
        </w:tc>
        <w:tc>
          <w:tcPr>
            <w:tcW w:w="851" w:type="dxa"/>
            <w:tcBorders>
              <w:top w:val="nil"/>
              <w:left w:val="nil"/>
              <w:bottom w:val="nil"/>
            </w:tcBorders>
            <w:vAlign w:val="center"/>
          </w:tcPr>
          <w:p w:rsidR="00C022F7" w:rsidRPr="0013002B" w:rsidRDefault="00C022F7" w:rsidP="00671933">
            <w:pPr>
              <w:jc w:val="right"/>
              <w:rPr>
                <w:sz w:val="20"/>
                <w:szCs w:val="20"/>
              </w:rPr>
            </w:pPr>
            <w:r>
              <w:rPr>
                <w:rFonts w:eastAsia="Times New Roman" w:cs="Times New Roman"/>
                <w:color w:val="000000"/>
                <w:sz w:val="20"/>
                <w:szCs w:val="20"/>
              </w:rPr>
              <w:t>(-2.98)</w:t>
            </w:r>
          </w:p>
        </w:tc>
      </w:tr>
      <w:tr w:rsidR="00C022F7" w:rsidRPr="007E60F3" w:rsidTr="002462AF">
        <w:tc>
          <w:tcPr>
            <w:tcW w:w="4608" w:type="dxa"/>
            <w:tcBorders>
              <w:top w:val="nil"/>
              <w:bottom w:val="nil"/>
              <w:right w:val="double" w:sz="4" w:space="0" w:color="auto"/>
            </w:tcBorders>
            <w:vAlign w:val="center"/>
          </w:tcPr>
          <w:p w:rsidR="00C022F7" w:rsidRDefault="00C022F7" w:rsidP="00671933">
            <w:pPr>
              <w:rPr>
                <w:rFonts w:eastAsia="Times New Roman" w:cs="Times New Roman"/>
                <w:color w:val="000000"/>
                <w:sz w:val="20"/>
                <w:szCs w:val="20"/>
              </w:rPr>
            </w:pPr>
            <w:r w:rsidRPr="007E60F3">
              <w:rPr>
                <w:color w:val="000000"/>
                <w:sz w:val="20"/>
                <w:szCs w:val="20"/>
              </w:rPr>
              <w:t xml:space="preserve">Parent in </w:t>
            </w:r>
            <w:r>
              <w:rPr>
                <w:color w:val="000000"/>
                <w:sz w:val="20"/>
                <w:szCs w:val="20"/>
              </w:rPr>
              <w:t>urban area in</w:t>
            </w:r>
            <w:r>
              <w:rPr>
                <w:rFonts w:eastAsia="Times New Roman" w:cs="Times New Roman"/>
                <w:color w:val="000000"/>
                <w:sz w:val="20"/>
                <w:szCs w:val="20"/>
              </w:rPr>
              <w:t xml:space="preserve"> a transit-rich </w:t>
            </w:r>
            <w:r>
              <w:rPr>
                <w:color w:val="000000"/>
                <w:sz w:val="20"/>
                <w:szCs w:val="20"/>
              </w:rPr>
              <w:t>city</w:t>
            </w:r>
            <w:r w:rsidRPr="007E60F3">
              <w:rPr>
                <w:color w:val="000000"/>
                <w:sz w:val="20"/>
                <w:szCs w:val="20"/>
              </w:rPr>
              <w:t xml:space="preserve"> (base: parent in</w:t>
            </w:r>
            <w:r>
              <w:rPr>
                <w:color w:val="000000"/>
                <w:sz w:val="20"/>
                <w:szCs w:val="20"/>
              </w:rPr>
              <w:t xml:space="preserve"> </w:t>
            </w:r>
            <w:r>
              <w:rPr>
                <w:rFonts w:eastAsia="Times New Roman" w:cs="Times New Roman"/>
                <w:color w:val="000000"/>
                <w:sz w:val="20"/>
                <w:szCs w:val="20"/>
              </w:rPr>
              <w:t xml:space="preserve">non-urban area </w:t>
            </w:r>
            <w:r>
              <w:rPr>
                <w:color w:val="000000"/>
                <w:sz w:val="20"/>
                <w:szCs w:val="20"/>
              </w:rPr>
              <w:t>in</w:t>
            </w:r>
            <w:r>
              <w:rPr>
                <w:rFonts w:eastAsia="Times New Roman" w:cs="Times New Roman"/>
                <w:color w:val="000000"/>
                <w:sz w:val="20"/>
                <w:szCs w:val="20"/>
              </w:rPr>
              <w:t xml:space="preserve"> a transit-rich </w:t>
            </w:r>
            <w:r>
              <w:rPr>
                <w:color w:val="000000"/>
                <w:sz w:val="20"/>
                <w:szCs w:val="20"/>
              </w:rPr>
              <w:t>city</w:t>
            </w:r>
            <w:r w:rsidRPr="007E60F3">
              <w:rPr>
                <w:color w:val="000000"/>
                <w:sz w:val="20"/>
                <w:szCs w:val="20"/>
              </w:rPr>
              <w:t>)</w:t>
            </w:r>
          </w:p>
        </w:tc>
        <w:tc>
          <w:tcPr>
            <w:tcW w:w="810" w:type="dxa"/>
            <w:tcBorders>
              <w:top w:val="nil"/>
              <w:left w:val="double" w:sz="4" w:space="0" w:color="auto"/>
              <w:bottom w:val="nil"/>
              <w:right w:val="nil"/>
            </w:tcBorders>
            <w:vAlign w:val="center"/>
          </w:tcPr>
          <w:p w:rsidR="00C022F7" w:rsidRDefault="00C022F7" w:rsidP="00671933">
            <w:pPr>
              <w:jc w:val="right"/>
              <w:rPr>
                <w:rFonts w:eastAsia="Times New Roman" w:cs="Times New Roman"/>
                <w:sz w:val="20"/>
                <w:szCs w:val="20"/>
              </w:rPr>
            </w:pPr>
            <w:r>
              <w:rPr>
                <w:rFonts w:eastAsia="Times New Roman" w:cs="Times New Roman"/>
                <w:color w:val="000000"/>
                <w:sz w:val="20"/>
                <w:szCs w:val="20"/>
              </w:rPr>
              <w:t>-1.9%</w:t>
            </w:r>
          </w:p>
        </w:tc>
        <w:tc>
          <w:tcPr>
            <w:tcW w:w="869" w:type="dxa"/>
            <w:tcBorders>
              <w:top w:val="nil"/>
              <w:left w:val="nil"/>
              <w:bottom w:val="nil"/>
              <w:right w:val="double" w:sz="4" w:space="0" w:color="auto"/>
            </w:tcBorders>
            <w:vAlign w:val="center"/>
          </w:tcPr>
          <w:p w:rsidR="00C022F7" w:rsidRDefault="00C022F7" w:rsidP="00671933">
            <w:pPr>
              <w:jc w:val="right"/>
              <w:rPr>
                <w:rFonts w:eastAsia="Times New Roman" w:cs="Times New Roman"/>
                <w:sz w:val="20"/>
                <w:szCs w:val="20"/>
              </w:rPr>
            </w:pPr>
            <w:r>
              <w:rPr>
                <w:rFonts w:eastAsia="Times New Roman" w:cs="Times New Roman"/>
                <w:color w:val="000000"/>
                <w:sz w:val="20"/>
                <w:szCs w:val="20"/>
              </w:rPr>
              <w:t>(-0.85)</w:t>
            </w:r>
          </w:p>
        </w:tc>
        <w:tc>
          <w:tcPr>
            <w:tcW w:w="841" w:type="dxa"/>
            <w:tcBorders>
              <w:top w:val="nil"/>
              <w:left w:val="double" w:sz="4" w:space="0" w:color="auto"/>
              <w:bottom w:val="nil"/>
              <w:right w:val="nil"/>
            </w:tcBorders>
            <w:vAlign w:val="center"/>
          </w:tcPr>
          <w:p w:rsidR="00C022F7" w:rsidRDefault="00C022F7" w:rsidP="00671933">
            <w:pPr>
              <w:jc w:val="right"/>
              <w:rPr>
                <w:rFonts w:eastAsia="Times New Roman" w:cs="Times New Roman"/>
                <w:sz w:val="20"/>
                <w:szCs w:val="20"/>
              </w:rPr>
            </w:pPr>
            <w:r>
              <w:rPr>
                <w:rFonts w:eastAsia="Times New Roman" w:cs="Times New Roman"/>
                <w:color w:val="000000"/>
                <w:sz w:val="20"/>
                <w:szCs w:val="20"/>
              </w:rPr>
              <w:t>-5.8%</w:t>
            </w:r>
          </w:p>
        </w:tc>
        <w:tc>
          <w:tcPr>
            <w:tcW w:w="900" w:type="dxa"/>
            <w:tcBorders>
              <w:top w:val="nil"/>
              <w:left w:val="nil"/>
              <w:bottom w:val="nil"/>
              <w:right w:val="double" w:sz="4" w:space="0" w:color="auto"/>
            </w:tcBorders>
            <w:vAlign w:val="center"/>
          </w:tcPr>
          <w:p w:rsidR="00C022F7" w:rsidRDefault="00C022F7" w:rsidP="00671933">
            <w:pPr>
              <w:jc w:val="right"/>
              <w:rPr>
                <w:rFonts w:eastAsia="Times New Roman" w:cs="Times New Roman"/>
                <w:sz w:val="20"/>
                <w:szCs w:val="20"/>
              </w:rPr>
            </w:pPr>
            <w:r>
              <w:rPr>
                <w:rFonts w:eastAsia="Times New Roman" w:cs="Times New Roman"/>
                <w:color w:val="000000"/>
                <w:sz w:val="20"/>
                <w:szCs w:val="20"/>
              </w:rPr>
              <w:t>(-3.29)</w:t>
            </w:r>
          </w:p>
        </w:tc>
        <w:tc>
          <w:tcPr>
            <w:tcW w:w="819" w:type="dxa"/>
            <w:tcBorders>
              <w:top w:val="nil"/>
              <w:left w:val="double" w:sz="4" w:space="0" w:color="auto"/>
              <w:bottom w:val="nil"/>
              <w:right w:val="nil"/>
            </w:tcBorders>
            <w:vAlign w:val="center"/>
          </w:tcPr>
          <w:p w:rsidR="00C022F7" w:rsidRDefault="00C022F7" w:rsidP="00671933">
            <w:pPr>
              <w:jc w:val="right"/>
              <w:rPr>
                <w:sz w:val="20"/>
                <w:szCs w:val="20"/>
              </w:rPr>
            </w:pPr>
            <w:r>
              <w:rPr>
                <w:rFonts w:eastAsia="Times New Roman" w:cs="Times New Roman"/>
                <w:bCs/>
                <w:color w:val="000000"/>
                <w:sz w:val="20"/>
                <w:szCs w:val="20"/>
              </w:rPr>
              <w:t>-20.6%</w:t>
            </w:r>
          </w:p>
        </w:tc>
        <w:tc>
          <w:tcPr>
            <w:tcW w:w="819" w:type="dxa"/>
            <w:tcBorders>
              <w:top w:val="nil"/>
              <w:left w:val="nil"/>
              <w:bottom w:val="nil"/>
              <w:right w:val="double" w:sz="4" w:space="0" w:color="auto"/>
            </w:tcBorders>
            <w:vAlign w:val="center"/>
          </w:tcPr>
          <w:p w:rsidR="00C022F7" w:rsidRDefault="00C022F7" w:rsidP="00671933">
            <w:pPr>
              <w:jc w:val="right"/>
              <w:rPr>
                <w:sz w:val="20"/>
                <w:szCs w:val="20"/>
              </w:rPr>
            </w:pPr>
            <w:r>
              <w:rPr>
                <w:rFonts w:eastAsia="Times New Roman" w:cs="Times New Roman"/>
                <w:bCs/>
                <w:color w:val="000000"/>
                <w:sz w:val="20"/>
                <w:szCs w:val="20"/>
              </w:rPr>
              <w:t>(-4.25)</w:t>
            </w:r>
          </w:p>
        </w:tc>
        <w:tc>
          <w:tcPr>
            <w:tcW w:w="864" w:type="dxa"/>
            <w:tcBorders>
              <w:top w:val="nil"/>
              <w:left w:val="double" w:sz="4" w:space="0" w:color="auto"/>
              <w:bottom w:val="nil"/>
              <w:right w:val="nil"/>
            </w:tcBorders>
            <w:vAlign w:val="center"/>
          </w:tcPr>
          <w:p w:rsidR="00C022F7" w:rsidRDefault="00C022F7" w:rsidP="00671933">
            <w:pPr>
              <w:jc w:val="right"/>
              <w:rPr>
                <w:sz w:val="20"/>
                <w:szCs w:val="20"/>
              </w:rPr>
            </w:pPr>
            <w:r>
              <w:rPr>
                <w:rFonts w:eastAsia="Times New Roman" w:cs="Times New Roman"/>
                <w:color w:val="000000"/>
                <w:sz w:val="20"/>
                <w:szCs w:val="20"/>
              </w:rPr>
              <w:t>94.2%</w:t>
            </w:r>
          </w:p>
        </w:tc>
        <w:tc>
          <w:tcPr>
            <w:tcW w:w="859" w:type="dxa"/>
            <w:tcBorders>
              <w:top w:val="nil"/>
              <w:left w:val="nil"/>
              <w:bottom w:val="nil"/>
              <w:right w:val="double" w:sz="4" w:space="0" w:color="auto"/>
            </w:tcBorders>
            <w:vAlign w:val="center"/>
          </w:tcPr>
          <w:p w:rsidR="00C022F7" w:rsidRDefault="00C022F7" w:rsidP="00671933">
            <w:pPr>
              <w:jc w:val="right"/>
              <w:rPr>
                <w:sz w:val="20"/>
                <w:szCs w:val="20"/>
              </w:rPr>
            </w:pPr>
            <w:r>
              <w:rPr>
                <w:rFonts w:eastAsia="Times New Roman" w:cs="Times New Roman"/>
                <w:color w:val="000000"/>
                <w:sz w:val="20"/>
                <w:szCs w:val="20"/>
              </w:rPr>
              <w:t>(6.44)</w:t>
            </w:r>
          </w:p>
        </w:tc>
        <w:tc>
          <w:tcPr>
            <w:tcW w:w="892" w:type="dxa"/>
            <w:gridSpan w:val="2"/>
            <w:tcBorders>
              <w:top w:val="nil"/>
              <w:left w:val="double" w:sz="4" w:space="0" w:color="auto"/>
              <w:bottom w:val="nil"/>
              <w:right w:val="nil"/>
            </w:tcBorders>
            <w:vAlign w:val="center"/>
          </w:tcPr>
          <w:p w:rsidR="00C022F7" w:rsidRDefault="00C022F7" w:rsidP="00671933">
            <w:pPr>
              <w:jc w:val="right"/>
              <w:rPr>
                <w:sz w:val="20"/>
                <w:szCs w:val="20"/>
              </w:rPr>
            </w:pPr>
            <w:r>
              <w:rPr>
                <w:rFonts w:eastAsia="Times New Roman" w:cs="Times New Roman"/>
                <w:color w:val="000000"/>
                <w:sz w:val="20"/>
                <w:szCs w:val="20"/>
              </w:rPr>
              <w:t>1.0%</w:t>
            </w:r>
          </w:p>
        </w:tc>
        <w:tc>
          <w:tcPr>
            <w:tcW w:w="851" w:type="dxa"/>
            <w:tcBorders>
              <w:top w:val="nil"/>
              <w:left w:val="nil"/>
              <w:bottom w:val="nil"/>
            </w:tcBorders>
            <w:vAlign w:val="center"/>
          </w:tcPr>
          <w:p w:rsidR="00C022F7" w:rsidRDefault="00C022F7" w:rsidP="00671933">
            <w:pPr>
              <w:jc w:val="right"/>
              <w:rPr>
                <w:sz w:val="20"/>
                <w:szCs w:val="20"/>
              </w:rPr>
            </w:pPr>
            <w:r>
              <w:rPr>
                <w:rFonts w:eastAsia="Times New Roman" w:cs="Times New Roman"/>
                <w:color w:val="000000"/>
                <w:sz w:val="20"/>
                <w:szCs w:val="20"/>
              </w:rPr>
              <w:t>(0.12)</w:t>
            </w:r>
          </w:p>
        </w:tc>
      </w:tr>
      <w:tr w:rsidR="00C022F7" w:rsidRPr="007E60F3" w:rsidTr="002462AF">
        <w:tc>
          <w:tcPr>
            <w:tcW w:w="4608" w:type="dxa"/>
            <w:tcBorders>
              <w:top w:val="nil"/>
              <w:bottom w:val="double" w:sz="4" w:space="0" w:color="auto"/>
              <w:right w:val="double" w:sz="4" w:space="0" w:color="auto"/>
            </w:tcBorders>
            <w:vAlign w:val="center"/>
          </w:tcPr>
          <w:p w:rsidR="00C022F7" w:rsidRPr="007E60F3" w:rsidRDefault="00C022F7" w:rsidP="00671933">
            <w:pPr>
              <w:rPr>
                <w:rFonts w:eastAsia="Times New Roman" w:cs="Times New Roman"/>
                <w:color w:val="000000"/>
                <w:sz w:val="20"/>
                <w:szCs w:val="20"/>
              </w:rPr>
            </w:pPr>
            <w:r w:rsidRPr="007E60F3">
              <w:rPr>
                <w:color w:val="000000"/>
                <w:sz w:val="20"/>
                <w:szCs w:val="20"/>
              </w:rPr>
              <w:t xml:space="preserve">Parent in </w:t>
            </w:r>
            <w:r>
              <w:rPr>
                <w:color w:val="000000"/>
                <w:sz w:val="20"/>
                <w:szCs w:val="20"/>
              </w:rPr>
              <w:t>urban area in a traditional city</w:t>
            </w:r>
            <w:r w:rsidRPr="007E60F3">
              <w:rPr>
                <w:color w:val="000000"/>
                <w:sz w:val="20"/>
                <w:szCs w:val="20"/>
              </w:rPr>
              <w:t xml:space="preserve"> (base: parent in</w:t>
            </w:r>
            <w:r>
              <w:rPr>
                <w:color w:val="000000"/>
                <w:sz w:val="20"/>
                <w:szCs w:val="20"/>
              </w:rPr>
              <w:t xml:space="preserve"> </w:t>
            </w:r>
            <w:r>
              <w:rPr>
                <w:rFonts w:eastAsia="Times New Roman" w:cs="Times New Roman"/>
                <w:color w:val="000000"/>
                <w:sz w:val="20"/>
                <w:szCs w:val="20"/>
              </w:rPr>
              <w:t xml:space="preserve">non-urban area </w:t>
            </w:r>
            <w:r>
              <w:rPr>
                <w:color w:val="000000"/>
                <w:sz w:val="20"/>
                <w:szCs w:val="20"/>
              </w:rPr>
              <w:t xml:space="preserve">in </w:t>
            </w:r>
            <w:r w:rsidRPr="007E60F3">
              <w:rPr>
                <w:color w:val="000000"/>
                <w:sz w:val="20"/>
                <w:szCs w:val="20"/>
              </w:rPr>
              <w:t>progressive or deficient cities)</w:t>
            </w:r>
          </w:p>
        </w:tc>
        <w:tc>
          <w:tcPr>
            <w:tcW w:w="810" w:type="dxa"/>
            <w:tcBorders>
              <w:top w:val="nil"/>
              <w:left w:val="double" w:sz="4" w:space="0" w:color="auto"/>
              <w:bottom w:val="double" w:sz="4" w:space="0" w:color="auto"/>
              <w:right w:val="nil"/>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-4.5%</w:t>
            </w:r>
          </w:p>
        </w:tc>
        <w:tc>
          <w:tcPr>
            <w:tcW w:w="869" w:type="dxa"/>
            <w:tcBorders>
              <w:top w:val="nil"/>
              <w:left w:val="nil"/>
              <w:bottom w:val="double" w:sz="4" w:space="0" w:color="auto"/>
              <w:right w:val="double" w:sz="4" w:space="0" w:color="auto"/>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(-2.07)</w:t>
            </w:r>
          </w:p>
        </w:tc>
        <w:tc>
          <w:tcPr>
            <w:tcW w:w="841" w:type="dxa"/>
            <w:tcBorders>
              <w:top w:val="nil"/>
              <w:left w:val="double" w:sz="4" w:space="0" w:color="auto"/>
              <w:bottom w:val="double" w:sz="4" w:space="0" w:color="auto"/>
              <w:right w:val="nil"/>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-4.5%</w:t>
            </w:r>
          </w:p>
        </w:tc>
        <w:tc>
          <w:tcPr>
            <w:tcW w:w="900" w:type="dxa"/>
            <w:tcBorders>
              <w:top w:val="nil"/>
              <w:left w:val="nil"/>
              <w:bottom w:val="double" w:sz="4" w:space="0" w:color="auto"/>
              <w:right w:val="double" w:sz="4" w:space="0" w:color="auto"/>
            </w:tcBorders>
            <w:vAlign w:val="center"/>
          </w:tcPr>
          <w:p w:rsidR="00C022F7" w:rsidRPr="0013002B" w:rsidRDefault="00C022F7" w:rsidP="00671933">
            <w:pPr>
              <w:jc w:val="right"/>
              <w:rPr>
                <w:rFonts w:eastAsia="Times New Roman" w:cs="Times New Roman"/>
                <w:sz w:val="20"/>
                <w:szCs w:val="20"/>
              </w:rPr>
            </w:pPr>
            <w:r>
              <w:rPr>
                <w:rFonts w:eastAsia="Times New Roman" w:cs="Times New Roman"/>
                <w:color w:val="000000"/>
                <w:sz w:val="20"/>
                <w:szCs w:val="20"/>
              </w:rPr>
              <w:t>(-2.36)</w:t>
            </w:r>
          </w:p>
        </w:tc>
        <w:tc>
          <w:tcPr>
            <w:tcW w:w="819" w:type="dxa"/>
            <w:tcBorders>
              <w:top w:val="nil"/>
              <w:left w:val="double" w:sz="4" w:space="0" w:color="auto"/>
              <w:bottom w:val="double" w:sz="4" w:space="0" w:color="auto"/>
              <w:right w:val="nil"/>
            </w:tcBorders>
            <w:vAlign w:val="center"/>
          </w:tcPr>
          <w:p w:rsidR="00C022F7" w:rsidRPr="0013002B" w:rsidRDefault="00C022F7" w:rsidP="00671933">
            <w:pPr>
              <w:jc w:val="right"/>
              <w:rPr>
                <w:sz w:val="20"/>
                <w:szCs w:val="20"/>
              </w:rPr>
            </w:pPr>
            <w:r>
              <w:rPr>
                <w:rFonts w:eastAsia="Times New Roman" w:cs="Times New Roman"/>
                <w:bCs/>
                <w:color w:val="000000"/>
                <w:sz w:val="20"/>
                <w:szCs w:val="20"/>
              </w:rPr>
              <w:t>-25.3%</w:t>
            </w:r>
          </w:p>
        </w:tc>
        <w:tc>
          <w:tcPr>
            <w:tcW w:w="819" w:type="dxa"/>
            <w:tcBorders>
              <w:top w:val="nil"/>
              <w:left w:val="nil"/>
              <w:bottom w:val="double" w:sz="4" w:space="0" w:color="auto"/>
              <w:right w:val="double" w:sz="4" w:space="0" w:color="auto"/>
            </w:tcBorders>
            <w:vAlign w:val="center"/>
          </w:tcPr>
          <w:p w:rsidR="00C022F7" w:rsidRPr="0013002B" w:rsidRDefault="00C022F7" w:rsidP="00671933">
            <w:pPr>
              <w:jc w:val="right"/>
              <w:rPr>
                <w:sz w:val="20"/>
                <w:szCs w:val="20"/>
              </w:rPr>
            </w:pPr>
            <w:r>
              <w:rPr>
                <w:rFonts w:eastAsia="Times New Roman" w:cs="Times New Roman"/>
                <w:bCs/>
                <w:color w:val="000000"/>
                <w:sz w:val="20"/>
                <w:szCs w:val="20"/>
              </w:rPr>
              <w:t>(-3.50)</w:t>
            </w:r>
          </w:p>
        </w:tc>
        <w:tc>
          <w:tcPr>
            <w:tcW w:w="864" w:type="dxa"/>
            <w:tcBorders>
              <w:top w:val="nil"/>
              <w:left w:val="double" w:sz="4" w:space="0" w:color="auto"/>
              <w:bottom w:val="double" w:sz="4" w:space="0" w:color="auto"/>
              <w:right w:val="nil"/>
            </w:tcBorders>
            <w:vAlign w:val="center"/>
          </w:tcPr>
          <w:p w:rsidR="00C022F7" w:rsidRPr="0013002B" w:rsidRDefault="00C022F7" w:rsidP="00671933">
            <w:pPr>
              <w:jc w:val="right"/>
              <w:rPr>
                <w:sz w:val="20"/>
                <w:szCs w:val="20"/>
              </w:rPr>
            </w:pPr>
            <w:r>
              <w:rPr>
                <w:rFonts w:eastAsia="Times New Roman" w:cs="Times New Roman"/>
                <w:color w:val="000000"/>
                <w:sz w:val="20"/>
                <w:szCs w:val="20"/>
              </w:rPr>
              <w:t>175.2%</w:t>
            </w:r>
          </w:p>
        </w:tc>
        <w:tc>
          <w:tcPr>
            <w:tcW w:w="859" w:type="dxa"/>
            <w:tcBorders>
              <w:top w:val="nil"/>
              <w:left w:val="nil"/>
              <w:bottom w:val="double" w:sz="4" w:space="0" w:color="auto"/>
              <w:right w:val="double" w:sz="4" w:space="0" w:color="auto"/>
            </w:tcBorders>
            <w:vAlign w:val="center"/>
          </w:tcPr>
          <w:p w:rsidR="00C022F7" w:rsidRPr="0013002B" w:rsidRDefault="00C022F7" w:rsidP="00671933">
            <w:pPr>
              <w:jc w:val="right"/>
              <w:rPr>
                <w:sz w:val="20"/>
                <w:szCs w:val="20"/>
              </w:rPr>
            </w:pPr>
            <w:r>
              <w:rPr>
                <w:rFonts w:eastAsia="Times New Roman" w:cs="Times New Roman"/>
                <w:color w:val="000000"/>
                <w:sz w:val="20"/>
                <w:szCs w:val="20"/>
              </w:rPr>
              <w:t>(6.53)</w:t>
            </w:r>
          </w:p>
        </w:tc>
        <w:tc>
          <w:tcPr>
            <w:tcW w:w="892" w:type="dxa"/>
            <w:gridSpan w:val="2"/>
            <w:tcBorders>
              <w:top w:val="nil"/>
              <w:left w:val="double" w:sz="4" w:space="0" w:color="auto"/>
              <w:bottom w:val="double" w:sz="4" w:space="0" w:color="auto"/>
              <w:right w:val="nil"/>
            </w:tcBorders>
            <w:vAlign w:val="center"/>
          </w:tcPr>
          <w:p w:rsidR="00C022F7" w:rsidRPr="0013002B" w:rsidRDefault="00C022F7" w:rsidP="00671933">
            <w:pPr>
              <w:jc w:val="right"/>
              <w:rPr>
                <w:sz w:val="20"/>
                <w:szCs w:val="20"/>
              </w:rPr>
            </w:pPr>
            <w:r>
              <w:rPr>
                <w:rFonts w:eastAsia="Times New Roman" w:cs="Times New Roman"/>
                <w:color w:val="000000"/>
                <w:sz w:val="20"/>
                <w:szCs w:val="20"/>
              </w:rPr>
              <w:t>-2.1%</w:t>
            </w:r>
          </w:p>
        </w:tc>
        <w:tc>
          <w:tcPr>
            <w:tcW w:w="851" w:type="dxa"/>
            <w:tcBorders>
              <w:top w:val="nil"/>
              <w:left w:val="nil"/>
              <w:bottom w:val="double" w:sz="4" w:space="0" w:color="auto"/>
            </w:tcBorders>
            <w:vAlign w:val="center"/>
          </w:tcPr>
          <w:p w:rsidR="00C022F7" w:rsidRPr="0013002B" w:rsidRDefault="00C022F7" w:rsidP="00671933">
            <w:pPr>
              <w:jc w:val="right"/>
              <w:rPr>
                <w:sz w:val="20"/>
                <w:szCs w:val="20"/>
              </w:rPr>
            </w:pPr>
            <w:r>
              <w:rPr>
                <w:rFonts w:eastAsia="Times New Roman" w:cs="Times New Roman"/>
                <w:color w:val="000000"/>
                <w:sz w:val="20"/>
                <w:szCs w:val="20"/>
              </w:rPr>
              <w:t>(-0.19)</w:t>
            </w:r>
          </w:p>
        </w:tc>
      </w:tr>
      <w:tr w:rsidR="00C022F7" w:rsidRPr="007E60F3" w:rsidTr="00671933">
        <w:tc>
          <w:tcPr>
            <w:tcW w:w="13132" w:type="dxa"/>
            <w:gridSpan w:val="12"/>
            <w:tcBorders>
              <w:top w:val="double" w:sz="4" w:space="0" w:color="auto"/>
              <w:bottom w:val="double" w:sz="4" w:space="0" w:color="auto"/>
            </w:tcBorders>
            <w:shd w:val="clear" w:color="auto" w:fill="D9D9D9" w:themeFill="background1" w:themeFillShade="D9"/>
            <w:vAlign w:val="center"/>
          </w:tcPr>
          <w:p w:rsidR="00C022F7" w:rsidRPr="0013002B" w:rsidRDefault="00C022F7" w:rsidP="00671933">
            <w:pPr>
              <w:rPr>
                <w:b/>
                <w:color w:val="000000"/>
                <w:sz w:val="20"/>
                <w:szCs w:val="20"/>
              </w:rPr>
            </w:pPr>
            <w:r w:rsidRPr="0013002B">
              <w:rPr>
                <w:rFonts w:eastAsia="Times New Roman" w:cs="Times New Roman"/>
                <w:b/>
                <w:i/>
                <w:color w:val="000000"/>
                <w:sz w:val="20"/>
                <w:szCs w:val="20"/>
              </w:rPr>
              <w:t>Parenting Effects</w:t>
            </w:r>
          </w:p>
        </w:tc>
      </w:tr>
      <w:tr w:rsidR="00C022F7" w:rsidRPr="007E60F3" w:rsidTr="002462AF">
        <w:trPr>
          <w:trHeight w:val="288"/>
        </w:trPr>
        <w:tc>
          <w:tcPr>
            <w:tcW w:w="4608" w:type="dxa"/>
            <w:tcBorders>
              <w:top w:val="double" w:sz="4" w:space="0" w:color="auto"/>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sidRPr="007E60F3">
              <w:rPr>
                <w:rFonts w:eastAsia="Times New Roman" w:cs="Times New Roman"/>
                <w:color w:val="000000"/>
                <w:sz w:val="20"/>
                <w:szCs w:val="20"/>
              </w:rPr>
              <w:t>Parent (base: non-parent)</w:t>
            </w:r>
          </w:p>
        </w:tc>
        <w:tc>
          <w:tcPr>
            <w:tcW w:w="810" w:type="dxa"/>
            <w:tcBorders>
              <w:top w:val="double" w:sz="4" w:space="0" w:color="auto"/>
              <w:left w:val="double" w:sz="4" w:space="0" w:color="auto"/>
              <w:bottom w:val="nil"/>
              <w:right w:val="nil"/>
            </w:tcBorders>
            <w:vAlign w:val="center"/>
          </w:tcPr>
          <w:p w:rsidR="00C022F7" w:rsidRPr="005403C1" w:rsidRDefault="00C022F7" w:rsidP="00671933">
            <w:pPr>
              <w:jc w:val="right"/>
              <w:rPr>
                <w:rFonts w:eastAsia="Times New Roman" w:cs="Times New Roman"/>
                <w:color w:val="000000" w:themeColor="text1"/>
                <w:sz w:val="20"/>
                <w:szCs w:val="20"/>
              </w:rPr>
            </w:pPr>
            <w:r w:rsidRPr="005403C1">
              <w:rPr>
                <w:rFonts w:eastAsia="Times New Roman" w:cs="Times New Roman"/>
                <w:color w:val="000000" w:themeColor="text1"/>
                <w:sz w:val="20"/>
                <w:szCs w:val="20"/>
              </w:rPr>
              <w:t>2.8%</w:t>
            </w:r>
          </w:p>
        </w:tc>
        <w:tc>
          <w:tcPr>
            <w:tcW w:w="869" w:type="dxa"/>
            <w:tcBorders>
              <w:top w:val="double" w:sz="4" w:space="0" w:color="auto"/>
              <w:left w:val="nil"/>
              <w:bottom w:val="nil"/>
              <w:right w:val="double" w:sz="4" w:space="0" w:color="auto"/>
            </w:tcBorders>
            <w:vAlign w:val="center"/>
          </w:tcPr>
          <w:p w:rsidR="00C022F7" w:rsidRPr="005403C1" w:rsidRDefault="00C022F7" w:rsidP="00671933">
            <w:pPr>
              <w:jc w:val="right"/>
              <w:rPr>
                <w:rFonts w:eastAsia="Times New Roman" w:cs="Times New Roman"/>
                <w:color w:val="000000" w:themeColor="text1"/>
                <w:sz w:val="20"/>
                <w:szCs w:val="20"/>
              </w:rPr>
            </w:pPr>
            <w:r w:rsidRPr="005403C1">
              <w:rPr>
                <w:rFonts w:eastAsia="Times New Roman" w:cs="Times New Roman"/>
                <w:color w:val="000000" w:themeColor="text1"/>
                <w:sz w:val="20"/>
                <w:szCs w:val="20"/>
              </w:rPr>
              <w:t>(3.08)</w:t>
            </w:r>
          </w:p>
        </w:tc>
        <w:tc>
          <w:tcPr>
            <w:tcW w:w="841" w:type="dxa"/>
            <w:tcBorders>
              <w:top w:val="double" w:sz="4" w:space="0" w:color="auto"/>
              <w:left w:val="double" w:sz="4" w:space="0" w:color="auto"/>
              <w:bottom w:val="nil"/>
              <w:right w:val="nil"/>
            </w:tcBorders>
            <w:vAlign w:val="center"/>
          </w:tcPr>
          <w:p w:rsidR="00C022F7" w:rsidRPr="005403C1" w:rsidRDefault="00C022F7" w:rsidP="00671933">
            <w:pPr>
              <w:jc w:val="right"/>
              <w:rPr>
                <w:rFonts w:eastAsia="Times New Roman" w:cs="Times New Roman"/>
                <w:color w:val="000000" w:themeColor="text1"/>
                <w:sz w:val="20"/>
                <w:szCs w:val="20"/>
              </w:rPr>
            </w:pPr>
            <w:r w:rsidRPr="005403C1">
              <w:rPr>
                <w:rFonts w:eastAsia="Times New Roman" w:cs="Times New Roman"/>
                <w:color w:val="000000" w:themeColor="text1"/>
                <w:sz w:val="20"/>
                <w:szCs w:val="20"/>
              </w:rPr>
              <w:t>2.8%</w:t>
            </w:r>
          </w:p>
        </w:tc>
        <w:tc>
          <w:tcPr>
            <w:tcW w:w="900" w:type="dxa"/>
            <w:tcBorders>
              <w:top w:val="double" w:sz="4" w:space="0" w:color="auto"/>
              <w:left w:val="nil"/>
              <w:bottom w:val="nil"/>
              <w:right w:val="double" w:sz="4" w:space="0" w:color="auto"/>
            </w:tcBorders>
            <w:vAlign w:val="center"/>
          </w:tcPr>
          <w:p w:rsidR="00C022F7" w:rsidRPr="005403C1" w:rsidRDefault="00C022F7" w:rsidP="00671933">
            <w:pPr>
              <w:jc w:val="right"/>
              <w:rPr>
                <w:rFonts w:eastAsia="Times New Roman" w:cs="Times New Roman"/>
                <w:color w:val="000000" w:themeColor="text1"/>
                <w:sz w:val="20"/>
                <w:szCs w:val="20"/>
              </w:rPr>
            </w:pPr>
            <w:r w:rsidRPr="005403C1">
              <w:rPr>
                <w:rFonts w:eastAsia="Times New Roman" w:cs="Times New Roman"/>
                <w:color w:val="000000" w:themeColor="text1"/>
                <w:sz w:val="20"/>
                <w:szCs w:val="20"/>
              </w:rPr>
              <w:t>(2.29)</w:t>
            </w:r>
          </w:p>
        </w:tc>
        <w:tc>
          <w:tcPr>
            <w:tcW w:w="819" w:type="dxa"/>
            <w:tcBorders>
              <w:top w:val="double" w:sz="4" w:space="0" w:color="auto"/>
              <w:left w:val="double" w:sz="4" w:space="0" w:color="auto"/>
              <w:bottom w:val="nil"/>
              <w:right w:val="nil"/>
            </w:tcBorders>
            <w:vAlign w:val="center"/>
          </w:tcPr>
          <w:p w:rsidR="00C022F7" w:rsidRPr="005403C1" w:rsidRDefault="00C022F7" w:rsidP="00671933">
            <w:pPr>
              <w:jc w:val="right"/>
              <w:rPr>
                <w:rFonts w:eastAsia="Times New Roman" w:cs="Times New Roman"/>
                <w:bCs/>
                <w:color w:val="000000" w:themeColor="text1"/>
                <w:sz w:val="20"/>
                <w:szCs w:val="20"/>
              </w:rPr>
            </w:pPr>
            <w:r>
              <w:rPr>
                <w:color w:val="000000" w:themeColor="text1"/>
                <w:sz w:val="20"/>
                <w:szCs w:val="20"/>
              </w:rPr>
              <w:t>-0.3%</w:t>
            </w:r>
          </w:p>
        </w:tc>
        <w:tc>
          <w:tcPr>
            <w:tcW w:w="819" w:type="dxa"/>
            <w:tcBorders>
              <w:top w:val="double" w:sz="4" w:space="0" w:color="auto"/>
              <w:left w:val="nil"/>
              <w:bottom w:val="nil"/>
              <w:right w:val="double" w:sz="4" w:space="0" w:color="auto"/>
            </w:tcBorders>
            <w:vAlign w:val="center"/>
          </w:tcPr>
          <w:p w:rsidR="00C022F7" w:rsidRPr="005403C1" w:rsidRDefault="00C022F7" w:rsidP="00671933">
            <w:pPr>
              <w:jc w:val="right"/>
              <w:rPr>
                <w:rFonts w:eastAsia="Times New Roman" w:cs="Times New Roman"/>
                <w:bCs/>
                <w:color w:val="000000" w:themeColor="text1"/>
                <w:sz w:val="20"/>
                <w:szCs w:val="20"/>
              </w:rPr>
            </w:pPr>
            <w:r>
              <w:rPr>
                <w:color w:val="000000" w:themeColor="text1"/>
                <w:sz w:val="20"/>
                <w:szCs w:val="20"/>
              </w:rPr>
              <w:t>(1.24)</w:t>
            </w:r>
          </w:p>
        </w:tc>
        <w:tc>
          <w:tcPr>
            <w:tcW w:w="864" w:type="dxa"/>
            <w:tcBorders>
              <w:top w:val="double" w:sz="4" w:space="0" w:color="auto"/>
              <w:left w:val="double" w:sz="4" w:space="0" w:color="auto"/>
              <w:bottom w:val="nil"/>
              <w:right w:val="nil"/>
            </w:tcBorders>
            <w:vAlign w:val="center"/>
          </w:tcPr>
          <w:p w:rsidR="00C022F7" w:rsidRPr="005403C1" w:rsidRDefault="00C022F7" w:rsidP="00671933">
            <w:pPr>
              <w:jc w:val="right"/>
              <w:rPr>
                <w:rFonts w:eastAsia="Times New Roman" w:cs="Times New Roman"/>
                <w:color w:val="000000" w:themeColor="text1"/>
                <w:sz w:val="20"/>
                <w:szCs w:val="20"/>
              </w:rPr>
            </w:pPr>
            <w:r>
              <w:rPr>
                <w:color w:val="000000" w:themeColor="text1"/>
                <w:sz w:val="20"/>
                <w:szCs w:val="20"/>
              </w:rPr>
              <w:t>7.2%</w:t>
            </w:r>
          </w:p>
        </w:tc>
        <w:tc>
          <w:tcPr>
            <w:tcW w:w="859" w:type="dxa"/>
            <w:tcBorders>
              <w:top w:val="double" w:sz="4" w:space="0" w:color="auto"/>
              <w:left w:val="nil"/>
              <w:bottom w:val="nil"/>
              <w:right w:val="double" w:sz="4" w:space="0" w:color="auto"/>
            </w:tcBorders>
            <w:vAlign w:val="center"/>
          </w:tcPr>
          <w:p w:rsidR="00C022F7" w:rsidRPr="005403C1" w:rsidRDefault="00C022F7" w:rsidP="00671933">
            <w:pPr>
              <w:jc w:val="right"/>
              <w:rPr>
                <w:rFonts w:eastAsia="Times New Roman" w:cs="Times New Roman"/>
                <w:color w:val="000000" w:themeColor="text1"/>
                <w:sz w:val="20"/>
                <w:szCs w:val="20"/>
              </w:rPr>
            </w:pPr>
            <w:r>
              <w:rPr>
                <w:color w:val="000000" w:themeColor="text1"/>
                <w:sz w:val="20"/>
                <w:szCs w:val="20"/>
              </w:rPr>
              <w:t>(1.24)</w:t>
            </w:r>
          </w:p>
        </w:tc>
        <w:tc>
          <w:tcPr>
            <w:tcW w:w="892" w:type="dxa"/>
            <w:gridSpan w:val="2"/>
            <w:tcBorders>
              <w:top w:val="double" w:sz="4" w:space="0" w:color="auto"/>
              <w:left w:val="double" w:sz="4" w:space="0" w:color="auto"/>
              <w:bottom w:val="nil"/>
              <w:right w:val="nil"/>
            </w:tcBorders>
            <w:vAlign w:val="center"/>
          </w:tcPr>
          <w:p w:rsidR="00C022F7" w:rsidRPr="005403C1" w:rsidRDefault="00C022F7" w:rsidP="00671933">
            <w:pPr>
              <w:jc w:val="right"/>
              <w:rPr>
                <w:rFonts w:eastAsia="Times New Roman" w:cs="Times New Roman"/>
                <w:color w:val="000000" w:themeColor="text1"/>
                <w:sz w:val="20"/>
                <w:szCs w:val="20"/>
              </w:rPr>
            </w:pPr>
            <w:r w:rsidRPr="005403C1">
              <w:rPr>
                <w:color w:val="000000" w:themeColor="text1"/>
                <w:sz w:val="20"/>
                <w:szCs w:val="20"/>
              </w:rPr>
              <w:t>-7.0</w:t>
            </w:r>
            <w:r>
              <w:rPr>
                <w:color w:val="000000" w:themeColor="text1"/>
                <w:sz w:val="20"/>
                <w:szCs w:val="20"/>
              </w:rPr>
              <w:t>%</w:t>
            </w:r>
          </w:p>
        </w:tc>
        <w:tc>
          <w:tcPr>
            <w:tcW w:w="851" w:type="dxa"/>
            <w:tcBorders>
              <w:top w:val="double" w:sz="4" w:space="0" w:color="auto"/>
              <w:left w:val="nil"/>
              <w:bottom w:val="nil"/>
            </w:tcBorders>
            <w:vAlign w:val="center"/>
          </w:tcPr>
          <w:p w:rsidR="00C022F7" w:rsidRPr="005403C1" w:rsidRDefault="00C022F7" w:rsidP="00671933">
            <w:pPr>
              <w:jc w:val="right"/>
              <w:rPr>
                <w:rFonts w:eastAsia="Times New Roman" w:cs="Times New Roman"/>
                <w:color w:val="000000" w:themeColor="text1"/>
                <w:sz w:val="20"/>
                <w:szCs w:val="20"/>
              </w:rPr>
            </w:pPr>
            <w:r w:rsidRPr="005403C1">
              <w:rPr>
                <w:color w:val="000000" w:themeColor="text1"/>
                <w:sz w:val="20"/>
                <w:szCs w:val="20"/>
              </w:rPr>
              <w:t>(-2.73)</w:t>
            </w:r>
          </w:p>
        </w:tc>
      </w:tr>
      <w:tr w:rsidR="00C022F7" w:rsidRPr="002B5D58" w:rsidTr="002462AF">
        <w:trPr>
          <w:trHeight w:val="288"/>
        </w:trPr>
        <w:tc>
          <w:tcPr>
            <w:tcW w:w="4608" w:type="dxa"/>
            <w:tcBorders>
              <w:top w:val="nil"/>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sidRPr="007E60F3">
              <w:rPr>
                <w:rFonts w:eastAsia="Times New Roman" w:cs="Times New Roman"/>
                <w:color w:val="000000"/>
                <w:sz w:val="20"/>
                <w:szCs w:val="20"/>
              </w:rPr>
              <w:t>Young parent (base: young non-parent)</w:t>
            </w:r>
          </w:p>
        </w:tc>
        <w:tc>
          <w:tcPr>
            <w:tcW w:w="810"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4.1%</w:t>
            </w:r>
          </w:p>
        </w:tc>
        <w:tc>
          <w:tcPr>
            <w:tcW w:w="869"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(2.83)</w:t>
            </w:r>
          </w:p>
        </w:tc>
        <w:tc>
          <w:tcPr>
            <w:tcW w:w="841"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6.5%</w:t>
            </w:r>
          </w:p>
        </w:tc>
        <w:tc>
          <w:tcPr>
            <w:tcW w:w="900"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rFonts w:eastAsia="Times New Roman" w:cs="Times New Roman"/>
                <w:color w:val="000000"/>
                <w:sz w:val="20"/>
                <w:szCs w:val="20"/>
              </w:rPr>
              <w:t>(2.71)</w:t>
            </w:r>
          </w:p>
        </w:tc>
        <w:tc>
          <w:tcPr>
            <w:tcW w:w="819"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bCs/>
                <w:color w:val="000000"/>
                <w:sz w:val="20"/>
                <w:szCs w:val="20"/>
              </w:rPr>
            </w:pPr>
            <w:r w:rsidRPr="007E60F3">
              <w:rPr>
                <w:color w:val="000000"/>
                <w:sz w:val="20"/>
                <w:szCs w:val="20"/>
              </w:rPr>
              <w:t>0.6%</w:t>
            </w:r>
          </w:p>
        </w:tc>
        <w:tc>
          <w:tcPr>
            <w:tcW w:w="819"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bCs/>
                <w:color w:val="000000"/>
                <w:sz w:val="20"/>
                <w:szCs w:val="20"/>
              </w:rPr>
            </w:pPr>
            <w:r w:rsidRPr="007E60F3">
              <w:rPr>
                <w:color w:val="000000"/>
                <w:sz w:val="20"/>
                <w:szCs w:val="20"/>
              </w:rPr>
              <w:t>(0.46)</w:t>
            </w:r>
          </w:p>
        </w:tc>
        <w:tc>
          <w:tcPr>
            <w:tcW w:w="864"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5.2%</w:t>
            </w:r>
          </w:p>
        </w:tc>
        <w:tc>
          <w:tcPr>
            <w:tcW w:w="859"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(0.81)</w:t>
            </w:r>
          </w:p>
        </w:tc>
        <w:tc>
          <w:tcPr>
            <w:tcW w:w="892" w:type="dxa"/>
            <w:gridSpan w:val="2"/>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-4.9%</w:t>
            </w:r>
          </w:p>
        </w:tc>
        <w:tc>
          <w:tcPr>
            <w:tcW w:w="851" w:type="dxa"/>
            <w:tcBorders>
              <w:top w:val="nil"/>
              <w:left w:val="nil"/>
              <w:bottom w:val="nil"/>
            </w:tcBorders>
            <w:vAlign w:val="center"/>
          </w:tcPr>
          <w:p w:rsidR="00C022F7" w:rsidRPr="007E60F3" w:rsidRDefault="00C022F7" w:rsidP="00671933">
            <w:pPr>
              <w:jc w:val="right"/>
              <w:rPr>
                <w:rFonts w:eastAsia="Times New Roman" w:cs="Times New Roman"/>
                <w:color w:val="000000"/>
                <w:sz w:val="20"/>
                <w:szCs w:val="20"/>
              </w:rPr>
            </w:pPr>
            <w:r w:rsidRPr="007E60F3">
              <w:rPr>
                <w:color w:val="000000"/>
                <w:sz w:val="20"/>
                <w:szCs w:val="20"/>
              </w:rPr>
              <w:t>(-2.39)</w:t>
            </w:r>
          </w:p>
        </w:tc>
      </w:tr>
      <w:tr w:rsidR="00C022F7" w:rsidRPr="007E60F3" w:rsidTr="002462AF">
        <w:tc>
          <w:tcPr>
            <w:tcW w:w="4608" w:type="dxa"/>
            <w:tcBorders>
              <w:top w:val="nil"/>
              <w:bottom w:val="nil"/>
              <w:right w:val="double" w:sz="4" w:space="0" w:color="auto"/>
            </w:tcBorders>
            <w:vAlign w:val="center"/>
          </w:tcPr>
          <w:p w:rsidR="00C022F7" w:rsidRPr="007E60F3" w:rsidRDefault="00C022F7" w:rsidP="00671933">
            <w:pPr>
              <w:rPr>
                <w:rFonts w:eastAsia="Times New Roman" w:cs="Times New Roman"/>
                <w:color w:val="000000"/>
                <w:sz w:val="20"/>
                <w:szCs w:val="20"/>
              </w:rPr>
            </w:pPr>
            <w:r w:rsidRPr="007E60F3">
              <w:rPr>
                <w:color w:val="000000"/>
                <w:sz w:val="20"/>
                <w:szCs w:val="20"/>
              </w:rPr>
              <w:t xml:space="preserve">Parent in </w:t>
            </w:r>
            <w:r>
              <w:rPr>
                <w:color w:val="000000"/>
                <w:sz w:val="20"/>
                <w:szCs w:val="20"/>
              </w:rPr>
              <w:t xml:space="preserve">transit-rich </w:t>
            </w:r>
            <w:r w:rsidRPr="007E60F3">
              <w:rPr>
                <w:color w:val="000000"/>
                <w:sz w:val="20"/>
                <w:szCs w:val="20"/>
              </w:rPr>
              <w:t xml:space="preserve">city (base: </w:t>
            </w:r>
            <w:r>
              <w:rPr>
                <w:color w:val="000000"/>
                <w:sz w:val="20"/>
                <w:szCs w:val="20"/>
              </w:rPr>
              <w:t>non-</w:t>
            </w:r>
            <w:r w:rsidRPr="007E60F3">
              <w:rPr>
                <w:color w:val="000000"/>
                <w:sz w:val="20"/>
                <w:szCs w:val="20"/>
              </w:rPr>
              <w:t>parent in traditional-city)</w:t>
            </w:r>
          </w:p>
        </w:tc>
        <w:tc>
          <w:tcPr>
            <w:tcW w:w="810"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sz w:val="20"/>
                <w:szCs w:val="20"/>
              </w:rPr>
              <w:t>4.9%</w:t>
            </w:r>
          </w:p>
        </w:tc>
        <w:tc>
          <w:tcPr>
            <w:tcW w:w="869"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sz w:val="20"/>
                <w:szCs w:val="20"/>
              </w:rPr>
              <w:t>(4.35)</w:t>
            </w:r>
          </w:p>
        </w:tc>
        <w:tc>
          <w:tcPr>
            <w:tcW w:w="841" w:type="dxa"/>
            <w:tcBorders>
              <w:top w:val="nil"/>
              <w:left w:val="double" w:sz="4" w:space="0" w:color="auto"/>
              <w:bottom w:val="nil"/>
              <w:right w:val="nil"/>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sz w:val="20"/>
                <w:szCs w:val="20"/>
              </w:rPr>
              <w:t>7.4%</w:t>
            </w:r>
          </w:p>
        </w:tc>
        <w:tc>
          <w:tcPr>
            <w:tcW w:w="900" w:type="dxa"/>
            <w:tcBorders>
              <w:top w:val="nil"/>
              <w:left w:val="nil"/>
              <w:bottom w:val="nil"/>
              <w:right w:val="double" w:sz="4" w:space="0" w:color="auto"/>
            </w:tcBorders>
            <w:vAlign w:val="center"/>
          </w:tcPr>
          <w:p w:rsidR="00C022F7" w:rsidRPr="007E60F3" w:rsidRDefault="00C022F7" w:rsidP="00671933">
            <w:pPr>
              <w:jc w:val="right"/>
              <w:rPr>
                <w:rFonts w:eastAsia="Times New Roman" w:cs="Times New Roman"/>
                <w:color w:val="000000"/>
                <w:sz w:val="20"/>
                <w:szCs w:val="20"/>
              </w:rPr>
            </w:pPr>
            <w:r>
              <w:rPr>
                <w:rFonts w:eastAsia="Times New Roman" w:cs="Times New Roman"/>
                <w:sz w:val="20"/>
                <w:szCs w:val="20"/>
              </w:rPr>
              <w:t>(5.55)</w:t>
            </w:r>
          </w:p>
        </w:tc>
        <w:tc>
          <w:tcPr>
            <w:tcW w:w="819" w:type="dxa"/>
            <w:tcBorders>
              <w:top w:val="nil"/>
              <w:left w:val="double" w:sz="4" w:space="0" w:color="auto"/>
              <w:bottom w:val="nil"/>
              <w:right w:val="nil"/>
            </w:tcBorders>
            <w:vAlign w:val="center"/>
          </w:tcPr>
          <w:p w:rsidR="00C022F7" w:rsidRPr="007E60F3" w:rsidRDefault="00C022F7" w:rsidP="00671933">
            <w:pPr>
              <w:jc w:val="right"/>
              <w:rPr>
                <w:color w:val="000000"/>
                <w:sz w:val="20"/>
                <w:szCs w:val="20"/>
              </w:rPr>
            </w:pPr>
            <w:r>
              <w:rPr>
                <w:sz w:val="20"/>
                <w:szCs w:val="20"/>
              </w:rPr>
              <w:t>8.8%</w:t>
            </w:r>
          </w:p>
        </w:tc>
        <w:tc>
          <w:tcPr>
            <w:tcW w:w="819" w:type="dxa"/>
            <w:tcBorders>
              <w:top w:val="nil"/>
              <w:left w:val="nil"/>
              <w:bottom w:val="nil"/>
              <w:right w:val="double" w:sz="4" w:space="0" w:color="auto"/>
            </w:tcBorders>
            <w:vAlign w:val="center"/>
          </w:tcPr>
          <w:p w:rsidR="00C022F7" w:rsidRPr="007E60F3" w:rsidRDefault="00C022F7" w:rsidP="00671933">
            <w:pPr>
              <w:jc w:val="right"/>
              <w:rPr>
                <w:color w:val="000000"/>
                <w:sz w:val="20"/>
                <w:szCs w:val="20"/>
              </w:rPr>
            </w:pPr>
            <w:r>
              <w:rPr>
                <w:sz w:val="20"/>
                <w:szCs w:val="20"/>
              </w:rPr>
              <w:t>(1.86)</w:t>
            </w:r>
          </w:p>
        </w:tc>
        <w:tc>
          <w:tcPr>
            <w:tcW w:w="864" w:type="dxa"/>
            <w:tcBorders>
              <w:top w:val="nil"/>
              <w:left w:val="double" w:sz="4" w:space="0" w:color="auto"/>
              <w:bottom w:val="nil"/>
              <w:right w:val="nil"/>
            </w:tcBorders>
            <w:vAlign w:val="center"/>
          </w:tcPr>
          <w:p w:rsidR="00C022F7" w:rsidRPr="007E60F3" w:rsidRDefault="00C022F7" w:rsidP="00671933">
            <w:pPr>
              <w:jc w:val="right"/>
              <w:rPr>
                <w:color w:val="000000"/>
                <w:sz w:val="20"/>
                <w:szCs w:val="20"/>
              </w:rPr>
            </w:pPr>
            <w:r>
              <w:rPr>
                <w:sz w:val="20"/>
                <w:szCs w:val="20"/>
              </w:rPr>
              <w:t>-26.2%</w:t>
            </w:r>
          </w:p>
        </w:tc>
        <w:tc>
          <w:tcPr>
            <w:tcW w:w="859" w:type="dxa"/>
            <w:tcBorders>
              <w:top w:val="nil"/>
              <w:left w:val="nil"/>
              <w:bottom w:val="nil"/>
              <w:right w:val="double" w:sz="4" w:space="0" w:color="auto"/>
            </w:tcBorders>
            <w:vAlign w:val="center"/>
          </w:tcPr>
          <w:p w:rsidR="00C022F7" w:rsidRPr="007E60F3" w:rsidRDefault="00C022F7" w:rsidP="00671933">
            <w:pPr>
              <w:jc w:val="right"/>
              <w:rPr>
                <w:color w:val="000000"/>
                <w:sz w:val="20"/>
                <w:szCs w:val="20"/>
              </w:rPr>
            </w:pPr>
            <w:r>
              <w:rPr>
                <w:sz w:val="20"/>
                <w:szCs w:val="20"/>
              </w:rPr>
              <w:t>(-4.77)</w:t>
            </w:r>
          </w:p>
        </w:tc>
        <w:tc>
          <w:tcPr>
            <w:tcW w:w="892" w:type="dxa"/>
            <w:gridSpan w:val="2"/>
            <w:tcBorders>
              <w:top w:val="nil"/>
              <w:left w:val="double" w:sz="4" w:space="0" w:color="auto"/>
              <w:bottom w:val="nil"/>
              <w:right w:val="nil"/>
            </w:tcBorders>
            <w:vAlign w:val="center"/>
          </w:tcPr>
          <w:p w:rsidR="00C022F7" w:rsidRPr="007E60F3" w:rsidRDefault="00C022F7" w:rsidP="00671933">
            <w:pPr>
              <w:jc w:val="right"/>
              <w:rPr>
                <w:color w:val="000000"/>
                <w:sz w:val="20"/>
                <w:szCs w:val="20"/>
              </w:rPr>
            </w:pPr>
            <w:r>
              <w:rPr>
                <w:sz w:val="20"/>
                <w:szCs w:val="20"/>
              </w:rPr>
              <w:t>0.1%</w:t>
            </w:r>
          </w:p>
        </w:tc>
        <w:tc>
          <w:tcPr>
            <w:tcW w:w="851" w:type="dxa"/>
            <w:tcBorders>
              <w:top w:val="nil"/>
              <w:left w:val="nil"/>
              <w:bottom w:val="nil"/>
            </w:tcBorders>
            <w:vAlign w:val="center"/>
          </w:tcPr>
          <w:p w:rsidR="00C022F7" w:rsidRPr="007E60F3" w:rsidRDefault="00C022F7" w:rsidP="00671933">
            <w:pPr>
              <w:jc w:val="right"/>
              <w:rPr>
                <w:color w:val="000000"/>
                <w:sz w:val="20"/>
                <w:szCs w:val="20"/>
              </w:rPr>
            </w:pPr>
            <w:r>
              <w:rPr>
                <w:sz w:val="20"/>
                <w:szCs w:val="20"/>
              </w:rPr>
              <w:t>(0.01)</w:t>
            </w:r>
          </w:p>
        </w:tc>
      </w:tr>
      <w:tr w:rsidR="00C022F7" w:rsidRPr="007E60F3" w:rsidTr="002462AF">
        <w:tc>
          <w:tcPr>
            <w:tcW w:w="4608" w:type="dxa"/>
            <w:tcBorders>
              <w:top w:val="nil"/>
              <w:bottom w:val="double" w:sz="4" w:space="0" w:color="auto"/>
              <w:right w:val="double" w:sz="4" w:space="0" w:color="auto"/>
            </w:tcBorders>
            <w:vAlign w:val="center"/>
          </w:tcPr>
          <w:p w:rsidR="00C022F7" w:rsidRPr="007E60F3" w:rsidRDefault="00C022F7" w:rsidP="00671933">
            <w:pPr>
              <w:rPr>
                <w:rFonts w:eastAsia="Times New Roman" w:cs="Times New Roman"/>
                <w:color w:val="000000"/>
                <w:sz w:val="20"/>
                <w:szCs w:val="20"/>
              </w:rPr>
            </w:pPr>
            <w:r>
              <w:rPr>
                <w:color w:val="000000"/>
                <w:sz w:val="20"/>
                <w:szCs w:val="20"/>
              </w:rPr>
              <w:t xml:space="preserve">Parent in transit-rich </w:t>
            </w:r>
            <w:r w:rsidRPr="007E60F3">
              <w:rPr>
                <w:color w:val="000000"/>
                <w:sz w:val="20"/>
                <w:szCs w:val="20"/>
              </w:rPr>
              <w:t>city (base:</w:t>
            </w:r>
            <w:r>
              <w:rPr>
                <w:color w:val="000000"/>
                <w:sz w:val="20"/>
                <w:szCs w:val="20"/>
              </w:rPr>
              <w:t xml:space="preserve"> non-</w:t>
            </w:r>
            <w:r w:rsidRPr="007E60F3">
              <w:rPr>
                <w:color w:val="000000"/>
                <w:sz w:val="20"/>
                <w:szCs w:val="20"/>
              </w:rPr>
              <w:t>parent</w:t>
            </w:r>
            <w:r>
              <w:rPr>
                <w:color w:val="000000"/>
                <w:sz w:val="20"/>
                <w:szCs w:val="20"/>
              </w:rPr>
              <w:t xml:space="preserve"> in non-traditional city)</w:t>
            </w:r>
          </w:p>
        </w:tc>
        <w:tc>
          <w:tcPr>
            <w:tcW w:w="810" w:type="dxa"/>
            <w:tcBorders>
              <w:top w:val="nil"/>
              <w:left w:val="double" w:sz="4" w:space="0" w:color="auto"/>
              <w:bottom w:val="double" w:sz="4" w:space="0" w:color="auto"/>
              <w:right w:val="nil"/>
            </w:tcBorders>
            <w:vAlign w:val="center"/>
          </w:tcPr>
          <w:p w:rsidR="00C022F7" w:rsidRPr="0052448B" w:rsidRDefault="00C022F7" w:rsidP="00671933">
            <w:pPr>
              <w:jc w:val="right"/>
              <w:rPr>
                <w:rFonts w:eastAsia="Times New Roman" w:cs="Times New Roman"/>
                <w:sz w:val="20"/>
                <w:szCs w:val="20"/>
              </w:rPr>
            </w:pPr>
            <w:r>
              <w:rPr>
                <w:rFonts w:eastAsia="Times New Roman" w:cs="Times New Roman"/>
                <w:sz w:val="20"/>
                <w:szCs w:val="20"/>
              </w:rPr>
              <w:t>1.5%</w:t>
            </w:r>
          </w:p>
        </w:tc>
        <w:tc>
          <w:tcPr>
            <w:tcW w:w="869" w:type="dxa"/>
            <w:tcBorders>
              <w:top w:val="nil"/>
              <w:left w:val="nil"/>
              <w:bottom w:val="double" w:sz="4" w:space="0" w:color="auto"/>
              <w:right w:val="double" w:sz="4" w:space="0" w:color="auto"/>
            </w:tcBorders>
            <w:vAlign w:val="center"/>
          </w:tcPr>
          <w:p w:rsidR="00C022F7" w:rsidRPr="0052448B" w:rsidRDefault="00C022F7" w:rsidP="00671933">
            <w:pPr>
              <w:jc w:val="right"/>
              <w:rPr>
                <w:rFonts w:eastAsia="Times New Roman" w:cs="Times New Roman"/>
                <w:sz w:val="20"/>
                <w:szCs w:val="20"/>
              </w:rPr>
            </w:pPr>
            <w:r>
              <w:rPr>
                <w:rFonts w:eastAsia="Times New Roman" w:cs="Times New Roman"/>
                <w:sz w:val="20"/>
                <w:szCs w:val="20"/>
              </w:rPr>
              <w:t>(1.64)</w:t>
            </w:r>
          </w:p>
        </w:tc>
        <w:tc>
          <w:tcPr>
            <w:tcW w:w="841" w:type="dxa"/>
            <w:tcBorders>
              <w:top w:val="nil"/>
              <w:left w:val="double" w:sz="4" w:space="0" w:color="auto"/>
              <w:bottom w:val="double" w:sz="4" w:space="0" w:color="auto"/>
              <w:right w:val="nil"/>
            </w:tcBorders>
            <w:vAlign w:val="center"/>
          </w:tcPr>
          <w:p w:rsidR="00C022F7" w:rsidRPr="0052448B" w:rsidRDefault="00C022F7" w:rsidP="00671933">
            <w:pPr>
              <w:jc w:val="right"/>
              <w:rPr>
                <w:rFonts w:eastAsia="Times New Roman" w:cs="Times New Roman"/>
                <w:sz w:val="20"/>
                <w:szCs w:val="20"/>
              </w:rPr>
            </w:pPr>
            <w:r>
              <w:rPr>
                <w:rFonts w:eastAsia="Times New Roman" w:cs="Times New Roman"/>
                <w:sz w:val="20"/>
                <w:szCs w:val="20"/>
              </w:rPr>
              <w:t>4.5%</w:t>
            </w:r>
          </w:p>
        </w:tc>
        <w:tc>
          <w:tcPr>
            <w:tcW w:w="900" w:type="dxa"/>
            <w:tcBorders>
              <w:top w:val="nil"/>
              <w:left w:val="nil"/>
              <w:bottom w:val="double" w:sz="4" w:space="0" w:color="auto"/>
              <w:right w:val="double" w:sz="4" w:space="0" w:color="auto"/>
            </w:tcBorders>
            <w:vAlign w:val="center"/>
          </w:tcPr>
          <w:p w:rsidR="00C022F7" w:rsidRPr="0052448B" w:rsidRDefault="00C022F7" w:rsidP="00671933">
            <w:pPr>
              <w:jc w:val="right"/>
              <w:rPr>
                <w:rFonts w:eastAsia="Times New Roman" w:cs="Times New Roman"/>
                <w:sz w:val="20"/>
                <w:szCs w:val="20"/>
              </w:rPr>
            </w:pPr>
            <w:r>
              <w:rPr>
                <w:rFonts w:eastAsia="Times New Roman" w:cs="Times New Roman"/>
                <w:sz w:val="20"/>
                <w:szCs w:val="20"/>
              </w:rPr>
              <w:t>(3.68)</w:t>
            </w:r>
          </w:p>
        </w:tc>
        <w:tc>
          <w:tcPr>
            <w:tcW w:w="819" w:type="dxa"/>
            <w:tcBorders>
              <w:top w:val="nil"/>
              <w:left w:val="double" w:sz="4" w:space="0" w:color="auto"/>
              <w:bottom w:val="double" w:sz="4" w:space="0" w:color="auto"/>
              <w:right w:val="nil"/>
            </w:tcBorders>
            <w:vAlign w:val="center"/>
          </w:tcPr>
          <w:p w:rsidR="00C022F7" w:rsidRPr="0052448B" w:rsidRDefault="00C022F7" w:rsidP="00671933">
            <w:pPr>
              <w:jc w:val="right"/>
              <w:rPr>
                <w:sz w:val="20"/>
                <w:szCs w:val="20"/>
              </w:rPr>
            </w:pPr>
            <w:r>
              <w:rPr>
                <w:sz w:val="20"/>
                <w:szCs w:val="20"/>
              </w:rPr>
              <w:t>-3.9%</w:t>
            </w:r>
          </w:p>
        </w:tc>
        <w:tc>
          <w:tcPr>
            <w:tcW w:w="819" w:type="dxa"/>
            <w:tcBorders>
              <w:top w:val="nil"/>
              <w:left w:val="nil"/>
              <w:bottom w:val="double" w:sz="4" w:space="0" w:color="auto"/>
              <w:right w:val="double" w:sz="4" w:space="0" w:color="auto"/>
            </w:tcBorders>
            <w:vAlign w:val="center"/>
          </w:tcPr>
          <w:p w:rsidR="00C022F7" w:rsidRPr="0052448B" w:rsidRDefault="00C022F7" w:rsidP="00671933">
            <w:pPr>
              <w:jc w:val="right"/>
              <w:rPr>
                <w:sz w:val="20"/>
                <w:szCs w:val="20"/>
              </w:rPr>
            </w:pPr>
            <w:r>
              <w:rPr>
                <w:sz w:val="20"/>
                <w:szCs w:val="20"/>
              </w:rPr>
              <w:t>(-2.02)</w:t>
            </w:r>
          </w:p>
        </w:tc>
        <w:tc>
          <w:tcPr>
            <w:tcW w:w="864" w:type="dxa"/>
            <w:tcBorders>
              <w:top w:val="nil"/>
              <w:left w:val="double" w:sz="4" w:space="0" w:color="auto"/>
              <w:bottom w:val="double" w:sz="4" w:space="0" w:color="auto"/>
              <w:right w:val="nil"/>
            </w:tcBorders>
            <w:vAlign w:val="center"/>
          </w:tcPr>
          <w:p w:rsidR="00C022F7" w:rsidRPr="0052448B" w:rsidRDefault="00C022F7" w:rsidP="00671933">
            <w:pPr>
              <w:jc w:val="right"/>
              <w:rPr>
                <w:sz w:val="20"/>
                <w:szCs w:val="20"/>
              </w:rPr>
            </w:pPr>
            <w:r>
              <w:rPr>
                <w:sz w:val="20"/>
                <w:szCs w:val="20"/>
              </w:rPr>
              <w:t>35.4%</w:t>
            </w:r>
          </w:p>
        </w:tc>
        <w:tc>
          <w:tcPr>
            <w:tcW w:w="859" w:type="dxa"/>
            <w:tcBorders>
              <w:top w:val="nil"/>
              <w:left w:val="nil"/>
              <w:bottom w:val="double" w:sz="4" w:space="0" w:color="auto"/>
              <w:right w:val="double" w:sz="4" w:space="0" w:color="auto"/>
            </w:tcBorders>
            <w:vAlign w:val="center"/>
          </w:tcPr>
          <w:p w:rsidR="00C022F7" w:rsidRPr="0052448B" w:rsidRDefault="00C022F7" w:rsidP="00671933">
            <w:pPr>
              <w:jc w:val="right"/>
              <w:rPr>
                <w:sz w:val="20"/>
                <w:szCs w:val="20"/>
              </w:rPr>
            </w:pPr>
            <w:r>
              <w:rPr>
                <w:sz w:val="20"/>
                <w:szCs w:val="20"/>
              </w:rPr>
              <w:t>(3.79)</w:t>
            </w:r>
          </w:p>
        </w:tc>
        <w:tc>
          <w:tcPr>
            <w:tcW w:w="892" w:type="dxa"/>
            <w:gridSpan w:val="2"/>
            <w:tcBorders>
              <w:top w:val="nil"/>
              <w:left w:val="double" w:sz="4" w:space="0" w:color="auto"/>
              <w:bottom w:val="double" w:sz="4" w:space="0" w:color="auto"/>
              <w:right w:val="nil"/>
            </w:tcBorders>
            <w:vAlign w:val="center"/>
          </w:tcPr>
          <w:p w:rsidR="00C022F7" w:rsidRPr="0052448B" w:rsidRDefault="00C022F7" w:rsidP="00671933">
            <w:pPr>
              <w:jc w:val="right"/>
              <w:rPr>
                <w:sz w:val="20"/>
                <w:szCs w:val="20"/>
              </w:rPr>
            </w:pPr>
            <w:r>
              <w:rPr>
                <w:sz w:val="20"/>
                <w:szCs w:val="20"/>
              </w:rPr>
              <w:t>-10.1%</w:t>
            </w:r>
          </w:p>
        </w:tc>
        <w:tc>
          <w:tcPr>
            <w:tcW w:w="851" w:type="dxa"/>
            <w:tcBorders>
              <w:top w:val="nil"/>
              <w:left w:val="nil"/>
              <w:bottom w:val="double" w:sz="4" w:space="0" w:color="auto"/>
            </w:tcBorders>
            <w:vAlign w:val="center"/>
          </w:tcPr>
          <w:p w:rsidR="00C022F7" w:rsidRPr="0052448B" w:rsidRDefault="00C022F7" w:rsidP="00671933">
            <w:pPr>
              <w:jc w:val="right"/>
              <w:rPr>
                <w:sz w:val="20"/>
                <w:szCs w:val="20"/>
              </w:rPr>
            </w:pPr>
            <w:r>
              <w:rPr>
                <w:sz w:val="20"/>
                <w:szCs w:val="20"/>
              </w:rPr>
              <w:t>(-2.65)</w:t>
            </w:r>
          </w:p>
        </w:tc>
      </w:tr>
    </w:tbl>
    <w:p w:rsidR="00D915C8" w:rsidRDefault="00D915C8" w:rsidP="00EB6060">
      <w:pPr>
        <w:spacing w:after="0" w:line="240" w:lineRule="auto"/>
      </w:pPr>
    </w:p>
    <w:sectPr w:rsidR="00D915C8" w:rsidSect="00671933">
      <w:headerReference w:type="first" r:id="rId2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9A" w:rsidRDefault="00FD4C9A" w:rsidP="00166861">
      <w:pPr>
        <w:spacing w:after="0" w:line="240" w:lineRule="auto"/>
      </w:pPr>
      <w:r>
        <w:separator/>
      </w:r>
    </w:p>
  </w:endnote>
  <w:endnote w:type="continuationSeparator" w:id="0">
    <w:p w:rsidR="00FD4C9A" w:rsidRDefault="00FD4C9A" w:rsidP="0016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60" w:rsidRDefault="00EB6060" w:rsidP="00E9661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9A" w:rsidRDefault="00FD4C9A" w:rsidP="00166861">
      <w:pPr>
        <w:spacing w:after="0" w:line="240" w:lineRule="auto"/>
      </w:pPr>
      <w:r>
        <w:separator/>
      </w:r>
    </w:p>
  </w:footnote>
  <w:footnote w:type="continuationSeparator" w:id="0">
    <w:p w:rsidR="00FD4C9A" w:rsidRDefault="00FD4C9A" w:rsidP="00166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60" w:rsidRPr="00E9661A" w:rsidRDefault="00EB6060">
    <w:pPr>
      <w:pStyle w:val="Header"/>
      <w:rPr>
        <w:sz w:val="22"/>
      </w:rPr>
    </w:pPr>
    <w:r w:rsidRPr="00E9661A">
      <w:rPr>
        <w:sz w:val="22"/>
      </w:rPr>
      <w:t>Lavieri, Garikapati, Bhat, Pendyala</w:t>
    </w:r>
    <w:r w:rsidRPr="00E9661A">
      <w:rPr>
        <w:sz w:val="22"/>
      </w:rPr>
      <w:tab/>
    </w:r>
    <w:r w:rsidRPr="00E9661A">
      <w:rPr>
        <w:sz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60" w:rsidRPr="00DA4AAC" w:rsidRDefault="00EB6060">
    <w:pPr>
      <w:pStyle w:val="Header"/>
      <w:rPr>
        <w:sz w:val="22"/>
      </w:rPr>
    </w:pPr>
    <w:r w:rsidRPr="00DA4AAC">
      <w:rPr>
        <w:sz w:val="22"/>
      </w:rPr>
      <w:t>Lavieri, Garikapati, Bhat, Pendyala</w:t>
    </w:r>
    <w:r w:rsidRPr="00DA4AAC">
      <w:rPr>
        <w:sz w:val="22"/>
      </w:rPr>
      <w:tab/>
    </w:r>
    <w:r w:rsidRPr="00DA4AAC">
      <w:rPr>
        <w:sz w:val="22"/>
      </w:rPr>
      <w:tab/>
    </w:r>
    <w:r w:rsidRPr="00DA4AAC">
      <w:rPr>
        <w:sz w:val="22"/>
      </w:rPr>
      <w:fldChar w:fldCharType="begin"/>
    </w:r>
    <w:r w:rsidRPr="00DA4AAC">
      <w:rPr>
        <w:sz w:val="22"/>
      </w:rPr>
      <w:instrText xml:space="preserve"> PAGE   \* MERGEFORMAT </w:instrText>
    </w:r>
    <w:r w:rsidRPr="00DA4AAC">
      <w:rPr>
        <w:sz w:val="22"/>
      </w:rPr>
      <w:fldChar w:fldCharType="separate"/>
    </w:r>
    <w:r w:rsidR="00442F61">
      <w:rPr>
        <w:noProof/>
        <w:sz w:val="22"/>
      </w:rPr>
      <w:t>15</w:t>
    </w:r>
    <w:r w:rsidRPr="00DA4AAC">
      <w:rPr>
        <w:noProof/>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60" w:rsidRPr="00671933" w:rsidRDefault="00EB6060" w:rsidP="00960381">
    <w:pPr>
      <w:pStyle w:val="Header"/>
      <w:rPr>
        <w:sz w:val="22"/>
      </w:rPr>
    </w:pPr>
    <w:r w:rsidRPr="00671933">
      <w:rPr>
        <w:sz w:val="22"/>
      </w:rPr>
      <w:t>Lavieri, Garikapati, Bhat, Pendyala</w:t>
    </w:r>
    <w:r w:rsidRPr="00671933">
      <w:rPr>
        <w:sz w:val="22"/>
      </w:rPr>
      <w:tab/>
    </w:r>
    <w:r w:rsidRPr="00671933">
      <w:rPr>
        <w:sz w:val="22"/>
      </w:rPr>
      <w:tab/>
    </w:r>
    <w:r w:rsidRPr="00671933">
      <w:rPr>
        <w:sz w:val="22"/>
      </w:rPr>
      <w:fldChar w:fldCharType="begin"/>
    </w:r>
    <w:r w:rsidRPr="00671933">
      <w:rPr>
        <w:sz w:val="22"/>
      </w:rPr>
      <w:instrText xml:space="preserve"> PAGE   \* MERGEFORMAT </w:instrText>
    </w:r>
    <w:r w:rsidRPr="00671933">
      <w:rPr>
        <w:sz w:val="22"/>
      </w:rPr>
      <w:fldChar w:fldCharType="separate"/>
    </w:r>
    <w:r>
      <w:rPr>
        <w:noProof/>
        <w:sz w:val="22"/>
      </w:rPr>
      <w:t>16</w:t>
    </w:r>
    <w:r w:rsidRPr="00671933">
      <w:rPr>
        <w:noProof/>
        <w:sz w:val="22"/>
      </w:rPr>
      <w:fldChar w:fldCharType="end"/>
    </w:r>
  </w:p>
  <w:p w:rsidR="00EB6060" w:rsidRPr="00960381" w:rsidRDefault="00EB6060" w:rsidP="009603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060" w:rsidRPr="00671933" w:rsidRDefault="00EB6060" w:rsidP="00671933">
    <w:pPr>
      <w:pStyle w:val="Header"/>
      <w:tabs>
        <w:tab w:val="clear" w:pos="9360"/>
        <w:tab w:val="right" w:pos="12960"/>
      </w:tabs>
      <w:rPr>
        <w:sz w:val="22"/>
      </w:rPr>
    </w:pPr>
    <w:r w:rsidRPr="00671933">
      <w:rPr>
        <w:sz w:val="22"/>
      </w:rPr>
      <w:t>Lavieri, Garikapati, Bhat, Pendyala</w:t>
    </w:r>
    <w:r w:rsidRPr="00671933">
      <w:rPr>
        <w:sz w:val="22"/>
      </w:rPr>
      <w:tab/>
    </w:r>
    <w:r w:rsidRPr="00671933">
      <w:rPr>
        <w:sz w:val="22"/>
      </w:rPr>
      <w:tab/>
    </w:r>
    <w:r w:rsidRPr="00671933">
      <w:rPr>
        <w:sz w:val="22"/>
      </w:rPr>
      <w:fldChar w:fldCharType="begin"/>
    </w:r>
    <w:r w:rsidRPr="00671933">
      <w:rPr>
        <w:sz w:val="22"/>
      </w:rPr>
      <w:instrText xml:space="preserve"> PAGE   \* MERGEFORMAT </w:instrText>
    </w:r>
    <w:r w:rsidRPr="00671933">
      <w:rPr>
        <w:sz w:val="22"/>
      </w:rPr>
      <w:fldChar w:fldCharType="separate"/>
    </w:r>
    <w:r w:rsidR="00442F61">
      <w:rPr>
        <w:noProof/>
        <w:sz w:val="22"/>
      </w:rPr>
      <w:t>16</w:t>
    </w:r>
    <w:r w:rsidRPr="00671933">
      <w:rPr>
        <w:noProof/>
        <w:sz w:val="22"/>
      </w:rPr>
      <w:fldChar w:fldCharType="end"/>
    </w:r>
  </w:p>
  <w:p w:rsidR="00EB6060" w:rsidRPr="00960381" w:rsidRDefault="00EB6060" w:rsidP="00960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8B8"/>
    <w:multiLevelType w:val="hybridMultilevel"/>
    <w:tmpl w:val="418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C5C2C"/>
    <w:multiLevelType w:val="hybridMultilevel"/>
    <w:tmpl w:val="76F0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35FAA"/>
    <w:multiLevelType w:val="hybridMultilevel"/>
    <w:tmpl w:val="7F02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78F2"/>
    <w:multiLevelType w:val="hybridMultilevel"/>
    <w:tmpl w:val="640C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E3B30"/>
    <w:multiLevelType w:val="hybridMultilevel"/>
    <w:tmpl w:val="A7B6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73820"/>
    <w:multiLevelType w:val="hybridMultilevel"/>
    <w:tmpl w:val="C83E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27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924EAA"/>
    <w:multiLevelType w:val="hybridMultilevel"/>
    <w:tmpl w:val="381E5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F491C"/>
    <w:multiLevelType w:val="hybridMultilevel"/>
    <w:tmpl w:val="97BED878"/>
    <w:lvl w:ilvl="0" w:tplc="E856CD10">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367E7"/>
    <w:multiLevelType w:val="hybridMultilevel"/>
    <w:tmpl w:val="D17C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A416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9D475DE"/>
    <w:multiLevelType w:val="hybridMultilevel"/>
    <w:tmpl w:val="2C8C6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13EEE"/>
    <w:multiLevelType w:val="hybridMultilevel"/>
    <w:tmpl w:val="C5304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348D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1B93802"/>
    <w:multiLevelType w:val="hybridMultilevel"/>
    <w:tmpl w:val="CBE22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96215"/>
    <w:multiLevelType w:val="multilevel"/>
    <w:tmpl w:val="6636B1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E840F2E"/>
    <w:multiLevelType w:val="hybridMultilevel"/>
    <w:tmpl w:val="03B0E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47E85"/>
    <w:multiLevelType w:val="hybridMultilevel"/>
    <w:tmpl w:val="61429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F67EC"/>
    <w:multiLevelType w:val="hybridMultilevel"/>
    <w:tmpl w:val="12CA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D17CB"/>
    <w:multiLevelType w:val="hybridMultilevel"/>
    <w:tmpl w:val="1712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62422"/>
    <w:multiLevelType w:val="hybridMultilevel"/>
    <w:tmpl w:val="D2C44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51683"/>
    <w:multiLevelType w:val="hybridMultilevel"/>
    <w:tmpl w:val="F0FEBFB8"/>
    <w:lvl w:ilvl="0" w:tplc="46EC4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F04C7"/>
    <w:multiLevelType w:val="multilevel"/>
    <w:tmpl w:val="3898A3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00E528B"/>
    <w:multiLevelType w:val="hybridMultilevel"/>
    <w:tmpl w:val="C31C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B1157"/>
    <w:multiLevelType w:val="hybridMultilevel"/>
    <w:tmpl w:val="D5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857334"/>
    <w:multiLevelType w:val="hybridMultilevel"/>
    <w:tmpl w:val="E30E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B4C0D"/>
    <w:multiLevelType w:val="hybridMultilevel"/>
    <w:tmpl w:val="C554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84BCC"/>
    <w:multiLevelType w:val="hybridMultilevel"/>
    <w:tmpl w:val="3876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8D46C4"/>
    <w:multiLevelType w:val="hybridMultilevel"/>
    <w:tmpl w:val="06F690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763364A3"/>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8B513B0"/>
    <w:multiLevelType w:val="hybridMultilevel"/>
    <w:tmpl w:val="E6A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D263CB"/>
    <w:multiLevelType w:val="multilevel"/>
    <w:tmpl w:val="916671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D074DD6"/>
    <w:multiLevelType w:val="hybridMultilevel"/>
    <w:tmpl w:val="A120D7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085D1D"/>
    <w:multiLevelType w:val="multilevel"/>
    <w:tmpl w:val="E4981C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20"/>
  </w:num>
  <w:num w:numId="3">
    <w:abstractNumId w:val="31"/>
  </w:num>
  <w:num w:numId="4">
    <w:abstractNumId w:val="29"/>
  </w:num>
  <w:num w:numId="5">
    <w:abstractNumId w:val="13"/>
  </w:num>
  <w:num w:numId="6">
    <w:abstractNumId w:val="6"/>
  </w:num>
  <w:num w:numId="7">
    <w:abstractNumId w:val="33"/>
  </w:num>
  <w:num w:numId="8">
    <w:abstractNumId w:val="22"/>
  </w:num>
  <w:num w:numId="9">
    <w:abstractNumId w:val="15"/>
  </w:num>
  <w:num w:numId="10">
    <w:abstractNumId w:val="10"/>
  </w:num>
  <w:num w:numId="11">
    <w:abstractNumId w:val="1"/>
  </w:num>
  <w:num w:numId="12">
    <w:abstractNumId w:val="12"/>
  </w:num>
  <w:num w:numId="13">
    <w:abstractNumId w:val="11"/>
  </w:num>
  <w:num w:numId="14">
    <w:abstractNumId w:val="2"/>
  </w:num>
  <w:num w:numId="15">
    <w:abstractNumId w:val="23"/>
  </w:num>
  <w:num w:numId="16">
    <w:abstractNumId w:val="19"/>
  </w:num>
  <w:num w:numId="17">
    <w:abstractNumId w:val="30"/>
  </w:num>
  <w:num w:numId="18">
    <w:abstractNumId w:val="28"/>
  </w:num>
  <w:num w:numId="19">
    <w:abstractNumId w:val="24"/>
  </w:num>
  <w:num w:numId="20">
    <w:abstractNumId w:val="18"/>
  </w:num>
  <w:num w:numId="21">
    <w:abstractNumId w:val="26"/>
  </w:num>
  <w:num w:numId="22">
    <w:abstractNumId w:val="25"/>
  </w:num>
  <w:num w:numId="23">
    <w:abstractNumId w:val="16"/>
  </w:num>
  <w:num w:numId="24">
    <w:abstractNumId w:val="5"/>
  </w:num>
  <w:num w:numId="25">
    <w:abstractNumId w:val="32"/>
  </w:num>
  <w:num w:numId="26">
    <w:abstractNumId w:val="10"/>
  </w:num>
  <w:num w:numId="27">
    <w:abstractNumId w:val="14"/>
  </w:num>
  <w:num w:numId="28">
    <w:abstractNumId w:val="27"/>
  </w:num>
  <w:num w:numId="29">
    <w:abstractNumId w:val="9"/>
  </w:num>
  <w:num w:numId="30">
    <w:abstractNumId w:val="0"/>
  </w:num>
  <w:num w:numId="31">
    <w:abstractNumId w:val="4"/>
  </w:num>
  <w:num w:numId="32">
    <w:abstractNumId w:val="8"/>
  </w:num>
  <w:num w:numId="33">
    <w:abstractNumId w:val="3"/>
  </w:num>
  <w:num w:numId="34">
    <w:abstractNumId w:val="2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AC7"/>
    <w:rsid w:val="000030F7"/>
    <w:rsid w:val="00003D61"/>
    <w:rsid w:val="0000530E"/>
    <w:rsid w:val="0000686B"/>
    <w:rsid w:val="000068D5"/>
    <w:rsid w:val="000075E0"/>
    <w:rsid w:val="00007F65"/>
    <w:rsid w:val="0001408C"/>
    <w:rsid w:val="00014A6A"/>
    <w:rsid w:val="00016D1D"/>
    <w:rsid w:val="00016F3D"/>
    <w:rsid w:val="0001765D"/>
    <w:rsid w:val="000176BD"/>
    <w:rsid w:val="0001791E"/>
    <w:rsid w:val="00023358"/>
    <w:rsid w:val="00023999"/>
    <w:rsid w:val="00024822"/>
    <w:rsid w:val="000256F3"/>
    <w:rsid w:val="00030D7A"/>
    <w:rsid w:val="000321E9"/>
    <w:rsid w:val="00033BEE"/>
    <w:rsid w:val="00035313"/>
    <w:rsid w:val="00036D77"/>
    <w:rsid w:val="000370AC"/>
    <w:rsid w:val="00040724"/>
    <w:rsid w:val="00047267"/>
    <w:rsid w:val="00055EB0"/>
    <w:rsid w:val="000571DB"/>
    <w:rsid w:val="00063BF1"/>
    <w:rsid w:val="0006615D"/>
    <w:rsid w:val="0006785E"/>
    <w:rsid w:val="0006797D"/>
    <w:rsid w:val="0007396C"/>
    <w:rsid w:val="00080CE8"/>
    <w:rsid w:val="00082B3A"/>
    <w:rsid w:val="00084E88"/>
    <w:rsid w:val="000854BF"/>
    <w:rsid w:val="00091A06"/>
    <w:rsid w:val="00091C18"/>
    <w:rsid w:val="00091E05"/>
    <w:rsid w:val="000939BD"/>
    <w:rsid w:val="00093DCE"/>
    <w:rsid w:val="00095ED0"/>
    <w:rsid w:val="000976B7"/>
    <w:rsid w:val="000A19E4"/>
    <w:rsid w:val="000A4341"/>
    <w:rsid w:val="000A6BFD"/>
    <w:rsid w:val="000B1278"/>
    <w:rsid w:val="000B1AC9"/>
    <w:rsid w:val="000B4CAC"/>
    <w:rsid w:val="000C0141"/>
    <w:rsid w:val="000C05C6"/>
    <w:rsid w:val="000C1A1C"/>
    <w:rsid w:val="000C52AD"/>
    <w:rsid w:val="000C5FE0"/>
    <w:rsid w:val="000C7830"/>
    <w:rsid w:val="000E0760"/>
    <w:rsid w:val="000E41DC"/>
    <w:rsid w:val="000F4994"/>
    <w:rsid w:val="000F65AB"/>
    <w:rsid w:val="001000A2"/>
    <w:rsid w:val="001037C4"/>
    <w:rsid w:val="001044CA"/>
    <w:rsid w:val="0010564A"/>
    <w:rsid w:val="0010594F"/>
    <w:rsid w:val="00107520"/>
    <w:rsid w:val="00110169"/>
    <w:rsid w:val="001110B7"/>
    <w:rsid w:val="00113C79"/>
    <w:rsid w:val="00115BBC"/>
    <w:rsid w:val="00117BE4"/>
    <w:rsid w:val="00117C90"/>
    <w:rsid w:val="001231D3"/>
    <w:rsid w:val="00126F56"/>
    <w:rsid w:val="001275B9"/>
    <w:rsid w:val="00145B62"/>
    <w:rsid w:val="00150C9B"/>
    <w:rsid w:val="00152CCA"/>
    <w:rsid w:val="00160209"/>
    <w:rsid w:val="00161CCD"/>
    <w:rsid w:val="00163108"/>
    <w:rsid w:val="0016408E"/>
    <w:rsid w:val="0016419A"/>
    <w:rsid w:val="00166861"/>
    <w:rsid w:val="00167848"/>
    <w:rsid w:val="0016796B"/>
    <w:rsid w:val="00170292"/>
    <w:rsid w:val="001735E4"/>
    <w:rsid w:val="0017714C"/>
    <w:rsid w:val="00183A69"/>
    <w:rsid w:val="0018417B"/>
    <w:rsid w:val="00184FC2"/>
    <w:rsid w:val="00191B56"/>
    <w:rsid w:val="00192174"/>
    <w:rsid w:val="001937F6"/>
    <w:rsid w:val="0019601E"/>
    <w:rsid w:val="001972E5"/>
    <w:rsid w:val="001974B9"/>
    <w:rsid w:val="001A1FEE"/>
    <w:rsid w:val="001A68C2"/>
    <w:rsid w:val="001B31EA"/>
    <w:rsid w:val="001B392C"/>
    <w:rsid w:val="001B41C6"/>
    <w:rsid w:val="001B4D85"/>
    <w:rsid w:val="001B51E5"/>
    <w:rsid w:val="001C1CCC"/>
    <w:rsid w:val="001C5C03"/>
    <w:rsid w:val="001C627D"/>
    <w:rsid w:val="001D179A"/>
    <w:rsid w:val="001D3304"/>
    <w:rsid w:val="001D5BD7"/>
    <w:rsid w:val="001D6A78"/>
    <w:rsid w:val="001E0A50"/>
    <w:rsid w:val="001E102C"/>
    <w:rsid w:val="001E2F82"/>
    <w:rsid w:val="001E31C7"/>
    <w:rsid w:val="001E4693"/>
    <w:rsid w:val="001E4BA4"/>
    <w:rsid w:val="001E5CAA"/>
    <w:rsid w:val="001F170C"/>
    <w:rsid w:val="001F35F2"/>
    <w:rsid w:val="001F3739"/>
    <w:rsid w:val="001F642B"/>
    <w:rsid w:val="00200735"/>
    <w:rsid w:val="00200880"/>
    <w:rsid w:val="00206330"/>
    <w:rsid w:val="002063AF"/>
    <w:rsid w:val="00206EF6"/>
    <w:rsid w:val="00211085"/>
    <w:rsid w:val="00212BD3"/>
    <w:rsid w:val="00215AB1"/>
    <w:rsid w:val="0022195F"/>
    <w:rsid w:val="0022232B"/>
    <w:rsid w:val="002230FA"/>
    <w:rsid w:val="0022375B"/>
    <w:rsid w:val="00226F9F"/>
    <w:rsid w:val="002305FC"/>
    <w:rsid w:val="00230C90"/>
    <w:rsid w:val="00231327"/>
    <w:rsid w:val="002316E1"/>
    <w:rsid w:val="00236FB3"/>
    <w:rsid w:val="00241C87"/>
    <w:rsid w:val="00243C8D"/>
    <w:rsid w:val="00244A0E"/>
    <w:rsid w:val="002462AF"/>
    <w:rsid w:val="00257E5E"/>
    <w:rsid w:val="00260E4A"/>
    <w:rsid w:val="002629AB"/>
    <w:rsid w:val="00263DCE"/>
    <w:rsid w:val="002642A4"/>
    <w:rsid w:val="00266F5A"/>
    <w:rsid w:val="00267A19"/>
    <w:rsid w:val="0027542E"/>
    <w:rsid w:val="00275B16"/>
    <w:rsid w:val="00277151"/>
    <w:rsid w:val="002800B7"/>
    <w:rsid w:val="002816AB"/>
    <w:rsid w:val="00281936"/>
    <w:rsid w:val="00282571"/>
    <w:rsid w:val="002871C0"/>
    <w:rsid w:val="002A41FE"/>
    <w:rsid w:val="002A4E63"/>
    <w:rsid w:val="002B28FF"/>
    <w:rsid w:val="002B4D30"/>
    <w:rsid w:val="002C1EB5"/>
    <w:rsid w:val="002C45BC"/>
    <w:rsid w:val="002C6AFF"/>
    <w:rsid w:val="002C7272"/>
    <w:rsid w:val="002D0BD8"/>
    <w:rsid w:val="002D0F47"/>
    <w:rsid w:val="002D72A5"/>
    <w:rsid w:val="002E4A3D"/>
    <w:rsid w:val="002E6406"/>
    <w:rsid w:val="002F44FC"/>
    <w:rsid w:val="0030047A"/>
    <w:rsid w:val="00307A8F"/>
    <w:rsid w:val="00307D46"/>
    <w:rsid w:val="00312A5E"/>
    <w:rsid w:val="0031762E"/>
    <w:rsid w:val="00317A32"/>
    <w:rsid w:val="00321204"/>
    <w:rsid w:val="00322956"/>
    <w:rsid w:val="00323C56"/>
    <w:rsid w:val="003263AD"/>
    <w:rsid w:val="00327E05"/>
    <w:rsid w:val="00332408"/>
    <w:rsid w:val="003361AD"/>
    <w:rsid w:val="003370E3"/>
    <w:rsid w:val="0034125F"/>
    <w:rsid w:val="00344697"/>
    <w:rsid w:val="0034552F"/>
    <w:rsid w:val="00346554"/>
    <w:rsid w:val="00347999"/>
    <w:rsid w:val="00347F4C"/>
    <w:rsid w:val="00351D86"/>
    <w:rsid w:val="003523CA"/>
    <w:rsid w:val="0035323E"/>
    <w:rsid w:val="003563DC"/>
    <w:rsid w:val="003616B1"/>
    <w:rsid w:val="003616CA"/>
    <w:rsid w:val="00361784"/>
    <w:rsid w:val="00367832"/>
    <w:rsid w:val="003704F0"/>
    <w:rsid w:val="003709E8"/>
    <w:rsid w:val="0037199C"/>
    <w:rsid w:val="0037330E"/>
    <w:rsid w:val="0037388B"/>
    <w:rsid w:val="00374CE4"/>
    <w:rsid w:val="003773F5"/>
    <w:rsid w:val="003778C6"/>
    <w:rsid w:val="00380503"/>
    <w:rsid w:val="00380B0F"/>
    <w:rsid w:val="00381F3B"/>
    <w:rsid w:val="00382F6B"/>
    <w:rsid w:val="00385E6C"/>
    <w:rsid w:val="00391BDE"/>
    <w:rsid w:val="003924AD"/>
    <w:rsid w:val="00394801"/>
    <w:rsid w:val="0039513F"/>
    <w:rsid w:val="00395B0D"/>
    <w:rsid w:val="0039728D"/>
    <w:rsid w:val="0039750B"/>
    <w:rsid w:val="003B3FDC"/>
    <w:rsid w:val="003B4F3C"/>
    <w:rsid w:val="003C4E7D"/>
    <w:rsid w:val="003D4024"/>
    <w:rsid w:val="003D576A"/>
    <w:rsid w:val="003E2ABC"/>
    <w:rsid w:val="003E3C4B"/>
    <w:rsid w:val="003E5878"/>
    <w:rsid w:val="003E5A82"/>
    <w:rsid w:val="003F0102"/>
    <w:rsid w:val="003F2A05"/>
    <w:rsid w:val="003F39AD"/>
    <w:rsid w:val="003F616F"/>
    <w:rsid w:val="00405256"/>
    <w:rsid w:val="00406A8E"/>
    <w:rsid w:val="00406FB6"/>
    <w:rsid w:val="004100CC"/>
    <w:rsid w:val="004121D4"/>
    <w:rsid w:val="00413780"/>
    <w:rsid w:val="00413D0C"/>
    <w:rsid w:val="00414AC4"/>
    <w:rsid w:val="004155AA"/>
    <w:rsid w:val="0041741C"/>
    <w:rsid w:val="00420A53"/>
    <w:rsid w:val="00425E33"/>
    <w:rsid w:val="00426348"/>
    <w:rsid w:val="004272FE"/>
    <w:rsid w:val="00432617"/>
    <w:rsid w:val="00432991"/>
    <w:rsid w:val="004355FC"/>
    <w:rsid w:val="004415C5"/>
    <w:rsid w:val="00441E37"/>
    <w:rsid w:val="00442919"/>
    <w:rsid w:val="00442E3C"/>
    <w:rsid w:val="00442F61"/>
    <w:rsid w:val="00443597"/>
    <w:rsid w:val="00445AB4"/>
    <w:rsid w:val="00446CD1"/>
    <w:rsid w:val="004536B2"/>
    <w:rsid w:val="0045417B"/>
    <w:rsid w:val="004566AB"/>
    <w:rsid w:val="00456914"/>
    <w:rsid w:val="00460FDF"/>
    <w:rsid w:val="004619DA"/>
    <w:rsid w:val="00462545"/>
    <w:rsid w:val="00462ACB"/>
    <w:rsid w:val="0046728D"/>
    <w:rsid w:val="00467BC0"/>
    <w:rsid w:val="00474647"/>
    <w:rsid w:val="00475DE7"/>
    <w:rsid w:val="00477254"/>
    <w:rsid w:val="004806BE"/>
    <w:rsid w:val="0048475D"/>
    <w:rsid w:val="00484FB7"/>
    <w:rsid w:val="00493A69"/>
    <w:rsid w:val="004A15BB"/>
    <w:rsid w:val="004A5829"/>
    <w:rsid w:val="004B611E"/>
    <w:rsid w:val="004B612F"/>
    <w:rsid w:val="004C0742"/>
    <w:rsid w:val="004C12A0"/>
    <w:rsid w:val="004C2C76"/>
    <w:rsid w:val="004C3C63"/>
    <w:rsid w:val="004C671E"/>
    <w:rsid w:val="004D0FE3"/>
    <w:rsid w:val="004D1D8C"/>
    <w:rsid w:val="004E041D"/>
    <w:rsid w:val="004E2FAC"/>
    <w:rsid w:val="004F38AF"/>
    <w:rsid w:val="004F5400"/>
    <w:rsid w:val="005017C1"/>
    <w:rsid w:val="0050478C"/>
    <w:rsid w:val="00513BBF"/>
    <w:rsid w:val="00515B1A"/>
    <w:rsid w:val="005224D1"/>
    <w:rsid w:val="0052348D"/>
    <w:rsid w:val="005257D9"/>
    <w:rsid w:val="005257FB"/>
    <w:rsid w:val="00527346"/>
    <w:rsid w:val="005318B6"/>
    <w:rsid w:val="00532195"/>
    <w:rsid w:val="00532654"/>
    <w:rsid w:val="00532F5B"/>
    <w:rsid w:val="00533F3B"/>
    <w:rsid w:val="00534A5D"/>
    <w:rsid w:val="00542862"/>
    <w:rsid w:val="005434C8"/>
    <w:rsid w:val="005477AD"/>
    <w:rsid w:val="005516EA"/>
    <w:rsid w:val="00552D13"/>
    <w:rsid w:val="005532A9"/>
    <w:rsid w:val="0055339E"/>
    <w:rsid w:val="00553FAF"/>
    <w:rsid w:val="005541C4"/>
    <w:rsid w:val="00556556"/>
    <w:rsid w:val="005572D9"/>
    <w:rsid w:val="00565A80"/>
    <w:rsid w:val="0056769D"/>
    <w:rsid w:val="0057052C"/>
    <w:rsid w:val="00570678"/>
    <w:rsid w:val="00573FCC"/>
    <w:rsid w:val="00577993"/>
    <w:rsid w:val="005811B8"/>
    <w:rsid w:val="005835D9"/>
    <w:rsid w:val="00584CEE"/>
    <w:rsid w:val="005854F4"/>
    <w:rsid w:val="00590C2C"/>
    <w:rsid w:val="00591601"/>
    <w:rsid w:val="00592388"/>
    <w:rsid w:val="00594E4C"/>
    <w:rsid w:val="00597217"/>
    <w:rsid w:val="005A0657"/>
    <w:rsid w:val="005A16F4"/>
    <w:rsid w:val="005A6820"/>
    <w:rsid w:val="005B0EE9"/>
    <w:rsid w:val="005B28B0"/>
    <w:rsid w:val="005B2BE4"/>
    <w:rsid w:val="005B337D"/>
    <w:rsid w:val="005B532E"/>
    <w:rsid w:val="005B59D9"/>
    <w:rsid w:val="005C0813"/>
    <w:rsid w:val="005C15A7"/>
    <w:rsid w:val="005C176A"/>
    <w:rsid w:val="005C235D"/>
    <w:rsid w:val="005C3519"/>
    <w:rsid w:val="005C5424"/>
    <w:rsid w:val="005D2886"/>
    <w:rsid w:val="005D384A"/>
    <w:rsid w:val="005E0214"/>
    <w:rsid w:val="005E0516"/>
    <w:rsid w:val="005E2802"/>
    <w:rsid w:val="005E4C9F"/>
    <w:rsid w:val="005E5C43"/>
    <w:rsid w:val="005E68B4"/>
    <w:rsid w:val="005F714F"/>
    <w:rsid w:val="005F7AB8"/>
    <w:rsid w:val="00600B46"/>
    <w:rsid w:val="006016B4"/>
    <w:rsid w:val="0060624C"/>
    <w:rsid w:val="00607EE3"/>
    <w:rsid w:val="006100FA"/>
    <w:rsid w:val="00610CCF"/>
    <w:rsid w:val="0061118A"/>
    <w:rsid w:val="00611B27"/>
    <w:rsid w:val="0061234C"/>
    <w:rsid w:val="00614DBD"/>
    <w:rsid w:val="00614F3D"/>
    <w:rsid w:val="006164D5"/>
    <w:rsid w:val="006234B7"/>
    <w:rsid w:val="00625CA5"/>
    <w:rsid w:val="0063304A"/>
    <w:rsid w:val="0063371B"/>
    <w:rsid w:val="006339E4"/>
    <w:rsid w:val="006351EF"/>
    <w:rsid w:val="00645EC1"/>
    <w:rsid w:val="00646043"/>
    <w:rsid w:val="00650F6E"/>
    <w:rsid w:val="00652BEE"/>
    <w:rsid w:val="006568C8"/>
    <w:rsid w:val="00661E0A"/>
    <w:rsid w:val="00665AD3"/>
    <w:rsid w:val="00665DD9"/>
    <w:rsid w:val="00671933"/>
    <w:rsid w:val="00672675"/>
    <w:rsid w:val="00673144"/>
    <w:rsid w:val="0067697F"/>
    <w:rsid w:val="00676FC8"/>
    <w:rsid w:val="00677F4B"/>
    <w:rsid w:val="00680EBC"/>
    <w:rsid w:val="00681614"/>
    <w:rsid w:val="0068182A"/>
    <w:rsid w:val="00683BC9"/>
    <w:rsid w:val="006842F5"/>
    <w:rsid w:val="0068539C"/>
    <w:rsid w:val="0069124F"/>
    <w:rsid w:val="00691E05"/>
    <w:rsid w:val="00694778"/>
    <w:rsid w:val="006957CB"/>
    <w:rsid w:val="00697419"/>
    <w:rsid w:val="006A0C58"/>
    <w:rsid w:val="006A2916"/>
    <w:rsid w:val="006B104A"/>
    <w:rsid w:val="006B1E67"/>
    <w:rsid w:val="006C0A1B"/>
    <w:rsid w:val="006C14F5"/>
    <w:rsid w:val="006C2445"/>
    <w:rsid w:val="006C3F92"/>
    <w:rsid w:val="006D0352"/>
    <w:rsid w:val="006D19F7"/>
    <w:rsid w:val="006D3D67"/>
    <w:rsid w:val="006D5688"/>
    <w:rsid w:val="006D5866"/>
    <w:rsid w:val="006D712A"/>
    <w:rsid w:val="006E21CF"/>
    <w:rsid w:val="006E25EA"/>
    <w:rsid w:val="006E31F6"/>
    <w:rsid w:val="006E4832"/>
    <w:rsid w:val="006F0B63"/>
    <w:rsid w:val="006F1205"/>
    <w:rsid w:val="006F1E66"/>
    <w:rsid w:val="006F3097"/>
    <w:rsid w:val="006F3BE4"/>
    <w:rsid w:val="006F5167"/>
    <w:rsid w:val="006F5C0C"/>
    <w:rsid w:val="007003DC"/>
    <w:rsid w:val="007011FB"/>
    <w:rsid w:val="00702F79"/>
    <w:rsid w:val="00704A8C"/>
    <w:rsid w:val="00707E12"/>
    <w:rsid w:val="00711086"/>
    <w:rsid w:val="0071254B"/>
    <w:rsid w:val="00712F9C"/>
    <w:rsid w:val="007155B6"/>
    <w:rsid w:val="00716E6B"/>
    <w:rsid w:val="00725B2F"/>
    <w:rsid w:val="00732DDD"/>
    <w:rsid w:val="00733A23"/>
    <w:rsid w:val="00736684"/>
    <w:rsid w:val="0074300D"/>
    <w:rsid w:val="007444FD"/>
    <w:rsid w:val="00744543"/>
    <w:rsid w:val="00744A2E"/>
    <w:rsid w:val="007564D4"/>
    <w:rsid w:val="00757658"/>
    <w:rsid w:val="00761D56"/>
    <w:rsid w:val="00762F47"/>
    <w:rsid w:val="0076386C"/>
    <w:rsid w:val="00767213"/>
    <w:rsid w:val="00770D2E"/>
    <w:rsid w:val="00773CDD"/>
    <w:rsid w:val="007745CF"/>
    <w:rsid w:val="007802A7"/>
    <w:rsid w:val="007814F8"/>
    <w:rsid w:val="007828A1"/>
    <w:rsid w:val="00784261"/>
    <w:rsid w:val="0078712B"/>
    <w:rsid w:val="00787DCB"/>
    <w:rsid w:val="007911CA"/>
    <w:rsid w:val="00791662"/>
    <w:rsid w:val="007943CC"/>
    <w:rsid w:val="0079538E"/>
    <w:rsid w:val="007974C6"/>
    <w:rsid w:val="007A2B02"/>
    <w:rsid w:val="007A3393"/>
    <w:rsid w:val="007B6DB5"/>
    <w:rsid w:val="007B75F8"/>
    <w:rsid w:val="007C16B3"/>
    <w:rsid w:val="007D578F"/>
    <w:rsid w:val="007E15FA"/>
    <w:rsid w:val="007E283E"/>
    <w:rsid w:val="007E287E"/>
    <w:rsid w:val="007E3E40"/>
    <w:rsid w:val="007E4752"/>
    <w:rsid w:val="007E4C75"/>
    <w:rsid w:val="007E78AE"/>
    <w:rsid w:val="007F13EE"/>
    <w:rsid w:val="007F2957"/>
    <w:rsid w:val="007F6015"/>
    <w:rsid w:val="0080092E"/>
    <w:rsid w:val="0080614D"/>
    <w:rsid w:val="00810543"/>
    <w:rsid w:val="008117C2"/>
    <w:rsid w:val="008130AD"/>
    <w:rsid w:val="00815474"/>
    <w:rsid w:val="00821229"/>
    <w:rsid w:val="00822189"/>
    <w:rsid w:val="008303BA"/>
    <w:rsid w:val="0083083B"/>
    <w:rsid w:val="00830CF7"/>
    <w:rsid w:val="008316BC"/>
    <w:rsid w:val="00831CE0"/>
    <w:rsid w:val="008335E7"/>
    <w:rsid w:val="00835DC0"/>
    <w:rsid w:val="00835ED7"/>
    <w:rsid w:val="008414FE"/>
    <w:rsid w:val="00841A33"/>
    <w:rsid w:val="00842F90"/>
    <w:rsid w:val="00844DBE"/>
    <w:rsid w:val="008513BE"/>
    <w:rsid w:val="008527B6"/>
    <w:rsid w:val="00854C8E"/>
    <w:rsid w:val="00855281"/>
    <w:rsid w:val="00856492"/>
    <w:rsid w:val="00861BC3"/>
    <w:rsid w:val="00867424"/>
    <w:rsid w:val="00867B0D"/>
    <w:rsid w:val="00870767"/>
    <w:rsid w:val="00871954"/>
    <w:rsid w:val="00872308"/>
    <w:rsid w:val="0087296C"/>
    <w:rsid w:val="00874E03"/>
    <w:rsid w:val="00876AB3"/>
    <w:rsid w:val="00876F22"/>
    <w:rsid w:val="00877ED0"/>
    <w:rsid w:val="00880390"/>
    <w:rsid w:val="00883A62"/>
    <w:rsid w:val="00895742"/>
    <w:rsid w:val="008A352D"/>
    <w:rsid w:val="008A38C1"/>
    <w:rsid w:val="008A5BC4"/>
    <w:rsid w:val="008B1AC7"/>
    <w:rsid w:val="008B2C45"/>
    <w:rsid w:val="008B7325"/>
    <w:rsid w:val="008B75A2"/>
    <w:rsid w:val="008C09E6"/>
    <w:rsid w:val="008C546E"/>
    <w:rsid w:val="008D0C87"/>
    <w:rsid w:val="008D5438"/>
    <w:rsid w:val="008E183D"/>
    <w:rsid w:val="008E1DF7"/>
    <w:rsid w:val="008E2D84"/>
    <w:rsid w:val="008E3233"/>
    <w:rsid w:val="008E33C9"/>
    <w:rsid w:val="008E35E4"/>
    <w:rsid w:val="008E4828"/>
    <w:rsid w:val="008E5926"/>
    <w:rsid w:val="008F0299"/>
    <w:rsid w:val="008F1D4B"/>
    <w:rsid w:val="008F5DE2"/>
    <w:rsid w:val="00902F9C"/>
    <w:rsid w:val="0090402C"/>
    <w:rsid w:val="0090474B"/>
    <w:rsid w:val="009058CA"/>
    <w:rsid w:val="00907ADF"/>
    <w:rsid w:val="0091088C"/>
    <w:rsid w:val="00922F01"/>
    <w:rsid w:val="0092358D"/>
    <w:rsid w:val="009239A9"/>
    <w:rsid w:val="00923E87"/>
    <w:rsid w:val="00924CD4"/>
    <w:rsid w:val="0092663D"/>
    <w:rsid w:val="00926F69"/>
    <w:rsid w:val="00927FB1"/>
    <w:rsid w:val="00930224"/>
    <w:rsid w:val="00930277"/>
    <w:rsid w:val="009357FB"/>
    <w:rsid w:val="0093586C"/>
    <w:rsid w:val="00935E2E"/>
    <w:rsid w:val="00940FAB"/>
    <w:rsid w:val="0094359D"/>
    <w:rsid w:val="009457B7"/>
    <w:rsid w:val="0095198D"/>
    <w:rsid w:val="00951B0A"/>
    <w:rsid w:val="00952107"/>
    <w:rsid w:val="00954ACD"/>
    <w:rsid w:val="009552EC"/>
    <w:rsid w:val="009601F8"/>
    <w:rsid w:val="00960381"/>
    <w:rsid w:val="0096249E"/>
    <w:rsid w:val="0096468E"/>
    <w:rsid w:val="0096485A"/>
    <w:rsid w:val="0096641F"/>
    <w:rsid w:val="009737B0"/>
    <w:rsid w:val="00975C5D"/>
    <w:rsid w:val="00976B15"/>
    <w:rsid w:val="0098615E"/>
    <w:rsid w:val="009907A3"/>
    <w:rsid w:val="00990EE9"/>
    <w:rsid w:val="009942D0"/>
    <w:rsid w:val="009974A5"/>
    <w:rsid w:val="009A0DAD"/>
    <w:rsid w:val="009A1E03"/>
    <w:rsid w:val="009A61AB"/>
    <w:rsid w:val="009B2574"/>
    <w:rsid w:val="009B3ACB"/>
    <w:rsid w:val="009C34CA"/>
    <w:rsid w:val="009C5E8E"/>
    <w:rsid w:val="009C7FCC"/>
    <w:rsid w:val="009D1242"/>
    <w:rsid w:val="009D7B53"/>
    <w:rsid w:val="009E23FF"/>
    <w:rsid w:val="009E74CA"/>
    <w:rsid w:val="009F036A"/>
    <w:rsid w:val="009F50FD"/>
    <w:rsid w:val="00A02BE5"/>
    <w:rsid w:val="00A060EF"/>
    <w:rsid w:val="00A125A8"/>
    <w:rsid w:val="00A146C6"/>
    <w:rsid w:val="00A169B3"/>
    <w:rsid w:val="00A21BA0"/>
    <w:rsid w:val="00A22605"/>
    <w:rsid w:val="00A2420C"/>
    <w:rsid w:val="00A24F25"/>
    <w:rsid w:val="00A259CF"/>
    <w:rsid w:val="00A329A4"/>
    <w:rsid w:val="00A354F1"/>
    <w:rsid w:val="00A36C16"/>
    <w:rsid w:val="00A36C18"/>
    <w:rsid w:val="00A378DE"/>
    <w:rsid w:val="00A40659"/>
    <w:rsid w:val="00A407F7"/>
    <w:rsid w:val="00A40879"/>
    <w:rsid w:val="00A42112"/>
    <w:rsid w:val="00A43E69"/>
    <w:rsid w:val="00A45612"/>
    <w:rsid w:val="00A46186"/>
    <w:rsid w:val="00A46496"/>
    <w:rsid w:val="00A50AF6"/>
    <w:rsid w:val="00A5415F"/>
    <w:rsid w:val="00A55672"/>
    <w:rsid w:val="00A56A2B"/>
    <w:rsid w:val="00A56A6C"/>
    <w:rsid w:val="00A56D56"/>
    <w:rsid w:val="00A5795A"/>
    <w:rsid w:val="00A579BC"/>
    <w:rsid w:val="00A6069F"/>
    <w:rsid w:val="00A6140E"/>
    <w:rsid w:val="00A616A9"/>
    <w:rsid w:val="00A64C01"/>
    <w:rsid w:val="00A715F7"/>
    <w:rsid w:val="00A71E94"/>
    <w:rsid w:val="00A71F33"/>
    <w:rsid w:val="00A725B1"/>
    <w:rsid w:val="00A72669"/>
    <w:rsid w:val="00A730C0"/>
    <w:rsid w:val="00A730E8"/>
    <w:rsid w:val="00A73A9D"/>
    <w:rsid w:val="00A73DE4"/>
    <w:rsid w:val="00A75F12"/>
    <w:rsid w:val="00A76FA7"/>
    <w:rsid w:val="00A8017E"/>
    <w:rsid w:val="00A82E70"/>
    <w:rsid w:val="00A83511"/>
    <w:rsid w:val="00A873B8"/>
    <w:rsid w:val="00A907EA"/>
    <w:rsid w:val="00A90F0E"/>
    <w:rsid w:val="00A9201F"/>
    <w:rsid w:val="00A93B27"/>
    <w:rsid w:val="00A940DD"/>
    <w:rsid w:val="00A95AB0"/>
    <w:rsid w:val="00A95B8E"/>
    <w:rsid w:val="00A95F06"/>
    <w:rsid w:val="00A97B26"/>
    <w:rsid w:val="00AA4AD6"/>
    <w:rsid w:val="00AA55ED"/>
    <w:rsid w:val="00AA5627"/>
    <w:rsid w:val="00AA67F1"/>
    <w:rsid w:val="00AB2614"/>
    <w:rsid w:val="00AB7957"/>
    <w:rsid w:val="00AC2586"/>
    <w:rsid w:val="00AC4C2C"/>
    <w:rsid w:val="00AD16C3"/>
    <w:rsid w:val="00AD2BCC"/>
    <w:rsid w:val="00AD42FF"/>
    <w:rsid w:val="00AD63DA"/>
    <w:rsid w:val="00AD6940"/>
    <w:rsid w:val="00AD7B38"/>
    <w:rsid w:val="00AE3CFE"/>
    <w:rsid w:val="00AE5EB8"/>
    <w:rsid w:val="00AF3661"/>
    <w:rsid w:val="00AF4DBF"/>
    <w:rsid w:val="00AF6D80"/>
    <w:rsid w:val="00B008C3"/>
    <w:rsid w:val="00B0290F"/>
    <w:rsid w:val="00B0421B"/>
    <w:rsid w:val="00B06A88"/>
    <w:rsid w:val="00B10093"/>
    <w:rsid w:val="00B13AF0"/>
    <w:rsid w:val="00B15007"/>
    <w:rsid w:val="00B2124E"/>
    <w:rsid w:val="00B22311"/>
    <w:rsid w:val="00B239DA"/>
    <w:rsid w:val="00B2466B"/>
    <w:rsid w:val="00B24754"/>
    <w:rsid w:val="00B26544"/>
    <w:rsid w:val="00B271F1"/>
    <w:rsid w:val="00B27938"/>
    <w:rsid w:val="00B31943"/>
    <w:rsid w:val="00B34F6C"/>
    <w:rsid w:val="00B352E3"/>
    <w:rsid w:val="00B414F6"/>
    <w:rsid w:val="00B4585D"/>
    <w:rsid w:val="00B5171C"/>
    <w:rsid w:val="00B5389B"/>
    <w:rsid w:val="00B618D1"/>
    <w:rsid w:val="00B6253F"/>
    <w:rsid w:val="00B62853"/>
    <w:rsid w:val="00B63563"/>
    <w:rsid w:val="00B63582"/>
    <w:rsid w:val="00B64961"/>
    <w:rsid w:val="00B64B4D"/>
    <w:rsid w:val="00B71EC3"/>
    <w:rsid w:val="00B73EC5"/>
    <w:rsid w:val="00B76517"/>
    <w:rsid w:val="00B77F08"/>
    <w:rsid w:val="00B834A9"/>
    <w:rsid w:val="00B851AD"/>
    <w:rsid w:val="00B865A7"/>
    <w:rsid w:val="00B86D72"/>
    <w:rsid w:val="00B86EDC"/>
    <w:rsid w:val="00B93ADE"/>
    <w:rsid w:val="00B9442F"/>
    <w:rsid w:val="00B952B8"/>
    <w:rsid w:val="00BA4374"/>
    <w:rsid w:val="00BA5AB3"/>
    <w:rsid w:val="00BB4454"/>
    <w:rsid w:val="00BB6052"/>
    <w:rsid w:val="00BC0D01"/>
    <w:rsid w:val="00BC1C6E"/>
    <w:rsid w:val="00BC1F74"/>
    <w:rsid w:val="00BC20CF"/>
    <w:rsid w:val="00BC3277"/>
    <w:rsid w:val="00BC3780"/>
    <w:rsid w:val="00BC4E27"/>
    <w:rsid w:val="00BC4E65"/>
    <w:rsid w:val="00BC79A3"/>
    <w:rsid w:val="00BC7AEF"/>
    <w:rsid w:val="00BD1297"/>
    <w:rsid w:val="00BE0C0C"/>
    <w:rsid w:val="00BE149F"/>
    <w:rsid w:val="00BE5471"/>
    <w:rsid w:val="00BE7058"/>
    <w:rsid w:val="00BE7519"/>
    <w:rsid w:val="00BF21F4"/>
    <w:rsid w:val="00BF341B"/>
    <w:rsid w:val="00BF4CF5"/>
    <w:rsid w:val="00C022F7"/>
    <w:rsid w:val="00C0314D"/>
    <w:rsid w:val="00C0414B"/>
    <w:rsid w:val="00C054D2"/>
    <w:rsid w:val="00C07559"/>
    <w:rsid w:val="00C179BB"/>
    <w:rsid w:val="00C20288"/>
    <w:rsid w:val="00C21215"/>
    <w:rsid w:val="00C2219D"/>
    <w:rsid w:val="00C24646"/>
    <w:rsid w:val="00C24EAE"/>
    <w:rsid w:val="00C26BC4"/>
    <w:rsid w:val="00C31095"/>
    <w:rsid w:val="00C34C3B"/>
    <w:rsid w:val="00C4052A"/>
    <w:rsid w:val="00C41307"/>
    <w:rsid w:val="00C42659"/>
    <w:rsid w:val="00C439BE"/>
    <w:rsid w:val="00C4467C"/>
    <w:rsid w:val="00C50462"/>
    <w:rsid w:val="00C50808"/>
    <w:rsid w:val="00C56D08"/>
    <w:rsid w:val="00C60C08"/>
    <w:rsid w:val="00C651F8"/>
    <w:rsid w:val="00C65872"/>
    <w:rsid w:val="00C66A99"/>
    <w:rsid w:val="00C710FE"/>
    <w:rsid w:val="00C76733"/>
    <w:rsid w:val="00C80F21"/>
    <w:rsid w:val="00C85E79"/>
    <w:rsid w:val="00C87196"/>
    <w:rsid w:val="00C94691"/>
    <w:rsid w:val="00C94819"/>
    <w:rsid w:val="00C972AA"/>
    <w:rsid w:val="00CA1AED"/>
    <w:rsid w:val="00CA3C82"/>
    <w:rsid w:val="00CA67CE"/>
    <w:rsid w:val="00CA780B"/>
    <w:rsid w:val="00CB0377"/>
    <w:rsid w:val="00CB182D"/>
    <w:rsid w:val="00CB1FEE"/>
    <w:rsid w:val="00CB207F"/>
    <w:rsid w:val="00CB2AD2"/>
    <w:rsid w:val="00CB2D0C"/>
    <w:rsid w:val="00CC19E2"/>
    <w:rsid w:val="00CC2308"/>
    <w:rsid w:val="00CC3143"/>
    <w:rsid w:val="00CD0019"/>
    <w:rsid w:val="00CD0796"/>
    <w:rsid w:val="00CD1491"/>
    <w:rsid w:val="00CD313A"/>
    <w:rsid w:val="00CD61D4"/>
    <w:rsid w:val="00CD661F"/>
    <w:rsid w:val="00CD7C2D"/>
    <w:rsid w:val="00CE1F66"/>
    <w:rsid w:val="00CF0E45"/>
    <w:rsid w:val="00CF4120"/>
    <w:rsid w:val="00CF5437"/>
    <w:rsid w:val="00CF7F83"/>
    <w:rsid w:val="00D00173"/>
    <w:rsid w:val="00D00ED2"/>
    <w:rsid w:val="00D04ADA"/>
    <w:rsid w:val="00D053E1"/>
    <w:rsid w:val="00D05E75"/>
    <w:rsid w:val="00D06B3A"/>
    <w:rsid w:val="00D070AE"/>
    <w:rsid w:val="00D11444"/>
    <w:rsid w:val="00D11544"/>
    <w:rsid w:val="00D1193B"/>
    <w:rsid w:val="00D1223B"/>
    <w:rsid w:val="00D14157"/>
    <w:rsid w:val="00D17973"/>
    <w:rsid w:val="00D21BCB"/>
    <w:rsid w:val="00D266BB"/>
    <w:rsid w:val="00D3170A"/>
    <w:rsid w:val="00D32D36"/>
    <w:rsid w:val="00D3503D"/>
    <w:rsid w:val="00D36244"/>
    <w:rsid w:val="00D42D86"/>
    <w:rsid w:val="00D4559E"/>
    <w:rsid w:val="00D479C8"/>
    <w:rsid w:val="00D569DD"/>
    <w:rsid w:val="00D6020B"/>
    <w:rsid w:val="00D60792"/>
    <w:rsid w:val="00D668A1"/>
    <w:rsid w:val="00D67437"/>
    <w:rsid w:val="00D6782C"/>
    <w:rsid w:val="00D70B47"/>
    <w:rsid w:val="00D7184D"/>
    <w:rsid w:val="00D72C1B"/>
    <w:rsid w:val="00D7449D"/>
    <w:rsid w:val="00D74671"/>
    <w:rsid w:val="00D746C5"/>
    <w:rsid w:val="00D74A7E"/>
    <w:rsid w:val="00D75190"/>
    <w:rsid w:val="00D75EC5"/>
    <w:rsid w:val="00D76666"/>
    <w:rsid w:val="00D76BD1"/>
    <w:rsid w:val="00D82A3F"/>
    <w:rsid w:val="00D835A7"/>
    <w:rsid w:val="00D870F0"/>
    <w:rsid w:val="00D91167"/>
    <w:rsid w:val="00D914B2"/>
    <w:rsid w:val="00D915C8"/>
    <w:rsid w:val="00D9166B"/>
    <w:rsid w:val="00D92FCB"/>
    <w:rsid w:val="00D93807"/>
    <w:rsid w:val="00D94A53"/>
    <w:rsid w:val="00D95415"/>
    <w:rsid w:val="00D97781"/>
    <w:rsid w:val="00DA1B88"/>
    <w:rsid w:val="00DA294A"/>
    <w:rsid w:val="00DA48CF"/>
    <w:rsid w:val="00DA4AAC"/>
    <w:rsid w:val="00DA715C"/>
    <w:rsid w:val="00DB2366"/>
    <w:rsid w:val="00DC0BD9"/>
    <w:rsid w:val="00DC2567"/>
    <w:rsid w:val="00DC570E"/>
    <w:rsid w:val="00DC741D"/>
    <w:rsid w:val="00DC7B09"/>
    <w:rsid w:val="00DD1893"/>
    <w:rsid w:val="00DD1F63"/>
    <w:rsid w:val="00DD24D5"/>
    <w:rsid w:val="00DD5A82"/>
    <w:rsid w:val="00DD6CC2"/>
    <w:rsid w:val="00DE0B24"/>
    <w:rsid w:val="00DE0D1E"/>
    <w:rsid w:val="00DE3510"/>
    <w:rsid w:val="00DE4483"/>
    <w:rsid w:val="00DE550B"/>
    <w:rsid w:val="00DF030C"/>
    <w:rsid w:val="00DF0B33"/>
    <w:rsid w:val="00E00293"/>
    <w:rsid w:val="00E07A67"/>
    <w:rsid w:val="00E1167D"/>
    <w:rsid w:val="00E124A7"/>
    <w:rsid w:val="00E13839"/>
    <w:rsid w:val="00E1456A"/>
    <w:rsid w:val="00E1756D"/>
    <w:rsid w:val="00E21EE9"/>
    <w:rsid w:val="00E2300B"/>
    <w:rsid w:val="00E27951"/>
    <w:rsid w:val="00E30680"/>
    <w:rsid w:val="00E3182F"/>
    <w:rsid w:val="00E3520D"/>
    <w:rsid w:val="00E407ED"/>
    <w:rsid w:val="00E428CF"/>
    <w:rsid w:val="00E4354E"/>
    <w:rsid w:val="00E449C6"/>
    <w:rsid w:val="00E4549E"/>
    <w:rsid w:val="00E47714"/>
    <w:rsid w:val="00E50C6E"/>
    <w:rsid w:val="00E52223"/>
    <w:rsid w:val="00E53DC7"/>
    <w:rsid w:val="00E54871"/>
    <w:rsid w:val="00E55368"/>
    <w:rsid w:val="00E55FB7"/>
    <w:rsid w:val="00E60BC0"/>
    <w:rsid w:val="00E60D3C"/>
    <w:rsid w:val="00E61B99"/>
    <w:rsid w:val="00E6410F"/>
    <w:rsid w:val="00E668A6"/>
    <w:rsid w:val="00E67AF5"/>
    <w:rsid w:val="00E70A7F"/>
    <w:rsid w:val="00E70DEA"/>
    <w:rsid w:val="00E76B77"/>
    <w:rsid w:val="00E806C7"/>
    <w:rsid w:val="00E81C38"/>
    <w:rsid w:val="00E8647A"/>
    <w:rsid w:val="00E864B1"/>
    <w:rsid w:val="00E86543"/>
    <w:rsid w:val="00E86721"/>
    <w:rsid w:val="00E9175F"/>
    <w:rsid w:val="00E926B5"/>
    <w:rsid w:val="00E93AAB"/>
    <w:rsid w:val="00E948E6"/>
    <w:rsid w:val="00E94B1B"/>
    <w:rsid w:val="00E9661A"/>
    <w:rsid w:val="00EA2134"/>
    <w:rsid w:val="00EA21BE"/>
    <w:rsid w:val="00EA5BF7"/>
    <w:rsid w:val="00EB5A17"/>
    <w:rsid w:val="00EB6060"/>
    <w:rsid w:val="00EB7824"/>
    <w:rsid w:val="00EC6936"/>
    <w:rsid w:val="00ED21D2"/>
    <w:rsid w:val="00ED2D93"/>
    <w:rsid w:val="00ED6250"/>
    <w:rsid w:val="00ED63A2"/>
    <w:rsid w:val="00EE046C"/>
    <w:rsid w:val="00EE2838"/>
    <w:rsid w:val="00EE321C"/>
    <w:rsid w:val="00EE4E08"/>
    <w:rsid w:val="00EF0EA6"/>
    <w:rsid w:val="00EF1459"/>
    <w:rsid w:val="00EF28A3"/>
    <w:rsid w:val="00EF6F29"/>
    <w:rsid w:val="00EF7D83"/>
    <w:rsid w:val="00F01260"/>
    <w:rsid w:val="00F021F8"/>
    <w:rsid w:val="00F02F2E"/>
    <w:rsid w:val="00F10083"/>
    <w:rsid w:val="00F12FCC"/>
    <w:rsid w:val="00F13996"/>
    <w:rsid w:val="00F146E6"/>
    <w:rsid w:val="00F15078"/>
    <w:rsid w:val="00F1585C"/>
    <w:rsid w:val="00F20C5F"/>
    <w:rsid w:val="00F253F5"/>
    <w:rsid w:val="00F26F19"/>
    <w:rsid w:val="00F30C50"/>
    <w:rsid w:val="00F33558"/>
    <w:rsid w:val="00F34506"/>
    <w:rsid w:val="00F4515B"/>
    <w:rsid w:val="00F5065C"/>
    <w:rsid w:val="00F6005D"/>
    <w:rsid w:val="00F62AD8"/>
    <w:rsid w:val="00F634E3"/>
    <w:rsid w:val="00F645B9"/>
    <w:rsid w:val="00F6539C"/>
    <w:rsid w:val="00F6629F"/>
    <w:rsid w:val="00F66E90"/>
    <w:rsid w:val="00F71723"/>
    <w:rsid w:val="00F71BCE"/>
    <w:rsid w:val="00F73584"/>
    <w:rsid w:val="00F74CB8"/>
    <w:rsid w:val="00F75334"/>
    <w:rsid w:val="00F80BA8"/>
    <w:rsid w:val="00F82F5B"/>
    <w:rsid w:val="00F90C72"/>
    <w:rsid w:val="00F91230"/>
    <w:rsid w:val="00F9227B"/>
    <w:rsid w:val="00F9324F"/>
    <w:rsid w:val="00F934D5"/>
    <w:rsid w:val="00F94508"/>
    <w:rsid w:val="00F951C1"/>
    <w:rsid w:val="00F959D7"/>
    <w:rsid w:val="00F968D1"/>
    <w:rsid w:val="00FA0496"/>
    <w:rsid w:val="00FA049E"/>
    <w:rsid w:val="00FA1391"/>
    <w:rsid w:val="00FA1DC4"/>
    <w:rsid w:val="00FA5F27"/>
    <w:rsid w:val="00FA687C"/>
    <w:rsid w:val="00FA77E5"/>
    <w:rsid w:val="00FB4D78"/>
    <w:rsid w:val="00FB67F4"/>
    <w:rsid w:val="00FB788E"/>
    <w:rsid w:val="00FC0A94"/>
    <w:rsid w:val="00FC2029"/>
    <w:rsid w:val="00FC287D"/>
    <w:rsid w:val="00FC6192"/>
    <w:rsid w:val="00FC76FA"/>
    <w:rsid w:val="00FC7D89"/>
    <w:rsid w:val="00FD0930"/>
    <w:rsid w:val="00FD1AD1"/>
    <w:rsid w:val="00FD3E08"/>
    <w:rsid w:val="00FD4C9A"/>
    <w:rsid w:val="00FD4FFB"/>
    <w:rsid w:val="00FD50CC"/>
    <w:rsid w:val="00FD59A1"/>
    <w:rsid w:val="00FE009B"/>
    <w:rsid w:val="00FE07B6"/>
    <w:rsid w:val="00FE0C75"/>
    <w:rsid w:val="00FE2A46"/>
    <w:rsid w:val="00FF0912"/>
    <w:rsid w:val="00FF0BFF"/>
    <w:rsid w:val="00FF0F85"/>
    <w:rsid w:val="00FF3FE1"/>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1AFC99-19C9-4BA7-ADEB-45249A75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830"/>
    <w:rPr>
      <w:rFonts w:ascii="Times New Roman" w:hAnsi="Times New Roman"/>
      <w:sz w:val="24"/>
    </w:rPr>
  </w:style>
  <w:style w:type="paragraph" w:styleId="Heading1">
    <w:name w:val="heading 1"/>
    <w:basedOn w:val="Normal"/>
    <w:next w:val="Normal"/>
    <w:link w:val="Heading1Char"/>
    <w:uiPriority w:val="9"/>
    <w:qFormat/>
    <w:rsid w:val="000C7830"/>
    <w:pPr>
      <w:keepNext/>
      <w:keepLines/>
      <w:numPr>
        <w:numId w:val="10"/>
      </w:numPr>
      <w:spacing w:before="480" w:after="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D67437"/>
    <w:pPr>
      <w:keepNext/>
      <w:keepLines/>
      <w:numPr>
        <w:ilvl w:val="1"/>
        <w:numId w:val="10"/>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5C235D"/>
    <w:pPr>
      <w:keepNext/>
      <w:keepLines/>
      <w:numPr>
        <w:ilvl w:val="2"/>
        <w:numId w:val="10"/>
      </w:numPr>
      <w:spacing w:before="200" w:after="0"/>
      <w:outlineLvl w:val="2"/>
    </w:pPr>
    <w:rPr>
      <w:rFonts w:eastAsiaTheme="majorEastAsia" w:cstheme="majorBidi"/>
      <w:bCs/>
      <w:i/>
    </w:rPr>
  </w:style>
  <w:style w:type="paragraph" w:styleId="Heading4">
    <w:name w:val="heading 4"/>
    <w:basedOn w:val="Normal"/>
    <w:next w:val="Normal"/>
    <w:link w:val="Heading4Char"/>
    <w:uiPriority w:val="9"/>
    <w:unhideWhenUsed/>
    <w:qFormat/>
    <w:rsid w:val="00D67437"/>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437"/>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67437"/>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67437"/>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7437"/>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7437"/>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B1AC7"/>
  </w:style>
  <w:style w:type="character" w:customStyle="1" w:styleId="Heading1Char">
    <w:name w:val="Heading 1 Char"/>
    <w:basedOn w:val="DefaultParagraphFont"/>
    <w:link w:val="Heading1"/>
    <w:uiPriority w:val="9"/>
    <w:rsid w:val="000C7830"/>
    <w:rPr>
      <w:rFonts w:ascii="Times New Roman" w:eastAsiaTheme="majorEastAsia" w:hAnsi="Times New Roman" w:cstheme="majorBidi"/>
      <w:b/>
      <w:bCs/>
      <w:caps/>
      <w:sz w:val="24"/>
      <w:szCs w:val="28"/>
    </w:rPr>
  </w:style>
  <w:style w:type="paragraph" w:styleId="ListParagraph">
    <w:name w:val="List Paragraph"/>
    <w:basedOn w:val="Normal"/>
    <w:uiPriority w:val="99"/>
    <w:qFormat/>
    <w:rsid w:val="00D67437"/>
    <w:pPr>
      <w:spacing w:after="160" w:line="259" w:lineRule="auto"/>
      <w:ind w:left="720"/>
      <w:contextualSpacing/>
      <w:jc w:val="both"/>
    </w:pPr>
  </w:style>
  <w:style w:type="character" w:customStyle="1" w:styleId="Heading2Char">
    <w:name w:val="Heading 2 Char"/>
    <w:basedOn w:val="DefaultParagraphFont"/>
    <w:link w:val="Heading2"/>
    <w:uiPriority w:val="9"/>
    <w:rsid w:val="00D67437"/>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5C235D"/>
    <w:rPr>
      <w:rFonts w:ascii="Times New Roman" w:eastAsiaTheme="majorEastAsia" w:hAnsi="Times New Roman" w:cstheme="majorBidi"/>
      <w:bCs/>
      <w:i/>
      <w:sz w:val="24"/>
    </w:rPr>
  </w:style>
  <w:style w:type="character" w:customStyle="1" w:styleId="Heading4Char">
    <w:name w:val="Heading 4 Char"/>
    <w:basedOn w:val="DefaultParagraphFont"/>
    <w:link w:val="Heading4"/>
    <w:uiPriority w:val="9"/>
    <w:rsid w:val="00D6743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D6743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D6743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6743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6743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743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5A1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6F4"/>
    <w:rPr>
      <w:rFonts w:ascii="Tahoma" w:hAnsi="Tahoma" w:cs="Tahoma"/>
      <w:sz w:val="16"/>
      <w:szCs w:val="16"/>
    </w:rPr>
  </w:style>
  <w:style w:type="paragraph" w:styleId="Caption">
    <w:name w:val="caption"/>
    <w:basedOn w:val="Normal"/>
    <w:next w:val="Normal"/>
    <w:uiPriority w:val="35"/>
    <w:unhideWhenUsed/>
    <w:qFormat/>
    <w:rsid w:val="00E9175F"/>
    <w:pPr>
      <w:spacing w:line="240" w:lineRule="auto"/>
    </w:pPr>
    <w:rPr>
      <w:b/>
      <w:bCs/>
      <w:color w:val="4F81BD" w:themeColor="accent1"/>
      <w:sz w:val="18"/>
      <w:szCs w:val="18"/>
    </w:rPr>
  </w:style>
  <w:style w:type="character" w:styleId="Hyperlink">
    <w:name w:val="Hyperlink"/>
    <w:basedOn w:val="DefaultParagraphFont"/>
    <w:uiPriority w:val="99"/>
    <w:unhideWhenUsed/>
    <w:rsid w:val="008E35E4"/>
    <w:rPr>
      <w:color w:val="0000FF" w:themeColor="hyperlink"/>
      <w:u w:val="single"/>
    </w:rPr>
  </w:style>
  <w:style w:type="paragraph" w:styleId="Header">
    <w:name w:val="header"/>
    <w:basedOn w:val="Normal"/>
    <w:link w:val="HeaderChar"/>
    <w:uiPriority w:val="99"/>
    <w:unhideWhenUsed/>
    <w:rsid w:val="00166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861"/>
    <w:rPr>
      <w:rFonts w:ascii="Times New Roman" w:hAnsi="Times New Roman"/>
      <w:sz w:val="24"/>
    </w:rPr>
  </w:style>
  <w:style w:type="paragraph" w:styleId="Footer">
    <w:name w:val="footer"/>
    <w:basedOn w:val="Normal"/>
    <w:link w:val="FooterChar"/>
    <w:uiPriority w:val="99"/>
    <w:unhideWhenUsed/>
    <w:rsid w:val="0016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861"/>
    <w:rPr>
      <w:rFonts w:ascii="Times New Roman" w:hAnsi="Times New Roman"/>
      <w:sz w:val="24"/>
    </w:rPr>
  </w:style>
  <w:style w:type="character" w:styleId="FollowedHyperlink">
    <w:name w:val="FollowedHyperlink"/>
    <w:basedOn w:val="DefaultParagraphFont"/>
    <w:uiPriority w:val="99"/>
    <w:semiHidden/>
    <w:unhideWhenUsed/>
    <w:rsid w:val="00E54871"/>
    <w:rPr>
      <w:color w:val="800080" w:themeColor="followedHyperlink"/>
      <w:u w:val="single"/>
    </w:rPr>
  </w:style>
  <w:style w:type="character" w:styleId="LineNumber">
    <w:name w:val="line number"/>
    <w:basedOn w:val="DefaultParagraphFont"/>
    <w:uiPriority w:val="99"/>
    <w:semiHidden/>
    <w:unhideWhenUsed/>
    <w:rsid w:val="004C0742"/>
  </w:style>
  <w:style w:type="character" w:styleId="CommentReference">
    <w:name w:val="annotation reference"/>
    <w:basedOn w:val="DefaultParagraphFont"/>
    <w:uiPriority w:val="99"/>
    <w:semiHidden/>
    <w:unhideWhenUsed/>
    <w:rsid w:val="00570678"/>
    <w:rPr>
      <w:sz w:val="16"/>
      <w:szCs w:val="16"/>
    </w:rPr>
  </w:style>
  <w:style w:type="paragraph" w:styleId="CommentText">
    <w:name w:val="annotation text"/>
    <w:basedOn w:val="Normal"/>
    <w:link w:val="CommentTextChar"/>
    <w:uiPriority w:val="99"/>
    <w:semiHidden/>
    <w:unhideWhenUsed/>
    <w:rsid w:val="00570678"/>
    <w:pPr>
      <w:spacing w:line="240" w:lineRule="auto"/>
    </w:pPr>
    <w:rPr>
      <w:sz w:val="20"/>
      <w:szCs w:val="20"/>
    </w:rPr>
  </w:style>
  <w:style w:type="character" w:customStyle="1" w:styleId="CommentTextChar">
    <w:name w:val="Comment Text Char"/>
    <w:basedOn w:val="DefaultParagraphFont"/>
    <w:link w:val="CommentText"/>
    <w:uiPriority w:val="99"/>
    <w:semiHidden/>
    <w:rsid w:val="005706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70678"/>
    <w:rPr>
      <w:b/>
      <w:bCs/>
    </w:rPr>
  </w:style>
  <w:style w:type="character" w:customStyle="1" w:styleId="CommentSubjectChar">
    <w:name w:val="Comment Subject Char"/>
    <w:basedOn w:val="CommentTextChar"/>
    <w:link w:val="CommentSubject"/>
    <w:uiPriority w:val="99"/>
    <w:semiHidden/>
    <w:rsid w:val="00570678"/>
    <w:rPr>
      <w:rFonts w:ascii="Times New Roman" w:hAnsi="Times New Roman"/>
      <w:b/>
      <w:bCs/>
      <w:sz w:val="20"/>
      <w:szCs w:val="20"/>
    </w:rPr>
  </w:style>
  <w:style w:type="paragraph" w:styleId="FootnoteText">
    <w:name w:val="footnote text"/>
    <w:basedOn w:val="Normal"/>
    <w:link w:val="FootnoteTextChar"/>
    <w:uiPriority w:val="99"/>
    <w:semiHidden/>
    <w:unhideWhenUsed/>
    <w:rsid w:val="00A02B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BE5"/>
    <w:rPr>
      <w:rFonts w:ascii="Times New Roman" w:hAnsi="Times New Roman"/>
      <w:sz w:val="20"/>
      <w:szCs w:val="20"/>
    </w:rPr>
  </w:style>
  <w:style w:type="character" w:styleId="FootnoteReference">
    <w:name w:val="footnote reference"/>
    <w:basedOn w:val="DefaultParagraphFont"/>
    <w:uiPriority w:val="99"/>
    <w:semiHidden/>
    <w:unhideWhenUsed/>
    <w:rsid w:val="00A02BE5"/>
    <w:rPr>
      <w:vertAlign w:val="superscript"/>
    </w:rPr>
  </w:style>
  <w:style w:type="table" w:styleId="TableGrid">
    <w:name w:val="Table Grid"/>
    <w:basedOn w:val="TableNormal"/>
    <w:uiPriority w:val="59"/>
    <w:rsid w:val="00D9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14A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04805">
      <w:bodyDiv w:val="1"/>
      <w:marLeft w:val="0"/>
      <w:marRight w:val="0"/>
      <w:marTop w:val="0"/>
      <w:marBottom w:val="0"/>
      <w:divBdr>
        <w:top w:val="none" w:sz="0" w:space="0" w:color="auto"/>
        <w:left w:val="none" w:sz="0" w:space="0" w:color="auto"/>
        <w:bottom w:val="none" w:sz="0" w:space="0" w:color="auto"/>
        <w:right w:val="none" w:sz="0" w:space="0" w:color="auto"/>
      </w:divBdr>
    </w:div>
    <w:div w:id="471756213">
      <w:bodyDiv w:val="1"/>
      <w:marLeft w:val="0"/>
      <w:marRight w:val="0"/>
      <w:marTop w:val="0"/>
      <w:marBottom w:val="0"/>
      <w:divBdr>
        <w:top w:val="none" w:sz="0" w:space="0" w:color="auto"/>
        <w:left w:val="none" w:sz="0" w:space="0" w:color="auto"/>
        <w:bottom w:val="none" w:sz="0" w:space="0" w:color="auto"/>
        <w:right w:val="none" w:sz="0" w:space="0" w:color="auto"/>
      </w:divBdr>
    </w:div>
    <w:div w:id="511456094">
      <w:bodyDiv w:val="1"/>
      <w:marLeft w:val="0"/>
      <w:marRight w:val="0"/>
      <w:marTop w:val="0"/>
      <w:marBottom w:val="0"/>
      <w:divBdr>
        <w:top w:val="none" w:sz="0" w:space="0" w:color="auto"/>
        <w:left w:val="none" w:sz="0" w:space="0" w:color="auto"/>
        <w:bottom w:val="none" w:sz="0" w:space="0" w:color="auto"/>
        <w:right w:val="none" w:sz="0" w:space="0" w:color="auto"/>
      </w:divBdr>
    </w:div>
    <w:div w:id="1674213840">
      <w:bodyDiv w:val="1"/>
      <w:marLeft w:val="0"/>
      <w:marRight w:val="0"/>
      <w:marTop w:val="0"/>
      <w:marBottom w:val="0"/>
      <w:divBdr>
        <w:top w:val="none" w:sz="0" w:space="0" w:color="auto"/>
        <w:left w:val="none" w:sz="0" w:space="0" w:color="auto"/>
        <w:bottom w:val="none" w:sz="0" w:space="0" w:color="auto"/>
        <w:right w:val="none" w:sz="0" w:space="0" w:color="auto"/>
      </w:divBdr>
    </w:div>
    <w:div w:id="1788812981">
      <w:bodyDiv w:val="1"/>
      <w:marLeft w:val="0"/>
      <w:marRight w:val="0"/>
      <w:marTop w:val="0"/>
      <w:marBottom w:val="0"/>
      <w:divBdr>
        <w:top w:val="none" w:sz="0" w:space="0" w:color="auto"/>
        <w:left w:val="none" w:sz="0" w:space="0" w:color="auto"/>
        <w:bottom w:val="none" w:sz="0" w:space="0" w:color="auto"/>
        <w:right w:val="none" w:sz="0" w:space="0" w:color="auto"/>
      </w:divBdr>
    </w:div>
    <w:div w:id="2088115810">
      <w:bodyDiv w:val="1"/>
      <w:marLeft w:val="0"/>
      <w:marRight w:val="0"/>
      <w:marTop w:val="0"/>
      <w:marBottom w:val="0"/>
      <w:divBdr>
        <w:top w:val="none" w:sz="0" w:space="0" w:color="auto"/>
        <w:left w:val="none" w:sz="0" w:space="0" w:color="auto"/>
        <w:bottom w:val="none" w:sz="0" w:space="0" w:color="auto"/>
        <w:right w:val="none" w:sz="0" w:space="0" w:color="auto"/>
      </w:divBdr>
    </w:div>
    <w:div w:id="209041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u.garikapati@asu.edu" TargetMode="External"/><Relationship Id="rId13" Type="http://schemas.openxmlformats.org/officeDocument/2006/relationships/hyperlink" Target="http://www.caee.utexas.edu/prof/bhat/ABSTRACTS/Millennial/OnlineSupplement.pdf" TargetMode="External"/><Relationship Id="rId18" Type="http://schemas.openxmlformats.org/officeDocument/2006/relationships/hyperlink" Target="http://hrtpo.org/uploads/docs/Millennials%20Report%20DRAFT.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spirg.org/reports/usp/millennials-mo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spirg.org/sites/pirg/files/reports/A%20New%20Direction%20vUS.pdf"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wresearch.org/fact-tank/2015/05/11/millennials-surpass-gen-xers-as-the-largest-generation-in-u-s-labor-force" TargetMode="External"/><Relationship Id="rId23" Type="http://schemas.openxmlformats.org/officeDocument/2006/relationships/header" Target="header4.xml"/><Relationship Id="rId10" Type="http://schemas.openxmlformats.org/officeDocument/2006/relationships/hyperlink" Target="mailto:ram.pendyala@asu.edu" TargetMode="External"/><Relationship Id="rId19" Type="http://schemas.openxmlformats.org/officeDocument/2006/relationships/hyperlink" Target="http://transitcenter.org/wp-content/uploads/2014/08/WhosOnBoard2014-ForWeb.pdf" TargetMode="External"/><Relationship Id="rId4" Type="http://schemas.openxmlformats.org/officeDocument/2006/relationships/settings" Target="settings.xml"/><Relationship Id="rId9" Type="http://schemas.openxmlformats.org/officeDocument/2006/relationships/hyperlink" Target="mailto:bhat@mail.utexas.edu" TargetMode="External"/><Relationship Id="rId14" Type="http://schemas.openxmlformats.org/officeDocument/2006/relationships/hyperlink" Target="http://www.caee.utexas.edu/prof/bhat/ABSTRACTS/Millennial/OnlineSupplement.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444E0-1967-4BD1-960A-41B0728B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7870</Words>
  <Characters>44864</Characters>
  <Application>Microsoft Office Word</Application>
  <DocSecurity>0</DocSecurity>
  <Lines>373</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BHAT2012</dc:creator>
  <cp:lastModifiedBy>Macias, Lisa J</cp:lastModifiedBy>
  <cp:revision>2</cp:revision>
  <cp:lastPrinted>2017-03-15T03:04:00Z</cp:lastPrinted>
  <dcterms:created xsi:type="dcterms:W3CDTF">2017-03-17T19:00:00Z</dcterms:created>
  <dcterms:modified xsi:type="dcterms:W3CDTF">2017-03-17T19:00:00Z</dcterms:modified>
</cp:coreProperties>
</file>