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559D0" w14:textId="77777777" w:rsidR="00F65B91" w:rsidRDefault="00F65B91" w:rsidP="00F65B91">
      <w:pPr>
        <w:pStyle w:val="Default"/>
        <w:jc w:val="center"/>
        <w:rPr>
          <w:rFonts w:ascii="Times New Roman" w:hAnsi="Times New Roman" w:cs="Times New Roman"/>
          <w:b/>
        </w:rPr>
      </w:pPr>
    </w:p>
    <w:p w14:paraId="654360FE" w14:textId="77777777" w:rsidR="00F65B91" w:rsidRDefault="00F65B91" w:rsidP="00F65B91">
      <w:pPr>
        <w:pStyle w:val="Default"/>
        <w:jc w:val="center"/>
        <w:rPr>
          <w:rFonts w:ascii="Times New Roman" w:hAnsi="Times New Roman" w:cs="Times New Roman"/>
          <w:b/>
        </w:rPr>
      </w:pPr>
    </w:p>
    <w:p w14:paraId="713FD216" w14:textId="77777777" w:rsidR="00F65B91" w:rsidRDefault="00F65B91" w:rsidP="00F65B91">
      <w:pPr>
        <w:pStyle w:val="Default"/>
        <w:jc w:val="center"/>
        <w:rPr>
          <w:rFonts w:ascii="Times New Roman" w:hAnsi="Times New Roman" w:cs="Times New Roman"/>
          <w:b/>
        </w:rPr>
      </w:pPr>
    </w:p>
    <w:p w14:paraId="386B8569" w14:textId="77777777" w:rsidR="00F65B91" w:rsidRDefault="00F65B91" w:rsidP="00F65B91">
      <w:pPr>
        <w:pStyle w:val="Default"/>
        <w:jc w:val="center"/>
        <w:rPr>
          <w:rFonts w:ascii="Times New Roman" w:hAnsi="Times New Roman" w:cs="Times New Roman"/>
          <w:b/>
        </w:rPr>
      </w:pPr>
    </w:p>
    <w:p w14:paraId="0FE9EAE2" w14:textId="77777777" w:rsidR="00F65B91" w:rsidRDefault="00F65B91" w:rsidP="00F65B91">
      <w:pPr>
        <w:pStyle w:val="Default"/>
        <w:jc w:val="center"/>
        <w:rPr>
          <w:rFonts w:ascii="Times New Roman" w:hAnsi="Times New Roman" w:cs="Times New Roman"/>
          <w:b/>
        </w:rPr>
      </w:pPr>
    </w:p>
    <w:p w14:paraId="167A5EE4" w14:textId="77777777" w:rsidR="00F65B91" w:rsidRDefault="00F65B91" w:rsidP="00F65B91">
      <w:pPr>
        <w:pStyle w:val="Default"/>
        <w:jc w:val="center"/>
        <w:rPr>
          <w:rFonts w:ascii="Times New Roman" w:hAnsi="Times New Roman" w:cs="Times New Roman"/>
          <w:b/>
        </w:rPr>
      </w:pPr>
    </w:p>
    <w:p w14:paraId="0352FBEB" w14:textId="71D71BEE" w:rsidR="00D10514" w:rsidRPr="002D23A7" w:rsidRDefault="00D10514" w:rsidP="00F65B91">
      <w:pPr>
        <w:pStyle w:val="Default"/>
        <w:jc w:val="center"/>
        <w:rPr>
          <w:rFonts w:ascii="Times New Roman" w:hAnsi="Times New Roman" w:cs="Times New Roman"/>
          <w:b/>
        </w:rPr>
      </w:pPr>
      <w:r w:rsidRPr="002D23A7">
        <w:rPr>
          <w:rFonts w:ascii="Times New Roman" w:hAnsi="Times New Roman" w:cs="Times New Roman"/>
          <w:b/>
        </w:rPr>
        <w:t>A Com</w:t>
      </w:r>
      <w:r>
        <w:rPr>
          <w:rFonts w:ascii="Times New Roman" w:hAnsi="Times New Roman" w:cs="Times New Roman"/>
          <w:b/>
        </w:rPr>
        <w:t>prehensive Dwelling Unit</w:t>
      </w:r>
      <w:r w:rsidRPr="002D23A7">
        <w:rPr>
          <w:rFonts w:ascii="Times New Roman" w:hAnsi="Times New Roman" w:cs="Times New Roman"/>
          <w:b/>
        </w:rPr>
        <w:t xml:space="preserve"> Choice Model Accommod</w:t>
      </w:r>
      <w:r w:rsidR="002003C2">
        <w:rPr>
          <w:rFonts w:ascii="Times New Roman" w:hAnsi="Times New Roman" w:cs="Times New Roman"/>
          <w:b/>
        </w:rPr>
        <w:t>ating Psychological Constructs w</w:t>
      </w:r>
      <w:r w:rsidRPr="002D23A7">
        <w:rPr>
          <w:rFonts w:ascii="Times New Roman" w:hAnsi="Times New Roman" w:cs="Times New Roman"/>
          <w:b/>
        </w:rPr>
        <w:t xml:space="preserve">ithin </w:t>
      </w:r>
      <w:r w:rsidR="002003C2">
        <w:rPr>
          <w:rFonts w:ascii="Times New Roman" w:hAnsi="Times New Roman" w:cs="Times New Roman"/>
          <w:b/>
        </w:rPr>
        <w:t>a</w:t>
      </w:r>
      <w:r w:rsidRPr="002D23A7">
        <w:rPr>
          <w:rFonts w:ascii="Times New Roman" w:hAnsi="Times New Roman" w:cs="Times New Roman"/>
          <w:b/>
        </w:rPr>
        <w:t xml:space="preserve"> Search Strategy </w:t>
      </w:r>
      <w:r w:rsidR="004B0233">
        <w:rPr>
          <w:rFonts w:ascii="Times New Roman" w:hAnsi="Times New Roman" w:cs="Times New Roman"/>
          <w:b/>
        </w:rPr>
        <w:t>f</w:t>
      </w:r>
      <w:r w:rsidRPr="002D23A7">
        <w:rPr>
          <w:rFonts w:ascii="Times New Roman" w:hAnsi="Times New Roman" w:cs="Times New Roman"/>
          <w:b/>
        </w:rPr>
        <w:t>or Consideration Set Formation</w:t>
      </w:r>
    </w:p>
    <w:p w14:paraId="21971AC0" w14:textId="77777777" w:rsidR="00D10514" w:rsidRDefault="00D10514" w:rsidP="00F65B91">
      <w:pPr>
        <w:spacing w:line="240" w:lineRule="auto"/>
        <w:rPr>
          <w:b/>
        </w:rPr>
      </w:pPr>
    </w:p>
    <w:p w14:paraId="64ECE7B5" w14:textId="77777777" w:rsidR="00F65B91" w:rsidRDefault="00F65B91" w:rsidP="00F65B91">
      <w:pPr>
        <w:spacing w:line="240" w:lineRule="auto"/>
        <w:jc w:val="center"/>
      </w:pPr>
    </w:p>
    <w:p w14:paraId="6F81F91F" w14:textId="77777777" w:rsidR="00F65B91" w:rsidRDefault="00F65B91" w:rsidP="00F65B91">
      <w:pPr>
        <w:spacing w:line="240" w:lineRule="auto"/>
        <w:jc w:val="center"/>
      </w:pPr>
    </w:p>
    <w:p w14:paraId="683F0974" w14:textId="77777777" w:rsidR="00F65B91" w:rsidRDefault="00F65B91" w:rsidP="00F65B91">
      <w:pPr>
        <w:spacing w:line="240" w:lineRule="auto"/>
        <w:jc w:val="center"/>
      </w:pPr>
    </w:p>
    <w:p w14:paraId="555A9642" w14:textId="77777777" w:rsidR="00F65B91" w:rsidRDefault="00F65B91" w:rsidP="00F65B91">
      <w:pPr>
        <w:spacing w:line="240" w:lineRule="auto"/>
        <w:jc w:val="center"/>
      </w:pPr>
    </w:p>
    <w:p w14:paraId="0F434A21" w14:textId="77777777" w:rsidR="00F65B91" w:rsidRDefault="00F65B91" w:rsidP="00F65B91">
      <w:pPr>
        <w:spacing w:line="240" w:lineRule="auto"/>
        <w:jc w:val="center"/>
      </w:pPr>
    </w:p>
    <w:p w14:paraId="1BE49C7F" w14:textId="77777777" w:rsidR="00F65B91" w:rsidRDefault="00F65B91" w:rsidP="00F65B91">
      <w:pPr>
        <w:spacing w:line="240" w:lineRule="auto"/>
        <w:jc w:val="center"/>
      </w:pPr>
    </w:p>
    <w:p w14:paraId="2C54770D" w14:textId="77777777" w:rsidR="00F65B91" w:rsidRDefault="00F65B91" w:rsidP="00F65B91">
      <w:pPr>
        <w:spacing w:line="240" w:lineRule="auto"/>
        <w:jc w:val="center"/>
      </w:pPr>
    </w:p>
    <w:p w14:paraId="3F67E911" w14:textId="77777777" w:rsidR="00F65B91" w:rsidRDefault="00F65B91" w:rsidP="00F65B91">
      <w:pPr>
        <w:spacing w:line="240" w:lineRule="auto"/>
        <w:jc w:val="center"/>
      </w:pPr>
    </w:p>
    <w:p w14:paraId="237F99E6" w14:textId="77777777" w:rsidR="00F65B91" w:rsidRDefault="00F65B91" w:rsidP="00F65B91">
      <w:pPr>
        <w:spacing w:line="240" w:lineRule="auto"/>
        <w:jc w:val="center"/>
      </w:pPr>
    </w:p>
    <w:p w14:paraId="7323DE07" w14:textId="77777777" w:rsidR="00F65B91" w:rsidRPr="00F65B91" w:rsidRDefault="00F65B91" w:rsidP="00F65B91">
      <w:pPr>
        <w:spacing w:line="240" w:lineRule="auto"/>
        <w:jc w:val="center"/>
        <w:rPr>
          <w:b/>
        </w:rPr>
      </w:pPr>
      <w:r w:rsidRPr="00F65B91">
        <w:rPr>
          <w:b/>
        </w:rPr>
        <w:t>Chandra R. Bhat</w:t>
      </w:r>
    </w:p>
    <w:p w14:paraId="4209AB1A" w14:textId="77777777" w:rsidR="00F65B91" w:rsidRPr="003F03AD" w:rsidRDefault="00F65B91" w:rsidP="00F65B91">
      <w:pPr>
        <w:spacing w:line="240" w:lineRule="auto"/>
        <w:jc w:val="center"/>
        <w:rPr>
          <w:bCs/>
          <w:kern w:val="32"/>
        </w:rPr>
      </w:pPr>
      <w:r w:rsidRPr="003F03AD">
        <w:rPr>
          <w:bCs/>
          <w:kern w:val="32"/>
        </w:rPr>
        <w:t>The University of Texas at Austin</w:t>
      </w:r>
    </w:p>
    <w:p w14:paraId="07F5E854" w14:textId="77777777" w:rsidR="00F65B91" w:rsidRPr="003F03AD" w:rsidRDefault="00F65B91" w:rsidP="00F65B91">
      <w:pPr>
        <w:spacing w:line="240" w:lineRule="auto"/>
        <w:jc w:val="center"/>
        <w:rPr>
          <w:bCs/>
          <w:kern w:val="32"/>
        </w:rPr>
      </w:pPr>
      <w:r w:rsidRPr="003F03AD">
        <w:rPr>
          <w:bCs/>
          <w:kern w:val="32"/>
        </w:rPr>
        <w:t>Department of Civil, Architectural and Environmental Engineering</w:t>
      </w:r>
    </w:p>
    <w:p w14:paraId="7FDE96DC" w14:textId="77777777" w:rsidR="00F65B91" w:rsidRPr="003F03AD" w:rsidRDefault="00F65B91" w:rsidP="00F65B91">
      <w:pPr>
        <w:spacing w:line="240" w:lineRule="auto"/>
        <w:jc w:val="center"/>
        <w:rPr>
          <w:bCs/>
          <w:kern w:val="32"/>
        </w:rPr>
      </w:pPr>
      <w:r w:rsidRPr="003F03AD">
        <w:rPr>
          <w:bCs/>
          <w:kern w:val="32"/>
        </w:rPr>
        <w:t>301 E. Dean Keeton St. Stop C1761, Austin TX 78712</w:t>
      </w:r>
    </w:p>
    <w:p w14:paraId="194E668B" w14:textId="77777777" w:rsidR="00F65B91" w:rsidRPr="003F03AD" w:rsidRDefault="00F65B91" w:rsidP="00F65B91">
      <w:pPr>
        <w:spacing w:line="240" w:lineRule="auto"/>
        <w:jc w:val="center"/>
        <w:rPr>
          <w:bCs/>
          <w:kern w:val="32"/>
          <w:lang w:val="fr-FR"/>
        </w:rPr>
      </w:pPr>
      <w:r w:rsidRPr="003F03AD">
        <w:rPr>
          <w:bCs/>
          <w:kern w:val="32"/>
        </w:rPr>
        <w:t>Phone: 512-471-4535; Fax: 512-475-8744</w:t>
      </w:r>
    </w:p>
    <w:p w14:paraId="6FC09645" w14:textId="77777777" w:rsidR="00F65B91" w:rsidRPr="003F03AD" w:rsidRDefault="00F65B91" w:rsidP="00F65B91">
      <w:pPr>
        <w:spacing w:line="240" w:lineRule="auto"/>
        <w:jc w:val="center"/>
        <w:rPr>
          <w:bCs/>
          <w:kern w:val="32"/>
          <w:lang w:val="fr-FR"/>
        </w:rPr>
      </w:pPr>
      <w:r w:rsidRPr="003F03AD">
        <w:rPr>
          <w:bCs/>
          <w:kern w:val="32"/>
          <w:lang w:val="fr-FR"/>
        </w:rPr>
        <w:t xml:space="preserve">Email: </w:t>
      </w:r>
      <w:hyperlink r:id="rId9" w:history="1">
        <w:r w:rsidRPr="003F03AD">
          <w:rPr>
            <w:rStyle w:val="Hyperlink"/>
            <w:rFonts w:eastAsia="MS Mincho"/>
            <w:kern w:val="32"/>
            <w:lang w:val="fr-FR"/>
          </w:rPr>
          <w:t>bhat@mail.utexas.edu</w:t>
        </w:r>
      </w:hyperlink>
    </w:p>
    <w:p w14:paraId="4A51C29C" w14:textId="77777777" w:rsidR="00F65B91" w:rsidRPr="003F03AD" w:rsidRDefault="00F65B91" w:rsidP="00F65B91">
      <w:pPr>
        <w:spacing w:line="240" w:lineRule="auto"/>
        <w:jc w:val="center"/>
        <w:rPr>
          <w:bCs/>
          <w:kern w:val="32"/>
        </w:rPr>
      </w:pPr>
      <w:proofErr w:type="gramStart"/>
      <w:r w:rsidRPr="003F03AD">
        <w:rPr>
          <w:bCs/>
          <w:kern w:val="32"/>
        </w:rPr>
        <w:t>and</w:t>
      </w:r>
      <w:proofErr w:type="gramEnd"/>
    </w:p>
    <w:p w14:paraId="3DA3C9F1" w14:textId="77777777" w:rsidR="00F65B91" w:rsidRPr="003F03AD" w:rsidRDefault="00F65B91" w:rsidP="00F65B91">
      <w:pPr>
        <w:spacing w:line="240" w:lineRule="auto"/>
        <w:jc w:val="center"/>
        <w:rPr>
          <w:bCs/>
          <w:kern w:val="32"/>
        </w:rPr>
      </w:pPr>
      <w:r w:rsidRPr="003F03AD">
        <w:rPr>
          <w:bCs/>
          <w:kern w:val="32"/>
        </w:rPr>
        <w:t xml:space="preserve">King </w:t>
      </w:r>
      <w:proofErr w:type="spellStart"/>
      <w:r w:rsidRPr="003F03AD">
        <w:rPr>
          <w:bCs/>
          <w:kern w:val="32"/>
        </w:rPr>
        <w:t>Abdulaziz</w:t>
      </w:r>
      <w:proofErr w:type="spellEnd"/>
      <w:r w:rsidRPr="003F03AD">
        <w:rPr>
          <w:bCs/>
          <w:kern w:val="32"/>
        </w:rPr>
        <w:t xml:space="preserve"> University, Jeddah 21589, Saudi Arabia</w:t>
      </w:r>
    </w:p>
    <w:p w14:paraId="4F86F246" w14:textId="77777777" w:rsidR="00F65B91" w:rsidRPr="003F03AD" w:rsidRDefault="00F65B91" w:rsidP="00F65B91">
      <w:pPr>
        <w:spacing w:line="240" w:lineRule="auto"/>
        <w:jc w:val="center"/>
      </w:pPr>
    </w:p>
    <w:p w14:paraId="07094B76" w14:textId="77777777" w:rsidR="00F65B91" w:rsidRPr="003F03AD" w:rsidRDefault="00F65B91" w:rsidP="00F65B91">
      <w:pPr>
        <w:spacing w:line="240" w:lineRule="auto"/>
        <w:jc w:val="center"/>
        <w:rPr>
          <w:b/>
        </w:rPr>
      </w:pPr>
    </w:p>
    <w:p w14:paraId="2F337F92" w14:textId="34DBE66E" w:rsidR="00D10514" w:rsidRDefault="00D10514" w:rsidP="00F65B91">
      <w:pPr>
        <w:pStyle w:val="Default"/>
        <w:jc w:val="center"/>
        <w:rPr>
          <w:rFonts w:ascii="Times New Roman" w:hAnsi="Times New Roman" w:cs="Times New Roman"/>
        </w:rPr>
      </w:pPr>
    </w:p>
    <w:p w14:paraId="3CE9E9F4" w14:textId="77777777" w:rsidR="00D10514" w:rsidRDefault="00D10514" w:rsidP="00F65B91">
      <w:pPr>
        <w:spacing w:line="240" w:lineRule="auto"/>
        <w:rPr>
          <w:b/>
        </w:rPr>
      </w:pPr>
    </w:p>
    <w:p w14:paraId="155E15C0" w14:textId="77777777" w:rsidR="00F65B91" w:rsidRDefault="00F65B91" w:rsidP="00F65B91">
      <w:pPr>
        <w:spacing w:line="240" w:lineRule="auto"/>
        <w:rPr>
          <w:b/>
        </w:rPr>
      </w:pPr>
    </w:p>
    <w:p w14:paraId="14334896" w14:textId="77777777" w:rsidR="00F65B91" w:rsidRDefault="00F65B91" w:rsidP="00F65B91">
      <w:pPr>
        <w:spacing w:line="240" w:lineRule="auto"/>
        <w:rPr>
          <w:b/>
        </w:rPr>
      </w:pPr>
    </w:p>
    <w:p w14:paraId="0E7453CC" w14:textId="77777777" w:rsidR="00F65B91" w:rsidRDefault="00F65B91" w:rsidP="00F65B91">
      <w:pPr>
        <w:spacing w:line="240" w:lineRule="auto"/>
        <w:rPr>
          <w:b/>
        </w:rPr>
      </w:pPr>
    </w:p>
    <w:p w14:paraId="1FBF8085" w14:textId="77777777" w:rsidR="00F65B91" w:rsidRDefault="00F65B91" w:rsidP="00F65B91">
      <w:pPr>
        <w:spacing w:line="240" w:lineRule="auto"/>
        <w:rPr>
          <w:b/>
        </w:rPr>
      </w:pPr>
    </w:p>
    <w:p w14:paraId="10B225C4" w14:textId="77777777" w:rsidR="00F65B91" w:rsidRDefault="00F65B91" w:rsidP="00F65B91">
      <w:pPr>
        <w:spacing w:line="240" w:lineRule="auto"/>
        <w:rPr>
          <w:b/>
        </w:rPr>
      </w:pPr>
    </w:p>
    <w:p w14:paraId="1D5F9391" w14:textId="77777777" w:rsidR="00F65B91" w:rsidRDefault="00F65B91" w:rsidP="00F65B91">
      <w:pPr>
        <w:spacing w:line="240" w:lineRule="auto"/>
        <w:rPr>
          <w:b/>
        </w:rPr>
      </w:pPr>
    </w:p>
    <w:p w14:paraId="76ACE076" w14:textId="77777777" w:rsidR="00F65B91" w:rsidRDefault="00F65B91" w:rsidP="00F65B91">
      <w:pPr>
        <w:spacing w:line="240" w:lineRule="auto"/>
        <w:rPr>
          <w:b/>
        </w:rPr>
      </w:pPr>
    </w:p>
    <w:p w14:paraId="233F0BDA" w14:textId="77777777" w:rsidR="00F65B91" w:rsidRDefault="00F65B91" w:rsidP="00F65B91">
      <w:pPr>
        <w:spacing w:line="240" w:lineRule="auto"/>
        <w:rPr>
          <w:b/>
        </w:rPr>
      </w:pPr>
    </w:p>
    <w:p w14:paraId="2705B530" w14:textId="77777777" w:rsidR="00F65B91" w:rsidRDefault="00F65B91" w:rsidP="00F65B91">
      <w:pPr>
        <w:spacing w:line="240" w:lineRule="auto"/>
        <w:rPr>
          <w:b/>
        </w:rPr>
      </w:pPr>
    </w:p>
    <w:p w14:paraId="3FA9228F" w14:textId="77777777" w:rsidR="00F65B91" w:rsidRDefault="00F65B91" w:rsidP="00F65B91">
      <w:pPr>
        <w:spacing w:line="240" w:lineRule="auto"/>
        <w:rPr>
          <w:b/>
        </w:rPr>
      </w:pPr>
    </w:p>
    <w:p w14:paraId="569F9A5F" w14:textId="77777777" w:rsidR="00F65B91" w:rsidRDefault="00F65B91" w:rsidP="00F65B91">
      <w:pPr>
        <w:spacing w:line="240" w:lineRule="auto"/>
        <w:rPr>
          <w:b/>
        </w:rPr>
      </w:pPr>
    </w:p>
    <w:p w14:paraId="43F200DC" w14:textId="77777777" w:rsidR="00F65B91" w:rsidRDefault="00F65B91" w:rsidP="00F65B91">
      <w:pPr>
        <w:spacing w:line="240" w:lineRule="auto"/>
        <w:rPr>
          <w:b/>
        </w:rPr>
      </w:pPr>
    </w:p>
    <w:p w14:paraId="3617C34D" w14:textId="77777777" w:rsidR="00F65B91" w:rsidRDefault="00F65B91" w:rsidP="00F65B91">
      <w:pPr>
        <w:spacing w:line="240" w:lineRule="auto"/>
        <w:rPr>
          <w:b/>
        </w:rPr>
      </w:pPr>
    </w:p>
    <w:p w14:paraId="612C174F" w14:textId="2FA38124" w:rsidR="00F65B91" w:rsidRDefault="002026DF" w:rsidP="00F65B91">
      <w:pPr>
        <w:spacing w:line="240" w:lineRule="auto"/>
        <w:jc w:val="center"/>
      </w:pPr>
      <w:r>
        <w:t xml:space="preserve">Original version: </w:t>
      </w:r>
      <w:r w:rsidR="00F65B91" w:rsidRPr="00F65B91">
        <w:t>January 8, 2015</w:t>
      </w:r>
    </w:p>
    <w:p w14:paraId="2E9E1181" w14:textId="4404B13F" w:rsidR="002026DF" w:rsidRPr="00F65B91" w:rsidRDefault="002026DF" w:rsidP="00F65B91">
      <w:pPr>
        <w:spacing w:line="240" w:lineRule="auto"/>
        <w:jc w:val="center"/>
        <w:sectPr w:rsidR="002026DF" w:rsidRPr="00F65B91" w:rsidSect="00C900AF">
          <w:footerReference w:type="default" r:id="rId10"/>
          <w:pgSz w:w="12240" w:h="15840"/>
          <w:pgMar w:top="1440" w:right="1440" w:bottom="1440" w:left="1440" w:header="720" w:footer="720" w:gutter="0"/>
          <w:pgNumType w:start="1"/>
          <w:cols w:space="720"/>
          <w:docGrid w:linePitch="360"/>
        </w:sectPr>
      </w:pPr>
      <w:r>
        <w:t xml:space="preserve">Revised: May </w:t>
      </w:r>
      <w:r w:rsidR="007B1B0F">
        <w:t>1</w:t>
      </w:r>
      <w:r>
        <w:t>5, 2015</w:t>
      </w:r>
    </w:p>
    <w:p w14:paraId="7104D368" w14:textId="6EA39A29" w:rsidR="003B5118" w:rsidRPr="00822593" w:rsidRDefault="003B5118" w:rsidP="003B5118">
      <w:pPr>
        <w:rPr>
          <w:b/>
        </w:rPr>
      </w:pPr>
      <w:r w:rsidRPr="00822593">
        <w:rPr>
          <w:rFonts w:hint="eastAsia"/>
          <w:b/>
        </w:rPr>
        <w:lastRenderedPageBreak/>
        <w:t>ABSTRACT</w:t>
      </w:r>
    </w:p>
    <w:p w14:paraId="47A75E41" w14:textId="247EE4CD" w:rsidR="00691D95" w:rsidRPr="00BD426A" w:rsidRDefault="00691D95" w:rsidP="00BD426A">
      <w:pPr>
        <w:pStyle w:val="Default"/>
        <w:spacing w:line="360" w:lineRule="auto"/>
        <w:jc w:val="both"/>
        <w:rPr>
          <w:rFonts w:ascii="Times New Roman" w:hAnsi="Times New Roman" w:cs="Times New Roman"/>
        </w:rPr>
      </w:pPr>
      <w:r w:rsidRPr="00BD426A">
        <w:rPr>
          <w:rFonts w:ascii="Times New Roman" w:hAnsi="Times New Roman" w:cs="Times New Roman"/>
        </w:rPr>
        <w:t>This study adopts a dwelling unit level of analysis and consider</w:t>
      </w:r>
      <w:r w:rsidR="00BB4DF0">
        <w:rPr>
          <w:rFonts w:ascii="Times New Roman" w:hAnsi="Times New Roman" w:cs="Times New Roman"/>
        </w:rPr>
        <w:t>s</w:t>
      </w:r>
      <w:r w:rsidRPr="00BD426A">
        <w:rPr>
          <w:rFonts w:ascii="Times New Roman" w:hAnsi="Times New Roman" w:cs="Times New Roman"/>
        </w:rPr>
        <w:t xml:space="preserve"> a probabilistic choice set generation approach for residential choice modeling. In doing so, we accommodate the fact that housing choices involve both characteristics of the dwelling unit and its location, while also mimicking the search process that underlies housing decisions. In particular, we model a complete range of dwelling unit choices that include tenure type (rent or own), housing type (single family detached, single family attached, or apartment complex), number of bedrooms, number of bathrooms, number o</w:t>
      </w:r>
      <w:r w:rsidR="00BB4DF0">
        <w:rPr>
          <w:rFonts w:ascii="Times New Roman" w:hAnsi="Times New Roman" w:cs="Times New Roman"/>
        </w:rPr>
        <w:t xml:space="preserve">f </w:t>
      </w:r>
      <w:proofErr w:type="spellStart"/>
      <w:r w:rsidR="00BB4DF0">
        <w:rPr>
          <w:rFonts w:ascii="Times New Roman" w:hAnsi="Times New Roman" w:cs="Times New Roman"/>
        </w:rPr>
        <w:t>storeys</w:t>
      </w:r>
      <w:proofErr w:type="spellEnd"/>
      <w:r w:rsidR="00BB4DF0">
        <w:rPr>
          <w:rFonts w:ascii="Times New Roman" w:hAnsi="Times New Roman" w:cs="Times New Roman"/>
        </w:rPr>
        <w:t xml:space="preserve"> (one or multiple</w:t>
      </w:r>
      <w:r w:rsidRPr="00BD426A">
        <w:rPr>
          <w:rFonts w:ascii="Times New Roman" w:hAnsi="Times New Roman" w:cs="Times New Roman"/>
        </w:rPr>
        <w:t>), square footage of the house, lot size, housing costs, density of residential neighborhood, and commute distance.</w:t>
      </w:r>
      <w:r w:rsidR="00BD426A" w:rsidRPr="00BD426A">
        <w:rPr>
          <w:rFonts w:ascii="Times New Roman" w:hAnsi="Times New Roman" w:cs="Times New Roman"/>
        </w:rPr>
        <w:t xml:space="preserve"> </w:t>
      </w:r>
      <w:r w:rsidRPr="00BD426A">
        <w:rPr>
          <w:rFonts w:ascii="Times New Roman" w:hAnsi="Times New Roman" w:cs="Times New Roman"/>
        </w:rPr>
        <w:t xml:space="preserve">Bhat’s (2014) generalized heterogeneous data model (GHDM) system </w:t>
      </w:r>
      <w:r w:rsidR="00BD426A" w:rsidRPr="00BD426A">
        <w:rPr>
          <w:rFonts w:ascii="Times New Roman" w:hAnsi="Times New Roman" w:cs="Times New Roman"/>
        </w:rPr>
        <w:t xml:space="preserve">is used to accommodate the </w:t>
      </w:r>
      <w:r w:rsidRPr="00BD426A">
        <w:rPr>
          <w:rFonts w:ascii="Times New Roman" w:hAnsi="Times New Roman" w:cs="Times New Roman"/>
        </w:rPr>
        <w:t xml:space="preserve">different types of dependent outcomes associated with housing choices, while capturing </w:t>
      </w:r>
      <w:proofErr w:type="spellStart"/>
      <w:r w:rsidRPr="00BD426A">
        <w:rPr>
          <w:rFonts w:ascii="Times New Roman" w:hAnsi="Times New Roman" w:cs="Times New Roman"/>
        </w:rPr>
        <w:t>jointness</w:t>
      </w:r>
      <w:proofErr w:type="spellEnd"/>
      <w:r w:rsidRPr="00BD426A">
        <w:rPr>
          <w:rFonts w:ascii="Times New Roman" w:hAnsi="Times New Roman" w:cs="Times New Roman"/>
        </w:rPr>
        <w:t xml:space="preserve"> caused by unobserved factors. The proposed </w:t>
      </w:r>
      <w:r w:rsidR="00BD426A" w:rsidRPr="00BD426A">
        <w:rPr>
          <w:rFonts w:ascii="Times New Roman" w:hAnsi="Times New Roman" w:cs="Times New Roman"/>
        </w:rPr>
        <w:t xml:space="preserve">analytic </w:t>
      </w:r>
      <w:r w:rsidRPr="00BD426A">
        <w:rPr>
          <w:rFonts w:ascii="Times New Roman" w:hAnsi="Times New Roman" w:cs="Times New Roman"/>
        </w:rPr>
        <w:t xml:space="preserve">framework is applied to study housing choices using data derived from the 2009 American Housing Survey (AHS), sponsored by the Department of Housing and Urban Development (HUD) and conducted by the U.S. Census Bureau. The results confirm the </w:t>
      </w:r>
      <w:proofErr w:type="spellStart"/>
      <w:r w:rsidRPr="00BD426A">
        <w:rPr>
          <w:rFonts w:ascii="Times New Roman" w:hAnsi="Times New Roman" w:cs="Times New Roman"/>
        </w:rPr>
        <w:t>jointness</w:t>
      </w:r>
      <w:proofErr w:type="spellEnd"/>
      <w:r w:rsidRPr="00BD426A">
        <w:rPr>
          <w:rFonts w:ascii="Times New Roman" w:hAnsi="Times New Roman" w:cs="Times New Roman"/>
        </w:rPr>
        <w:t xml:space="preserve"> in housing choices, and indicate the superiority of a choice set formation model relative to a model that assumes the availability of all dwelling unit alternatives in the choice set. </w:t>
      </w:r>
    </w:p>
    <w:p w14:paraId="612F29A6" w14:textId="77777777" w:rsidR="003B5118" w:rsidRPr="00BD426A" w:rsidRDefault="003B5118" w:rsidP="003B5118">
      <w:pPr>
        <w:ind w:firstLine="720"/>
        <w:jc w:val="both"/>
      </w:pPr>
    </w:p>
    <w:p w14:paraId="695DC2A8" w14:textId="0BB53547" w:rsidR="003B5118" w:rsidRPr="00BD426A" w:rsidRDefault="00F65B91" w:rsidP="003B5118">
      <w:pPr>
        <w:jc w:val="both"/>
      </w:pPr>
      <w:r>
        <w:rPr>
          <w:i/>
        </w:rPr>
        <w:t>Keywords:</w:t>
      </w:r>
      <w:r w:rsidR="003B5118" w:rsidRPr="00BD426A">
        <w:t xml:space="preserve"> Latent </w:t>
      </w:r>
      <w:r w:rsidR="00BD426A" w:rsidRPr="00BD426A">
        <w:t xml:space="preserve">psychological constructs, </w:t>
      </w:r>
      <w:r w:rsidR="003B5118" w:rsidRPr="00BD426A">
        <w:t>MACML estimation approach, mixed dependent variables, structural equations models, integrated land use-transport</w:t>
      </w:r>
      <w:r w:rsidR="00BD426A" w:rsidRPr="00BD426A">
        <w:t>ation modeling, housing choices.</w:t>
      </w:r>
    </w:p>
    <w:p w14:paraId="4D01A2D0" w14:textId="77777777" w:rsidR="00815239" w:rsidRDefault="00815239" w:rsidP="00575184">
      <w:pPr>
        <w:jc w:val="both"/>
        <w:rPr>
          <w:b/>
        </w:rPr>
      </w:pPr>
    </w:p>
    <w:p w14:paraId="52CFE219" w14:textId="77777777" w:rsidR="00815239" w:rsidRDefault="00815239" w:rsidP="00575184">
      <w:pPr>
        <w:jc w:val="both"/>
        <w:rPr>
          <w:b/>
        </w:rPr>
      </w:pPr>
    </w:p>
    <w:p w14:paraId="0C21BF70" w14:textId="77777777" w:rsidR="00815239" w:rsidRDefault="00815239" w:rsidP="00575184">
      <w:pPr>
        <w:jc w:val="both"/>
        <w:rPr>
          <w:b/>
        </w:rPr>
      </w:pPr>
    </w:p>
    <w:p w14:paraId="05B9E3D0" w14:textId="77777777" w:rsidR="00815239" w:rsidRDefault="00815239" w:rsidP="00575184">
      <w:pPr>
        <w:jc w:val="both"/>
        <w:rPr>
          <w:b/>
        </w:rPr>
      </w:pPr>
    </w:p>
    <w:p w14:paraId="3556456D" w14:textId="77777777" w:rsidR="00D379FC" w:rsidRDefault="00D379FC" w:rsidP="00575184">
      <w:pPr>
        <w:jc w:val="both"/>
        <w:rPr>
          <w:b/>
        </w:rPr>
      </w:pPr>
    </w:p>
    <w:p w14:paraId="6FE5E996" w14:textId="77777777" w:rsidR="00F65B91" w:rsidRDefault="00F65B91" w:rsidP="00575184">
      <w:pPr>
        <w:jc w:val="both"/>
        <w:rPr>
          <w:b/>
        </w:rPr>
        <w:sectPr w:rsidR="00F65B91" w:rsidSect="00C900AF">
          <w:pgSz w:w="12240" w:h="15840"/>
          <w:pgMar w:top="1440" w:right="1440" w:bottom="1440" w:left="1440" w:header="720" w:footer="720" w:gutter="0"/>
          <w:pgNumType w:start="1"/>
          <w:cols w:space="720"/>
          <w:docGrid w:linePitch="360"/>
        </w:sectPr>
      </w:pPr>
    </w:p>
    <w:p w14:paraId="6136522A" w14:textId="41C9A5AE" w:rsidR="00AE5F5C" w:rsidRPr="00AE5F5C" w:rsidRDefault="00AE5F5C" w:rsidP="00575184">
      <w:pPr>
        <w:jc w:val="both"/>
        <w:rPr>
          <w:b/>
        </w:rPr>
      </w:pPr>
      <w:r w:rsidRPr="00940195">
        <w:rPr>
          <w:b/>
        </w:rPr>
        <w:lastRenderedPageBreak/>
        <w:t xml:space="preserve">1. </w:t>
      </w:r>
      <w:r w:rsidRPr="00F65B91">
        <w:rPr>
          <w:b/>
          <w:caps/>
        </w:rPr>
        <w:t>Introduction</w:t>
      </w:r>
    </w:p>
    <w:p w14:paraId="7BFB0BB7" w14:textId="626D3C91" w:rsidR="00FF10EB" w:rsidRDefault="001C6474" w:rsidP="00575184">
      <w:pPr>
        <w:jc w:val="both"/>
      </w:pPr>
      <w:r w:rsidRPr="00940195">
        <w:t xml:space="preserve">The home is </w:t>
      </w:r>
      <w:r w:rsidR="0031340A" w:rsidRPr="00940195">
        <w:t xml:space="preserve">usually considered as the base location for individuals, the place that most people start their activities from each day and the place that most people come back to at the end of the day. Thus, </w:t>
      </w:r>
      <w:r w:rsidR="00D66DB6">
        <w:t xml:space="preserve">it has been well established for some time now that </w:t>
      </w:r>
      <w:r w:rsidR="0031340A" w:rsidRPr="00940195">
        <w:t xml:space="preserve">the home location </w:t>
      </w:r>
      <w:r w:rsidR="00373F4F" w:rsidRPr="00940195">
        <w:t xml:space="preserve">can act </w:t>
      </w:r>
      <w:r w:rsidR="0031340A" w:rsidRPr="00940195">
        <w:t xml:space="preserve">as a facilitator or </w:t>
      </w:r>
      <w:r w:rsidR="00373F4F" w:rsidRPr="00940195">
        <w:t xml:space="preserve">a suppressor </w:t>
      </w:r>
      <w:r w:rsidR="0031340A" w:rsidRPr="00940195">
        <w:t>of out-of-home activity pursuits</w:t>
      </w:r>
      <w:r w:rsidR="00373F4F" w:rsidRPr="00940195">
        <w:t xml:space="preserve"> of individuals living in the home, based on the relative spatial </w:t>
      </w:r>
      <w:r w:rsidR="0031340A" w:rsidRPr="00940195">
        <w:t xml:space="preserve">location </w:t>
      </w:r>
      <w:r w:rsidR="00373F4F" w:rsidRPr="00940195">
        <w:t>of the home vis-à-vis activity opportunity locations</w:t>
      </w:r>
      <w:r w:rsidR="00D66DB6">
        <w:t xml:space="preserve"> (see, for example, Bhat and Koppelman, 1993)</w:t>
      </w:r>
      <w:r w:rsidR="00373F4F" w:rsidRPr="00940195">
        <w:t>.</w:t>
      </w:r>
      <w:r w:rsidR="00373F4F">
        <w:t xml:space="preserve"> In turn, the residential location choices of households, at an aggregate level, impact </w:t>
      </w:r>
      <w:r w:rsidR="0031340A" w:rsidRPr="009E68BD">
        <w:t>the built environment as transport, land use, and urban</w:t>
      </w:r>
      <w:r w:rsidR="00522ACD">
        <w:t xml:space="preserve"> form change in response to where people </w:t>
      </w:r>
      <w:r w:rsidR="00373F4F">
        <w:t>live</w:t>
      </w:r>
      <w:r w:rsidR="0031340A" w:rsidRPr="009E68BD">
        <w:t xml:space="preserve">.  </w:t>
      </w:r>
      <w:r w:rsidR="00522ACD">
        <w:t>This bidirectional and dynamic interaction between where people choose to live and how the built environment evolves is at the heart of</w:t>
      </w:r>
      <w:r w:rsidR="0031340A" w:rsidRPr="009E68BD">
        <w:t xml:space="preserve"> </w:t>
      </w:r>
      <w:r w:rsidR="00522ACD">
        <w:t>integrated land-use and transportation modeling</w:t>
      </w:r>
      <w:r w:rsidR="00AE5F5C">
        <w:t xml:space="preserve"> (see, for example, </w:t>
      </w:r>
      <w:r w:rsidR="00D505C8">
        <w:t>Bhat a</w:t>
      </w:r>
      <w:r w:rsidR="00E111DD">
        <w:t xml:space="preserve">nd </w:t>
      </w:r>
      <w:proofErr w:type="spellStart"/>
      <w:r w:rsidR="00E111DD">
        <w:t>G</w:t>
      </w:r>
      <w:r w:rsidR="00CA6859">
        <w:t>uo</w:t>
      </w:r>
      <w:proofErr w:type="spellEnd"/>
      <w:r w:rsidR="00CA6859">
        <w:t>, 2004</w:t>
      </w:r>
      <w:r w:rsidR="00E111DD">
        <w:t xml:space="preserve">, Sener </w:t>
      </w:r>
      <w:r w:rsidR="00E111DD" w:rsidRPr="00FD6980">
        <w:rPr>
          <w:i/>
        </w:rPr>
        <w:t>et al</w:t>
      </w:r>
      <w:r w:rsidR="00E111DD">
        <w:t>., 2011</w:t>
      </w:r>
      <w:r w:rsidR="00D505C8">
        <w:t xml:space="preserve">, </w:t>
      </w:r>
      <w:proofErr w:type="spellStart"/>
      <w:r w:rsidR="00C343C3">
        <w:t>Pagliara</w:t>
      </w:r>
      <w:proofErr w:type="spellEnd"/>
      <w:r w:rsidR="00E111DD">
        <w:t xml:space="preserve"> and Wilson</w:t>
      </w:r>
      <w:r w:rsidR="00C343C3">
        <w:t xml:space="preserve">, 2010, </w:t>
      </w:r>
      <w:r w:rsidR="00D505C8">
        <w:t xml:space="preserve">and </w:t>
      </w:r>
      <w:proofErr w:type="spellStart"/>
      <w:r w:rsidR="00D505C8">
        <w:t>Zolfaghari</w:t>
      </w:r>
      <w:proofErr w:type="spellEnd"/>
      <w:r w:rsidR="00D505C8">
        <w:t xml:space="preserve"> </w:t>
      </w:r>
      <w:r w:rsidR="00D505C8" w:rsidRPr="00FD6980">
        <w:rPr>
          <w:i/>
        </w:rPr>
        <w:t>et al</w:t>
      </w:r>
      <w:r w:rsidR="00D505C8">
        <w:t>., 2012)</w:t>
      </w:r>
      <w:r w:rsidR="00522ACD">
        <w:t xml:space="preserve">. </w:t>
      </w:r>
      <w:r w:rsidR="00D505C8">
        <w:t xml:space="preserve">More broadly, the decision of residential location fundamentally determines the connection between the household and the rest of the urban environment, and can have a profound impact on the overall quality of life of individuals in the household.  </w:t>
      </w:r>
      <w:r w:rsidR="0031340A" w:rsidRPr="009E68BD">
        <w:t>As</w:t>
      </w:r>
      <w:r w:rsidR="00D505C8">
        <w:t xml:space="preserve"> a consequence</w:t>
      </w:r>
      <w:r w:rsidR="0031340A" w:rsidRPr="009E68BD">
        <w:t xml:space="preserve">, the study of residential location choice has attracted </w:t>
      </w:r>
      <w:r w:rsidR="00EE2FCE">
        <w:t xml:space="preserve">considerable attention in a wide variety of </w:t>
      </w:r>
      <w:r w:rsidR="0031340A" w:rsidRPr="009E68BD">
        <w:t>disciplines</w:t>
      </w:r>
      <w:r w:rsidR="00D505C8">
        <w:t xml:space="preserve"> well beyond transportation</w:t>
      </w:r>
      <w:r w:rsidR="0031340A" w:rsidRPr="009E68BD">
        <w:t xml:space="preserve">, including </w:t>
      </w:r>
      <w:r w:rsidR="00EE2FCE">
        <w:t xml:space="preserve">real estate </w:t>
      </w:r>
      <w:r w:rsidR="00FF10EB">
        <w:t xml:space="preserve">science, </w:t>
      </w:r>
      <w:r w:rsidR="0031340A" w:rsidRPr="009E68BD">
        <w:t>ec</w:t>
      </w:r>
      <w:r w:rsidR="00FF10EB">
        <w:t xml:space="preserve">ology, actuarial science, </w:t>
      </w:r>
      <w:r w:rsidR="0031340A" w:rsidRPr="009E68BD">
        <w:t>psychology</w:t>
      </w:r>
      <w:r w:rsidR="00FF10EB">
        <w:t xml:space="preserve">, and </w:t>
      </w:r>
      <w:r w:rsidR="0031340A" w:rsidRPr="009E68BD">
        <w:t xml:space="preserve">urban </w:t>
      </w:r>
      <w:r w:rsidR="00FF10EB">
        <w:t xml:space="preserve">and regional </w:t>
      </w:r>
      <w:r w:rsidR="0031340A" w:rsidRPr="009E68BD">
        <w:t>economics</w:t>
      </w:r>
      <w:r w:rsidR="00FF10EB">
        <w:t xml:space="preserve">. </w:t>
      </w:r>
    </w:p>
    <w:p w14:paraId="68FD7259" w14:textId="54A6B9AF" w:rsidR="00AE6621" w:rsidRDefault="00AE6621" w:rsidP="00575184">
      <w:pPr>
        <w:pStyle w:val="StyleFirstline05"/>
        <w:spacing w:line="360" w:lineRule="auto"/>
        <w:jc w:val="both"/>
      </w:pPr>
      <w:r>
        <w:t xml:space="preserve">Many different approaches </w:t>
      </w:r>
      <w:r w:rsidR="00FF10EB">
        <w:t>have been considered in the literature to mod</w:t>
      </w:r>
      <w:r>
        <w:t>el residential location choice. One approach is based on a gravity-type formulation, which uses an aggregate-level relationship to characterize a distance-decay specification for the residence location</w:t>
      </w:r>
      <w:r w:rsidR="00F443A2">
        <w:t>-workplace interchange (see Lowr</w:t>
      </w:r>
      <w:r>
        <w:t>y, 1964 and Wilson, 1970). Another approach is based on Alonso’s (1960) bid-rent model that assumes that households compete for land and locate in concentric circles, with the density of households fading with distance from a mono</w:t>
      </w:r>
      <w:r w:rsidR="00AE5F5C">
        <w:t>centric employment center. Hous</w:t>
      </w:r>
      <w:r>
        <w:t>e</w:t>
      </w:r>
      <w:r w:rsidR="00AE5F5C">
        <w:t>h</w:t>
      </w:r>
      <w:r>
        <w:t>olds’ location decision is considered to be based on a trade-off between commuting time and land prices. The bid-rent model has been extended to consider other observed factors (such as the location of good schools, accessibility to activity opportunities, and crim</w:t>
      </w:r>
      <w:r w:rsidR="00AE5F5C">
        <w:t>e rates) and unobserved factors</w:t>
      </w:r>
      <w:r w:rsidR="00E111DD">
        <w:t xml:space="preserve"> (see </w:t>
      </w:r>
      <w:proofErr w:type="spellStart"/>
      <w:r w:rsidR="00E111DD">
        <w:t>Ellickson</w:t>
      </w:r>
      <w:proofErr w:type="spellEnd"/>
      <w:r w:rsidR="00E111DD">
        <w:t>, 1981</w:t>
      </w:r>
      <w:r>
        <w:t xml:space="preserve">, Martinez, 2008, and </w:t>
      </w:r>
      <w:proofErr w:type="spellStart"/>
      <w:r>
        <w:t>Hurtubia</w:t>
      </w:r>
      <w:proofErr w:type="spellEnd"/>
      <w:r>
        <w:t xml:space="preserve"> </w:t>
      </w:r>
      <w:r w:rsidR="00B37F06" w:rsidRPr="00B37F06">
        <w:t xml:space="preserve">and </w:t>
      </w:r>
      <w:r w:rsidR="00B37F06" w:rsidRPr="005C41DB">
        <w:rPr>
          <w:noProof/>
        </w:rPr>
        <w:t>Bierlaire</w:t>
      </w:r>
      <w:r w:rsidR="00B37F06">
        <w:rPr>
          <w:noProof/>
        </w:rPr>
        <w:t>,</w:t>
      </w:r>
      <w:r>
        <w:t xml:space="preserve"> 2011). However, the dominant approach to model residential location is based on the discrete choice formulation originally proposed by</w:t>
      </w:r>
      <w:r w:rsidRPr="000F5BA4">
        <w:t xml:space="preserve"> </w:t>
      </w:r>
      <w:proofErr w:type="spellStart"/>
      <w:r>
        <w:t>Lerman</w:t>
      </w:r>
      <w:proofErr w:type="spellEnd"/>
      <w:r>
        <w:t xml:space="preserve"> (1976) and McFadden (1978).  Such a formulation has an appealing underlying microeconomic basis, and enables the analysis of trade-offs among a wide range of factors affecting the decision of where to locate. It</w:t>
      </w:r>
      <w:r w:rsidR="00E51C11">
        <w:t xml:space="preserve"> </w:t>
      </w:r>
      <w:r>
        <w:lastRenderedPageBreak/>
        <w:t>also allows sensitivity variations (across socio-demographic segments of the population) to location attributes (</w:t>
      </w:r>
      <w:r w:rsidRPr="009E68BD">
        <w:t>s</w:t>
      </w:r>
      <w:r>
        <w:t xml:space="preserve">ee </w:t>
      </w:r>
      <w:r w:rsidR="00CA6859">
        <w:t xml:space="preserve">Bhat and </w:t>
      </w:r>
      <w:proofErr w:type="spellStart"/>
      <w:r w:rsidR="00CA6859">
        <w:t>Guo</w:t>
      </w:r>
      <w:proofErr w:type="spellEnd"/>
      <w:r w:rsidR="00CA6859">
        <w:t>, 200</w:t>
      </w:r>
      <w:r w:rsidR="00DA3E72">
        <w:t>4</w:t>
      </w:r>
      <w:r>
        <w:t xml:space="preserve">, Bhat and </w:t>
      </w:r>
      <w:proofErr w:type="spellStart"/>
      <w:r>
        <w:t>Guo</w:t>
      </w:r>
      <w:proofErr w:type="spellEnd"/>
      <w:r>
        <w:t>, 2007</w:t>
      </w:r>
      <w:r w:rsidRPr="009E68BD">
        <w:t xml:space="preserve">, </w:t>
      </w:r>
      <w:proofErr w:type="spellStart"/>
      <w:r w:rsidRPr="009E68BD">
        <w:t>Prashker</w:t>
      </w:r>
      <w:proofErr w:type="spellEnd"/>
      <w:r w:rsidRPr="009E68BD">
        <w:t xml:space="preserve"> </w:t>
      </w:r>
      <w:r w:rsidRPr="009E68BD">
        <w:rPr>
          <w:i/>
        </w:rPr>
        <w:t>et al.</w:t>
      </w:r>
      <w:r>
        <w:t xml:space="preserve"> (2008), </w:t>
      </w:r>
      <w:r w:rsidRPr="009E68BD">
        <w:t xml:space="preserve">Pinjari </w:t>
      </w:r>
      <w:r w:rsidRPr="009E68BD">
        <w:rPr>
          <w:i/>
        </w:rPr>
        <w:t>et al.</w:t>
      </w:r>
      <w:r>
        <w:t xml:space="preserve"> 2009, and </w:t>
      </w:r>
      <w:proofErr w:type="spellStart"/>
      <w:r w:rsidR="003730F0">
        <w:t>Zolfaghari</w:t>
      </w:r>
      <w:proofErr w:type="spellEnd"/>
      <w:r>
        <w:t xml:space="preserve"> </w:t>
      </w:r>
      <w:r w:rsidRPr="00FD6980">
        <w:rPr>
          <w:i/>
        </w:rPr>
        <w:t>et al</w:t>
      </w:r>
      <w:r>
        <w:t xml:space="preserve">., 2012). </w:t>
      </w:r>
    </w:p>
    <w:p w14:paraId="5E18BEBC" w14:textId="77777777" w:rsidR="007B26B8" w:rsidRDefault="008F102F" w:rsidP="00575184">
      <w:pPr>
        <w:pStyle w:val="StyleFirstline05"/>
        <w:spacing w:line="360" w:lineRule="auto"/>
        <w:ind w:firstLine="0"/>
        <w:jc w:val="both"/>
      </w:pPr>
      <w:r>
        <w:tab/>
        <w:t>In the context of the discrete choice formulation, many important issues become relevant</w:t>
      </w:r>
      <w:r w:rsidR="006144F0">
        <w:t xml:space="preserve"> and need to be addressed. Two</w:t>
      </w:r>
      <w:r>
        <w:t xml:space="preserve"> such very important (and as we will discuss later, inter-related) considerations deal with the analysis unit used for the alternatives in the cho</w:t>
      </w:r>
      <w:r w:rsidR="006144F0">
        <w:t xml:space="preserve">ice set </w:t>
      </w:r>
      <w:r>
        <w:t>and the choice set construction.</w:t>
      </w:r>
    </w:p>
    <w:p w14:paraId="765A1C8B" w14:textId="77777777" w:rsidR="007B26B8" w:rsidRPr="00C771EE" w:rsidRDefault="007B26B8" w:rsidP="00575184">
      <w:pPr>
        <w:pStyle w:val="StyleFirstline05"/>
        <w:spacing w:line="360" w:lineRule="auto"/>
        <w:ind w:firstLine="0"/>
        <w:jc w:val="both"/>
        <w:rPr>
          <w:szCs w:val="24"/>
        </w:rPr>
      </w:pPr>
    </w:p>
    <w:p w14:paraId="7A05F010" w14:textId="33CA5A37" w:rsidR="008F102F" w:rsidRPr="00307CB0" w:rsidRDefault="00AE5F5C" w:rsidP="00AE5F5C">
      <w:pPr>
        <w:pStyle w:val="StyleFirstline05"/>
        <w:numPr>
          <w:ilvl w:val="1"/>
          <w:numId w:val="15"/>
        </w:numPr>
        <w:spacing w:line="360" w:lineRule="auto"/>
        <w:jc w:val="both"/>
        <w:rPr>
          <w:b/>
          <w:szCs w:val="24"/>
        </w:rPr>
      </w:pPr>
      <w:r w:rsidRPr="00307CB0">
        <w:rPr>
          <w:b/>
          <w:szCs w:val="24"/>
        </w:rPr>
        <w:t xml:space="preserve"> </w:t>
      </w:r>
      <w:r w:rsidR="008F102F" w:rsidRPr="00307CB0">
        <w:rPr>
          <w:b/>
          <w:szCs w:val="24"/>
        </w:rPr>
        <w:t xml:space="preserve">The </w:t>
      </w:r>
      <w:r w:rsidR="00F65B91">
        <w:rPr>
          <w:b/>
          <w:szCs w:val="24"/>
        </w:rPr>
        <w:t>A</w:t>
      </w:r>
      <w:r w:rsidR="008F102F" w:rsidRPr="00307CB0">
        <w:rPr>
          <w:b/>
          <w:szCs w:val="24"/>
        </w:rPr>
        <w:t xml:space="preserve">nalysis </w:t>
      </w:r>
      <w:r w:rsidR="00F65B91">
        <w:rPr>
          <w:b/>
          <w:szCs w:val="24"/>
        </w:rPr>
        <w:t>U</w:t>
      </w:r>
      <w:r w:rsidR="008F102F" w:rsidRPr="00307CB0">
        <w:rPr>
          <w:b/>
          <w:szCs w:val="24"/>
        </w:rPr>
        <w:t>nit</w:t>
      </w:r>
    </w:p>
    <w:p w14:paraId="50D7817C" w14:textId="4FC24B39" w:rsidR="00135B32" w:rsidRPr="00C771EE" w:rsidRDefault="008F102F" w:rsidP="00575184">
      <w:pPr>
        <w:pStyle w:val="Default"/>
        <w:spacing w:line="360" w:lineRule="auto"/>
        <w:jc w:val="both"/>
        <w:rPr>
          <w:rFonts w:ascii="Times New Roman" w:hAnsi="Times New Roman" w:cs="Times New Roman"/>
        </w:rPr>
      </w:pPr>
      <w:r w:rsidRPr="00C771EE">
        <w:rPr>
          <w:rFonts w:ascii="Times New Roman" w:hAnsi="Times New Roman" w:cs="Times New Roman"/>
        </w:rPr>
        <w:t xml:space="preserve">A majority of residential location choice models consider an aggregate spatial region </w:t>
      </w:r>
      <w:r w:rsidR="00AB72C2" w:rsidRPr="00C771EE">
        <w:rPr>
          <w:rFonts w:ascii="Times New Roman" w:hAnsi="Times New Roman" w:cs="Times New Roman"/>
        </w:rPr>
        <w:t>(for example, census tracts or traffic analysis zones</w:t>
      </w:r>
      <w:r w:rsidR="00AC6A60" w:rsidRPr="00C771EE">
        <w:rPr>
          <w:rFonts w:ascii="Times New Roman" w:hAnsi="Times New Roman" w:cs="Times New Roman"/>
        </w:rPr>
        <w:t xml:space="preserve"> or neighborhoods</w:t>
      </w:r>
      <w:r w:rsidR="00AB72C2" w:rsidRPr="00C771EE">
        <w:rPr>
          <w:rFonts w:ascii="Times New Roman" w:hAnsi="Times New Roman" w:cs="Times New Roman"/>
        </w:rPr>
        <w:t xml:space="preserve">) as the analysis unit. Typically referred to as zone-based models, these models focus on households’ choice of the spatial zone to reside in, as a function of a suite of </w:t>
      </w:r>
      <w:r w:rsidR="00BB4DF0">
        <w:rPr>
          <w:rFonts w:ascii="Times New Roman" w:hAnsi="Times New Roman" w:cs="Times New Roman"/>
        </w:rPr>
        <w:t xml:space="preserve">zone characteristics (such as </w:t>
      </w:r>
      <w:r w:rsidR="00AB72C2" w:rsidRPr="00C771EE">
        <w:rPr>
          <w:rFonts w:ascii="Times New Roman" w:hAnsi="Times New Roman" w:cs="Times New Roman"/>
        </w:rPr>
        <w:t>zone-based accessibility measures to pursue out-of-home activities, crime rates, quality of schools in the zone, commute times of workers in the household, zonal race and income distributions relative to household’s race and income, respectively</w:t>
      </w:r>
      <w:r w:rsidR="00C571A0" w:rsidRPr="00C771EE">
        <w:rPr>
          <w:rFonts w:ascii="Times New Roman" w:hAnsi="Times New Roman" w:cs="Times New Roman"/>
        </w:rPr>
        <w:t>)</w:t>
      </w:r>
      <w:r w:rsidR="00AB72C2" w:rsidRPr="00C771EE">
        <w:rPr>
          <w:rFonts w:ascii="Times New Roman" w:hAnsi="Times New Roman" w:cs="Times New Roman"/>
        </w:rPr>
        <w:t xml:space="preserve"> </w:t>
      </w:r>
      <w:r w:rsidR="00C571A0" w:rsidRPr="00C771EE">
        <w:rPr>
          <w:rFonts w:ascii="Times New Roman" w:hAnsi="Times New Roman" w:cs="Times New Roman"/>
        </w:rPr>
        <w:t xml:space="preserve">and interactions of </w:t>
      </w:r>
      <w:r w:rsidR="00AB72C2" w:rsidRPr="00C771EE">
        <w:rPr>
          <w:rFonts w:ascii="Times New Roman" w:hAnsi="Times New Roman" w:cs="Times New Roman"/>
        </w:rPr>
        <w:t xml:space="preserve"> </w:t>
      </w:r>
      <w:r w:rsidR="00C571A0" w:rsidRPr="00C771EE">
        <w:rPr>
          <w:rFonts w:ascii="Times New Roman" w:hAnsi="Times New Roman" w:cs="Times New Roman"/>
        </w:rPr>
        <w:t xml:space="preserve">household characteristics with the zonal </w:t>
      </w:r>
      <w:r w:rsidR="00AB72C2" w:rsidRPr="00C771EE">
        <w:rPr>
          <w:rFonts w:ascii="Times New Roman" w:hAnsi="Times New Roman" w:cs="Times New Roman"/>
        </w:rPr>
        <w:t xml:space="preserve"> </w:t>
      </w:r>
      <w:r w:rsidR="00C571A0" w:rsidRPr="00C771EE">
        <w:rPr>
          <w:rFonts w:ascii="Times New Roman" w:hAnsi="Times New Roman" w:cs="Times New Roman"/>
        </w:rPr>
        <w:t xml:space="preserve">characteristics (see, for example, Chen </w:t>
      </w:r>
      <w:r w:rsidR="00C571A0" w:rsidRPr="00FD6980">
        <w:rPr>
          <w:rFonts w:ascii="Times New Roman" w:hAnsi="Times New Roman" w:cs="Times New Roman"/>
          <w:i/>
        </w:rPr>
        <w:t>et al</w:t>
      </w:r>
      <w:r w:rsidR="00C571A0" w:rsidRPr="00C771EE">
        <w:rPr>
          <w:rFonts w:ascii="Times New Roman" w:hAnsi="Times New Roman" w:cs="Times New Roman"/>
        </w:rPr>
        <w:t xml:space="preserve">., 2008, Pinjari </w:t>
      </w:r>
      <w:r w:rsidR="00C571A0" w:rsidRPr="00FD6980">
        <w:rPr>
          <w:rFonts w:ascii="Times New Roman" w:hAnsi="Times New Roman" w:cs="Times New Roman"/>
          <w:i/>
        </w:rPr>
        <w:t>e</w:t>
      </w:r>
      <w:r w:rsidR="00AC6A60" w:rsidRPr="00FD6980">
        <w:rPr>
          <w:rFonts w:ascii="Times New Roman" w:hAnsi="Times New Roman" w:cs="Times New Roman"/>
          <w:i/>
        </w:rPr>
        <w:t>t al</w:t>
      </w:r>
      <w:r w:rsidR="005D00F9">
        <w:rPr>
          <w:rFonts w:ascii="Times New Roman" w:hAnsi="Times New Roman" w:cs="Times New Roman"/>
        </w:rPr>
        <w:t>., 2011,</w:t>
      </w:r>
      <w:r w:rsidR="00AC6A60" w:rsidRPr="00C771EE">
        <w:rPr>
          <w:rFonts w:ascii="Times New Roman" w:hAnsi="Times New Roman" w:cs="Times New Roman"/>
        </w:rPr>
        <w:t xml:space="preserve"> </w:t>
      </w:r>
      <w:r w:rsidR="00C571A0" w:rsidRPr="00C771EE">
        <w:rPr>
          <w:rFonts w:ascii="Times New Roman" w:hAnsi="Times New Roman" w:cs="Times New Roman"/>
        </w:rPr>
        <w:t xml:space="preserve">de Palma </w:t>
      </w:r>
      <w:r w:rsidR="00C571A0" w:rsidRPr="00FD6980">
        <w:rPr>
          <w:rFonts w:ascii="Times New Roman" w:hAnsi="Times New Roman" w:cs="Times New Roman"/>
          <w:i/>
        </w:rPr>
        <w:t>et al</w:t>
      </w:r>
      <w:r w:rsidR="00C571A0" w:rsidRPr="00C771EE">
        <w:rPr>
          <w:rFonts w:ascii="Times New Roman" w:hAnsi="Times New Roman" w:cs="Times New Roman"/>
        </w:rPr>
        <w:t>., 2007</w:t>
      </w:r>
      <w:r w:rsidR="00AC6A60" w:rsidRPr="00C771EE">
        <w:rPr>
          <w:rFonts w:ascii="Times New Roman" w:hAnsi="Times New Roman" w:cs="Times New Roman"/>
        </w:rPr>
        <w:t xml:space="preserve">, and Bhat and </w:t>
      </w:r>
      <w:proofErr w:type="spellStart"/>
      <w:r w:rsidR="00AC6A60" w:rsidRPr="00C771EE">
        <w:rPr>
          <w:rFonts w:ascii="Times New Roman" w:hAnsi="Times New Roman" w:cs="Times New Roman"/>
        </w:rPr>
        <w:t>Guo</w:t>
      </w:r>
      <w:proofErr w:type="spellEnd"/>
      <w:r w:rsidR="00AC6A60" w:rsidRPr="00C771EE">
        <w:rPr>
          <w:rFonts w:ascii="Times New Roman" w:hAnsi="Times New Roman" w:cs="Times New Roman"/>
        </w:rPr>
        <w:t>, 2007</w:t>
      </w:r>
      <w:r w:rsidR="00C571A0" w:rsidRPr="00C771EE">
        <w:rPr>
          <w:rFonts w:ascii="Times New Roman" w:hAnsi="Times New Roman" w:cs="Times New Roman"/>
        </w:rPr>
        <w:t>). The advantage of zone-based models is that data preparation is rather easy for estimation and forecasting, because the zone-based attributes are constructed anyway for use in other components of</w:t>
      </w:r>
      <w:r w:rsidR="005C178A" w:rsidRPr="00C771EE">
        <w:rPr>
          <w:rFonts w:ascii="Times New Roman" w:hAnsi="Times New Roman" w:cs="Times New Roman"/>
        </w:rPr>
        <w:t xml:space="preserve"> a travel demand model. However, there are many limitations of using a zone-based model. First, one has to define a spatial resolution for the “zone” and develop a configuration of the zonal structure. Unfortunately, this can imply that two points in space very proximal with one another may end up in different zones (because of the discretization of space), with potentially different zone-level attributes attached to </w:t>
      </w:r>
      <w:r w:rsidR="00E35166">
        <w:rPr>
          <w:rFonts w:ascii="Times New Roman" w:hAnsi="Times New Roman" w:cs="Times New Roman"/>
        </w:rPr>
        <w:t xml:space="preserve">the two </w:t>
      </w:r>
      <w:r w:rsidR="00AC6A60" w:rsidRPr="00C771EE">
        <w:rPr>
          <w:rFonts w:ascii="Times New Roman" w:hAnsi="Times New Roman" w:cs="Times New Roman"/>
        </w:rPr>
        <w:t>points</w:t>
      </w:r>
      <w:r w:rsidR="005C178A" w:rsidRPr="00C771EE">
        <w:rPr>
          <w:rFonts w:ascii="Times New Roman" w:hAnsi="Times New Roman" w:cs="Times New Roman"/>
        </w:rPr>
        <w:t xml:space="preserve">. The end-result is that the model estimates can be different based on how space is compartmentalized into zones. This problem, referred to in the literature as the Modifiable Areal Unit Problem (MAUP), is a long standing one with no clear </w:t>
      </w:r>
      <w:r w:rsidR="00AC6A60" w:rsidRPr="00C771EE">
        <w:rPr>
          <w:rFonts w:ascii="Times New Roman" w:hAnsi="Times New Roman" w:cs="Times New Roman"/>
        </w:rPr>
        <w:t xml:space="preserve">way out to resolve the problem </w:t>
      </w:r>
      <w:r w:rsidR="005C178A" w:rsidRPr="00C771EE">
        <w:rPr>
          <w:rFonts w:ascii="Times New Roman" w:hAnsi="Times New Roman" w:cs="Times New Roman"/>
        </w:rPr>
        <w:t xml:space="preserve">(see </w:t>
      </w:r>
      <w:proofErr w:type="spellStart"/>
      <w:r w:rsidR="005C178A" w:rsidRPr="00C771EE">
        <w:rPr>
          <w:rFonts w:ascii="Times New Roman" w:hAnsi="Times New Roman" w:cs="Times New Roman"/>
        </w:rPr>
        <w:t>Ope</w:t>
      </w:r>
      <w:r w:rsidR="00C26A98">
        <w:rPr>
          <w:rFonts w:ascii="Times New Roman" w:hAnsi="Times New Roman" w:cs="Times New Roman"/>
        </w:rPr>
        <w:t>nshaw</w:t>
      </w:r>
      <w:proofErr w:type="spellEnd"/>
      <w:r w:rsidR="00C26A98">
        <w:rPr>
          <w:rFonts w:ascii="Times New Roman" w:hAnsi="Times New Roman" w:cs="Times New Roman"/>
        </w:rPr>
        <w:t>, 1978</w:t>
      </w:r>
      <w:r w:rsidR="005D00F9">
        <w:rPr>
          <w:rFonts w:ascii="Times New Roman" w:hAnsi="Times New Roman" w:cs="Times New Roman"/>
        </w:rPr>
        <w:t>,</w:t>
      </w:r>
      <w:r w:rsidR="00AC6A60" w:rsidRPr="00C771EE">
        <w:rPr>
          <w:rFonts w:ascii="Times New Roman" w:hAnsi="Times New Roman" w:cs="Times New Roman"/>
        </w:rPr>
        <w:t xml:space="preserve"> </w:t>
      </w:r>
      <w:proofErr w:type="spellStart"/>
      <w:r w:rsidR="00AC6A60" w:rsidRPr="00C771EE">
        <w:rPr>
          <w:rFonts w:ascii="Times New Roman" w:hAnsi="Times New Roman" w:cs="Times New Roman"/>
        </w:rPr>
        <w:t>Guo</w:t>
      </w:r>
      <w:proofErr w:type="spellEnd"/>
      <w:r w:rsidR="00AC6A60" w:rsidRPr="00C771EE">
        <w:rPr>
          <w:rFonts w:ascii="Times New Roman" w:hAnsi="Times New Roman" w:cs="Times New Roman"/>
        </w:rPr>
        <w:t xml:space="preserve"> and Bhat, 2004</w:t>
      </w:r>
      <w:r w:rsidR="005C178A" w:rsidRPr="00C771EE">
        <w:rPr>
          <w:rFonts w:ascii="Times New Roman" w:hAnsi="Times New Roman" w:cs="Times New Roman"/>
        </w:rPr>
        <w:t xml:space="preserve">). </w:t>
      </w:r>
      <w:r w:rsidR="00AC6A60" w:rsidRPr="00C771EE">
        <w:rPr>
          <w:rFonts w:ascii="Times New Roman" w:hAnsi="Times New Roman" w:cs="Times New Roman"/>
        </w:rPr>
        <w:t>Second,</w:t>
      </w:r>
      <w:r w:rsidR="005C178A" w:rsidRPr="00C771EE">
        <w:rPr>
          <w:rFonts w:ascii="Times New Roman" w:hAnsi="Times New Roman" w:cs="Times New Roman"/>
        </w:rPr>
        <w:t xml:space="preserve"> any dwelling unit related variables that one may want to use to explain residential location (such as owned single family unit versus a rented unit in a multi-family apartment complex) also has to be aggregated up to the zone level</w:t>
      </w:r>
      <w:r w:rsidR="005B3C18" w:rsidRPr="00C771EE">
        <w:rPr>
          <w:rFonts w:ascii="Times New Roman" w:hAnsi="Times New Roman" w:cs="Times New Roman"/>
        </w:rPr>
        <w:t xml:space="preserve">. This results in a situation where all points in space within a zone take on the same </w:t>
      </w:r>
      <w:r w:rsidR="00067565" w:rsidRPr="00C771EE">
        <w:rPr>
          <w:rFonts w:ascii="Times New Roman" w:hAnsi="Times New Roman" w:cs="Times New Roman"/>
        </w:rPr>
        <w:t xml:space="preserve">dwelling unit </w:t>
      </w:r>
      <w:r w:rsidR="005B3C18" w:rsidRPr="00C771EE">
        <w:rPr>
          <w:rFonts w:ascii="Times New Roman" w:hAnsi="Times New Roman" w:cs="Times New Roman"/>
        </w:rPr>
        <w:t xml:space="preserve">attribute </w:t>
      </w:r>
      <w:r w:rsidR="00067565" w:rsidRPr="00C771EE">
        <w:rPr>
          <w:rFonts w:ascii="Times New Roman" w:hAnsi="Times New Roman" w:cs="Times New Roman"/>
        </w:rPr>
        <w:t xml:space="preserve">values, even though there </w:t>
      </w:r>
      <w:r w:rsidR="00067565" w:rsidRPr="00C771EE">
        <w:rPr>
          <w:rFonts w:ascii="Times New Roman" w:hAnsi="Times New Roman" w:cs="Times New Roman"/>
        </w:rPr>
        <w:lastRenderedPageBreak/>
        <w:t>will be variation in these attributes within a zone</w:t>
      </w:r>
      <w:r w:rsidR="005B3C18" w:rsidRPr="00C771EE">
        <w:rPr>
          <w:rFonts w:ascii="Times New Roman" w:hAnsi="Times New Roman" w:cs="Times New Roman"/>
        </w:rPr>
        <w:t xml:space="preserve">. In essence, heterogeneities in space within a zone get ignored, and could lead to an aggregation bias in model estimates (see </w:t>
      </w:r>
      <w:r w:rsidR="007A326D">
        <w:rPr>
          <w:rFonts w:ascii="Times New Roman" w:hAnsi="Times New Roman" w:cs="Times New Roman"/>
        </w:rPr>
        <w:t xml:space="preserve">Heckman and </w:t>
      </w:r>
      <w:proofErr w:type="spellStart"/>
      <w:r w:rsidR="007A326D">
        <w:rPr>
          <w:rFonts w:ascii="Times New Roman" w:hAnsi="Times New Roman" w:cs="Times New Roman"/>
        </w:rPr>
        <w:t>Sedlacek</w:t>
      </w:r>
      <w:proofErr w:type="spellEnd"/>
      <w:r w:rsidR="007A326D">
        <w:rPr>
          <w:rFonts w:ascii="Times New Roman" w:hAnsi="Times New Roman" w:cs="Times New Roman"/>
        </w:rPr>
        <w:t>, 1985</w:t>
      </w:r>
      <w:r w:rsidR="005B3C18" w:rsidRPr="00C771EE">
        <w:rPr>
          <w:rFonts w:ascii="Times New Roman" w:hAnsi="Times New Roman" w:cs="Times New Roman"/>
        </w:rPr>
        <w:t xml:space="preserve">). </w:t>
      </w:r>
      <w:r w:rsidR="0087280B" w:rsidRPr="00C771EE">
        <w:rPr>
          <w:rFonts w:ascii="Times New Roman" w:hAnsi="Times New Roman" w:cs="Times New Roman"/>
        </w:rPr>
        <w:t>Besides, the decision of housing involves more than just location; households do consider dwelling unit attributes (such as number of bedr</w:t>
      </w:r>
      <w:r w:rsidR="00880494" w:rsidRPr="00C771EE">
        <w:rPr>
          <w:rFonts w:ascii="Times New Roman" w:hAnsi="Times New Roman" w:cs="Times New Roman"/>
        </w:rPr>
        <w:t>ooms, number of bathrooms, squar</w:t>
      </w:r>
      <w:r w:rsidR="0087280B" w:rsidRPr="00C771EE">
        <w:rPr>
          <w:rFonts w:ascii="Times New Roman" w:hAnsi="Times New Roman" w:cs="Times New Roman"/>
        </w:rPr>
        <w:t xml:space="preserve">e footage, </w:t>
      </w:r>
      <w:r w:rsidR="00BB4DF0">
        <w:rPr>
          <w:rFonts w:ascii="Times New Roman" w:hAnsi="Times New Roman" w:cs="Times New Roman"/>
        </w:rPr>
        <w:t>and housing costs</w:t>
      </w:r>
      <w:r w:rsidR="0087280B" w:rsidRPr="00C771EE">
        <w:rPr>
          <w:rFonts w:ascii="Times New Roman" w:hAnsi="Times New Roman" w:cs="Times New Roman"/>
        </w:rPr>
        <w:t xml:space="preserve">) too, and this is completely ignored by zone-based models. </w:t>
      </w:r>
      <w:r w:rsidR="00135B32" w:rsidRPr="00C771EE">
        <w:rPr>
          <w:rFonts w:ascii="Times New Roman" w:hAnsi="Times New Roman" w:cs="Times New Roman"/>
        </w:rPr>
        <w:t xml:space="preserve">Third, micro-scale land-use policies cannot be analyzed using zone-based models because of the coarseness of the definition of space. </w:t>
      </w:r>
    </w:p>
    <w:p w14:paraId="768F4CA2" w14:textId="57C4CFBB" w:rsidR="00880494" w:rsidRPr="00C771EE" w:rsidRDefault="005B3C18" w:rsidP="00575184">
      <w:pPr>
        <w:pStyle w:val="Default"/>
        <w:spacing w:line="360" w:lineRule="auto"/>
        <w:ind w:firstLine="720"/>
        <w:jc w:val="both"/>
        <w:rPr>
          <w:rFonts w:ascii="Times New Roman" w:hAnsi="Times New Roman" w:cs="Times New Roman"/>
        </w:rPr>
      </w:pPr>
      <w:r w:rsidRPr="00C771EE">
        <w:rPr>
          <w:rFonts w:ascii="Times New Roman" w:hAnsi="Times New Roman" w:cs="Times New Roman"/>
        </w:rPr>
        <w:t xml:space="preserve">A second unit of analysis used in the literature corresponds to </w:t>
      </w:r>
      <w:r w:rsidR="00135B32" w:rsidRPr="00C771EE">
        <w:rPr>
          <w:rFonts w:ascii="Times New Roman" w:hAnsi="Times New Roman" w:cs="Times New Roman"/>
        </w:rPr>
        <w:t>that of a parcel or a building</w:t>
      </w:r>
      <w:r w:rsidR="0087280B" w:rsidRPr="00C771EE">
        <w:rPr>
          <w:rFonts w:ascii="Times New Roman" w:hAnsi="Times New Roman" w:cs="Times New Roman"/>
        </w:rPr>
        <w:t>. Doing so has many advantages over the zone-based models, because there is no ambiguity in the definition of the spatial unit of analysis, and thus the problems arising from MAUP in the zone context are non-existent in the parcel context</w:t>
      </w:r>
      <w:r w:rsidR="00135B32" w:rsidRPr="00C771EE">
        <w:rPr>
          <w:rFonts w:ascii="Times New Roman" w:hAnsi="Times New Roman" w:cs="Times New Roman"/>
        </w:rPr>
        <w:t>.</w:t>
      </w:r>
      <w:r w:rsidR="0087280B" w:rsidRPr="00C771EE">
        <w:rPr>
          <w:rFonts w:ascii="Times New Roman" w:hAnsi="Times New Roman" w:cs="Times New Roman"/>
        </w:rPr>
        <w:t xml:space="preserve"> The use of a parcel can also help improve the specification of accessibility attributes</w:t>
      </w:r>
      <w:r w:rsidR="008859E7" w:rsidRPr="00C771EE">
        <w:rPr>
          <w:rFonts w:ascii="Times New Roman" w:hAnsi="Times New Roman" w:cs="Times New Roman"/>
        </w:rPr>
        <w:t xml:space="preserve">, and </w:t>
      </w:r>
      <w:r w:rsidR="005002A4" w:rsidRPr="00C771EE">
        <w:rPr>
          <w:rFonts w:ascii="Times New Roman" w:hAnsi="Times New Roman" w:cs="Times New Roman"/>
        </w:rPr>
        <w:t xml:space="preserve">provide the fine resolution needed for the analysis of micro-scale land-use policies. This approach has been adopted by </w:t>
      </w:r>
      <w:r w:rsidR="0087280B" w:rsidRPr="00C771EE">
        <w:rPr>
          <w:rFonts w:ascii="Times New Roman" w:hAnsi="Times New Roman" w:cs="Times New Roman"/>
        </w:rPr>
        <w:t xml:space="preserve">Lee </w:t>
      </w:r>
      <w:r w:rsidR="0087280B" w:rsidRPr="00FD6980">
        <w:rPr>
          <w:rFonts w:ascii="Times New Roman" w:hAnsi="Times New Roman" w:cs="Times New Roman"/>
          <w:i/>
        </w:rPr>
        <w:t>et al</w:t>
      </w:r>
      <w:r w:rsidR="0087280B" w:rsidRPr="00C771EE">
        <w:rPr>
          <w:rFonts w:ascii="Times New Roman" w:hAnsi="Times New Roman" w:cs="Times New Roman"/>
        </w:rPr>
        <w:t>. (2</w:t>
      </w:r>
      <w:r w:rsidR="008B17C5">
        <w:rPr>
          <w:rFonts w:ascii="Times New Roman" w:hAnsi="Times New Roman" w:cs="Times New Roman"/>
        </w:rPr>
        <w:t>010</w:t>
      </w:r>
      <w:r w:rsidR="005002A4" w:rsidRPr="00C771EE">
        <w:rPr>
          <w:rFonts w:ascii="Times New Roman" w:hAnsi="Times New Roman" w:cs="Times New Roman"/>
        </w:rPr>
        <w:t xml:space="preserve">) and Lee and Waddell (2010), who </w:t>
      </w:r>
      <w:r w:rsidR="0087280B" w:rsidRPr="00C771EE">
        <w:rPr>
          <w:rFonts w:ascii="Times New Roman" w:hAnsi="Times New Roman" w:cs="Times New Roman"/>
        </w:rPr>
        <w:t xml:space="preserve">developed a parcel-based residential location </w:t>
      </w:r>
      <w:proofErr w:type="gramStart"/>
      <w:r w:rsidR="0087280B" w:rsidRPr="00C771EE">
        <w:rPr>
          <w:rFonts w:ascii="Times New Roman" w:hAnsi="Times New Roman" w:cs="Times New Roman"/>
        </w:rPr>
        <w:t>choice</w:t>
      </w:r>
      <w:proofErr w:type="gramEnd"/>
      <w:r w:rsidR="0087280B" w:rsidRPr="00C771EE">
        <w:rPr>
          <w:rFonts w:ascii="Times New Roman" w:hAnsi="Times New Roman" w:cs="Times New Roman"/>
        </w:rPr>
        <w:t xml:space="preserve"> mo</w:t>
      </w:r>
      <w:r w:rsidR="005002A4" w:rsidRPr="00C771EE">
        <w:rPr>
          <w:rFonts w:ascii="Times New Roman" w:hAnsi="Times New Roman" w:cs="Times New Roman"/>
        </w:rPr>
        <w:t xml:space="preserve">del for the Puget Sound region, though many of the </w:t>
      </w:r>
      <w:r w:rsidR="0087280B" w:rsidRPr="00C771EE">
        <w:rPr>
          <w:rFonts w:ascii="Times New Roman" w:hAnsi="Times New Roman" w:cs="Times New Roman"/>
        </w:rPr>
        <w:t xml:space="preserve">locational </w:t>
      </w:r>
      <w:r w:rsidR="005002A4" w:rsidRPr="00C771EE">
        <w:rPr>
          <w:rFonts w:ascii="Times New Roman" w:hAnsi="Times New Roman" w:cs="Times New Roman"/>
        </w:rPr>
        <w:t>explanatory variables they used were only defined at the zone l</w:t>
      </w:r>
      <w:r w:rsidR="0087280B" w:rsidRPr="00C771EE">
        <w:rPr>
          <w:rFonts w:ascii="Times New Roman" w:hAnsi="Times New Roman" w:cs="Times New Roman"/>
        </w:rPr>
        <w:t>evel</w:t>
      </w:r>
      <w:r w:rsidR="005002A4" w:rsidRPr="00C771EE">
        <w:rPr>
          <w:rFonts w:ascii="Times New Roman" w:hAnsi="Times New Roman" w:cs="Times New Roman"/>
        </w:rPr>
        <w:t xml:space="preserve">. The problem with parcel-based models is that, like the zone-based models, they do not consider dwelling unit attributes that are made jointly with the physical location of the residence. </w:t>
      </w:r>
      <w:r w:rsidR="00BB4DF0">
        <w:rPr>
          <w:rFonts w:ascii="Times New Roman" w:hAnsi="Times New Roman" w:cs="Times New Roman"/>
        </w:rPr>
        <w:t>Thus</w:t>
      </w:r>
      <w:r w:rsidR="00880494" w:rsidRPr="00C771EE">
        <w:rPr>
          <w:rFonts w:ascii="Times New Roman" w:hAnsi="Times New Roman" w:cs="Times New Roman"/>
        </w:rPr>
        <w:t xml:space="preserve">, these models do not distinguish between two parcels with very different types of dwelling units. </w:t>
      </w:r>
      <w:r w:rsidR="0087280B" w:rsidRPr="00C771EE">
        <w:rPr>
          <w:rFonts w:ascii="Times New Roman" w:hAnsi="Times New Roman" w:cs="Times New Roman"/>
        </w:rPr>
        <w:t xml:space="preserve"> </w:t>
      </w:r>
      <w:r w:rsidR="00880494" w:rsidRPr="00C771EE">
        <w:rPr>
          <w:rFonts w:ascii="Times New Roman" w:hAnsi="Times New Roman" w:cs="Times New Roman"/>
        </w:rPr>
        <w:t xml:space="preserve">Besides, such models have not been used much because of the need for high spatial resolution data on parcels (which can be difficult to put together) and the computational issues associated with the high number of parcels as alternatives. In particular, unless the restrictive multinomial logit model form is used, estimation with a sample of parcel alternatives requires the introduction of appropriate correction terms (see </w:t>
      </w:r>
      <w:r w:rsidR="00E35166">
        <w:rPr>
          <w:rFonts w:ascii="Times New Roman" w:hAnsi="Times New Roman" w:cs="Times New Roman"/>
        </w:rPr>
        <w:t>further discussion in Section 1.3</w:t>
      </w:r>
      <w:r w:rsidR="00880494" w:rsidRPr="00C771EE">
        <w:rPr>
          <w:rFonts w:ascii="Times New Roman" w:hAnsi="Times New Roman" w:cs="Times New Roman"/>
        </w:rPr>
        <w:t xml:space="preserve">). </w:t>
      </w:r>
    </w:p>
    <w:p w14:paraId="727BD3D7" w14:textId="3C2FAE73" w:rsidR="0060055D" w:rsidRPr="00C771EE" w:rsidRDefault="008134FB" w:rsidP="00575184">
      <w:pPr>
        <w:pStyle w:val="Default"/>
        <w:spacing w:line="360" w:lineRule="auto"/>
        <w:ind w:firstLine="720"/>
        <w:jc w:val="both"/>
        <w:rPr>
          <w:rFonts w:ascii="Times New Roman" w:hAnsi="Times New Roman" w:cs="Times New Roman"/>
        </w:rPr>
      </w:pPr>
      <w:r w:rsidRPr="00C771EE">
        <w:rPr>
          <w:rFonts w:ascii="Times New Roman" w:hAnsi="Times New Roman" w:cs="Times New Roman"/>
        </w:rPr>
        <w:t>A third unit of analys</w:t>
      </w:r>
      <w:r w:rsidR="008512D7" w:rsidRPr="00C771EE">
        <w:rPr>
          <w:rFonts w:ascii="Times New Roman" w:hAnsi="Times New Roman" w:cs="Times New Roman"/>
        </w:rPr>
        <w:t xml:space="preserve">is is that of the dwelling unit. </w:t>
      </w:r>
      <w:r w:rsidR="008512D7" w:rsidRPr="00CE0E23">
        <w:rPr>
          <w:rFonts w:ascii="Times New Roman" w:hAnsi="Times New Roman" w:cs="Times New Roman"/>
        </w:rPr>
        <w:t>One can then use a zonal-level spatial resolution or a parcel-level spatial resolution for the physical location unit.</w:t>
      </w:r>
      <w:r w:rsidR="008512D7" w:rsidRPr="00C771EE">
        <w:rPr>
          <w:rFonts w:ascii="Times New Roman" w:hAnsi="Times New Roman" w:cs="Times New Roman"/>
        </w:rPr>
        <w:t xml:space="preserve"> </w:t>
      </w:r>
      <w:r w:rsidR="0060055D" w:rsidRPr="00C771EE">
        <w:rPr>
          <w:rFonts w:ascii="Times New Roman" w:hAnsi="Times New Roman" w:cs="Times New Roman"/>
        </w:rPr>
        <w:t>The advantage of this approach is that it can accommodate dwelling unit attributes. But a zone-level spatial representation brings the same disadvantages as those listed earlier for zone-based models in terms of spatial aggregation, while a parcel-based spatial representation has important advantages. Further, the combination of the dwelling unit and a parcel provides a unique “point” identification of residential location. Examples of the use of a zone-based dwell</w:t>
      </w:r>
      <w:r w:rsidR="00DA3E72">
        <w:rPr>
          <w:rFonts w:ascii="Times New Roman" w:hAnsi="Times New Roman" w:cs="Times New Roman"/>
        </w:rPr>
        <w:t xml:space="preserve">ing unit approach </w:t>
      </w:r>
      <w:r w:rsidR="00DA3E72">
        <w:rPr>
          <w:rFonts w:ascii="Times New Roman" w:hAnsi="Times New Roman" w:cs="Times New Roman"/>
        </w:rPr>
        <w:lastRenderedPageBreak/>
        <w:t>include Gueva</w:t>
      </w:r>
      <w:r w:rsidR="0060055D" w:rsidRPr="00C771EE">
        <w:rPr>
          <w:rFonts w:ascii="Times New Roman" w:hAnsi="Times New Roman" w:cs="Times New Roman"/>
        </w:rPr>
        <w:t>ra</w:t>
      </w:r>
      <w:r w:rsidR="00E7232A">
        <w:rPr>
          <w:rFonts w:ascii="Times New Roman" w:hAnsi="Times New Roman" w:cs="Times New Roman"/>
        </w:rPr>
        <w:t xml:space="preserve"> </w:t>
      </w:r>
      <w:r w:rsidR="0060055D" w:rsidRPr="00C771EE">
        <w:rPr>
          <w:rFonts w:ascii="Times New Roman" w:hAnsi="Times New Roman" w:cs="Times New Roman"/>
        </w:rPr>
        <w:t xml:space="preserve">(2010) and Bayer </w:t>
      </w:r>
      <w:r w:rsidR="0060055D" w:rsidRPr="00FD6980">
        <w:rPr>
          <w:rFonts w:ascii="Times New Roman" w:hAnsi="Times New Roman" w:cs="Times New Roman"/>
          <w:i/>
        </w:rPr>
        <w:t>et al</w:t>
      </w:r>
      <w:r w:rsidR="0060055D" w:rsidRPr="00C771EE">
        <w:rPr>
          <w:rFonts w:ascii="Times New Roman" w:hAnsi="Times New Roman" w:cs="Times New Roman"/>
        </w:rPr>
        <w:t xml:space="preserve">. (2005), while examples of the parcel-based dwelling unit approach include Habib and Miller (2009) and </w:t>
      </w:r>
      <w:proofErr w:type="spellStart"/>
      <w:r w:rsidR="0060055D" w:rsidRPr="00C771EE">
        <w:rPr>
          <w:rFonts w:ascii="Times New Roman" w:hAnsi="Times New Roman" w:cs="Times New Roman"/>
        </w:rPr>
        <w:t>Eliasson</w:t>
      </w:r>
      <w:proofErr w:type="spellEnd"/>
      <w:r w:rsidR="0060055D" w:rsidRPr="00C771EE">
        <w:rPr>
          <w:rFonts w:ascii="Times New Roman" w:hAnsi="Times New Roman" w:cs="Times New Roman"/>
        </w:rPr>
        <w:t xml:space="preserve"> (2010). In both cases, consideratio</w:t>
      </w:r>
      <w:r w:rsidR="004D2ADD" w:rsidRPr="00C771EE">
        <w:rPr>
          <w:rFonts w:ascii="Times New Roman" w:hAnsi="Times New Roman" w:cs="Times New Roman"/>
        </w:rPr>
        <w:t>ns related to choice set formation are very important because the universal choice set explodes in size very quickly (particularly with a parcel-based spatial resolution)</w:t>
      </w:r>
      <w:r w:rsidR="00E35166">
        <w:rPr>
          <w:rFonts w:ascii="Times New Roman" w:hAnsi="Times New Roman" w:cs="Times New Roman"/>
        </w:rPr>
        <w:t>, as we discuss in the next section.</w:t>
      </w:r>
    </w:p>
    <w:p w14:paraId="137ADC04" w14:textId="77777777" w:rsidR="0060055D" w:rsidRPr="00C771EE" w:rsidRDefault="0060055D" w:rsidP="00575184">
      <w:pPr>
        <w:pStyle w:val="Default"/>
        <w:spacing w:line="360" w:lineRule="auto"/>
        <w:jc w:val="both"/>
        <w:rPr>
          <w:rFonts w:ascii="Times New Roman" w:hAnsi="Times New Roman" w:cs="Times New Roman"/>
        </w:rPr>
      </w:pPr>
    </w:p>
    <w:p w14:paraId="6B573122" w14:textId="77777777" w:rsidR="0060055D" w:rsidRPr="00307CB0" w:rsidRDefault="00772BDE" w:rsidP="00772BDE">
      <w:pPr>
        <w:pStyle w:val="Default"/>
        <w:numPr>
          <w:ilvl w:val="1"/>
          <w:numId w:val="15"/>
        </w:numPr>
        <w:spacing w:line="360" w:lineRule="auto"/>
        <w:jc w:val="both"/>
        <w:rPr>
          <w:rFonts w:ascii="Times New Roman" w:hAnsi="Times New Roman" w:cs="Times New Roman"/>
          <w:b/>
        </w:rPr>
      </w:pPr>
      <w:r w:rsidRPr="00307CB0">
        <w:rPr>
          <w:rFonts w:ascii="Times New Roman" w:hAnsi="Times New Roman" w:cs="Times New Roman"/>
          <w:b/>
        </w:rPr>
        <w:t xml:space="preserve"> </w:t>
      </w:r>
      <w:r w:rsidR="008A41B8" w:rsidRPr="00307CB0">
        <w:rPr>
          <w:rFonts w:ascii="Times New Roman" w:hAnsi="Times New Roman" w:cs="Times New Roman"/>
          <w:b/>
        </w:rPr>
        <w:t>Choice Set Generation</w:t>
      </w:r>
    </w:p>
    <w:p w14:paraId="0B04E196" w14:textId="620A391B" w:rsidR="000B0656" w:rsidRPr="00C771EE" w:rsidRDefault="00020658" w:rsidP="00575184">
      <w:pPr>
        <w:autoSpaceDE w:val="0"/>
        <w:autoSpaceDN w:val="0"/>
        <w:adjustRightInd w:val="0"/>
        <w:jc w:val="both"/>
        <w:rPr>
          <w:rFonts w:eastAsiaTheme="minorHAnsi"/>
          <w:color w:val="000000"/>
        </w:rPr>
      </w:pPr>
      <w:r w:rsidRPr="00C771EE">
        <w:t xml:space="preserve">An important issue in </w:t>
      </w:r>
      <w:r w:rsidR="00217D59">
        <w:t xml:space="preserve">the discrete choice modeling of residential choice is </w:t>
      </w:r>
      <w:r w:rsidRPr="00C771EE">
        <w:t xml:space="preserve">the alternatives from which a family chooses its location. This is non-trivial because the number of spatial location alternatives can range from a few hundreds to thousands in the case of zone-level models to hundreds of thousands in the case of parcel-level </w:t>
      </w:r>
      <w:r w:rsidR="007D18CB">
        <w:t xml:space="preserve">or dwelling unit level </w:t>
      </w:r>
      <w:r w:rsidRPr="00C771EE">
        <w:t xml:space="preserve">models. </w:t>
      </w:r>
      <w:r w:rsidR="00474C94" w:rsidRPr="00C771EE">
        <w:t>There is a relatively vast b</w:t>
      </w:r>
      <w:r w:rsidR="007D18CB">
        <w:t>ody of literature in the social-behavioral</w:t>
      </w:r>
      <w:r w:rsidR="00474C94" w:rsidRPr="00C771EE">
        <w:t xml:space="preserve"> </w:t>
      </w:r>
      <w:r w:rsidR="007D18CB">
        <w:t xml:space="preserve">science </w:t>
      </w:r>
      <w:r w:rsidR="00474C94" w:rsidRPr="00C771EE">
        <w:t>literature now that suggests that decision-makers, when confronted with a vast array of possible options, whittle down those options to just a few using heuristic non-compensatory screening rules, followed by a much more careful and possibly compensatory process to make the final decision</w:t>
      </w:r>
      <w:r w:rsidR="00F253A2" w:rsidRPr="00C771EE">
        <w:t xml:space="preserve"> (see </w:t>
      </w:r>
      <w:proofErr w:type="spellStart"/>
      <w:r w:rsidR="00F253A2" w:rsidRPr="00C771EE">
        <w:t>Tversky</w:t>
      </w:r>
      <w:proofErr w:type="spellEnd"/>
      <w:r w:rsidR="00F253A2" w:rsidRPr="00C771EE">
        <w:t xml:space="preserve">, 1972 and </w:t>
      </w:r>
      <w:r w:rsidR="00DA3E72" w:rsidRPr="005C41DB">
        <w:rPr>
          <w:noProof/>
        </w:rPr>
        <w:t>Manrai</w:t>
      </w:r>
      <w:r w:rsidR="00F253A2" w:rsidRPr="00C771EE">
        <w:t xml:space="preserve"> and Andrews, 1998)</w:t>
      </w:r>
      <w:r w:rsidR="00474C94" w:rsidRPr="00C771EE">
        <w:t xml:space="preserve">. </w:t>
      </w:r>
      <w:r w:rsidR="00C178C3" w:rsidRPr="00C771EE">
        <w:t>Further, many earlier studies of choice set formation have demo</w:t>
      </w:r>
      <w:r w:rsidR="00C771EE">
        <w:t>nstrated how ignoring the choice set formation</w:t>
      </w:r>
      <w:r w:rsidR="00C178C3" w:rsidRPr="00C771EE">
        <w:t xml:space="preserve"> process</w:t>
      </w:r>
      <w:r w:rsidR="00C771EE">
        <w:t>,</w:t>
      </w:r>
      <w:r w:rsidR="00C178C3" w:rsidRPr="00C771EE">
        <w:t xml:space="preserve"> and assuming that all alternatives are available and evaluated using a utility-maximizing structure</w:t>
      </w:r>
      <w:r w:rsidR="00C771EE">
        <w:t>,</w:t>
      </w:r>
      <w:r w:rsidR="00C178C3" w:rsidRPr="00C771EE">
        <w:t xml:space="preserve"> can lead to biased parameter estimates, leading to incorrect sensitivity to variable changes and poor forecasting performance</w:t>
      </w:r>
      <w:r w:rsidR="00621E07" w:rsidRPr="00C771EE">
        <w:t xml:space="preserve"> (see, for example, </w:t>
      </w:r>
      <w:r w:rsidR="00F253A2" w:rsidRPr="00C771EE">
        <w:t xml:space="preserve">Shocker </w:t>
      </w:r>
      <w:r w:rsidR="00F253A2" w:rsidRPr="00C771EE">
        <w:rPr>
          <w:i/>
          <w:iCs/>
        </w:rPr>
        <w:t>et al.</w:t>
      </w:r>
      <w:r w:rsidR="00F253A2" w:rsidRPr="00C771EE">
        <w:t xml:space="preserve">, 1991, Williams and </w:t>
      </w:r>
      <w:r w:rsidR="00BB4DF0">
        <w:t xml:space="preserve">Ortuzar, 1982, </w:t>
      </w:r>
      <w:proofErr w:type="spellStart"/>
      <w:r w:rsidR="00BB4DF0">
        <w:t>Swait</w:t>
      </w:r>
      <w:proofErr w:type="spellEnd"/>
      <w:r w:rsidR="00BB4DF0">
        <w:t xml:space="preserve">, 2001, </w:t>
      </w:r>
      <w:proofErr w:type="spellStart"/>
      <w:r w:rsidR="00F253A2" w:rsidRPr="00C771EE">
        <w:t>Basar</w:t>
      </w:r>
      <w:proofErr w:type="spellEnd"/>
      <w:r w:rsidR="00F253A2" w:rsidRPr="00C771EE">
        <w:t xml:space="preserve"> and Bhat, 2004</w:t>
      </w:r>
      <w:r w:rsidR="00925566">
        <w:t>, and Bell, 2007</w:t>
      </w:r>
      <w:r w:rsidR="00F253A2" w:rsidRPr="00C771EE">
        <w:t>)</w:t>
      </w:r>
      <w:r w:rsidR="00C178C3" w:rsidRPr="00C771EE">
        <w:t xml:space="preserve">. The fundamental reason for this is that considering the full choice set is tantamount to assuming that the choice of one alternative implies an underlying preference ordering in which the chosen alternative is </w:t>
      </w:r>
      <w:r w:rsidR="00BB4DF0">
        <w:t xml:space="preserve">the </w:t>
      </w:r>
      <w:r w:rsidR="00C178C3" w:rsidRPr="00C771EE">
        <w:t xml:space="preserve">highest ranked over all other alternatives. This may not be the case because </w:t>
      </w:r>
      <w:r w:rsidR="00644E73" w:rsidRPr="00C771EE">
        <w:t>individuals may not be aware of some alternatives</w:t>
      </w:r>
      <w:r w:rsidR="00F253A2" w:rsidRPr="00C771EE">
        <w:t xml:space="preserve"> and/or </w:t>
      </w:r>
      <w:r w:rsidR="00644E73" w:rsidRPr="00C771EE">
        <w:t xml:space="preserve">may use heuristics to simplify the choice process to </w:t>
      </w:r>
      <w:r w:rsidR="00973E33" w:rsidRPr="00C771EE">
        <w:t xml:space="preserve">reduce cognitive, </w:t>
      </w:r>
      <w:r w:rsidR="00644E73" w:rsidRPr="00C771EE">
        <w:t>emotional</w:t>
      </w:r>
      <w:r w:rsidR="00973E33" w:rsidRPr="00C771EE">
        <w:t>, and time</w:t>
      </w:r>
      <w:r w:rsidR="000B0656" w:rsidRPr="00C771EE">
        <w:t>/money</w:t>
      </w:r>
      <w:r w:rsidR="00644E73" w:rsidRPr="00C771EE">
        <w:t xml:space="preserve"> </w:t>
      </w:r>
      <w:r w:rsidR="000B0656" w:rsidRPr="00C771EE">
        <w:t xml:space="preserve">search </w:t>
      </w:r>
      <w:r w:rsidR="00644E73" w:rsidRPr="00C771EE">
        <w:t xml:space="preserve">costs that come with choice option overloading. </w:t>
      </w:r>
      <w:r w:rsidR="00704D23">
        <w:t>In particular, t</w:t>
      </w:r>
      <w:r w:rsidR="00644E73" w:rsidRPr="00C771EE">
        <w:t xml:space="preserve">he cognitive costs </w:t>
      </w:r>
      <w:r w:rsidR="00973E33" w:rsidRPr="00C771EE">
        <w:t xml:space="preserve">are associated with the mental energy expenditure to collect information on each alternative in the choice set and make a “rational” choice (see </w:t>
      </w:r>
      <w:proofErr w:type="spellStart"/>
      <w:r w:rsidR="00973E33" w:rsidRPr="00C771EE">
        <w:t>Shugan</w:t>
      </w:r>
      <w:proofErr w:type="spellEnd"/>
      <w:r w:rsidR="00973E33" w:rsidRPr="00C771EE">
        <w:t xml:space="preserve">, 1980 and </w:t>
      </w:r>
      <w:proofErr w:type="spellStart"/>
      <w:r w:rsidR="00973E33" w:rsidRPr="00C771EE">
        <w:t>Botti</w:t>
      </w:r>
      <w:proofErr w:type="spellEnd"/>
      <w:r w:rsidR="00973E33" w:rsidRPr="00C771EE">
        <w:t xml:space="preserve"> and </w:t>
      </w:r>
      <w:proofErr w:type="spellStart"/>
      <w:r w:rsidR="00973E33" w:rsidRPr="00C771EE">
        <w:t>Hsee</w:t>
      </w:r>
      <w:proofErr w:type="spellEnd"/>
      <w:r w:rsidR="00973E33" w:rsidRPr="00C771EE">
        <w:t xml:space="preserve">, 2010); the emotional costs relate to the </w:t>
      </w:r>
      <w:r w:rsidR="00973E33" w:rsidRPr="00C771EE">
        <w:rPr>
          <w:rFonts w:eastAsiaTheme="minorHAnsi"/>
          <w:color w:val="000000"/>
        </w:rPr>
        <w:t xml:space="preserve">psychological distress that accrues from a consumer not being entirely sure about her/his preference ordering </w:t>
      </w:r>
      <w:r w:rsidR="000B0656" w:rsidRPr="00C771EE">
        <w:rPr>
          <w:rFonts w:eastAsiaTheme="minorHAnsi"/>
          <w:color w:val="000000"/>
        </w:rPr>
        <w:t>in the presence of a large number of options and/or experiencing a high degree of loss aversion due to having to reject a large number of option</w:t>
      </w:r>
      <w:r w:rsidR="00704D23">
        <w:rPr>
          <w:rFonts w:eastAsiaTheme="minorHAnsi"/>
          <w:color w:val="000000"/>
        </w:rPr>
        <w:t>s</w:t>
      </w:r>
      <w:r w:rsidR="000B0656" w:rsidRPr="00C771EE">
        <w:rPr>
          <w:rFonts w:eastAsiaTheme="minorHAnsi"/>
          <w:color w:val="000000"/>
        </w:rPr>
        <w:t xml:space="preserve"> in the process of </w:t>
      </w:r>
      <w:r w:rsidR="000B0656" w:rsidRPr="00C771EE">
        <w:rPr>
          <w:rFonts w:eastAsiaTheme="minorHAnsi"/>
          <w:color w:val="000000"/>
        </w:rPr>
        <w:lastRenderedPageBreak/>
        <w:t xml:space="preserve">selecting one option (see Carmon </w:t>
      </w:r>
      <w:r w:rsidR="000B0656" w:rsidRPr="00FD6980">
        <w:rPr>
          <w:rFonts w:eastAsiaTheme="minorHAnsi"/>
          <w:i/>
          <w:color w:val="000000"/>
        </w:rPr>
        <w:t>et al</w:t>
      </w:r>
      <w:r w:rsidR="000B0656" w:rsidRPr="00C771EE">
        <w:rPr>
          <w:rFonts w:eastAsiaTheme="minorHAnsi"/>
          <w:color w:val="000000"/>
        </w:rPr>
        <w:t xml:space="preserve">., 2003); the time costs refer to the opportunity cost of collecting and processing information on a large number of alternatives, and the money costs refer to fiscal investments in the information </w:t>
      </w:r>
      <w:r w:rsidR="00621E07" w:rsidRPr="00C771EE">
        <w:rPr>
          <w:rFonts w:eastAsiaTheme="minorHAnsi"/>
          <w:color w:val="000000"/>
        </w:rPr>
        <w:t xml:space="preserve">gathering process. </w:t>
      </w:r>
      <w:r w:rsidR="000B0656" w:rsidRPr="00C771EE">
        <w:rPr>
          <w:rFonts w:eastAsiaTheme="minorHAnsi"/>
        </w:rPr>
        <w:t xml:space="preserve">Indeed, Simon’s pioneering work </w:t>
      </w:r>
      <w:r w:rsidR="00C411BE" w:rsidRPr="00C771EE">
        <w:rPr>
          <w:rFonts w:eastAsiaTheme="minorHAnsi"/>
        </w:rPr>
        <w:t>emphasized the use of heuristics and short-cuts to quickly circumscribe the set of possibilities to choose from</w:t>
      </w:r>
      <w:r w:rsidR="00621E07" w:rsidRPr="00C771EE">
        <w:rPr>
          <w:rFonts w:eastAsiaTheme="minorHAnsi"/>
        </w:rPr>
        <w:t xml:space="preserve">, due to humans being “cognitive misers” </w:t>
      </w:r>
      <w:r w:rsidR="00D92DDF">
        <w:rPr>
          <w:rFonts w:eastAsiaTheme="minorHAnsi"/>
        </w:rPr>
        <w:t xml:space="preserve">and having “bounded rationality” </w:t>
      </w:r>
      <w:r w:rsidR="00621E07" w:rsidRPr="00C771EE">
        <w:rPr>
          <w:rFonts w:eastAsiaTheme="minorHAnsi"/>
        </w:rPr>
        <w:t>(Simon, 1986).</w:t>
      </w:r>
    </w:p>
    <w:p w14:paraId="554EF143" w14:textId="31E2BFF8" w:rsidR="00194A9A" w:rsidRDefault="00D92DDF" w:rsidP="00575184">
      <w:pPr>
        <w:autoSpaceDE w:val="0"/>
        <w:autoSpaceDN w:val="0"/>
        <w:adjustRightInd w:val="0"/>
        <w:jc w:val="both"/>
        <w:rPr>
          <w:sz w:val="23"/>
          <w:szCs w:val="23"/>
        </w:rPr>
      </w:pPr>
      <w:r>
        <w:rPr>
          <w:rFonts w:eastAsiaTheme="minorHAnsi"/>
          <w:color w:val="000000"/>
        </w:rPr>
        <w:tab/>
        <w:t xml:space="preserve">The typical approach in the literature on residential choice modeling (whether at the zone-level, parcel-level, or dwelling level) has been to use a random </w:t>
      </w:r>
      <w:r w:rsidR="00DA1AD5">
        <w:rPr>
          <w:rFonts w:eastAsiaTheme="minorHAnsi"/>
          <w:color w:val="000000"/>
        </w:rPr>
        <w:t xml:space="preserve">sampling </w:t>
      </w:r>
      <w:r w:rsidR="00094A35">
        <w:rPr>
          <w:rFonts w:eastAsiaTheme="minorHAnsi"/>
          <w:color w:val="000000"/>
        </w:rPr>
        <w:t xml:space="preserve">approach </w:t>
      </w:r>
      <w:r w:rsidR="00194A9A">
        <w:rPr>
          <w:rFonts w:eastAsiaTheme="minorHAnsi"/>
          <w:color w:val="000000"/>
        </w:rPr>
        <w:t xml:space="preserve">to </w:t>
      </w:r>
      <w:r>
        <w:rPr>
          <w:rFonts w:eastAsiaTheme="minorHAnsi"/>
          <w:color w:val="000000"/>
        </w:rPr>
        <w:t xml:space="preserve">sample </w:t>
      </w:r>
      <w:r w:rsidR="00194A9A">
        <w:rPr>
          <w:rFonts w:eastAsiaTheme="minorHAnsi"/>
          <w:color w:val="000000"/>
        </w:rPr>
        <w:t xml:space="preserve">a subset </w:t>
      </w:r>
      <w:r>
        <w:rPr>
          <w:rFonts w:eastAsiaTheme="minorHAnsi"/>
          <w:color w:val="000000"/>
        </w:rPr>
        <w:t>of the universal choice set of alternatives</w:t>
      </w:r>
      <w:r w:rsidR="00DA1AD5">
        <w:rPr>
          <w:rFonts w:eastAsiaTheme="minorHAnsi"/>
          <w:color w:val="000000"/>
        </w:rPr>
        <w:t xml:space="preserve"> (for example, Bhat and </w:t>
      </w:r>
      <w:proofErr w:type="spellStart"/>
      <w:r w:rsidR="00DA1AD5">
        <w:rPr>
          <w:rFonts w:eastAsiaTheme="minorHAnsi"/>
          <w:color w:val="000000"/>
        </w:rPr>
        <w:t>Guo</w:t>
      </w:r>
      <w:proofErr w:type="spellEnd"/>
      <w:r w:rsidR="00DA1AD5">
        <w:rPr>
          <w:rFonts w:eastAsiaTheme="minorHAnsi"/>
          <w:color w:val="000000"/>
        </w:rPr>
        <w:t>, 2007, Habib and Miller, 20</w:t>
      </w:r>
      <w:r w:rsidR="005D00F9">
        <w:rPr>
          <w:rFonts w:eastAsiaTheme="minorHAnsi"/>
          <w:color w:val="000000"/>
        </w:rPr>
        <w:t>09, Lee and Waddell, 2010, Guevara</w:t>
      </w:r>
      <w:r w:rsidR="00DA1AD5">
        <w:rPr>
          <w:rFonts w:eastAsiaTheme="minorHAnsi"/>
          <w:color w:val="000000"/>
        </w:rPr>
        <w:t xml:space="preserve">, 2010, </w:t>
      </w:r>
      <w:proofErr w:type="spellStart"/>
      <w:r w:rsidR="00DA1AD5">
        <w:rPr>
          <w:rFonts w:eastAsiaTheme="minorHAnsi"/>
          <w:color w:val="000000"/>
        </w:rPr>
        <w:t>Eliasson</w:t>
      </w:r>
      <w:proofErr w:type="spellEnd"/>
      <w:r w:rsidR="00DA1AD5">
        <w:rPr>
          <w:rFonts w:eastAsiaTheme="minorHAnsi"/>
          <w:color w:val="000000"/>
        </w:rPr>
        <w:t xml:space="preserve">, 2010, Chen </w:t>
      </w:r>
      <w:r w:rsidR="00DA1AD5" w:rsidRPr="00FD6980">
        <w:rPr>
          <w:rFonts w:eastAsiaTheme="minorHAnsi"/>
          <w:i/>
          <w:color w:val="000000"/>
        </w:rPr>
        <w:t>et al</w:t>
      </w:r>
      <w:r w:rsidR="005A0189">
        <w:rPr>
          <w:rFonts w:eastAsiaTheme="minorHAnsi"/>
          <w:color w:val="000000"/>
        </w:rPr>
        <w:t>., 2008, and d</w:t>
      </w:r>
      <w:r w:rsidR="00DA1AD5">
        <w:rPr>
          <w:rFonts w:eastAsiaTheme="minorHAnsi"/>
          <w:color w:val="000000"/>
        </w:rPr>
        <w:t xml:space="preserve">e Palma </w:t>
      </w:r>
      <w:r w:rsidR="00DA1AD5" w:rsidRPr="00FD6980">
        <w:rPr>
          <w:rFonts w:eastAsiaTheme="minorHAnsi"/>
          <w:i/>
          <w:color w:val="000000"/>
        </w:rPr>
        <w:t>et al</w:t>
      </w:r>
      <w:r w:rsidR="00DA1AD5">
        <w:rPr>
          <w:rFonts w:eastAsiaTheme="minorHAnsi"/>
          <w:color w:val="000000"/>
        </w:rPr>
        <w:t>., 2007)</w:t>
      </w:r>
      <w:r w:rsidR="00695839">
        <w:rPr>
          <w:rFonts w:eastAsiaTheme="minorHAnsi"/>
          <w:color w:val="000000"/>
        </w:rPr>
        <w:t>. This reduces the computational burden of estimating a discrete choice model with a large number of alternatives. With the introduction of appropriate correction terms, the appr</w:t>
      </w:r>
      <w:r w:rsidR="00194A9A">
        <w:rPr>
          <w:rFonts w:eastAsiaTheme="minorHAnsi"/>
          <w:color w:val="000000"/>
        </w:rPr>
        <w:t xml:space="preserve">oach can also provide consistent and asymptotically normal </w:t>
      </w:r>
      <w:r w:rsidR="00695839">
        <w:rPr>
          <w:rFonts w:eastAsiaTheme="minorHAnsi"/>
          <w:color w:val="000000"/>
        </w:rPr>
        <w:t>estimates for most discrete choice models</w:t>
      </w:r>
      <w:r w:rsidR="00CE2867">
        <w:rPr>
          <w:rFonts w:eastAsiaTheme="minorHAnsi"/>
          <w:color w:val="000000"/>
        </w:rPr>
        <w:t>, assuming that households consider all possible alternatives</w:t>
      </w:r>
      <w:r w:rsidR="005D00F9">
        <w:rPr>
          <w:rFonts w:eastAsiaTheme="minorHAnsi"/>
          <w:color w:val="000000"/>
        </w:rPr>
        <w:t xml:space="preserve"> (see McFadden, 1978, and Gueva</w:t>
      </w:r>
      <w:r w:rsidR="00695839">
        <w:rPr>
          <w:rFonts w:eastAsiaTheme="minorHAnsi"/>
          <w:color w:val="000000"/>
        </w:rPr>
        <w:t>ra and Ben-</w:t>
      </w:r>
      <w:proofErr w:type="spellStart"/>
      <w:r w:rsidR="00695839">
        <w:rPr>
          <w:rFonts w:eastAsiaTheme="minorHAnsi"/>
          <w:color w:val="000000"/>
        </w:rPr>
        <w:t>Akiva</w:t>
      </w:r>
      <w:proofErr w:type="spellEnd"/>
      <w:r w:rsidR="00695839">
        <w:rPr>
          <w:rFonts w:eastAsiaTheme="minorHAnsi"/>
          <w:color w:val="000000"/>
        </w:rPr>
        <w:t>, 2013a</w:t>
      </w:r>
      <w:proofErr w:type="gramStart"/>
      <w:r w:rsidR="00695839">
        <w:rPr>
          <w:rFonts w:eastAsiaTheme="minorHAnsi"/>
          <w:color w:val="000000"/>
        </w:rPr>
        <w:t>,b</w:t>
      </w:r>
      <w:proofErr w:type="gramEnd"/>
      <w:r w:rsidR="00695839">
        <w:rPr>
          <w:rFonts w:eastAsiaTheme="minorHAnsi"/>
          <w:color w:val="000000"/>
        </w:rPr>
        <w:t>)</w:t>
      </w:r>
      <w:r w:rsidR="00094A35">
        <w:rPr>
          <w:rFonts w:eastAsiaTheme="minorHAnsi"/>
          <w:color w:val="000000"/>
        </w:rPr>
        <w:t>.</w:t>
      </w:r>
      <w:r w:rsidR="00695839">
        <w:rPr>
          <w:rFonts w:eastAsiaTheme="minorHAnsi"/>
          <w:color w:val="000000"/>
        </w:rPr>
        <w:t xml:space="preserve"> However, </w:t>
      </w:r>
      <w:r w:rsidR="00607D29">
        <w:rPr>
          <w:rFonts w:eastAsiaTheme="minorHAnsi"/>
          <w:color w:val="000000"/>
        </w:rPr>
        <w:t xml:space="preserve">sampling of alternatives is </w:t>
      </w:r>
      <w:r w:rsidR="00194A9A">
        <w:rPr>
          <w:rFonts w:eastAsiaTheme="minorHAnsi"/>
          <w:color w:val="000000"/>
        </w:rPr>
        <w:t xml:space="preserve">simply </w:t>
      </w:r>
      <w:r w:rsidR="00607D29">
        <w:rPr>
          <w:rFonts w:eastAsiaTheme="minorHAnsi"/>
          <w:color w:val="000000"/>
        </w:rPr>
        <w:t xml:space="preserve">a statistical device to reduce the computational burden of considering all alternatives during estimation. At a fundamental level, it does implicitly assume that households do choose from the universal choice set, and </w:t>
      </w:r>
      <w:r w:rsidR="00094A35">
        <w:rPr>
          <w:rFonts w:eastAsiaTheme="minorHAnsi"/>
          <w:color w:val="000000"/>
        </w:rPr>
        <w:t xml:space="preserve">it </w:t>
      </w:r>
      <w:r w:rsidR="00607D29">
        <w:rPr>
          <w:rFonts w:eastAsiaTheme="minorHAnsi"/>
          <w:color w:val="000000"/>
        </w:rPr>
        <w:t xml:space="preserve">ignores the presence of any search </w:t>
      </w:r>
      <w:r w:rsidR="00C638DD">
        <w:rPr>
          <w:rFonts w:eastAsiaTheme="minorHAnsi"/>
          <w:color w:val="000000"/>
        </w:rPr>
        <w:t xml:space="preserve">behavior </w:t>
      </w:r>
      <w:r w:rsidR="00607D29">
        <w:rPr>
          <w:rFonts w:eastAsiaTheme="minorHAnsi"/>
          <w:color w:val="000000"/>
        </w:rPr>
        <w:t xml:space="preserve">process heuristics and pruning tactics in residential choice decisions.  </w:t>
      </w:r>
      <w:r w:rsidR="00094A35">
        <w:rPr>
          <w:rFonts w:eastAsiaTheme="minorHAnsi"/>
          <w:color w:val="000000"/>
        </w:rPr>
        <w:t xml:space="preserve">As already discussed, this can lead to inappropriate forecasts and </w:t>
      </w:r>
      <w:r w:rsidR="00704D23">
        <w:rPr>
          <w:rFonts w:eastAsiaTheme="minorHAnsi"/>
          <w:color w:val="000000"/>
        </w:rPr>
        <w:t xml:space="preserve">inaccurate </w:t>
      </w:r>
      <w:r w:rsidR="00094A35">
        <w:rPr>
          <w:rFonts w:eastAsiaTheme="minorHAnsi"/>
          <w:color w:val="000000"/>
        </w:rPr>
        <w:t>poli</w:t>
      </w:r>
      <w:r w:rsidR="00704D23">
        <w:rPr>
          <w:rFonts w:eastAsiaTheme="minorHAnsi"/>
          <w:color w:val="000000"/>
        </w:rPr>
        <w:t xml:space="preserve">cy sensitivity in response to </w:t>
      </w:r>
      <w:r w:rsidR="00094A35">
        <w:rPr>
          <w:rFonts w:eastAsiaTheme="minorHAnsi"/>
          <w:color w:val="000000"/>
        </w:rPr>
        <w:t>change</w:t>
      </w:r>
      <w:r w:rsidR="00704D23">
        <w:rPr>
          <w:rFonts w:eastAsiaTheme="minorHAnsi"/>
          <w:color w:val="000000"/>
        </w:rPr>
        <w:t>s</w:t>
      </w:r>
      <w:r w:rsidR="00094A35">
        <w:rPr>
          <w:rFonts w:eastAsiaTheme="minorHAnsi"/>
          <w:color w:val="000000"/>
        </w:rPr>
        <w:t xml:space="preserve"> in exogenous variables. </w:t>
      </w:r>
      <w:r w:rsidR="00607D29">
        <w:rPr>
          <w:rFonts w:eastAsiaTheme="minorHAnsi"/>
          <w:color w:val="000000"/>
        </w:rPr>
        <w:t>Another substantial problem with the sampling approach is in forecastin</w:t>
      </w:r>
      <w:r w:rsidR="00194A9A">
        <w:rPr>
          <w:rFonts w:eastAsiaTheme="minorHAnsi"/>
          <w:color w:val="000000"/>
        </w:rPr>
        <w:t>g. As discussed by Wegener (2011</w:t>
      </w:r>
      <w:r w:rsidR="00607D29">
        <w:rPr>
          <w:rFonts w:eastAsiaTheme="minorHAnsi"/>
          <w:color w:val="000000"/>
        </w:rPr>
        <w:t xml:space="preserve">), </w:t>
      </w:r>
      <w:r w:rsidR="00194A9A">
        <w:rPr>
          <w:rFonts w:eastAsiaTheme="minorHAnsi"/>
          <w:color w:val="000000"/>
        </w:rPr>
        <w:t xml:space="preserve">even if it is true that households actually consider the universal choice set, </w:t>
      </w:r>
      <w:r w:rsidR="0030066D">
        <w:rPr>
          <w:rFonts w:eastAsiaTheme="minorHAnsi"/>
          <w:color w:val="000000"/>
        </w:rPr>
        <w:t>a very</w:t>
      </w:r>
      <w:r w:rsidR="0030066D">
        <w:rPr>
          <w:sz w:val="23"/>
          <w:szCs w:val="23"/>
        </w:rPr>
        <w:t xml:space="preserve"> large number of alternatives leads to a situation where there is little difference in the predicted choice probabilities across alternatives, which can lead to instability and poor predictions when such a residential location choice model is used in forecasting or in evaluating the effects of a change in a policy variable. </w:t>
      </w:r>
    </w:p>
    <w:p w14:paraId="508A72E7" w14:textId="1BE07064" w:rsidR="00143C6E" w:rsidRPr="00CD0344" w:rsidRDefault="00194A9A" w:rsidP="00575184">
      <w:pPr>
        <w:pStyle w:val="Default"/>
        <w:spacing w:line="360" w:lineRule="auto"/>
        <w:jc w:val="both"/>
        <w:rPr>
          <w:rFonts w:ascii="Times New Roman" w:hAnsi="Times New Roman" w:cs="Times New Roman"/>
        </w:rPr>
      </w:pPr>
      <w:r w:rsidRPr="00CD0344">
        <w:rPr>
          <w:rFonts w:ascii="Times New Roman" w:hAnsi="Times New Roman" w:cs="Times New Roman"/>
        </w:rPr>
        <w:tab/>
        <w:t xml:space="preserve">Another approach in </w:t>
      </w:r>
      <w:r w:rsidR="007340EE" w:rsidRPr="00CD0344">
        <w:rPr>
          <w:rFonts w:ascii="Times New Roman" w:hAnsi="Times New Roman" w:cs="Times New Roman"/>
        </w:rPr>
        <w:t xml:space="preserve">the literature is to </w:t>
      </w:r>
      <w:r w:rsidRPr="00CD0344">
        <w:rPr>
          <w:rFonts w:ascii="Times New Roman" w:hAnsi="Times New Roman" w:cs="Times New Roman"/>
        </w:rPr>
        <w:t xml:space="preserve">acknowledge the presence of </w:t>
      </w:r>
      <w:r w:rsidR="007340EE" w:rsidRPr="00CD0344">
        <w:rPr>
          <w:rFonts w:ascii="Times New Roman" w:hAnsi="Times New Roman" w:cs="Times New Roman"/>
        </w:rPr>
        <w:t>a dynamic spatial choice process in which house</w:t>
      </w:r>
      <w:r w:rsidR="00C638DD" w:rsidRPr="00CD0344">
        <w:rPr>
          <w:rFonts w:ascii="Times New Roman" w:hAnsi="Times New Roman" w:cs="Times New Roman"/>
        </w:rPr>
        <w:t xml:space="preserve">holds get exposed to an evolving </w:t>
      </w:r>
      <w:r w:rsidR="007340EE" w:rsidRPr="00CD0344">
        <w:rPr>
          <w:rFonts w:ascii="Times New Roman" w:hAnsi="Times New Roman" w:cs="Times New Roman"/>
        </w:rPr>
        <w:t>set of alternativ</w:t>
      </w:r>
      <w:r w:rsidR="00C638DD" w:rsidRPr="00CD0344">
        <w:rPr>
          <w:rFonts w:ascii="Times New Roman" w:hAnsi="Times New Roman" w:cs="Times New Roman"/>
        </w:rPr>
        <w:t>es</w:t>
      </w:r>
      <w:r w:rsidR="007340EE" w:rsidRPr="00CD0344">
        <w:rPr>
          <w:rFonts w:ascii="Times New Roman" w:hAnsi="Times New Roman" w:cs="Times New Roman"/>
        </w:rPr>
        <w:t xml:space="preserve"> over a period of time (with potentially changing attributes of alternatives such as </w:t>
      </w:r>
      <w:r w:rsidR="002925D9" w:rsidRPr="00CD0344">
        <w:rPr>
          <w:rFonts w:ascii="Times New Roman" w:hAnsi="Times New Roman" w:cs="Times New Roman"/>
        </w:rPr>
        <w:t xml:space="preserve">housing </w:t>
      </w:r>
      <w:r w:rsidR="007340EE" w:rsidRPr="00CD0344">
        <w:rPr>
          <w:rFonts w:ascii="Times New Roman" w:hAnsi="Times New Roman" w:cs="Times New Roman"/>
        </w:rPr>
        <w:t>costs)</w:t>
      </w:r>
      <w:r w:rsidR="002925D9" w:rsidRPr="00CD0344">
        <w:rPr>
          <w:rFonts w:ascii="Times New Roman" w:hAnsi="Times New Roman" w:cs="Times New Roman"/>
        </w:rPr>
        <w:t xml:space="preserve">, </w:t>
      </w:r>
      <w:r w:rsidR="006C2100">
        <w:rPr>
          <w:rFonts w:ascii="Times New Roman" w:hAnsi="Times New Roman" w:cs="Times New Roman"/>
        </w:rPr>
        <w:t xml:space="preserve">search and </w:t>
      </w:r>
      <w:r w:rsidR="007340EE" w:rsidRPr="00CD0344">
        <w:rPr>
          <w:rFonts w:ascii="Times New Roman" w:hAnsi="Times New Roman" w:cs="Times New Roman"/>
        </w:rPr>
        <w:t xml:space="preserve">construct what they believe to be a set of credible and feasible alternatives during each evaluation </w:t>
      </w:r>
      <w:r w:rsidR="00C638DD" w:rsidRPr="00CD0344">
        <w:rPr>
          <w:rFonts w:ascii="Times New Roman" w:hAnsi="Times New Roman" w:cs="Times New Roman"/>
        </w:rPr>
        <w:t>occasion</w:t>
      </w:r>
      <w:r w:rsidR="006C2100">
        <w:rPr>
          <w:rFonts w:ascii="Times New Roman" w:hAnsi="Times New Roman" w:cs="Times New Roman"/>
        </w:rPr>
        <w:t xml:space="preserve"> in a first stage decision process</w:t>
      </w:r>
      <w:r w:rsidR="007340EE" w:rsidRPr="00CD0344">
        <w:rPr>
          <w:rFonts w:ascii="Times New Roman" w:hAnsi="Times New Roman" w:cs="Times New Roman"/>
        </w:rPr>
        <w:t xml:space="preserve">, and then make a final </w:t>
      </w:r>
      <w:r w:rsidR="006C2100">
        <w:rPr>
          <w:rFonts w:ascii="Times New Roman" w:hAnsi="Times New Roman" w:cs="Times New Roman"/>
        </w:rPr>
        <w:t xml:space="preserve">choice from the </w:t>
      </w:r>
      <w:r w:rsidR="006C2100">
        <w:rPr>
          <w:rFonts w:ascii="Times New Roman" w:hAnsi="Times New Roman" w:cs="Times New Roman"/>
        </w:rPr>
        <w:lastRenderedPageBreak/>
        <w:t xml:space="preserve">alternatives remaining at the end of the first stage in a second stage decision process </w:t>
      </w:r>
      <w:r w:rsidR="007340EE" w:rsidRPr="00CD0344">
        <w:rPr>
          <w:rFonts w:ascii="Times New Roman" w:hAnsi="Times New Roman" w:cs="Times New Roman"/>
        </w:rPr>
        <w:t>at some point in time (Habib and Miller, 2007</w:t>
      </w:r>
      <w:r w:rsidR="002F653B" w:rsidRPr="00CD0344">
        <w:rPr>
          <w:rFonts w:ascii="Times New Roman" w:hAnsi="Times New Roman" w:cs="Times New Roman"/>
        </w:rPr>
        <w:t>). In the absen</w:t>
      </w:r>
      <w:r w:rsidR="006C2100">
        <w:rPr>
          <w:rFonts w:ascii="Times New Roman" w:hAnsi="Times New Roman" w:cs="Times New Roman"/>
        </w:rPr>
        <w:t>ce of direct observation on the first stage</w:t>
      </w:r>
      <w:r w:rsidR="002F653B" w:rsidRPr="00CD0344">
        <w:rPr>
          <w:rFonts w:ascii="Times New Roman" w:hAnsi="Times New Roman" w:cs="Times New Roman"/>
        </w:rPr>
        <w:t xml:space="preserve"> search process, analysts attempt to mimic this underlying </w:t>
      </w:r>
      <w:r w:rsidR="002925D9" w:rsidRPr="00CD0344">
        <w:rPr>
          <w:rFonts w:ascii="Times New Roman" w:hAnsi="Times New Roman" w:cs="Times New Roman"/>
        </w:rPr>
        <w:t xml:space="preserve">choice set formation process assuming </w:t>
      </w:r>
      <w:r w:rsidR="00BB4DF0">
        <w:rPr>
          <w:rFonts w:ascii="Times New Roman" w:hAnsi="Times New Roman" w:cs="Times New Roman"/>
        </w:rPr>
        <w:t xml:space="preserve">(1) </w:t>
      </w:r>
      <w:r w:rsidR="00423E0A" w:rsidRPr="00CD0344">
        <w:rPr>
          <w:rFonts w:ascii="Times New Roman" w:hAnsi="Times New Roman" w:cs="Times New Roman"/>
        </w:rPr>
        <w:t xml:space="preserve">a </w:t>
      </w:r>
      <w:r w:rsidR="002925D9" w:rsidRPr="00CD0344">
        <w:rPr>
          <w:rFonts w:ascii="Times New Roman" w:hAnsi="Times New Roman" w:cs="Times New Roman"/>
        </w:rPr>
        <w:t xml:space="preserve">search </w:t>
      </w:r>
      <w:r w:rsidR="00423E0A" w:rsidRPr="00CD0344">
        <w:rPr>
          <w:rFonts w:ascii="Times New Roman" w:hAnsi="Times New Roman" w:cs="Times New Roman"/>
        </w:rPr>
        <w:t>strategy</w:t>
      </w:r>
      <w:r w:rsidR="002925D9" w:rsidRPr="00CD0344">
        <w:rPr>
          <w:rFonts w:ascii="Times New Roman" w:hAnsi="Times New Roman" w:cs="Times New Roman"/>
        </w:rPr>
        <w:t xml:space="preserve"> and </w:t>
      </w:r>
      <w:r w:rsidR="00BB4DF0">
        <w:rPr>
          <w:rFonts w:ascii="Times New Roman" w:hAnsi="Times New Roman" w:cs="Times New Roman"/>
        </w:rPr>
        <w:t xml:space="preserve">(2) </w:t>
      </w:r>
      <w:r w:rsidR="002925D9" w:rsidRPr="00CD0344">
        <w:rPr>
          <w:rFonts w:ascii="Times New Roman" w:hAnsi="Times New Roman" w:cs="Times New Roman"/>
        </w:rPr>
        <w:t>a specific approach to implement the search strategy to form choice sets</w:t>
      </w:r>
      <w:r w:rsidR="002F653B" w:rsidRPr="00CD0344">
        <w:rPr>
          <w:rFonts w:ascii="Times New Roman" w:hAnsi="Times New Roman" w:cs="Times New Roman"/>
        </w:rPr>
        <w:t xml:space="preserve">. </w:t>
      </w:r>
      <w:proofErr w:type="spellStart"/>
      <w:r w:rsidR="002925D9" w:rsidRPr="00CD0344">
        <w:rPr>
          <w:rFonts w:ascii="Times New Roman" w:hAnsi="Times New Roman" w:cs="Times New Roman"/>
        </w:rPr>
        <w:t>Zolfag</w:t>
      </w:r>
      <w:r w:rsidR="00CC4BFE">
        <w:rPr>
          <w:rFonts w:ascii="Times New Roman" w:hAnsi="Times New Roman" w:cs="Times New Roman"/>
        </w:rPr>
        <w:t>ha</w:t>
      </w:r>
      <w:r w:rsidR="002925D9" w:rsidRPr="00CD0344">
        <w:rPr>
          <w:rFonts w:ascii="Times New Roman" w:hAnsi="Times New Roman" w:cs="Times New Roman"/>
        </w:rPr>
        <w:t>ri</w:t>
      </w:r>
      <w:proofErr w:type="spellEnd"/>
      <w:r w:rsidR="002925D9" w:rsidRPr="00CD0344">
        <w:rPr>
          <w:rFonts w:ascii="Times New Roman" w:hAnsi="Times New Roman" w:cs="Times New Roman"/>
        </w:rPr>
        <w:t xml:space="preserve"> </w:t>
      </w:r>
      <w:r w:rsidR="002925D9" w:rsidRPr="00FD6980">
        <w:rPr>
          <w:rFonts w:ascii="Times New Roman" w:hAnsi="Times New Roman" w:cs="Times New Roman"/>
          <w:i/>
        </w:rPr>
        <w:t>et al</w:t>
      </w:r>
      <w:r w:rsidR="002925D9" w:rsidRPr="00CD0344">
        <w:rPr>
          <w:rFonts w:ascii="Times New Roman" w:hAnsi="Times New Roman" w:cs="Times New Roman"/>
        </w:rPr>
        <w:t>. (2013) provide a</w:t>
      </w:r>
      <w:r w:rsidR="00423E0A" w:rsidRPr="00CD0344">
        <w:rPr>
          <w:rFonts w:ascii="Times New Roman" w:hAnsi="Times New Roman" w:cs="Times New Roman"/>
        </w:rPr>
        <w:t xml:space="preserve"> good review of </w:t>
      </w:r>
      <w:r w:rsidR="002925D9" w:rsidRPr="00CD0344">
        <w:rPr>
          <w:rFonts w:ascii="Times New Roman" w:hAnsi="Times New Roman" w:cs="Times New Roman"/>
        </w:rPr>
        <w:t xml:space="preserve">search strategies and </w:t>
      </w:r>
      <w:r w:rsidR="00423E0A" w:rsidRPr="00CD0344">
        <w:rPr>
          <w:rFonts w:ascii="Times New Roman" w:hAnsi="Times New Roman" w:cs="Times New Roman"/>
        </w:rPr>
        <w:t xml:space="preserve">their </w:t>
      </w:r>
      <w:r w:rsidR="002925D9" w:rsidRPr="00CD0344">
        <w:rPr>
          <w:rFonts w:ascii="Times New Roman" w:hAnsi="Times New Roman" w:cs="Times New Roman"/>
        </w:rPr>
        <w:t>imple</w:t>
      </w:r>
      <w:r w:rsidR="00423E0A" w:rsidRPr="00CD0344">
        <w:rPr>
          <w:rFonts w:ascii="Times New Roman" w:hAnsi="Times New Roman" w:cs="Times New Roman"/>
        </w:rPr>
        <w:t>mentations</w:t>
      </w:r>
      <w:r w:rsidR="002925D9" w:rsidRPr="00CD0344">
        <w:rPr>
          <w:rFonts w:ascii="Times New Roman" w:hAnsi="Times New Roman" w:cs="Times New Roman"/>
        </w:rPr>
        <w:t>. Briefly, the search strategies</w:t>
      </w:r>
      <w:r w:rsidR="00423E0A" w:rsidRPr="00CD0344">
        <w:rPr>
          <w:rFonts w:ascii="Times New Roman" w:hAnsi="Times New Roman" w:cs="Times New Roman"/>
        </w:rPr>
        <w:t>, as originally identified by Huff (1986)</w:t>
      </w:r>
      <w:r w:rsidR="002D59CF" w:rsidRPr="00CD0344">
        <w:rPr>
          <w:rFonts w:ascii="Times New Roman" w:hAnsi="Times New Roman" w:cs="Times New Roman"/>
        </w:rPr>
        <w:t xml:space="preserve"> (and supported by his empirical analysis based on direct observation on the search process of households looking to purchase homes in the San Fernando Valley of Los Angeles),</w:t>
      </w:r>
      <w:r w:rsidR="00423E0A" w:rsidRPr="00CD0344">
        <w:rPr>
          <w:rFonts w:ascii="Times New Roman" w:hAnsi="Times New Roman" w:cs="Times New Roman"/>
        </w:rPr>
        <w:t xml:space="preserve"> are likely to be a combination of three underlying cognitive psycholog</w:t>
      </w:r>
      <w:r w:rsidR="000A071E" w:rsidRPr="00CD0344">
        <w:rPr>
          <w:rFonts w:ascii="Times New Roman" w:hAnsi="Times New Roman" w:cs="Times New Roman"/>
        </w:rPr>
        <w:t>y approaches</w:t>
      </w:r>
      <w:r w:rsidR="00423E0A" w:rsidRPr="00CD0344">
        <w:rPr>
          <w:rFonts w:ascii="Times New Roman" w:hAnsi="Times New Roman" w:cs="Times New Roman"/>
        </w:rPr>
        <w:t xml:space="preserve">: </w:t>
      </w:r>
      <w:r w:rsidR="002925D9" w:rsidRPr="00CD0344">
        <w:rPr>
          <w:rFonts w:ascii="Times New Roman" w:hAnsi="Times New Roman" w:cs="Times New Roman"/>
        </w:rPr>
        <w:t>supply const</w:t>
      </w:r>
      <w:r w:rsidR="00143C6E" w:rsidRPr="00CD0344">
        <w:rPr>
          <w:rFonts w:ascii="Times New Roman" w:hAnsi="Times New Roman" w:cs="Times New Roman"/>
        </w:rPr>
        <w:t>r</w:t>
      </w:r>
      <w:r w:rsidR="002925D9" w:rsidRPr="00CD0344">
        <w:rPr>
          <w:rFonts w:ascii="Times New Roman" w:hAnsi="Times New Roman" w:cs="Times New Roman"/>
        </w:rPr>
        <w:t>aint-based, area-based, or anchor</w:t>
      </w:r>
      <w:r w:rsidR="000949C4" w:rsidRPr="00CD0344">
        <w:rPr>
          <w:rFonts w:ascii="Times New Roman" w:hAnsi="Times New Roman" w:cs="Times New Roman"/>
        </w:rPr>
        <w:t xml:space="preserve"> points</w:t>
      </w:r>
      <w:r w:rsidR="00A3225E" w:rsidRPr="00CD0344">
        <w:rPr>
          <w:rFonts w:ascii="Times New Roman" w:hAnsi="Times New Roman" w:cs="Times New Roman"/>
        </w:rPr>
        <w:t>-based</w:t>
      </w:r>
      <w:r w:rsidR="002925D9" w:rsidRPr="00CD0344">
        <w:rPr>
          <w:rFonts w:ascii="Times New Roman" w:hAnsi="Times New Roman" w:cs="Times New Roman"/>
        </w:rPr>
        <w:t>. The s</w:t>
      </w:r>
      <w:r w:rsidR="00E026DE" w:rsidRPr="00CD0344">
        <w:rPr>
          <w:rFonts w:ascii="Times New Roman" w:hAnsi="Times New Roman" w:cs="Times New Roman"/>
        </w:rPr>
        <w:t>upply constraint-based approach assumes that households will concentrate their search on areas where their housing needs (in terms of dwelling and parcel attributes)</w:t>
      </w:r>
      <w:r w:rsidR="00927D23" w:rsidRPr="00CD0344">
        <w:rPr>
          <w:rFonts w:ascii="Times New Roman" w:hAnsi="Times New Roman" w:cs="Times New Roman"/>
        </w:rPr>
        <w:t xml:space="preserve"> are most likely to be met. As well, the approach recognizes that different households may consider different alternatives because financial or access constraints or the social capital available at the disposal of the household may modulate and/or meter information flow (see also Bell, 2009, who emphasizes these considerations in a parental school choice context). </w:t>
      </w:r>
      <w:r w:rsidR="00423E0A" w:rsidRPr="00CD0344">
        <w:rPr>
          <w:rFonts w:ascii="Times New Roman" w:hAnsi="Times New Roman" w:cs="Times New Roman"/>
        </w:rPr>
        <w:t xml:space="preserve">The area-based search approach states that once a </w:t>
      </w:r>
      <w:r w:rsidR="000A071E" w:rsidRPr="00CD0344">
        <w:rPr>
          <w:rFonts w:ascii="Times New Roman" w:hAnsi="Times New Roman" w:cs="Times New Roman"/>
        </w:rPr>
        <w:t>specific geographic</w:t>
      </w:r>
      <w:r w:rsidR="002D59CF" w:rsidRPr="00CD0344">
        <w:rPr>
          <w:rFonts w:ascii="Times New Roman" w:hAnsi="Times New Roman" w:cs="Times New Roman"/>
        </w:rPr>
        <w:t xml:space="preserve"> market (and/or area type) </w:t>
      </w:r>
      <w:r w:rsidR="00423E0A" w:rsidRPr="00CD0344">
        <w:rPr>
          <w:rFonts w:ascii="Times New Roman" w:hAnsi="Times New Roman" w:cs="Times New Roman"/>
        </w:rPr>
        <w:t>has been identified</w:t>
      </w:r>
      <w:r w:rsidR="000A071E" w:rsidRPr="00CD0344">
        <w:rPr>
          <w:rFonts w:ascii="Times New Roman" w:hAnsi="Times New Roman" w:cs="Times New Roman"/>
        </w:rPr>
        <w:t xml:space="preserve"> for housing search, households will concentrate and persist their search within that </w:t>
      </w:r>
      <w:r w:rsidR="002D59CF" w:rsidRPr="00CD0344">
        <w:rPr>
          <w:rFonts w:ascii="Times New Roman" w:hAnsi="Times New Roman" w:cs="Times New Roman"/>
        </w:rPr>
        <w:t>market</w:t>
      </w:r>
      <w:r w:rsidR="000A071E" w:rsidRPr="00CD0344">
        <w:rPr>
          <w:rFonts w:ascii="Times New Roman" w:hAnsi="Times New Roman" w:cs="Times New Roman"/>
        </w:rPr>
        <w:t xml:space="preserve"> because of start-up and information-processing costs involved in shifting attention to another area. The anchor-</w:t>
      </w:r>
      <w:r w:rsidR="000949C4" w:rsidRPr="00CD0344">
        <w:rPr>
          <w:rFonts w:ascii="Times New Roman" w:hAnsi="Times New Roman" w:cs="Times New Roman"/>
        </w:rPr>
        <w:t xml:space="preserve">points </w:t>
      </w:r>
      <w:r w:rsidR="000A071E" w:rsidRPr="00CD0344">
        <w:rPr>
          <w:rFonts w:ascii="Times New Roman" w:hAnsi="Times New Roman" w:cs="Times New Roman"/>
        </w:rPr>
        <w:t xml:space="preserve">based </w:t>
      </w:r>
      <w:r w:rsidR="00CA02C8" w:rsidRPr="00CD0344">
        <w:rPr>
          <w:rFonts w:ascii="Times New Roman" w:hAnsi="Times New Roman" w:cs="Times New Roman"/>
        </w:rPr>
        <w:t xml:space="preserve">approach </w:t>
      </w:r>
      <w:r w:rsidR="000949C4" w:rsidRPr="00CD0344">
        <w:rPr>
          <w:rFonts w:ascii="Times New Roman" w:hAnsi="Times New Roman" w:cs="Times New Roman"/>
        </w:rPr>
        <w:t>is based on the notion that households will circumscribe their searches around specific anchor points and consider only those alternatives that are within a specific threshold distance of the anchor points</w:t>
      </w:r>
      <w:r w:rsidR="00291760" w:rsidRPr="00CD0344">
        <w:rPr>
          <w:rFonts w:ascii="Times New Roman" w:hAnsi="Times New Roman" w:cs="Times New Roman"/>
        </w:rPr>
        <w:t>. Most studies in the literature that consider search processes in a spatial context (such as residential choice or activity location choice) focus on the anchor-based approach (see, for example, Thill</w:t>
      </w:r>
      <w:r w:rsidR="0040191E" w:rsidRPr="00CD0344">
        <w:rPr>
          <w:rFonts w:ascii="Times New Roman" w:hAnsi="Times New Roman" w:cs="Times New Roman"/>
        </w:rPr>
        <w:t xml:space="preserve"> and H</w:t>
      </w:r>
      <w:r w:rsidR="00291760" w:rsidRPr="00CD0344">
        <w:rPr>
          <w:rFonts w:ascii="Times New Roman" w:hAnsi="Times New Roman" w:cs="Times New Roman"/>
        </w:rPr>
        <w:t xml:space="preserve">orowitz, 1997, </w:t>
      </w:r>
      <w:r w:rsidR="006A5555" w:rsidRPr="00CD0344">
        <w:rPr>
          <w:rFonts w:ascii="Times New Roman" w:hAnsi="Times New Roman" w:cs="Times New Roman"/>
        </w:rPr>
        <w:t xml:space="preserve">Bhat, 1999, </w:t>
      </w:r>
      <w:r w:rsidR="002E230B">
        <w:rPr>
          <w:rFonts w:ascii="Times New Roman" w:hAnsi="Times New Roman" w:cs="Times New Roman"/>
        </w:rPr>
        <w:t xml:space="preserve">Bhat </w:t>
      </w:r>
      <w:r w:rsidR="00E7232A" w:rsidRPr="00E7232A">
        <w:rPr>
          <w:rFonts w:ascii="Times New Roman" w:hAnsi="Times New Roman" w:cs="Times New Roman"/>
        </w:rPr>
        <w:t>and Zhao</w:t>
      </w:r>
      <w:r w:rsidR="002E230B">
        <w:rPr>
          <w:rFonts w:ascii="Times New Roman" w:hAnsi="Times New Roman" w:cs="Times New Roman"/>
        </w:rPr>
        <w:t xml:space="preserve">, 2002, </w:t>
      </w:r>
      <w:r w:rsidR="00291760" w:rsidRPr="00CD0344">
        <w:rPr>
          <w:rFonts w:ascii="Times New Roman" w:hAnsi="Times New Roman" w:cs="Times New Roman"/>
        </w:rPr>
        <w:t xml:space="preserve">Elgar </w:t>
      </w:r>
      <w:r w:rsidR="00291760" w:rsidRPr="00FD6980">
        <w:rPr>
          <w:rFonts w:ascii="Times New Roman" w:hAnsi="Times New Roman" w:cs="Times New Roman"/>
          <w:i/>
        </w:rPr>
        <w:t>et al</w:t>
      </w:r>
      <w:r w:rsidR="00291760" w:rsidRPr="00CD0344">
        <w:rPr>
          <w:rFonts w:ascii="Times New Roman" w:hAnsi="Times New Roman" w:cs="Times New Roman"/>
        </w:rPr>
        <w:t xml:space="preserve">., 2009, </w:t>
      </w:r>
      <w:r w:rsidR="0040191E" w:rsidRPr="00CD0344">
        <w:rPr>
          <w:rFonts w:ascii="Times New Roman" w:hAnsi="Times New Roman" w:cs="Times New Roman"/>
        </w:rPr>
        <w:t xml:space="preserve">and </w:t>
      </w:r>
      <w:proofErr w:type="spellStart"/>
      <w:r w:rsidR="0040191E" w:rsidRPr="00CD0344">
        <w:rPr>
          <w:rFonts w:ascii="Times New Roman" w:hAnsi="Times New Roman" w:cs="Times New Roman"/>
        </w:rPr>
        <w:t>Rashidi</w:t>
      </w:r>
      <w:proofErr w:type="spellEnd"/>
      <w:r w:rsidR="0040191E" w:rsidRPr="00CD0344">
        <w:rPr>
          <w:rFonts w:ascii="Times New Roman" w:hAnsi="Times New Roman" w:cs="Times New Roman"/>
        </w:rPr>
        <w:t xml:space="preserve"> </w:t>
      </w:r>
      <w:r w:rsidR="0040191E" w:rsidRPr="00FD6980">
        <w:rPr>
          <w:rFonts w:ascii="Times New Roman" w:hAnsi="Times New Roman" w:cs="Times New Roman"/>
          <w:i/>
        </w:rPr>
        <w:t>et al</w:t>
      </w:r>
      <w:r w:rsidR="0040191E" w:rsidRPr="00CD0344">
        <w:rPr>
          <w:rFonts w:ascii="Times New Roman" w:hAnsi="Times New Roman" w:cs="Times New Roman"/>
        </w:rPr>
        <w:t xml:space="preserve">., 2012). </w:t>
      </w:r>
    </w:p>
    <w:p w14:paraId="7C58567F" w14:textId="55FF2B3E" w:rsidR="00C0746C" w:rsidRDefault="00291760" w:rsidP="00E51C11">
      <w:pPr>
        <w:pStyle w:val="Default"/>
        <w:spacing w:line="360" w:lineRule="auto"/>
        <w:ind w:firstLine="720"/>
        <w:jc w:val="both"/>
        <w:rPr>
          <w:rFonts w:ascii="Times New Roman" w:hAnsi="Times New Roman" w:cs="Times New Roman"/>
          <w:b/>
        </w:rPr>
      </w:pPr>
      <w:r w:rsidRPr="00CD0344">
        <w:rPr>
          <w:rFonts w:ascii="Times New Roman" w:hAnsi="Times New Roman" w:cs="Times New Roman"/>
        </w:rPr>
        <w:t xml:space="preserve">The </w:t>
      </w:r>
      <w:r w:rsidR="002D59CF" w:rsidRPr="00CD0344">
        <w:rPr>
          <w:rFonts w:ascii="Times New Roman" w:hAnsi="Times New Roman" w:cs="Times New Roman"/>
        </w:rPr>
        <w:t xml:space="preserve">implementation of a search strategy itself is generally accomplished using </w:t>
      </w:r>
      <w:r w:rsidR="00CD333E" w:rsidRPr="00CD0344">
        <w:rPr>
          <w:rFonts w:ascii="Times New Roman" w:hAnsi="Times New Roman" w:cs="Times New Roman"/>
        </w:rPr>
        <w:t xml:space="preserve">a deterministic set-up or a probabilistic set-up. The deterministic set-up is based on specifying a fixed threshold for each </w:t>
      </w:r>
      <w:r w:rsidR="00CD333E" w:rsidRPr="003730F0">
        <w:rPr>
          <w:rFonts w:ascii="Times New Roman" w:hAnsi="Times New Roman" w:cs="Times New Roman"/>
        </w:rPr>
        <w:t xml:space="preserve">household based on the </w:t>
      </w:r>
      <w:r w:rsidR="00CE62C0" w:rsidRPr="003730F0">
        <w:rPr>
          <w:rFonts w:ascii="Times New Roman" w:hAnsi="Times New Roman" w:cs="Times New Roman"/>
        </w:rPr>
        <w:t xml:space="preserve">predicted </w:t>
      </w:r>
      <w:r w:rsidR="00CD333E" w:rsidRPr="003730F0">
        <w:rPr>
          <w:rFonts w:ascii="Times New Roman" w:hAnsi="Times New Roman" w:cs="Times New Roman"/>
        </w:rPr>
        <w:t xml:space="preserve">distribution </w:t>
      </w:r>
      <w:r w:rsidR="00CE62C0" w:rsidRPr="003730F0">
        <w:rPr>
          <w:rFonts w:ascii="Times New Roman" w:hAnsi="Times New Roman" w:cs="Times New Roman"/>
        </w:rPr>
        <w:t xml:space="preserve">of distances from one or more anchor points. For example, </w:t>
      </w:r>
      <w:r w:rsidR="00927443" w:rsidRPr="003730F0">
        <w:rPr>
          <w:rFonts w:ascii="Times New Roman" w:hAnsi="Times New Roman" w:cs="Times New Roman"/>
        </w:rPr>
        <w:t xml:space="preserve">in </w:t>
      </w:r>
      <w:proofErr w:type="spellStart"/>
      <w:r w:rsidR="003730F0" w:rsidRPr="003730F0">
        <w:rPr>
          <w:rFonts w:ascii="Times New Roman" w:hAnsi="Times New Roman" w:cs="Times New Roman"/>
        </w:rPr>
        <w:t>Zolfaghari</w:t>
      </w:r>
      <w:proofErr w:type="spellEnd"/>
      <w:r w:rsidR="00927443" w:rsidRPr="003730F0">
        <w:rPr>
          <w:rFonts w:ascii="Times New Roman" w:hAnsi="Times New Roman" w:cs="Times New Roman"/>
        </w:rPr>
        <w:t xml:space="preserve"> </w:t>
      </w:r>
      <w:r w:rsidR="00927443" w:rsidRPr="003730F0">
        <w:rPr>
          <w:rFonts w:ascii="Times New Roman" w:hAnsi="Times New Roman" w:cs="Times New Roman"/>
          <w:i/>
        </w:rPr>
        <w:t>et al</w:t>
      </w:r>
      <w:r w:rsidR="00927443" w:rsidRPr="003730F0">
        <w:rPr>
          <w:rFonts w:ascii="Times New Roman" w:hAnsi="Times New Roman" w:cs="Times New Roman"/>
        </w:rPr>
        <w:t xml:space="preserve">.’s </w:t>
      </w:r>
      <w:r w:rsidR="00CE62C0" w:rsidRPr="003730F0">
        <w:rPr>
          <w:rFonts w:ascii="Times New Roman" w:hAnsi="Times New Roman" w:cs="Times New Roman"/>
        </w:rPr>
        <w:t>(2012</w:t>
      </w:r>
      <w:r w:rsidR="00CE62C0" w:rsidRPr="00CD0344">
        <w:rPr>
          <w:rFonts w:ascii="Times New Roman" w:hAnsi="Times New Roman" w:cs="Times New Roman"/>
        </w:rPr>
        <w:t xml:space="preserve">) </w:t>
      </w:r>
      <w:r w:rsidR="00927443" w:rsidRPr="00CD0344">
        <w:rPr>
          <w:rFonts w:ascii="Times New Roman" w:hAnsi="Times New Roman" w:cs="Times New Roman"/>
        </w:rPr>
        <w:t xml:space="preserve">zone-level residential choice model, they </w:t>
      </w:r>
      <w:r w:rsidR="00B35FAC" w:rsidRPr="00CD0344">
        <w:rPr>
          <w:rFonts w:ascii="Times New Roman" w:hAnsi="Times New Roman" w:cs="Times New Roman"/>
        </w:rPr>
        <w:t xml:space="preserve">develop a </w:t>
      </w:r>
      <w:proofErr w:type="spellStart"/>
      <w:r w:rsidR="00B35FAC" w:rsidRPr="00CD0344">
        <w:rPr>
          <w:rFonts w:ascii="Times New Roman" w:hAnsi="Times New Roman" w:cs="Times New Roman"/>
        </w:rPr>
        <w:t>weibull</w:t>
      </w:r>
      <w:proofErr w:type="spellEnd"/>
      <w:r w:rsidR="00B35FAC" w:rsidRPr="00CD0344">
        <w:rPr>
          <w:rFonts w:ascii="Times New Roman" w:hAnsi="Times New Roman" w:cs="Times New Roman"/>
        </w:rPr>
        <w:t xml:space="preserve">-distributed model for average commute time (that is, the commute time averaged across all workers in a household) as a function of the number of </w:t>
      </w:r>
      <w:r w:rsidR="003368AA" w:rsidRPr="00CD0344">
        <w:rPr>
          <w:rFonts w:ascii="Times New Roman" w:hAnsi="Times New Roman" w:cs="Times New Roman"/>
        </w:rPr>
        <w:t>vehicles, number of workers. Then, the</w:t>
      </w:r>
      <w:r w:rsidR="00927443" w:rsidRPr="00CD0344">
        <w:rPr>
          <w:rFonts w:ascii="Times New Roman" w:hAnsi="Times New Roman" w:cs="Times New Roman"/>
        </w:rPr>
        <w:t xml:space="preserve"> </w:t>
      </w:r>
      <w:r w:rsidR="00B35FAC" w:rsidRPr="00CD0344">
        <w:rPr>
          <w:rFonts w:ascii="Times New Roman" w:hAnsi="Times New Roman" w:cs="Times New Roman"/>
        </w:rPr>
        <w:t>90</w:t>
      </w:r>
      <w:r w:rsidR="00B35FAC" w:rsidRPr="00CD0344">
        <w:rPr>
          <w:rFonts w:ascii="Times New Roman" w:hAnsi="Times New Roman" w:cs="Times New Roman"/>
          <w:vertAlign w:val="superscript"/>
        </w:rPr>
        <w:t>th</w:t>
      </w:r>
      <w:r w:rsidR="00B35FAC" w:rsidRPr="00CD0344">
        <w:rPr>
          <w:rFonts w:ascii="Times New Roman" w:hAnsi="Times New Roman" w:cs="Times New Roman"/>
        </w:rPr>
        <w:t xml:space="preserve"> percentile </w:t>
      </w:r>
      <w:r w:rsidR="00927443" w:rsidRPr="00CD0344">
        <w:rPr>
          <w:rFonts w:ascii="Times New Roman" w:hAnsi="Times New Roman" w:cs="Times New Roman"/>
        </w:rPr>
        <w:t>commu</w:t>
      </w:r>
      <w:r w:rsidR="00B35FAC" w:rsidRPr="00CD0344">
        <w:rPr>
          <w:rFonts w:ascii="Times New Roman" w:hAnsi="Times New Roman" w:cs="Times New Roman"/>
        </w:rPr>
        <w:t xml:space="preserve">te time </w:t>
      </w:r>
      <w:r w:rsidR="003368AA" w:rsidRPr="00CD0344">
        <w:rPr>
          <w:rFonts w:ascii="Times New Roman" w:hAnsi="Times New Roman" w:cs="Times New Roman"/>
        </w:rPr>
        <w:t xml:space="preserve">is declared as the threshold commute </w:t>
      </w:r>
      <w:r w:rsidR="003368AA" w:rsidRPr="00CD0344">
        <w:rPr>
          <w:rFonts w:ascii="Times New Roman" w:hAnsi="Times New Roman" w:cs="Times New Roman"/>
        </w:rPr>
        <w:lastRenderedPageBreak/>
        <w:t xml:space="preserve">distance for zones to be considered in the choice set of the household (that is, 90% of households with given values of number of vehicles, number of workers, and household income have an average commute time less than the </w:t>
      </w:r>
      <w:r w:rsidR="00B35FAC" w:rsidRPr="00CD0344">
        <w:rPr>
          <w:rFonts w:ascii="Times New Roman" w:hAnsi="Times New Roman" w:cs="Times New Roman"/>
        </w:rPr>
        <w:t>threshold</w:t>
      </w:r>
      <w:r w:rsidR="003368AA" w:rsidRPr="00CD0344">
        <w:rPr>
          <w:rFonts w:ascii="Times New Roman" w:hAnsi="Times New Roman" w:cs="Times New Roman"/>
        </w:rPr>
        <w:t>).</w:t>
      </w:r>
      <w:r w:rsidR="00A04958" w:rsidRPr="00CD0344">
        <w:rPr>
          <w:rStyle w:val="FootnoteReference"/>
          <w:rFonts w:ascii="Times New Roman" w:hAnsi="Times New Roman" w:cs="Times New Roman"/>
        </w:rPr>
        <w:footnoteReference w:id="1"/>
      </w:r>
      <w:r w:rsidR="003368AA" w:rsidRPr="00CD0344">
        <w:rPr>
          <w:rFonts w:ascii="Times New Roman" w:hAnsi="Times New Roman" w:cs="Times New Roman"/>
        </w:rPr>
        <w:t xml:space="preserve"> The probabilistic set-up </w:t>
      </w:r>
      <w:r w:rsidR="000414FF" w:rsidRPr="00CD0344">
        <w:rPr>
          <w:rFonts w:ascii="Times New Roman" w:hAnsi="Times New Roman" w:cs="Times New Roman"/>
        </w:rPr>
        <w:t xml:space="preserve">acknowledges the lack of precise information about the search process, and accommodates the uncertainty inherent in the choice set formation process. </w:t>
      </w:r>
      <w:r w:rsidR="00E93545" w:rsidRPr="00CD0344">
        <w:rPr>
          <w:rFonts w:ascii="Times New Roman" w:hAnsi="Times New Roman" w:cs="Times New Roman"/>
        </w:rPr>
        <w:t xml:space="preserve">Thus, it is more representative of the true behavioral process underlying choice set formation relative to the deterministic set-up. </w:t>
      </w:r>
      <w:r w:rsidR="000414FF" w:rsidRPr="00CD0344">
        <w:rPr>
          <w:rFonts w:ascii="Times New Roman" w:hAnsi="Times New Roman" w:cs="Times New Roman"/>
        </w:rPr>
        <w:t xml:space="preserve">In this </w:t>
      </w:r>
      <w:r w:rsidR="00E93545" w:rsidRPr="00CD0344">
        <w:rPr>
          <w:rFonts w:ascii="Times New Roman" w:hAnsi="Times New Roman" w:cs="Times New Roman"/>
        </w:rPr>
        <w:t xml:space="preserve">probabilistic </w:t>
      </w:r>
      <w:r w:rsidR="000414FF" w:rsidRPr="00CD0344">
        <w:rPr>
          <w:rFonts w:ascii="Times New Roman" w:hAnsi="Times New Roman" w:cs="Times New Roman"/>
        </w:rPr>
        <w:t xml:space="preserve">set-up, which typically uses </w:t>
      </w:r>
      <w:proofErr w:type="spellStart"/>
      <w:r w:rsidR="000414FF" w:rsidRPr="00CD0344">
        <w:rPr>
          <w:rFonts w:ascii="Times New Roman" w:hAnsi="Times New Roman" w:cs="Times New Roman"/>
        </w:rPr>
        <w:t>Manski’s</w:t>
      </w:r>
      <w:proofErr w:type="spellEnd"/>
      <w:r w:rsidR="000414FF" w:rsidRPr="00CD0344">
        <w:rPr>
          <w:rFonts w:ascii="Times New Roman" w:hAnsi="Times New Roman" w:cs="Times New Roman"/>
        </w:rPr>
        <w:t xml:space="preserve"> (1977) </w:t>
      </w:r>
      <w:r w:rsidR="00177AD5" w:rsidRPr="00CD0344">
        <w:rPr>
          <w:rFonts w:ascii="Times New Roman" w:hAnsi="Times New Roman" w:cs="Times New Roman"/>
        </w:rPr>
        <w:t xml:space="preserve">two-stage </w:t>
      </w:r>
      <w:r w:rsidR="000414FF" w:rsidRPr="00CD0344">
        <w:rPr>
          <w:rFonts w:ascii="Times New Roman" w:hAnsi="Times New Roman" w:cs="Times New Roman"/>
        </w:rPr>
        <w:t xml:space="preserve">modeling paradigm, the overall probability of choice of an alternative is developed as the sum (across all possible non-empty choice subsets of the universal choice set) of the product of probability of a choice set </w:t>
      </w:r>
      <w:r w:rsidR="00177AD5" w:rsidRPr="00CD0344">
        <w:rPr>
          <w:rFonts w:ascii="Times New Roman" w:hAnsi="Times New Roman" w:cs="Times New Roman"/>
        </w:rPr>
        <w:t xml:space="preserve">(formed through a non-compensatory </w:t>
      </w:r>
      <w:r w:rsidR="006144F0" w:rsidRPr="00CD0344">
        <w:rPr>
          <w:rFonts w:ascii="Times New Roman" w:hAnsi="Times New Roman" w:cs="Times New Roman"/>
        </w:rPr>
        <w:t xml:space="preserve">conjunctive heuristic </w:t>
      </w:r>
      <w:r w:rsidR="00177AD5" w:rsidRPr="00CD0344">
        <w:rPr>
          <w:rFonts w:ascii="Times New Roman" w:hAnsi="Times New Roman" w:cs="Times New Roman"/>
        </w:rPr>
        <w:t xml:space="preserve">process) </w:t>
      </w:r>
      <w:r w:rsidR="000414FF" w:rsidRPr="00CD0344">
        <w:rPr>
          <w:rFonts w:ascii="Times New Roman" w:hAnsi="Times New Roman" w:cs="Times New Roman"/>
        </w:rPr>
        <w:t>and the probability of the alternative given the choice set</w:t>
      </w:r>
      <w:r w:rsidR="00772BDE">
        <w:rPr>
          <w:rFonts w:ascii="Times New Roman" w:hAnsi="Times New Roman" w:cs="Times New Roman"/>
        </w:rPr>
        <w:t xml:space="preserve"> (typically formulated as a</w:t>
      </w:r>
      <w:r w:rsidR="00177AD5" w:rsidRPr="00CD0344">
        <w:rPr>
          <w:rFonts w:ascii="Times New Roman" w:hAnsi="Times New Roman" w:cs="Times New Roman"/>
        </w:rPr>
        <w:t xml:space="preserve"> conventional compensatory </w:t>
      </w:r>
      <w:r w:rsidR="006144F0" w:rsidRPr="00CD0344">
        <w:rPr>
          <w:rFonts w:ascii="Times New Roman" w:hAnsi="Times New Roman" w:cs="Times New Roman"/>
        </w:rPr>
        <w:t xml:space="preserve">utility maximization </w:t>
      </w:r>
      <w:r w:rsidR="00177AD5" w:rsidRPr="00CD0344">
        <w:rPr>
          <w:rFonts w:ascii="Times New Roman" w:hAnsi="Times New Roman" w:cs="Times New Roman"/>
        </w:rPr>
        <w:t>process)</w:t>
      </w:r>
      <w:r w:rsidR="000414FF" w:rsidRPr="00CD0344">
        <w:rPr>
          <w:rFonts w:ascii="Times New Roman" w:hAnsi="Times New Roman" w:cs="Times New Roman"/>
        </w:rPr>
        <w:t xml:space="preserve">. </w:t>
      </w:r>
      <w:r w:rsidR="006144F0" w:rsidRPr="00CD0344">
        <w:rPr>
          <w:rFonts w:ascii="Times New Roman" w:hAnsi="Times New Roman" w:cs="Times New Roman"/>
        </w:rPr>
        <w:t xml:space="preserve">In </w:t>
      </w:r>
      <w:proofErr w:type="spellStart"/>
      <w:r w:rsidR="006144F0" w:rsidRPr="00CD0344">
        <w:rPr>
          <w:rFonts w:ascii="Times New Roman" w:hAnsi="Times New Roman" w:cs="Times New Roman"/>
        </w:rPr>
        <w:t>Manski’s</w:t>
      </w:r>
      <w:proofErr w:type="spellEnd"/>
      <w:r w:rsidR="006144F0" w:rsidRPr="00CD0344">
        <w:rPr>
          <w:rFonts w:ascii="Times New Roman" w:hAnsi="Times New Roman" w:cs="Times New Roman"/>
        </w:rPr>
        <w:t xml:space="preserve"> approach, the two stages are considered as separate </w:t>
      </w:r>
      <w:r w:rsidR="00E93545" w:rsidRPr="00CD0344">
        <w:rPr>
          <w:rFonts w:ascii="Times New Roman" w:hAnsi="Times New Roman" w:cs="Times New Roman"/>
        </w:rPr>
        <w:t>and in</w:t>
      </w:r>
      <w:r w:rsidR="006144F0" w:rsidRPr="00CD0344">
        <w:rPr>
          <w:rFonts w:ascii="Times New Roman" w:hAnsi="Times New Roman" w:cs="Times New Roman"/>
        </w:rPr>
        <w:t xml:space="preserve">dependent mental processes, </w:t>
      </w:r>
      <w:r w:rsidR="00E93545" w:rsidRPr="00CD0344">
        <w:rPr>
          <w:rFonts w:ascii="Times New Roman" w:hAnsi="Times New Roman" w:cs="Times New Roman"/>
        </w:rPr>
        <w:t xml:space="preserve">even </w:t>
      </w:r>
      <w:r w:rsidR="006144F0" w:rsidRPr="00CD0344">
        <w:rPr>
          <w:rFonts w:ascii="Times New Roman" w:hAnsi="Times New Roman" w:cs="Times New Roman"/>
        </w:rPr>
        <w:t xml:space="preserve">though the second-stage choice is made from the retained </w:t>
      </w:r>
      <w:r w:rsidR="00E93545" w:rsidRPr="00CD0344">
        <w:rPr>
          <w:rFonts w:ascii="Times New Roman" w:hAnsi="Times New Roman" w:cs="Times New Roman"/>
        </w:rPr>
        <w:t>(but latent</w:t>
      </w:r>
      <w:r w:rsidR="003A5828">
        <w:rPr>
          <w:rFonts w:ascii="Times New Roman" w:hAnsi="Times New Roman" w:cs="Times New Roman"/>
        </w:rPr>
        <w:t xml:space="preserve"> to the analyst</w:t>
      </w:r>
      <w:r w:rsidR="00E93545" w:rsidRPr="00CD0344">
        <w:rPr>
          <w:rFonts w:ascii="Times New Roman" w:hAnsi="Times New Roman" w:cs="Times New Roman"/>
        </w:rPr>
        <w:t xml:space="preserve">) </w:t>
      </w:r>
      <w:r w:rsidR="006144F0" w:rsidRPr="00CD0344">
        <w:rPr>
          <w:rFonts w:ascii="Times New Roman" w:hAnsi="Times New Roman" w:cs="Times New Roman"/>
        </w:rPr>
        <w:t xml:space="preserve">choice set in the first stage (see also </w:t>
      </w:r>
      <w:proofErr w:type="spellStart"/>
      <w:r w:rsidR="006144F0" w:rsidRPr="00CD0344">
        <w:rPr>
          <w:rFonts w:ascii="Times New Roman" w:hAnsi="Times New Roman" w:cs="Times New Roman"/>
        </w:rPr>
        <w:t>Bovy</w:t>
      </w:r>
      <w:proofErr w:type="spellEnd"/>
      <w:r w:rsidR="006144F0" w:rsidRPr="00CD0344">
        <w:rPr>
          <w:rFonts w:ascii="Times New Roman" w:hAnsi="Times New Roman" w:cs="Times New Roman"/>
        </w:rPr>
        <w:t xml:space="preserve">, 2009). </w:t>
      </w:r>
      <w:proofErr w:type="spellStart"/>
      <w:r w:rsidR="00E56484" w:rsidRPr="00CD0344">
        <w:rPr>
          <w:rFonts w:ascii="Times New Roman" w:hAnsi="Times New Roman" w:cs="Times New Roman"/>
        </w:rPr>
        <w:t>Swait</w:t>
      </w:r>
      <w:proofErr w:type="spellEnd"/>
      <w:r w:rsidR="00E56484" w:rsidRPr="00CD0344">
        <w:rPr>
          <w:rFonts w:ascii="Times New Roman" w:hAnsi="Times New Roman" w:cs="Times New Roman"/>
        </w:rPr>
        <w:t xml:space="preserve"> and Ben-</w:t>
      </w:r>
      <w:proofErr w:type="spellStart"/>
      <w:r w:rsidR="00E56484" w:rsidRPr="00CD0344">
        <w:rPr>
          <w:rFonts w:ascii="Times New Roman" w:hAnsi="Times New Roman" w:cs="Times New Roman"/>
        </w:rPr>
        <w:t>Akiva’s</w:t>
      </w:r>
      <w:proofErr w:type="spellEnd"/>
      <w:r w:rsidR="00E56484" w:rsidRPr="00CD0344">
        <w:rPr>
          <w:rFonts w:ascii="Times New Roman" w:hAnsi="Times New Roman" w:cs="Times New Roman"/>
        </w:rPr>
        <w:t xml:space="preserve"> (1987) random constraint-based approach or its variants are typically used to form the probabilities of the non-empty</w:t>
      </w:r>
      <w:r w:rsidR="00A12EFB" w:rsidRPr="00CD0344">
        <w:rPr>
          <w:rFonts w:ascii="Times New Roman" w:hAnsi="Times New Roman" w:cs="Times New Roman"/>
        </w:rPr>
        <w:t xml:space="preserve"> choice subsets in </w:t>
      </w:r>
      <w:r w:rsidR="00177AD5" w:rsidRPr="00CD0344">
        <w:rPr>
          <w:rFonts w:ascii="Times New Roman" w:hAnsi="Times New Roman" w:cs="Times New Roman"/>
        </w:rPr>
        <w:t xml:space="preserve">the first step in </w:t>
      </w:r>
      <w:r w:rsidR="00A12EFB" w:rsidRPr="00CD0344">
        <w:rPr>
          <w:rFonts w:ascii="Times New Roman" w:hAnsi="Times New Roman" w:cs="Times New Roman"/>
        </w:rPr>
        <w:t xml:space="preserve">a practical manner. </w:t>
      </w:r>
      <w:r w:rsidR="00211D76" w:rsidRPr="00CD0344">
        <w:rPr>
          <w:rFonts w:ascii="Times New Roman" w:hAnsi="Times New Roman" w:cs="Times New Roman"/>
        </w:rPr>
        <w:t xml:space="preserve">Kaplan </w:t>
      </w:r>
      <w:r w:rsidR="00211D76" w:rsidRPr="005D00F9">
        <w:rPr>
          <w:rFonts w:ascii="Times New Roman" w:hAnsi="Times New Roman" w:cs="Times New Roman"/>
          <w:i/>
        </w:rPr>
        <w:t>et al.</w:t>
      </w:r>
      <w:r w:rsidR="00211D76" w:rsidRPr="00CD0344">
        <w:rPr>
          <w:rFonts w:ascii="Times New Roman" w:hAnsi="Times New Roman" w:cs="Times New Roman"/>
        </w:rPr>
        <w:t xml:space="preserve"> (2011, 2012</w:t>
      </w:r>
      <w:r w:rsidR="003730F0">
        <w:rPr>
          <w:rFonts w:ascii="Times New Roman" w:hAnsi="Times New Roman" w:cs="Times New Roman"/>
        </w:rPr>
        <w:t>a</w:t>
      </w:r>
      <w:r w:rsidR="00211D76" w:rsidRPr="00CD0344">
        <w:rPr>
          <w:rFonts w:ascii="Times New Roman" w:hAnsi="Times New Roman" w:cs="Times New Roman"/>
        </w:rPr>
        <w:t>,</w:t>
      </w:r>
      <w:r w:rsidR="003730F0">
        <w:rPr>
          <w:rFonts w:ascii="Times New Roman" w:hAnsi="Times New Roman" w:cs="Times New Roman"/>
        </w:rPr>
        <w:t>b</w:t>
      </w:r>
      <w:r w:rsidR="00211D76" w:rsidRPr="00CD0344">
        <w:rPr>
          <w:rFonts w:ascii="Times New Roman" w:hAnsi="Times New Roman" w:cs="Times New Roman"/>
        </w:rPr>
        <w:t xml:space="preserve">) adopt </w:t>
      </w:r>
      <w:r w:rsidR="003A5828">
        <w:rPr>
          <w:rFonts w:ascii="Times New Roman" w:hAnsi="Times New Roman" w:cs="Times New Roman"/>
        </w:rPr>
        <w:t xml:space="preserve">a </w:t>
      </w:r>
      <w:proofErr w:type="spellStart"/>
      <w:r w:rsidR="003A5828">
        <w:rPr>
          <w:rFonts w:ascii="Times New Roman" w:hAnsi="Times New Roman" w:cs="Times New Roman"/>
        </w:rPr>
        <w:t>Manski</w:t>
      </w:r>
      <w:proofErr w:type="spellEnd"/>
      <w:r w:rsidR="003A5828">
        <w:rPr>
          <w:rFonts w:ascii="Times New Roman" w:hAnsi="Times New Roman" w:cs="Times New Roman"/>
        </w:rPr>
        <w:t xml:space="preserve">-like approach </w:t>
      </w:r>
      <w:r w:rsidR="00177AD5" w:rsidRPr="00CD0344">
        <w:rPr>
          <w:rFonts w:ascii="Times New Roman" w:hAnsi="Times New Roman" w:cs="Times New Roman"/>
        </w:rPr>
        <w:t xml:space="preserve">for </w:t>
      </w:r>
      <w:r w:rsidR="006144F0" w:rsidRPr="00CD0344">
        <w:rPr>
          <w:rFonts w:ascii="Times New Roman" w:hAnsi="Times New Roman" w:cs="Times New Roman"/>
        </w:rPr>
        <w:t xml:space="preserve">rental apartment </w:t>
      </w:r>
      <w:r w:rsidR="00177AD5" w:rsidRPr="00CD0344">
        <w:rPr>
          <w:rFonts w:ascii="Times New Roman" w:hAnsi="Times New Roman" w:cs="Times New Roman"/>
        </w:rPr>
        <w:t xml:space="preserve">choice modeling, </w:t>
      </w:r>
      <w:r w:rsidR="003A5828">
        <w:rPr>
          <w:rFonts w:ascii="Times New Roman" w:hAnsi="Times New Roman" w:cs="Times New Roman"/>
        </w:rPr>
        <w:t xml:space="preserve">but with the important difference that they overtly “observe” the choice set of respondents (rather than the choice set being latent as in the </w:t>
      </w:r>
      <w:proofErr w:type="spellStart"/>
      <w:r w:rsidR="003A5828">
        <w:rPr>
          <w:rFonts w:ascii="Times New Roman" w:hAnsi="Times New Roman" w:cs="Times New Roman"/>
        </w:rPr>
        <w:t>Manski</w:t>
      </w:r>
      <w:proofErr w:type="spellEnd"/>
      <w:r w:rsidR="003A5828">
        <w:rPr>
          <w:rFonts w:ascii="Times New Roman" w:hAnsi="Times New Roman" w:cs="Times New Roman"/>
        </w:rPr>
        <w:t xml:space="preserve"> formulation). Specifically, </w:t>
      </w:r>
      <w:r w:rsidR="00177AD5" w:rsidRPr="00CD0344">
        <w:rPr>
          <w:rFonts w:ascii="Times New Roman" w:hAnsi="Times New Roman" w:cs="Times New Roman"/>
        </w:rPr>
        <w:t>they use information on three search criteria for developing the choice set in the first step. The search criteria included whether respondent</w:t>
      </w:r>
      <w:r w:rsidR="008105A9" w:rsidRPr="00CD0344">
        <w:rPr>
          <w:rFonts w:ascii="Times New Roman" w:hAnsi="Times New Roman" w:cs="Times New Roman"/>
        </w:rPr>
        <w:t>s</w:t>
      </w:r>
      <w:r w:rsidR="00177AD5" w:rsidRPr="00CD0344">
        <w:rPr>
          <w:rFonts w:ascii="Times New Roman" w:hAnsi="Times New Roman" w:cs="Times New Roman"/>
        </w:rPr>
        <w:t xml:space="preserve"> (</w:t>
      </w:r>
      <w:r w:rsidR="008105A9" w:rsidRPr="00CD0344">
        <w:rPr>
          <w:rFonts w:ascii="Times New Roman" w:hAnsi="Times New Roman" w:cs="Times New Roman"/>
        </w:rPr>
        <w:t xml:space="preserve">631 students in a University in </w:t>
      </w:r>
      <w:r w:rsidR="00105F51" w:rsidRPr="00CD0344">
        <w:rPr>
          <w:rFonts w:ascii="Times New Roman" w:hAnsi="Times New Roman" w:cs="Times New Roman"/>
        </w:rPr>
        <w:t>Israel) were willing to share a rental</w:t>
      </w:r>
      <w:r w:rsidR="008105A9" w:rsidRPr="00CD0344">
        <w:rPr>
          <w:rFonts w:ascii="Times New Roman" w:hAnsi="Times New Roman" w:cs="Times New Roman"/>
        </w:rPr>
        <w:t xml:space="preserve"> apartment, location preference between two neighborhoods in the vicinity of the Univers</w:t>
      </w:r>
      <w:r w:rsidR="00BB4DF0">
        <w:rPr>
          <w:rFonts w:ascii="Times New Roman" w:hAnsi="Times New Roman" w:cs="Times New Roman"/>
        </w:rPr>
        <w:t>ity, and the maximal rent price</w:t>
      </w:r>
      <w:r w:rsidR="008105A9" w:rsidRPr="00CD0344">
        <w:rPr>
          <w:rFonts w:ascii="Times New Roman" w:hAnsi="Times New Roman" w:cs="Times New Roman"/>
        </w:rPr>
        <w:t xml:space="preserve">. </w:t>
      </w:r>
      <w:r w:rsidR="003A5828">
        <w:rPr>
          <w:rFonts w:ascii="Times New Roman" w:hAnsi="Times New Roman" w:cs="Times New Roman"/>
        </w:rPr>
        <w:t xml:space="preserve">That is, </w:t>
      </w:r>
      <w:r w:rsidR="008105A9" w:rsidRPr="00CD0344">
        <w:rPr>
          <w:rFonts w:ascii="Times New Roman" w:hAnsi="Times New Roman" w:cs="Times New Roman"/>
        </w:rPr>
        <w:t xml:space="preserve">Kaplan </w:t>
      </w:r>
      <w:r w:rsidR="008105A9" w:rsidRPr="004A5B3F">
        <w:rPr>
          <w:rFonts w:ascii="Times New Roman" w:hAnsi="Times New Roman" w:cs="Times New Roman"/>
          <w:i/>
        </w:rPr>
        <w:t>et al</w:t>
      </w:r>
      <w:r w:rsidR="004A5B3F" w:rsidRPr="004A5B3F">
        <w:rPr>
          <w:rFonts w:ascii="Times New Roman" w:hAnsi="Times New Roman" w:cs="Times New Roman"/>
          <w:i/>
        </w:rPr>
        <w:t>.</w:t>
      </w:r>
      <w:r w:rsidR="008105A9" w:rsidRPr="00CD0344">
        <w:rPr>
          <w:rFonts w:ascii="Times New Roman" w:hAnsi="Times New Roman" w:cs="Times New Roman"/>
        </w:rPr>
        <w:t xml:space="preserve"> undertook a web survey-based experimental</w:t>
      </w:r>
      <w:r w:rsidR="003A5828">
        <w:rPr>
          <w:rFonts w:ascii="Times New Roman" w:hAnsi="Times New Roman" w:cs="Times New Roman"/>
        </w:rPr>
        <w:t xml:space="preserve"> </w:t>
      </w:r>
      <w:r w:rsidR="008105A9" w:rsidRPr="00CD0344">
        <w:rPr>
          <w:rFonts w:ascii="Times New Roman" w:hAnsi="Times New Roman" w:cs="Times New Roman"/>
        </w:rPr>
        <w:t>design to elicit information on both the search process (used to form the choice set) as well as the choice process from the constituted choice</w:t>
      </w:r>
      <w:r w:rsidR="006502C2" w:rsidRPr="00CD0344">
        <w:rPr>
          <w:rFonts w:ascii="Times New Roman" w:hAnsi="Times New Roman" w:cs="Times New Roman"/>
        </w:rPr>
        <w:t xml:space="preserve"> set. </w:t>
      </w:r>
      <w:r w:rsidR="003A5828">
        <w:rPr>
          <w:rFonts w:ascii="Times New Roman" w:hAnsi="Times New Roman" w:cs="Times New Roman"/>
        </w:rPr>
        <w:t xml:space="preserve">By doing so, the likelihood function </w:t>
      </w:r>
      <w:r w:rsidR="00F52E60" w:rsidRPr="00CD0344">
        <w:rPr>
          <w:rFonts w:ascii="Times New Roman" w:hAnsi="Times New Roman" w:cs="Times New Roman"/>
        </w:rPr>
        <w:t xml:space="preserve">can effectively be </w:t>
      </w:r>
      <w:r w:rsidR="00F52E60" w:rsidRPr="00CD0344">
        <w:rPr>
          <w:rFonts w:ascii="Times New Roman" w:hAnsi="Times New Roman" w:cs="Times New Roman"/>
        </w:rPr>
        <w:lastRenderedPageBreak/>
        <w:t>developed separately for the two stages and does not require the development</w:t>
      </w:r>
      <w:r w:rsidR="00E93545" w:rsidRPr="00CD0344">
        <w:rPr>
          <w:rFonts w:ascii="Times New Roman" w:hAnsi="Times New Roman" w:cs="Times New Roman"/>
        </w:rPr>
        <w:t>, during estimation,</w:t>
      </w:r>
      <w:r w:rsidR="00F52E60" w:rsidRPr="00CD0344">
        <w:rPr>
          <w:rFonts w:ascii="Times New Roman" w:hAnsi="Times New Roman" w:cs="Times New Roman"/>
        </w:rPr>
        <w:t xml:space="preserve"> of </w:t>
      </w:r>
      <w:r w:rsidR="00E93545" w:rsidRPr="00CD0344">
        <w:rPr>
          <w:rFonts w:ascii="Times New Roman" w:hAnsi="Times New Roman" w:cs="Times New Roman"/>
        </w:rPr>
        <w:t xml:space="preserve">the </w:t>
      </w:r>
      <w:r w:rsidR="00F52E60" w:rsidRPr="00CD0344">
        <w:rPr>
          <w:rFonts w:ascii="Times New Roman" w:hAnsi="Times New Roman" w:cs="Times New Roman"/>
        </w:rPr>
        <w:t>probabili</w:t>
      </w:r>
      <w:r w:rsidR="00E93545" w:rsidRPr="00CD0344">
        <w:rPr>
          <w:rFonts w:ascii="Times New Roman" w:hAnsi="Times New Roman" w:cs="Times New Roman"/>
        </w:rPr>
        <w:t xml:space="preserve">ties of all possible choice subsets of the universal choice set </w:t>
      </w:r>
      <w:r w:rsidR="006502C2" w:rsidRPr="00CD0344">
        <w:rPr>
          <w:rFonts w:ascii="Times New Roman" w:hAnsi="Times New Roman" w:cs="Times New Roman"/>
        </w:rPr>
        <w:t>in the first step</w:t>
      </w:r>
      <w:r w:rsidR="002E230B">
        <w:rPr>
          <w:rFonts w:ascii="Times New Roman" w:hAnsi="Times New Roman" w:cs="Times New Roman"/>
        </w:rPr>
        <w:t>.</w:t>
      </w:r>
      <w:r w:rsidR="007D18CB">
        <w:rPr>
          <w:rStyle w:val="FootnoteReference"/>
          <w:rFonts w:ascii="Times New Roman" w:hAnsi="Times New Roman" w:cs="Times New Roman"/>
        </w:rPr>
        <w:footnoteReference w:id="2"/>
      </w:r>
      <w:r w:rsidR="00751E85">
        <w:rPr>
          <w:rStyle w:val="FootnoteReference"/>
          <w:rFonts w:ascii="Times New Roman" w:hAnsi="Times New Roman" w:cs="Times New Roman"/>
        </w:rPr>
        <w:t>,</w:t>
      </w:r>
      <w:r w:rsidR="00751E85">
        <w:rPr>
          <w:rStyle w:val="FootnoteReference"/>
          <w:rFonts w:ascii="Times New Roman" w:hAnsi="Times New Roman" w:cs="Times New Roman"/>
        </w:rPr>
        <w:footnoteReference w:id="3"/>
      </w:r>
      <w:r w:rsidR="006502C2" w:rsidRPr="00CD0344">
        <w:rPr>
          <w:rFonts w:ascii="Times New Roman" w:hAnsi="Times New Roman" w:cs="Times New Roman"/>
        </w:rPr>
        <w:t xml:space="preserve"> </w:t>
      </w:r>
      <w:r w:rsidR="00772BDE" w:rsidRPr="00307CB0">
        <w:rPr>
          <w:rFonts w:ascii="Times New Roman" w:hAnsi="Times New Roman" w:cs="Times New Roman"/>
          <w:b/>
        </w:rPr>
        <w:t xml:space="preserve"> </w:t>
      </w:r>
    </w:p>
    <w:p w14:paraId="0C446C2C" w14:textId="77777777" w:rsidR="002026DF" w:rsidRDefault="002026DF" w:rsidP="00B07866">
      <w:pPr>
        <w:pStyle w:val="Default"/>
        <w:spacing w:line="360" w:lineRule="auto"/>
        <w:jc w:val="both"/>
        <w:rPr>
          <w:rFonts w:ascii="Times New Roman" w:hAnsi="Times New Roman" w:cs="Times New Roman"/>
          <w:b/>
        </w:rPr>
      </w:pPr>
    </w:p>
    <w:p w14:paraId="4E129629" w14:textId="74D86818" w:rsidR="00E93545" w:rsidRPr="00307CB0" w:rsidRDefault="00B07866" w:rsidP="00B07866">
      <w:pPr>
        <w:pStyle w:val="Default"/>
        <w:spacing w:line="360" w:lineRule="auto"/>
        <w:jc w:val="both"/>
        <w:rPr>
          <w:rFonts w:ascii="Times New Roman" w:hAnsi="Times New Roman" w:cs="Times New Roman"/>
          <w:b/>
        </w:rPr>
      </w:pPr>
      <w:r>
        <w:rPr>
          <w:rFonts w:ascii="Times New Roman" w:hAnsi="Times New Roman" w:cs="Times New Roman"/>
          <w:b/>
        </w:rPr>
        <w:t xml:space="preserve">1.3. </w:t>
      </w:r>
      <w:r w:rsidR="001F306C" w:rsidRPr="00307CB0">
        <w:rPr>
          <w:rFonts w:ascii="Times New Roman" w:hAnsi="Times New Roman" w:cs="Times New Roman"/>
          <w:b/>
        </w:rPr>
        <w:t>The Current Study in Context</w:t>
      </w:r>
    </w:p>
    <w:p w14:paraId="3A1790BD" w14:textId="5015002B" w:rsidR="00925387" w:rsidRPr="00CD0344" w:rsidRDefault="00705936" w:rsidP="002940FB">
      <w:pPr>
        <w:pStyle w:val="Default"/>
        <w:spacing w:line="360" w:lineRule="auto"/>
        <w:jc w:val="both"/>
        <w:rPr>
          <w:rFonts w:ascii="Times New Roman" w:hAnsi="Times New Roman" w:cs="Times New Roman"/>
        </w:rPr>
      </w:pPr>
      <w:r>
        <w:rPr>
          <w:rFonts w:ascii="Times New Roman" w:hAnsi="Times New Roman" w:cs="Times New Roman"/>
        </w:rPr>
        <w:t>In the current study, we adopt</w:t>
      </w:r>
      <w:r w:rsidR="001F306C" w:rsidRPr="00CD0344">
        <w:rPr>
          <w:rFonts w:ascii="Times New Roman" w:hAnsi="Times New Roman" w:cs="Times New Roman"/>
        </w:rPr>
        <w:t xml:space="preserve"> a </w:t>
      </w:r>
      <w:r w:rsidR="00C86481" w:rsidRPr="00CD0344">
        <w:rPr>
          <w:rFonts w:ascii="Times New Roman" w:hAnsi="Times New Roman" w:cs="Times New Roman"/>
        </w:rPr>
        <w:t xml:space="preserve">dwelling unit level of analysis and </w:t>
      </w:r>
      <w:r>
        <w:rPr>
          <w:rFonts w:ascii="Times New Roman" w:hAnsi="Times New Roman" w:cs="Times New Roman"/>
        </w:rPr>
        <w:t xml:space="preserve">consider </w:t>
      </w:r>
      <w:r w:rsidR="00C86481" w:rsidRPr="00CD0344">
        <w:rPr>
          <w:rFonts w:ascii="Times New Roman" w:hAnsi="Times New Roman" w:cs="Times New Roman"/>
        </w:rPr>
        <w:t xml:space="preserve">a </w:t>
      </w:r>
      <w:r w:rsidR="001F306C" w:rsidRPr="00CD0344">
        <w:rPr>
          <w:rFonts w:ascii="Times New Roman" w:hAnsi="Times New Roman" w:cs="Times New Roman"/>
        </w:rPr>
        <w:t xml:space="preserve">probabilistic choice set generation approach for residential choice </w:t>
      </w:r>
      <w:r w:rsidR="00C86481" w:rsidRPr="00CD0344">
        <w:rPr>
          <w:rFonts w:ascii="Times New Roman" w:hAnsi="Times New Roman" w:cs="Times New Roman"/>
        </w:rPr>
        <w:t>modeling</w:t>
      </w:r>
      <w:r w:rsidR="001F306C" w:rsidRPr="00CD0344">
        <w:rPr>
          <w:rFonts w:ascii="Times New Roman" w:hAnsi="Times New Roman" w:cs="Times New Roman"/>
        </w:rPr>
        <w:t xml:space="preserve">. The use of a dwelling unit has many advantages, as already discussed earlier. Most importantly, the decision of housing necessarily involves </w:t>
      </w:r>
      <w:r w:rsidR="00BF0B1E">
        <w:rPr>
          <w:rFonts w:ascii="Times New Roman" w:hAnsi="Times New Roman" w:cs="Times New Roman"/>
        </w:rPr>
        <w:t xml:space="preserve">physical </w:t>
      </w:r>
      <w:r w:rsidR="001F306C" w:rsidRPr="00CD0344">
        <w:rPr>
          <w:rFonts w:ascii="Times New Roman" w:hAnsi="Times New Roman" w:cs="Times New Roman"/>
        </w:rPr>
        <w:t>dwelling unit attributes (that is, amenities within the home) as well as location attributes (that is, accessibility to activity opportunities outside the home). That is, residential m</w:t>
      </w:r>
      <w:r w:rsidR="00D31C51" w:rsidRPr="00CD0344">
        <w:rPr>
          <w:rFonts w:ascii="Times New Roman" w:hAnsi="Times New Roman" w:cs="Times New Roman"/>
        </w:rPr>
        <w:t xml:space="preserve">odels that consider only physical location-related attributes miss out on </w:t>
      </w:r>
      <w:r w:rsidR="00C86481" w:rsidRPr="00CD0344">
        <w:rPr>
          <w:rFonts w:ascii="Times New Roman" w:hAnsi="Times New Roman" w:cs="Times New Roman"/>
        </w:rPr>
        <w:t>important behavioral elements that drive</w:t>
      </w:r>
      <w:r w:rsidR="00D31C51" w:rsidRPr="00CD0344">
        <w:rPr>
          <w:rFonts w:ascii="Times New Roman" w:hAnsi="Times New Roman" w:cs="Times New Roman"/>
        </w:rPr>
        <w:t xml:space="preserve"> housing choices. </w:t>
      </w:r>
      <w:r w:rsidR="00C86481" w:rsidRPr="00CD0344">
        <w:rPr>
          <w:rFonts w:ascii="Times New Roman" w:hAnsi="Times New Roman" w:cs="Times New Roman"/>
        </w:rPr>
        <w:t xml:space="preserve">At the same time, </w:t>
      </w:r>
      <w:r>
        <w:rPr>
          <w:rFonts w:ascii="Times New Roman" w:hAnsi="Times New Roman" w:cs="Times New Roman"/>
        </w:rPr>
        <w:t xml:space="preserve">we assume </w:t>
      </w:r>
      <w:r w:rsidR="002E230B">
        <w:rPr>
          <w:rFonts w:ascii="Times New Roman" w:hAnsi="Times New Roman" w:cs="Times New Roman"/>
        </w:rPr>
        <w:t xml:space="preserve">a </w:t>
      </w:r>
      <w:r w:rsidR="00C86481" w:rsidRPr="00CD0344">
        <w:rPr>
          <w:rFonts w:ascii="Times New Roman" w:hAnsi="Times New Roman" w:cs="Times New Roman"/>
        </w:rPr>
        <w:t xml:space="preserve">two-stage modeling paradigm to accommodate the process by which households decide on a dwelling unit. But </w:t>
      </w:r>
      <w:r w:rsidR="006C2100">
        <w:rPr>
          <w:rFonts w:ascii="Times New Roman" w:hAnsi="Times New Roman" w:cs="Times New Roman"/>
        </w:rPr>
        <w:t xml:space="preserve">the key innovation we introduce here is that </w:t>
      </w:r>
      <w:r w:rsidR="00C86481" w:rsidRPr="00CD0344">
        <w:rPr>
          <w:rFonts w:ascii="Times New Roman" w:hAnsi="Times New Roman" w:cs="Times New Roman"/>
        </w:rPr>
        <w:t xml:space="preserve">rather than motivate </w:t>
      </w:r>
      <w:r w:rsidR="00A3225E" w:rsidRPr="00CD0344">
        <w:rPr>
          <w:rFonts w:ascii="Times New Roman" w:hAnsi="Times New Roman" w:cs="Times New Roman"/>
        </w:rPr>
        <w:t xml:space="preserve">the first stage from an elimination-by-aspects kind of a principle in the first stage (as in Kaplan </w:t>
      </w:r>
      <w:r w:rsidR="00A3225E" w:rsidRPr="005D00F9">
        <w:rPr>
          <w:rFonts w:ascii="Times New Roman" w:hAnsi="Times New Roman" w:cs="Times New Roman"/>
          <w:i/>
        </w:rPr>
        <w:t>et al</w:t>
      </w:r>
      <w:r w:rsidR="00A3225E" w:rsidRPr="00BB4DF0">
        <w:rPr>
          <w:rFonts w:ascii="Times New Roman" w:hAnsi="Times New Roman" w:cs="Times New Roman"/>
        </w:rPr>
        <w:t>.,</w:t>
      </w:r>
      <w:r w:rsidR="00A3225E" w:rsidRPr="00CD0344">
        <w:rPr>
          <w:rFonts w:ascii="Times New Roman" w:hAnsi="Times New Roman" w:cs="Times New Roman"/>
        </w:rPr>
        <w:t xml:space="preserve"> 201</w:t>
      </w:r>
      <w:r w:rsidR="003730F0">
        <w:rPr>
          <w:rFonts w:ascii="Times New Roman" w:hAnsi="Times New Roman" w:cs="Times New Roman"/>
        </w:rPr>
        <w:t>2b</w:t>
      </w:r>
      <w:r w:rsidR="00A3225E" w:rsidRPr="00CD0344">
        <w:rPr>
          <w:rFonts w:ascii="Times New Roman" w:hAnsi="Times New Roman" w:cs="Times New Roman"/>
        </w:rPr>
        <w:t xml:space="preserve">), we consider the first stage as a high-level (non-compensatory) decision process regarding housing attributes that includes some aggregate spatial representation of residential location. </w:t>
      </w:r>
      <w:r w:rsidR="005216D9">
        <w:rPr>
          <w:rFonts w:ascii="Times New Roman" w:hAnsi="Times New Roman" w:cs="Times New Roman"/>
        </w:rPr>
        <w:t>Importantly,</w:t>
      </w:r>
      <w:r w:rsidR="00046208">
        <w:rPr>
          <w:rFonts w:ascii="Times New Roman" w:hAnsi="Times New Roman" w:cs="Times New Roman"/>
        </w:rPr>
        <w:t xml:space="preserve"> and</w:t>
      </w:r>
      <w:r w:rsidR="005216D9">
        <w:rPr>
          <w:rFonts w:ascii="Times New Roman" w:hAnsi="Times New Roman" w:cs="Times New Roman"/>
        </w:rPr>
        <w:t xml:space="preserve"> different from earlier two-stage </w:t>
      </w:r>
      <w:proofErr w:type="spellStart"/>
      <w:r w:rsidR="005216D9">
        <w:rPr>
          <w:rFonts w:ascii="Times New Roman" w:hAnsi="Times New Roman" w:cs="Times New Roman"/>
        </w:rPr>
        <w:t>Manski</w:t>
      </w:r>
      <w:proofErr w:type="spellEnd"/>
      <w:r w:rsidR="005216D9">
        <w:rPr>
          <w:rFonts w:ascii="Times New Roman" w:hAnsi="Times New Roman" w:cs="Times New Roman"/>
        </w:rPr>
        <w:t xml:space="preserve"> type choice models, the first and s</w:t>
      </w:r>
      <w:r w:rsidR="00AA39BB">
        <w:rPr>
          <w:rFonts w:ascii="Times New Roman" w:hAnsi="Times New Roman" w:cs="Times New Roman"/>
        </w:rPr>
        <w:t xml:space="preserve">econd stages in </w:t>
      </w:r>
      <w:r w:rsidR="00AA39BB">
        <w:rPr>
          <w:rFonts w:ascii="Times New Roman" w:hAnsi="Times New Roman" w:cs="Times New Roman"/>
        </w:rPr>
        <w:lastRenderedPageBreak/>
        <w:t xml:space="preserve">our system </w:t>
      </w:r>
      <w:r w:rsidR="005216D9">
        <w:rPr>
          <w:rFonts w:ascii="Times New Roman" w:hAnsi="Times New Roman" w:cs="Times New Roman"/>
        </w:rPr>
        <w:t>do not even ha</w:t>
      </w:r>
      <w:r w:rsidR="00AA39BB">
        <w:rPr>
          <w:rFonts w:ascii="Times New Roman" w:hAnsi="Times New Roman" w:cs="Times New Roman"/>
        </w:rPr>
        <w:t xml:space="preserve">ve the </w:t>
      </w:r>
      <w:r w:rsidR="00015C8F">
        <w:rPr>
          <w:rFonts w:ascii="Times New Roman" w:hAnsi="Times New Roman" w:cs="Times New Roman"/>
        </w:rPr>
        <w:t xml:space="preserve">same dependent variables and the </w:t>
      </w:r>
      <w:r w:rsidR="00AA39BB">
        <w:rPr>
          <w:rFonts w:ascii="Times New Roman" w:hAnsi="Times New Roman" w:cs="Times New Roman"/>
        </w:rPr>
        <w:t xml:space="preserve">same </w:t>
      </w:r>
      <w:r w:rsidR="00015C8F">
        <w:rPr>
          <w:rFonts w:ascii="Times New Roman" w:hAnsi="Times New Roman" w:cs="Times New Roman"/>
        </w:rPr>
        <w:t xml:space="preserve">unit of analysis for the </w:t>
      </w:r>
      <w:r w:rsidR="00AA39BB">
        <w:rPr>
          <w:rFonts w:ascii="Times New Roman" w:hAnsi="Times New Roman" w:cs="Times New Roman"/>
        </w:rPr>
        <w:t xml:space="preserve">dependent variable(s). </w:t>
      </w:r>
      <w:r w:rsidR="00947FC3">
        <w:rPr>
          <w:rFonts w:ascii="Times New Roman" w:hAnsi="Times New Roman" w:cs="Times New Roman"/>
        </w:rPr>
        <w:t xml:space="preserve">Thus, </w:t>
      </w:r>
      <w:r w:rsidR="00AA39BB">
        <w:rPr>
          <w:rFonts w:ascii="Times New Roman" w:hAnsi="Times New Roman" w:cs="Times New Roman"/>
        </w:rPr>
        <w:t xml:space="preserve">the </w:t>
      </w:r>
      <w:r w:rsidR="00947FC3">
        <w:rPr>
          <w:rFonts w:ascii="Times New Roman" w:hAnsi="Times New Roman" w:cs="Times New Roman"/>
        </w:rPr>
        <w:t xml:space="preserve">choice in the </w:t>
      </w:r>
      <w:r w:rsidR="00AA39BB">
        <w:rPr>
          <w:rFonts w:ascii="Times New Roman" w:hAnsi="Times New Roman" w:cs="Times New Roman"/>
        </w:rPr>
        <w:t xml:space="preserve">first stage focuses on </w:t>
      </w:r>
      <w:r w:rsidR="00BF0B1E">
        <w:rPr>
          <w:rFonts w:ascii="Times New Roman" w:hAnsi="Times New Roman" w:cs="Times New Roman"/>
        </w:rPr>
        <w:t xml:space="preserve">specific physical </w:t>
      </w:r>
      <w:r w:rsidR="00015C8F">
        <w:rPr>
          <w:rFonts w:ascii="Times New Roman" w:hAnsi="Times New Roman" w:cs="Times New Roman"/>
        </w:rPr>
        <w:t>characteristics of the dwelling unit (such as</w:t>
      </w:r>
      <w:r w:rsidR="00947FC3">
        <w:rPr>
          <w:rFonts w:ascii="Times New Roman" w:hAnsi="Times New Roman" w:cs="Times New Roman"/>
        </w:rPr>
        <w:t>, say</w:t>
      </w:r>
      <w:r w:rsidR="00015C8F">
        <w:rPr>
          <w:rFonts w:ascii="Times New Roman" w:hAnsi="Times New Roman" w:cs="Times New Roman"/>
        </w:rPr>
        <w:t xml:space="preserve"> a single-family detached one </w:t>
      </w:r>
      <w:proofErr w:type="spellStart"/>
      <w:r w:rsidR="00015C8F">
        <w:rPr>
          <w:rFonts w:ascii="Times New Roman" w:hAnsi="Times New Roman" w:cs="Times New Roman"/>
        </w:rPr>
        <w:t>storey</w:t>
      </w:r>
      <w:proofErr w:type="spellEnd"/>
      <w:r w:rsidR="00015C8F">
        <w:rPr>
          <w:rFonts w:ascii="Times New Roman" w:hAnsi="Times New Roman" w:cs="Times New Roman"/>
        </w:rPr>
        <w:t xml:space="preserve"> “to-be-owned” three bedroom home </w:t>
      </w:r>
      <w:r w:rsidR="00947FC3">
        <w:rPr>
          <w:rFonts w:ascii="Times New Roman" w:hAnsi="Times New Roman" w:cs="Times New Roman"/>
        </w:rPr>
        <w:t>with two bathrooms</w:t>
      </w:r>
      <w:r w:rsidR="00015C8F">
        <w:rPr>
          <w:rFonts w:ascii="Times New Roman" w:hAnsi="Times New Roman" w:cs="Times New Roman"/>
        </w:rPr>
        <w:t>)</w:t>
      </w:r>
      <w:r w:rsidR="00947FC3">
        <w:rPr>
          <w:rFonts w:ascii="Times New Roman" w:hAnsi="Times New Roman" w:cs="Times New Roman"/>
        </w:rPr>
        <w:t>,</w:t>
      </w:r>
      <w:r w:rsidR="00015C8F">
        <w:rPr>
          <w:rFonts w:ascii="Times New Roman" w:hAnsi="Times New Roman" w:cs="Times New Roman"/>
        </w:rPr>
        <w:t xml:space="preserve"> along with </w:t>
      </w:r>
      <w:r w:rsidR="001D0284">
        <w:rPr>
          <w:rFonts w:ascii="Times New Roman" w:hAnsi="Times New Roman" w:cs="Times New Roman"/>
        </w:rPr>
        <w:t xml:space="preserve">ranges of </w:t>
      </w:r>
      <w:r w:rsidR="00BF0B1E">
        <w:rPr>
          <w:rFonts w:ascii="Times New Roman" w:hAnsi="Times New Roman" w:cs="Times New Roman"/>
        </w:rPr>
        <w:t xml:space="preserve">some other </w:t>
      </w:r>
      <w:r w:rsidR="00AA39BB">
        <w:rPr>
          <w:rFonts w:ascii="Times New Roman" w:hAnsi="Times New Roman" w:cs="Times New Roman"/>
        </w:rPr>
        <w:t xml:space="preserve">dwelling unit physical attributes </w:t>
      </w:r>
      <w:r w:rsidR="001D0284">
        <w:rPr>
          <w:rFonts w:ascii="Times New Roman" w:hAnsi="Times New Roman" w:cs="Times New Roman"/>
        </w:rPr>
        <w:t>(</w:t>
      </w:r>
      <w:r w:rsidR="00015C8F">
        <w:rPr>
          <w:rFonts w:ascii="Times New Roman" w:hAnsi="Times New Roman" w:cs="Times New Roman"/>
        </w:rPr>
        <w:t>such as</w:t>
      </w:r>
      <w:r w:rsidR="00947FC3">
        <w:rPr>
          <w:rFonts w:ascii="Times New Roman" w:hAnsi="Times New Roman" w:cs="Times New Roman"/>
        </w:rPr>
        <w:t>, say</w:t>
      </w:r>
      <w:r w:rsidR="00015C8F">
        <w:rPr>
          <w:rFonts w:ascii="Times New Roman" w:hAnsi="Times New Roman" w:cs="Times New Roman"/>
        </w:rPr>
        <w:t xml:space="preserve"> a 1</w:t>
      </w:r>
      <w:r w:rsidR="00121A94">
        <w:rPr>
          <w:rFonts w:ascii="Times New Roman" w:hAnsi="Times New Roman" w:cs="Times New Roman"/>
        </w:rPr>
        <w:t>,</w:t>
      </w:r>
      <w:r w:rsidR="00015C8F">
        <w:rPr>
          <w:rFonts w:ascii="Times New Roman" w:hAnsi="Times New Roman" w:cs="Times New Roman"/>
        </w:rPr>
        <w:t>500-2</w:t>
      </w:r>
      <w:r w:rsidR="00121A94">
        <w:rPr>
          <w:rFonts w:ascii="Times New Roman" w:hAnsi="Times New Roman" w:cs="Times New Roman"/>
        </w:rPr>
        <w:t>,</w:t>
      </w:r>
      <w:r w:rsidR="00015C8F">
        <w:rPr>
          <w:rFonts w:ascii="Times New Roman" w:hAnsi="Times New Roman" w:cs="Times New Roman"/>
        </w:rPr>
        <w:t>000 square foot home with a good yard size of 5,000-7,500 square feet</w:t>
      </w:r>
      <w:r w:rsidR="00947FC3">
        <w:rPr>
          <w:rFonts w:ascii="Times New Roman" w:hAnsi="Times New Roman" w:cs="Times New Roman"/>
        </w:rPr>
        <w:t xml:space="preserve"> costing between $200,000-$250,000 and within 2 miles of the workplace</w:t>
      </w:r>
      <w:r w:rsidR="00015C8F">
        <w:rPr>
          <w:rFonts w:ascii="Times New Roman" w:hAnsi="Times New Roman" w:cs="Times New Roman"/>
        </w:rPr>
        <w:t>)</w:t>
      </w:r>
      <w:r w:rsidR="00947FC3">
        <w:rPr>
          <w:rFonts w:ascii="Times New Roman" w:hAnsi="Times New Roman" w:cs="Times New Roman"/>
        </w:rPr>
        <w:t xml:space="preserve"> and a preference to live in some aggregated representation of space (say, a certai</w:t>
      </w:r>
      <w:r w:rsidR="000A69C5">
        <w:rPr>
          <w:rFonts w:ascii="Times New Roman" w:hAnsi="Times New Roman" w:cs="Times New Roman"/>
        </w:rPr>
        <w:t>n neighborhood or area of a city</w:t>
      </w:r>
      <w:r w:rsidR="00947FC3">
        <w:rPr>
          <w:rFonts w:ascii="Times New Roman" w:hAnsi="Times New Roman" w:cs="Times New Roman"/>
        </w:rPr>
        <w:t>). T</w:t>
      </w:r>
      <w:r w:rsidR="00015C8F">
        <w:rPr>
          <w:rFonts w:ascii="Times New Roman" w:hAnsi="Times New Roman" w:cs="Times New Roman"/>
        </w:rPr>
        <w:t xml:space="preserve">he </w:t>
      </w:r>
      <w:r w:rsidR="00947FC3">
        <w:rPr>
          <w:rFonts w:ascii="Times New Roman" w:hAnsi="Times New Roman" w:cs="Times New Roman"/>
        </w:rPr>
        <w:t xml:space="preserve">choice in the </w:t>
      </w:r>
      <w:r w:rsidR="00015C8F">
        <w:rPr>
          <w:rFonts w:ascii="Times New Roman" w:hAnsi="Times New Roman" w:cs="Times New Roman"/>
        </w:rPr>
        <w:t>second stage focuses on the precise</w:t>
      </w:r>
      <w:r w:rsidR="00947FC3">
        <w:rPr>
          <w:rFonts w:ascii="Times New Roman" w:hAnsi="Times New Roman" w:cs="Times New Roman"/>
        </w:rPr>
        <w:t xml:space="preserve"> dwelling unit physical characteristics for those attributes that are chosen in ranges in the first stage, along with </w:t>
      </w:r>
      <w:r w:rsidR="00015C8F">
        <w:rPr>
          <w:rFonts w:ascii="Times New Roman" w:hAnsi="Times New Roman" w:cs="Times New Roman"/>
        </w:rPr>
        <w:t xml:space="preserve">the </w:t>
      </w:r>
      <w:r w:rsidR="00AA39BB">
        <w:rPr>
          <w:rFonts w:ascii="Times New Roman" w:hAnsi="Times New Roman" w:cs="Times New Roman"/>
        </w:rPr>
        <w:t xml:space="preserve">parcel-level spatial location of the dwelling unit </w:t>
      </w:r>
      <w:r w:rsidR="00015C8F">
        <w:rPr>
          <w:rFonts w:ascii="Times New Roman" w:hAnsi="Times New Roman" w:cs="Times New Roman"/>
        </w:rPr>
        <w:t>(</w:t>
      </w:r>
      <w:r w:rsidR="00AA39BB">
        <w:rPr>
          <w:rFonts w:ascii="Times New Roman" w:hAnsi="Times New Roman" w:cs="Times New Roman"/>
        </w:rPr>
        <w:t xml:space="preserve">given the </w:t>
      </w:r>
      <w:r w:rsidR="00947FC3">
        <w:rPr>
          <w:rFonts w:ascii="Times New Roman" w:hAnsi="Times New Roman" w:cs="Times New Roman"/>
        </w:rPr>
        <w:t xml:space="preserve">high-level dwelling unit attribute choices made </w:t>
      </w:r>
      <w:r w:rsidR="00AA39BB">
        <w:rPr>
          <w:rFonts w:ascii="Times New Roman" w:hAnsi="Times New Roman" w:cs="Times New Roman"/>
        </w:rPr>
        <w:t>in the first stage</w:t>
      </w:r>
      <w:r w:rsidR="00947FC3">
        <w:rPr>
          <w:rFonts w:ascii="Times New Roman" w:hAnsi="Times New Roman" w:cs="Times New Roman"/>
        </w:rPr>
        <w:t>)</w:t>
      </w:r>
      <w:r w:rsidR="00AA39BB">
        <w:rPr>
          <w:rFonts w:ascii="Times New Roman" w:hAnsi="Times New Roman" w:cs="Times New Roman"/>
        </w:rPr>
        <w:t>. This</w:t>
      </w:r>
      <w:r w:rsidR="00A3225E" w:rsidRPr="00CD0344">
        <w:rPr>
          <w:rFonts w:ascii="Times New Roman" w:hAnsi="Times New Roman" w:cs="Times New Roman"/>
        </w:rPr>
        <w:t xml:space="preserve"> repre</w:t>
      </w:r>
      <w:r w:rsidR="00AA39BB">
        <w:rPr>
          <w:rFonts w:ascii="Times New Roman" w:hAnsi="Times New Roman" w:cs="Times New Roman"/>
        </w:rPr>
        <w:t xml:space="preserve">sentation </w:t>
      </w:r>
      <w:r w:rsidR="00A3225E" w:rsidRPr="00CD0344">
        <w:rPr>
          <w:rFonts w:ascii="Times New Roman" w:hAnsi="Times New Roman" w:cs="Times New Roman"/>
        </w:rPr>
        <w:t>is consistent with a combination of supply constraint-based, area-based, or anchor points-based search strategies. Specifically, consistent with the supply constraint-based approach, we repre</w:t>
      </w:r>
      <w:r w:rsidR="006C2100">
        <w:rPr>
          <w:rFonts w:ascii="Times New Roman" w:hAnsi="Times New Roman" w:cs="Times New Roman"/>
        </w:rPr>
        <w:t xml:space="preserve">sent the </w:t>
      </w:r>
      <w:r w:rsidR="006868A7">
        <w:rPr>
          <w:rFonts w:ascii="Times New Roman" w:hAnsi="Times New Roman" w:cs="Times New Roman"/>
        </w:rPr>
        <w:t xml:space="preserve">first stage </w:t>
      </w:r>
      <w:r w:rsidR="006C2100">
        <w:rPr>
          <w:rFonts w:ascii="Times New Roman" w:hAnsi="Times New Roman" w:cs="Times New Roman"/>
        </w:rPr>
        <w:t xml:space="preserve">search not </w:t>
      </w:r>
      <w:r w:rsidR="00A3225E" w:rsidRPr="00CD0344">
        <w:rPr>
          <w:rFonts w:ascii="Times New Roman" w:hAnsi="Times New Roman" w:cs="Times New Roman"/>
        </w:rPr>
        <w:t xml:space="preserve">as a screening mechanism, but as an </w:t>
      </w:r>
      <w:r w:rsidR="00A3225E" w:rsidRPr="005216D9">
        <w:rPr>
          <w:rFonts w:ascii="Times New Roman" w:hAnsi="Times New Roman" w:cs="Times New Roman"/>
          <w:u w:val="single"/>
        </w:rPr>
        <w:t>integral part</w:t>
      </w:r>
      <w:r w:rsidR="00A3225E" w:rsidRPr="00CD0344">
        <w:rPr>
          <w:rFonts w:ascii="Times New Roman" w:hAnsi="Times New Roman" w:cs="Times New Roman"/>
        </w:rPr>
        <w:t xml:space="preserve"> of</w:t>
      </w:r>
      <w:r w:rsidR="00AB23F7" w:rsidRPr="00CD0344">
        <w:rPr>
          <w:rFonts w:ascii="Times New Roman" w:hAnsi="Times New Roman" w:cs="Times New Roman"/>
        </w:rPr>
        <w:t xml:space="preserve"> trying to maximize search efficiency</w:t>
      </w:r>
      <w:r w:rsidR="00A3225E" w:rsidRPr="00CD0344">
        <w:rPr>
          <w:rFonts w:ascii="Times New Roman" w:hAnsi="Times New Roman" w:cs="Times New Roman"/>
        </w:rPr>
        <w:t xml:space="preserve"> (and minimize cognitive burden) </w:t>
      </w:r>
      <w:r w:rsidR="0072208D" w:rsidRPr="00CD0344">
        <w:rPr>
          <w:rFonts w:ascii="Times New Roman" w:hAnsi="Times New Roman" w:cs="Times New Roman"/>
        </w:rPr>
        <w:t xml:space="preserve">by increasing the chances of a “hit” for the desired housing attributes </w:t>
      </w:r>
      <w:r w:rsidR="00AB23F7" w:rsidRPr="00CD0344">
        <w:rPr>
          <w:rFonts w:ascii="Times New Roman" w:hAnsi="Times New Roman" w:cs="Times New Roman"/>
        </w:rPr>
        <w:t xml:space="preserve">and parcel locational attributes </w:t>
      </w:r>
      <w:r w:rsidR="0072208D" w:rsidRPr="00CD0344">
        <w:rPr>
          <w:rFonts w:ascii="Times New Roman" w:hAnsi="Times New Roman" w:cs="Times New Roman"/>
        </w:rPr>
        <w:t xml:space="preserve">combination. Next, </w:t>
      </w:r>
      <w:r>
        <w:rPr>
          <w:rFonts w:ascii="Times New Roman" w:hAnsi="Times New Roman" w:cs="Times New Roman"/>
        </w:rPr>
        <w:t>not in</w:t>
      </w:r>
      <w:r w:rsidR="0072208D" w:rsidRPr="00CD0344">
        <w:rPr>
          <w:rFonts w:ascii="Times New Roman" w:hAnsi="Times New Roman" w:cs="Times New Roman"/>
        </w:rPr>
        <w:t xml:space="preserve">consistent with the area-based search process, </w:t>
      </w:r>
      <w:r w:rsidR="00B76D91" w:rsidRPr="00CD0344">
        <w:rPr>
          <w:rFonts w:ascii="Times New Roman" w:hAnsi="Times New Roman" w:cs="Times New Roman"/>
        </w:rPr>
        <w:t xml:space="preserve">we use revealed preference data on actual housing choices rather than use experimental or web-based search data that may be onerous to collect. That is, we use the observed housing choices and an aggregate spatial representation of the observed residential location choice </w:t>
      </w:r>
      <w:r w:rsidR="001D0284">
        <w:rPr>
          <w:rFonts w:ascii="Times New Roman" w:hAnsi="Times New Roman" w:cs="Times New Roman"/>
        </w:rPr>
        <w:t>as the observed outcomes for the dependent variables</w:t>
      </w:r>
      <w:r w:rsidR="006868A7">
        <w:rPr>
          <w:rFonts w:ascii="Times New Roman" w:hAnsi="Times New Roman" w:cs="Times New Roman"/>
        </w:rPr>
        <w:t xml:space="preserve"> in the first stage</w:t>
      </w:r>
      <w:r w:rsidR="00B76D91" w:rsidRPr="00CD0344">
        <w:rPr>
          <w:rFonts w:ascii="Times New Roman" w:hAnsi="Times New Roman" w:cs="Times New Roman"/>
        </w:rPr>
        <w:t xml:space="preserve">. Effectively, the </w:t>
      </w:r>
      <w:r>
        <w:rPr>
          <w:rFonts w:ascii="Times New Roman" w:hAnsi="Times New Roman" w:cs="Times New Roman"/>
        </w:rPr>
        <w:t xml:space="preserve">premise is that </w:t>
      </w:r>
      <w:r w:rsidR="00B76D91" w:rsidRPr="00CD0344">
        <w:rPr>
          <w:rFonts w:ascii="Times New Roman" w:hAnsi="Times New Roman" w:cs="Times New Roman"/>
        </w:rPr>
        <w:t xml:space="preserve">the dwelling unit chosen was preceded by the choice of </w:t>
      </w:r>
      <w:r>
        <w:rPr>
          <w:rFonts w:ascii="Times New Roman" w:hAnsi="Times New Roman" w:cs="Times New Roman"/>
        </w:rPr>
        <w:t xml:space="preserve">the dwelling unit attributes at a relatively aggregate level, including </w:t>
      </w:r>
      <w:r w:rsidR="00B76D91" w:rsidRPr="00CD0344">
        <w:rPr>
          <w:rFonts w:ascii="Times New Roman" w:hAnsi="Times New Roman" w:cs="Times New Roman"/>
        </w:rPr>
        <w:t xml:space="preserve">the geographic market (or aggregate spatial </w:t>
      </w:r>
      <w:r w:rsidR="00751CD6" w:rsidRPr="00CD0344">
        <w:rPr>
          <w:rFonts w:ascii="Times New Roman" w:hAnsi="Times New Roman" w:cs="Times New Roman"/>
        </w:rPr>
        <w:t>representation) in which the chosen dwelling unit is actually located</w:t>
      </w:r>
      <w:r w:rsidR="00925387" w:rsidRPr="00CD0344">
        <w:rPr>
          <w:rFonts w:ascii="Times New Roman" w:hAnsi="Times New Roman" w:cs="Times New Roman"/>
        </w:rPr>
        <w:t xml:space="preserve"> (due to the</w:t>
      </w:r>
      <w:r>
        <w:rPr>
          <w:rFonts w:ascii="Times New Roman" w:hAnsi="Times New Roman" w:cs="Times New Roman"/>
        </w:rPr>
        <w:t xml:space="preserve"> persistence of search within the</w:t>
      </w:r>
      <w:r w:rsidR="00925387" w:rsidRPr="00CD0344">
        <w:rPr>
          <w:rFonts w:ascii="Times New Roman" w:hAnsi="Times New Roman" w:cs="Times New Roman"/>
        </w:rPr>
        <w:t xml:space="preserve"> initial</w:t>
      </w:r>
      <w:r>
        <w:rPr>
          <w:rFonts w:ascii="Times New Roman" w:hAnsi="Times New Roman" w:cs="Times New Roman"/>
        </w:rPr>
        <w:t>ly preferred</w:t>
      </w:r>
      <w:r w:rsidR="00925387" w:rsidRPr="00CD0344">
        <w:rPr>
          <w:rFonts w:ascii="Times New Roman" w:hAnsi="Times New Roman" w:cs="Times New Roman"/>
        </w:rPr>
        <w:t xml:space="preserve"> geographic submarket)</w:t>
      </w:r>
      <w:r w:rsidR="00751CD6" w:rsidRPr="00CD0344">
        <w:rPr>
          <w:rFonts w:ascii="Times New Roman" w:hAnsi="Times New Roman" w:cs="Times New Roman"/>
        </w:rPr>
        <w:t xml:space="preserve">. Finally, </w:t>
      </w:r>
      <w:r w:rsidR="00AB23F7" w:rsidRPr="00CD0344">
        <w:rPr>
          <w:rFonts w:ascii="Times New Roman" w:hAnsi="Times New Roman" w:cs="Times New Roman"/>
        </w:rPr>
        <w:t>consistent with the anchor-based approach, the a</w:t>
      </w:r>
      <w:r>
        <w:rPr>
          <w:rFonts w:ascii="Times New Roman" w:hAnsi="Times New Roman" w:cs="Times New Roman"/>
        </w:rPr>
        <w:t xml:space="preserve">ggregate spatial preference </w:t>
      </w:r>
      <w:r w:rsidR="00AB23F7" w:rsidRPr="00CD0344">
        <w:rPr>
          <w:rFonts w:ascii="Times New Roman" w:hAnsi="Times New Roman" w:cs="Times New Roman"/>
        </w:rPr>
        <w:t>of dwelling unit location in</w:t>
      </w:r>
      <w:r w:rsidR="001D0284">
        <w:rPr>
          <w:rFonts w:ascii="Times New Roman" w:hAnsi="Times New Roman" w:cs="Times New Roman"/>
        </w:rPr>
        <w:t xml:space="preserve"> the first </w:t>
      </w:r>
      <w:r w:rsidR="00AB23F7" w:rsidRPr="00CD0344">
        <w:rPr>
          <w:rFonts w:ascii="Times New Roman" w:hAnsi="Times New Roman" w:cs="Times New Roman"/>
        </w:rPr>
        <w:t xml:space="preserve">stage is based on a grouped </w:t>
      </w:r>
      <w:r w:rsidR="00925387" w:rsidRPr="00CD0344">
        <w:rPr>
          <w:rFonts w:ascii="Times New Roman" w:hAnsi="Times New Roman" w:cs="Times New Roman"/>
        </w:rPr>
        <w:t xml:space="preserve">(coarse) </w:t>
      </w:r>
      <w:r w:rsidR="00AB23F7" w:rsidRPr="00CD0344">
        <w:rPr>
          <w:rFonts w:ascii="Times New Roman" w:hAnsi="Times New Roman" w:cs="Times New Roman"/>
        </w:rPr>
        <w:t xml:space="preserve">representation of the average commute </w:t>
      </w:r>
      <w:r w:rsidR="00DF2E9B">
        <w:rPr>
          <w:rFonts w:ascii="Times New Roman" w:hAnsi="Times New Roman" w:cs="Times New Roman"/>
        </w:rPr>
        <w:t>distance</w:t>
      </w:r>
      <w:r w:rsidR="00AB23F7" w:rsidRPr="00CD0344">
        <w:rPr>
          <w:rFonts w:ascii="Times New Roman" w:hAnsi="Times New Roman" w:cs="Times New Roman"/>
        </w:rPr>
        <w:t xml:space="preserve"> (across workers in the household) </w:t>
      </w:r>
      <w:r w:rsidR="00925387" w:rsidRPr="00CD0344">
        <w:rPr>
          <w:rFonts w:ascii="Times New Roman" w:hAnsi="Times New Roman" w:cs="Times New Roman"/>
        </w:rPr>
        <w:t xml:space="preserve">from the actual chosen dwelling unit location to the work places of employed individuals. The underlying notion again is that the actual dwelling unit location is preceded by the choice of an aggregate geographic submarket to reside in based on commute </w:t>
      </w:r>
      <w:r w:rsidR="004A37F2">
        <w:rPr>
          <w:rFonts w:ascii="Times New Roman" w:hAnsi="Times New Roman" w:cs="Times New Roman"/>
        </w:rPr>
        <w:t>distance</w:t>
      </w:r>
      <w:r w:rsidR="00925387" w:rsidRPr="00CD0344">
        <w:rPr>
          <w:rFonts w:ascii="Times New Roman" w:hAnsi="Times New Roman" w:cs="Times New Roman"/>
        </w:rPr>
        <w:t xml:space="preserve">. </w:t>
      </w:r>
    </w:p>
    <w:p w14:paraId="62C66AD8" w14:textId="77777777" w:rsidR="00F267CE" w:rsidRDefault="007A3406" w:rsidP="00D379FC">
      <w:pPr>
        <w:autoSpaceDE w:val="0"/>
        <w:autoSpaceDN w:val="0"/>
        <w:adjustRightInd w:val="0"/>
        <w:ind w:firstLine="720"/>
        <w:jc w:val="both"/>
      </w:pPr>
      <w:r w:rsidRPr="00CD0344">
        <w:t xml:space="preserve">In summary, our study </w:t>
      </w:r>
      <w:r w:rsidR="00B76DBF" w:rsidRPr="00CD0344">
        <w:t xml:space="preserve">accommodates the fact that housing choices involve both characteristics of the dwelling unit and its location (rather than many studies that divorce the </w:t>
      </w:r>
      <w:r w:rsidR="00B76DBF" w:rsidRPr="00CD0344">
        <w:lastRenderedPageBreak/>
        <w:t>analys</w:t>
      </w:r>
      <w:r w:rsidR="00C34CE6" w:rsidRPr="00CD0344">
        <w:t>is of these two completely and examine only dwelling unit choices or only physical residential location choice)</w:t>
      </w:r>
      <w:r w:rsidRPr="00CD0344">
        <w:t xml:space="preserve">, while also </w:t>
      </w:r>
      <w:r w:rsidR="00B07866" w:rsidRPr="00CD0344">
        <w:t>mimicking</w:t>
      </w:r>
      <w:r w:rsidR="00C34CE6" w:rsidRPr="00CD0344">
        <w:t xml:space="preserve"> the search process that underlies housing decisions. In particular, and unlike all earlier studies, we model a complete range of dwelling u</w:t>
      </w:r>
      <w:r w:rsidR="00D07E22">
        <w:t xml:space="preserve">nit </w:t>
      </w:r>
      <w:r w:rsidR="00C34CE6" w:rsidRPr="00CD0344">
        <w:t xml:space="preserve">choices that include </w:t>
      </w:r>
      <w:r w:rsidRPr="00CD0344">
        <w:t xml:space="preserve">the following </w:t>
      </w:r>
      <w:r w:rsidR="00D07E22">
        <w:t>dimensions</w:t>
      </w:r>
      <w:r w:rsidR="001072A6" w:rsidRPr="00CD0344">
        <w:t xml:space="preserve"> in the first stage</w:t>
      </w:r>
      <w:r w:rsidR="00D07E22">
        <w:t>: tenure type</w:t>
      </w:r>
      <w:r w:rsidRPr="00CD0344">
        <w:t xml:space="preserve"> (rent or own), housin</w:t>
      </w:r>
      <w:r w:rsidR="002E230B">
        <w:t>g type (single family detached, single family attached, or apartment complex</w:t>
      </w:r>
      <w:r w:rsidRPr="00CD0344">
        <w:t xml:space="preserve">), number of bedrooms, </w:t>
      </w:r>
      <w:r w:rsidR="001072A6" w:rsidRPr="00CD0344">
        <w:t xml:space="preserve">number of bathrooms, </w:t>
      </w:r>
      <w:r w:rsidR="00BB4DF0">
        <w:t xml:space="preserve">number of </w:t>
      </w:r>
      <w:proofErr w:type="spellStart"/>
      <w:r w:rsidR="00BB4DF0">
        <w:t>storeys</w:t>
      </w:r>
      <w:proofErr w:type="spellEnd"/>
      <w:r w:rsidR="00BB4DF0">
        <w:t xml:space="preserve"> (one or more</w:t>
      </w:r>
      <w:r w:rsidRPr="00CD0344">
        <w:t>), square footage</w:t>
      </w:r>
      <w:r w:rsidR="001072A6" w:rsidRPr="00CD0344">
        <w:t xml:space="preserve"> of the </w:t>
      </w:r>
      <w:r w:rsidR="002E230B">
        <w:t>house</w:t>
      </w:r>
      <w:r w:rsidR="006868A7">
        <w:t xml:space="preserve"> (in a ranger)</w:t>
      </w:r>
      <w:r w:rsidRPr="00CD0344">
        <w:t>,</w:t>
      </w:r>
      <w:r w:rsidR="002E230B">
        <w:t xml:space="preserve"> lot size</w:t>
      </w:r>
      <w:r w:rsidR="006868A7">
        <w:t xml:space="preserve"> (in a range)</w:t>
      </w:r>
      <w:r w:rsidR="002E230B">
        <w:t>,</w:t>
      </w:r>
      <w:r w:rsidRPr="00CD0344">
        <w:t xml:space="preserve"> housing costs</w:t>
      </w:r>
      <w:r w:rsidR="006868A7">
        <w:t xml:space="preserve"> (in a range)</w:t>
      </w:r>
      <w:r w:rsidRPr="00CD0344">
        <w:t>,</w:t>
      </w:r>
      <w:r w:rsidR="001072A6" w:rsidRPr="00CD0344">
        <w:t xml:space="preserve"> </w:t>
      </w:r>
      <w:r w:rsidR="00B81AF5" w:rsidRPr="00CD0344">
        <w:t xml:space="preserve">density of </w:t>
      </w:r>
      <w:r w:rsidR="00C83BE8">
        <w:t xml:space="preserve">residential </w:t>
      </w:r>
      <w:r w:rsidR="00B81AF5" w:rsidRPr="00CD0344">
        <w:t xml:space="preserve">neighborhood, </w:t>
      </w:r>
      <w:r w:rsidR="001072A6" w:rsidRPr="00CD0344">
        <w:t xml:space="preserve">and </w:t>
      </w:r>
      <w:r w:rsidR="00096BCE">
        <w:t xml:space="preserve">household </w:t>
      </w:r>
      <w:r w:rsidR="0054699D">
        <w:t xml:space="preserve">average </w:t>
      </w:r>
      <w:r w:rsidR="001072A6" w:rsidRPr="00CD0344">
        <w:t xml:space="preserve">commute </w:t>
      </w:r>
      <w:r w:rsidR="004A37F2">
        <w:t>distance</w:t>
      </w:r>
      <w:r w:rsidR="006868A7">
        <w:t xml:space="preserve"> (in a range)</w:t>
      </w:r>
      <w:r w:rsidR="001072A6" w:rsidRPr="00CD0344">
        <w:t>.</w:t>
      </w:r>
      <w:r w:rsidR="00484016">
        <w:rPr>
          <w:rStyle w:val="FootnoteReference"/>
        </w:rPr>
        <w:footnoteReference w:id="4"/>
      </w:r>
      <w:r w:rsidR="001072A6" w:rsidRPr="00CD0344">
        <w:t xml:space="preserve"> Among the</w:t>
      </w:r>
      <w:r w:rsidR="003A26FD">
        <w:t xml:space="preserve"> dimensions examined in this paper</w:t>
      </w:r>
      <w:r w:rsidR="001072A6" w:rsidRPr="00CD0344">
        <w:t>, tenure choice</w:t>
      </w:r>
      <w:r w:rsidR="0054699D">
        <w:t xml:space="preserve"> and number of stories are </w:t>
      </w:r>
      <w:r w:rsidR="00D07E22">
        <w:t>binary outcome</w:t>
      </w:r>
      <w:r w:rsidR="0054699D">
        <w:t>s</w:t>
      </w:r>
      <w:r w:rsidR="001072A6" w:rsidRPr="00CD0344">
        <w:t xml:space="preserve">, housing type </w:t>
      </w:r>
      <w:r w:rsidR="0054699D">
        <w:t xml:space="preserve">and </w:t>
      </w:r>
      <w:r w:rsidR="0054699D" w:rsidRPr="00CD0344">
        <w:t xml:space="preserve">density of </w:t>
      </w:r>
      <w:r w:rsidR="00096BCE">
        <w:t xml:space="preserve">residential </w:t>
      </w:r>
      <w:r w:rsidR="0054699D" w:rsidRPr="00CD0344">
        <w:t xml:space="preserve">neighborhood </w:t>
      </w:r>
      <w:r w:rsidR="0054699D">
        <w:t xml:space="preserve">are </w:t>
      </w:r>
      <w:r w:rsidR="001072A6" w:rsidRPr="00CD0344">
        <w:t xml:space="preserve">nominal </w:t>
      </w:r>
      <w:r w:rsidR="00D07E22">
        <w:t>(unordered multinomial) outcome</w:t>
      </w:r>
      <w:r w:rsidR="0054699D">
        <w:t>s</w:t>
      </w:r>
      <w:r w:rsidR="001072A6" w:rsidRPr="00CD0344">
        <w:t xml:space="preserve">, the number of bedrooms and bathrooms are </w:t>
      </w:r>
      <w:r w:rsidR="00D07E22">
        <w:t>count outcomes</w:t>
      </w:r>
      <w:r w:rsidR="001072A6" w:rsidRPr="00CD0344">
        <w:t xml:space="preserve">, </w:t>
      </w:r>
      <w:r w:rsidR="00AD5767" w:rsidRPr="00CD0344">
        <w:t xml:space="preserve"> and </w:t>
      </w:r>
      <w:r w:rsidR="00057306" w:rsidRPr="00CD0344">
        <w:t xml:space="preserve">square footage of the house and the land, </w:t>
      </w:r>
      <w:r w:rsidR="00AD5767" w:rsidRPr="00CD0344">
        <w:t>housing costs</w:t>
      </w:r>
      <w:r w:rsidR="00B81AF5" w:rsidRPr="00CD0344">
        <w:t xml:space="preserve">, </w:t>
      </w:r>
      <w:r w:rsidR="00AD5767" w:rsidRPr="00CD0344">
        <w:t xml:space="preserve">and </w:t>
      </w:r>
      <w:r w:rsidR="00096BCE">
        <w:t xml:space="preserve">household </w:t>
      </w:r>
      <w:r w:rsidR="0054699D">
        <w:t xml:space="preserve">average </w:t>
      </w:r>
      <w:r w:rsidR="00AD5767" w:rsidRPr="00CD0344">
        <w:t xml:space="preserve">commute </w:t>
      </w:r>
      <w:r w:rsidR="0054699D">
        <w:t xml:space="preserve">distance </w:t>
      </w:r>
      <w:r w:rsidR="00AD5767" w:rsidRPr="00CD0344">
        <w:t>are tr</w:t>
      </w:r>
      <w:r w:rsidR="00BC7FDC">
        <w:t xml:space="preserve">eated as grouped </w:t>
      </w:r>
      <w:r w:rsidR="00D07E22">
        <w:t>outcomes</w:t>
      </w:r>
      <w:r w:rsidR="00AD5767" w:rsidRPr="00CD0344">
        <w:t xml:space="preserve"> </w:t>
      </w:r>
      <w:r w:rsidR="00B81AF5" w:rsidRPr="00CD0344">
        <w:t>with underlying continuous variables</w:t>
      </w:r>
      <w:r w:rsidR="00BC7FDC">
        <w:t xml:space="preserve"> (grouped </w:t>
      </w:r>
      <w:r w:rsidR="00D07E22">
        <w:t>outcomes</w:t>
      </w:r>
      <w:r w:rsidR="00043F13" w:rsidRPr="00CD0344">
        <w:t xml:space="preserve"> are similar to </w:t>
      </w:r>
      <w:r w:rsidR="00984225">
        <w:t>ordinal outcomes</w:t>
      </w:r>
      <w:r w:rsidR="00043F13" w:rsidRPr="00CD0344">
        <w:t>, with the difference that the thresholds that demarcate various groups are observed and do not need</w:t>
      </w:r>
      <w:r w:rsidR="00011D27">
        <w:t xml:space="preserve"> to be estimated; see Bhat, 1994</w:t>
      </w:r>
      <w:r w:rsidR="00043F13" w:rsidRPr="00CD0344">
        <w:t>)</w:t>
      </w:r>
      <w:r w:rsidR="00B81AF5" w:rsidRPr="00CD0344">
        <w:t xml:space="preserve">. The reason for the </w:t>
      </w:r>
      <w:r w:rsidR="00984225">
        <w:t xml:space="preserve">treatment as grouped outcomes stems from </w:t>
      </w:r>
      <w:r w:rsidR="00B81AF5" w:rsidRPr="00CD0344">
        <w:t xml:space="preserve">the notion that households, in the first consideration stage, make choices of what they desire in terms of general ranges of </w:t>
      </w:r>
      <w:r w:rsidR="00C533D3">
        <w:t>housing attributes</w:t>
      </w:r>
      <w:r w:rsidR="00B81AF5" w:rsidRPr="00CD0344">
        <w:t xml:space="preserve">, and then follow through only in the second evaluative stage with a rigorous </w:t>
      </w:r>
      <w:r w:rsidR="00057306" w:rsidRPr="00CD0344">
        <w:t>comparison of actual dwelling units to make a final choice. To acknowledge this</w:t>
      </w:r>
      <w:r w:rsidR="00BB4DF0">
        <w:t>,</w:t>
      </w:r>
      <w:r w:rsidR="00057306" w:rsidRPr="00CD0344">
        <w:t xml:space="preserve"> and also to estimate comprehensive </w:t>
      </w:r>
      <w:r w:rsidR="00BB4DF0">
        <w:t xml:space="preserve">dwelling unit choice models </w:t>
      </w:r>
      <w:r w:rsidR="00057306" w:rsidRPr="00CD0344">
        <w:t xml:space="preserve">from </w:t>
      </w:r>
      <w:r w:rsidR="00043F13" w:rsidRPr="00CD0344">
        <w:t xml:space="preserve">the </w:t>
      </w:r>
      <w:r w:rsidR="00057306" w:rsidRPr="00CD0344">
        <w:lastRenderedPageBreak/>
        <w:t xml:space="preserve">revealed </w:t>
      </w:r>
      <w:r w:rsidR="00043F13" w:rsidRPr="00CD0344">
        <w:t>preference choice of dwelling unit</w:t>
      </w:r>
      <w:r w:rsidR="00057306" w:rsidRPr="00CD0344">
        <w:t xml:space="preserve">, we exploit the idea that the final </w:t>
      </w:r>
      <w:r w:rsidR="00BF0B1E">
        <w:t xml:space="preserve">observed </w:t>
      </w:r>
      <w:r w:rsidR="00043F13" w:rsidRPr="00CD0344">
        <w:t xml:space="preserve">dwelling unit choice provides an indication of the broader preferences at the first consideration stage. </w:t>
      </w:r>
    </w:p>
    <w:p w14:paraId="3C3F29D2" w14:textId="226552AD" w:rsidR="008045F7" w:rsidRPr="00BC67B7" w:rsidRDefault="00F267CE" w:rsidP="00BC67B7">
      <w:pPr>
        <w:autoSpaceDE w:val="0"/>
        <w:autoSpaceDN w:val="0"/>
        <w:adjustRightInd w:val="0"/>
        <w:ind w:firstLine="720"/>
        <w:jc w:val="both"/>
        <w:rPr>
          <w:rFonts w:eastAsiaTheme="minorHAnsi"/>
        </w:rPr>
      </w:pPr>
      <w:r w:rsidRPr="00BC67B7">
        <w:t xml:space="preserve">In this paper, we focus exclusively on the </w:t>
      </w:r>
      <w:r w:rsidR="00705936" w:rsidRPr="00BC67B7">
        <w:t xml:space="preserve">first consideration stage. The extension to the estimation of dwelling unit given the choice set is relatively straightforward </w:t>
      </w:r>
      <w:r w:rsidRPr="00BC67B7">
        <w:t xml:space="preserve">using traditional random utility choice models, </w:t>
      </w:r>
      <w:r w:rsidR="00705936" w:rsidRPr="00BC67B7">
        <w:t>because of the winnowing down of the dwelling unit alternatives</w:t>
      </w:r>
      <w:r w:rsidR="00361CC9" w:rsidRPr="00BC67B7">
        <w:t xml:space="preserve"> and the </w:t>
      </w:r>
      <w:r w:rsidR="00104331" w:rsidRPr="00BC67B7">
        <w:t xml:space="preserve">separation of the mental processes between the first consideration and second cross-evaluative (among desirable dwelling units) phases (because of which estimation of the second choice stage can be undertaken easily from the dwelling units that fall within the multidimensional profile actually chosen by each household in the estimation sample). </w:t>
      </w:r>
      <w:r w:rsidR="00705936" w:rsidRPr="00BC67B7">
        <w:t xml:space="preserve"> </w:t>
      </w:r>
      <w:r w:rsidR="00117468" w:rsidRPr="00BC67B7">
        <w:t>Note also that this second stage will include many location-related and accessibility attributes (not included in the first stage) because of the fine resolution for the unit of analysis of space (because the dwelling unit alternatives in this second stage are defined at the parcel-level). Of course, the model structures from the first stage and second stage are also very different. In the first stage, there are multiple dependent variables, each corresponding to a physical dwelling unit attribute or an aggregate representation of space.  In the second stage, there is a single nominal variable corresponding to dwelling unit choice, with the alternatives corresponding to all the dwelling units consiste</w:t>
      </w:r>
      <w:r w:rsidR="008045F7" w:rsidRPr="00BC67B7">
        <w:t xml:space="preserve">nt with the first stage choice. Thus, this second stage takes the more familiar “unlabeled” multinomial model form used in the literature </w:t>
      </w:r>
      <w:r w:rsidR="008045F7" w:rsidRPr="00533D55">
        <w:t xml:space="preserve">(see, for </w:t>
      </w:r>
      <w:r w:rsidR="00BC67B7" w:rsidRPr="00533D55">
        <w:t xml:space="preserve">example, </w:t>
      </w:r>
      <w:r w:rsidR="00533D55">
        <w:t xml:space="preserve">Newman and </w:t>
      </w:r>
      <w:proofErr w:type="spellStart"/>
      <w:r w:rsidR="00533D55">
        <w:t>Bernardin</w:t>
      </w:r>
      <w:proofErr w:type="spellEnd"/>
      <w:r w:rsidR="00533D55" w:rsidRPr="00533D55">
        <w:t xml:space="preserve"> Jr, 2010</w:t>
      </w:r>
      <w:r w:rsidR="008045F7" w:rsidRPr="00533D55">
        <w:t>)</w:t>
      </w:r>
      <w:r w:rsidR="008045F7" w:rsidRPr="00BC67B7">
        <w:t xml:space="preserve">. </w:t>
      </w:r>
    </w:p>
    <w:p w14:paraId="35188771" w14:textId="25BFAB8D" w:rsidR="00043F13" w:rsidRPr="00CD0344" w:rsidRDefault="005D3EB8" w:rsidP="00D379FC">
      <w:pPr>
        <w:autoSpaceDE w:val="0"/>
        <w:autoSpaceDN w:val="0"/>
        <w:adjustRightInd w:val="0"/>
        <w:ind w:firstLine="720"/>
        <w:jc w:val="both"/>
      </w:pPr>
      <w:r>
        <w:t xml:space="preserve">For forecasting, one can form different choice sets that exhaust the combinations of the housing attributes, next form the probability of each combination from the estimated parameters and the probability of each dwelling unit choice given the units within each choice set, and then sum the product of the two probabilities across all combinations to get the probability of choice of each dwelling unit. But this process is much easier to implement in a </w:t>
      </w:r>
      <w:r w:rsidR="00705936">
        <w:t>microsimulati</w:t>
      </w:r>
      <w:r>
        <w:t>on framework where the proba</w:t>
      </w:r>
      <w:r w:rsidR="00BB4DF0">
        <w:t>bilities of each choice set get</w:t>
      </w:r>
      <w:r>
        <w:t xml:space="preserve"> translated into a deterministic choice</w:t>
      </w:r>
      <w:r w:rsidR="008045F7">
        <w:t xml:space="preserve"> in a first step</w:t>
      </w:r>
      <w:r>
        <w:t xml:space="preserve">. Then, all those dwelling units that are available in the market and that fit the desires of the household </w:t>
      </w:r>
      <w:r w:rsidR="008045F7">
        <w:t xml:space="preserve">(as deterministically obtained after the first step) </w:t>
      </w:r>
      <w:r>
        <w:t>can be evaluated using the estimated choice model to assign the household to a dwelling unit.</w:t>
      </w:r>
      <w:r>
        <w:rPr>
          <w:rStyle w:val="FootnoteReference"/>
        </w:rPr>
        <w:footnoteReference w:id="5"/>
      </w:r>
      <w:r>
        <w:t xml:space="preserve">  </w:t>
      </w:r>
    </w:p>
    <w:p w14:paraId="0910B94B" w14:textId="6E04D04C" w:rsidR="000D7DE1" w:rsidRPr="00CD0344" w:rsidRDefault="00043F13" w:rsidP="00BC2BA8">
      <w:pPr>
        <w:ind w:firstLine="720"/>
        <w:jc w:val="both"/>
        <w:rPr>
          <w:noProof/>
        </w:rPr>
      </w:pPr>
      <w:r w:rsidRPr="00CD0344">
        <w:lastRenderedPageBreak/>
        <w:t xml:space="preserve">There are several salient aspects of the current paper. </w:t>
      </w:r>
      <w:r w:rsidR="00670B7C" w:rsidRPr="00CD0344">
        <w:t xml:space="preserve">First, unlike earlier studies in the housing modeling literature that focus either only on physical location or only on a very limited set of housing choices, the current study examines a whole suite of housing choices at the dwelling unit level. </w:t>
      </w:r>
      <w:r w:rsidR="00484016">
        <w:t>As indicated in a comprehensive review of earlier studies on housing ch</w:t>
      </w:r>
      <w:r w:rsidR="00050A44">
        <w:t>oices</w:t>
      </w:r>
      <w:r w:rsidR="00050A44" w:rsidRPr="00050A44">
        <w:t xml:space="preserve">, </w:t>
      </w:r>
      <w:proofErr w:type="spellStart"/>
      <w:r w:rsidR="00050A44" w:rsidRPr="00050A44">
        <w:t>Coulo</w:t>
      </w:r>
      <w:r w:rsidR="00484016" w:rsidRPr="00050A44">
        <w:t>mbel</w:t>
      </w:r>
      <w:proofErr w:type="spellEnd"/>
      <w:r w:rsidR="00484016" w:rsidRPr="00050A44">
        <w:t xml:space="preserve"> (2010) states “there is </w:t>
      </w:r>
      <w:r w:rsidR="00484016" w:rsidRPr="00050A44">
        <w:rPr>
          <w:bCs/>
        </w:rPr>
        <w:t>a wall separating the issues of location and dwellings characteristics</w:t>
      </w:r>
      <w:r w:rsidR="00484016" w:rsidRPr="00050A44">
        <w:rPr>
          <w:b/>
          <w:bCs/>
        </w:rPr>
        <w:t xml:space="preserve"> </w:t>
      </w:r>
      <w:r w:rsidR="00484016" w:rsidRPr="00050A44">
        <w:t>in academic research, and the interplay between the two is still not fully understood (</w:t>
      </w:r>
      <w:proofErr w:type="spellStart"/>
      <w:r w:rsidR="00484016" w:rsidRPr="00050A44">
        <w:t>Hilber</w:t>
      </w:r>
      <w:proofErr w:type="spellEnd"/>
      <w:r w:rsidR="0039772B" w:rsidRPr="00050A44">
        <w:t>,</w:t>
      </w:r>
      <w:r w:rsidR="00484016" w:rsidRPr="00050A44">
        <w:t xml:space="preserve"> 2005). This might represent the most important lack as for now.” </w:t>
      </w:r>
      <w:r w:rsidR="00670B7C" w:rsidRPr="00050A44">
        <w:t xml:space="preserve">Second, the entire set of dimensions characterizing housing choices is modeled accommodating a non-compensatory search process combined with a compensatory choice model for the specific dwelling unit. Third, </w:t>
      </w:r>
      <w:r w:rsidR="0070395C" w:rsidRPr="00050A44">
        <w:t xml:space="preserve">the use of a large set of multidimensional housing attributes </w:t>
      </w:r>
      <w:r w:rsidR="0070395C" w:rsidRPr="00CD0344">
        <w:t xml:space="preserve">at the consideration stage </w:t>
      </w:r>
      <w:r w:rsidR="00012F95" w:rsidRPr="00CD0344">
        <w:t>in our study leads to a small set of desirable options to make the final selection from</w:t>
      </w:r>
      <w:r w:rsidR="00E416E7" w:rsidRPr="00CD0344">
        <w:t xml:space="preserve">, as is likely to be the case behaviorally (see </w:t>
      </w:r>
      <w:proofErr w:type="spellStart"/>
      <w:r w:rsidR="00E416E7" w:rsidRPr="00CD0344">
        <w:t>Rashidi</w:t>
      </w:r>
      <w:proofErr w:type="spellEnd"/>
      <w:r w:rsidR="00E416E7" w:rsidRPr="00CD0344">
        <w:t xml:space="preserve"> </w:t>
      </w:r>
      <w:r w:rsidR="00E416E7" w:rsidRPr="00FD6980">
        <w:rPr>
          <w:i/>
        </w:rPr>
        <w:t>et al</w:t>
      </w:r>
      <w:r w:rsidR="00E416E7" w:rsidRPr="00CD0344">
        <w:t>., 2012)</w:t>
      </w:r>
      <w:r w:rsidR="00012F95" w:rsidRPr="00CD0344">
        <w:t>. This immediately obviates the need for sampling during estimation</w:t>
      </w:r>
      <w:r w:rsidR="00C533D3">
        <w:t xml:space="preserve">. At the same time, the number of possible choice sets to be formed in the forecasting stage is still kept to a manageable number </w:t>
      </w:r>
      <w:r w:rsidR="00012F95" w:rsidRPr="00CD0344">
        <w:t>while also retaining behavioral realism. Fourth, in the past, a high-dimensional model at the consideration stage has not been estimated because of the computational complexity in doing so when the</w:t>
      </w:r>
      <w:r w:rsidR="00D07E22">
        <w:t>re are mixed dependent outcomes (</w:t>
      </w:r>
      <w:r w:rsidR="00D07E22" w:rsidRPr="005D00F9">
        <w:rPr>
          <w:i/>
        </w:rPr>
        <w:t>i.e.</w:t>
      </w:r>
      <w:r w:rsidR="00D07E22">
        <w:t>, variables)</w:t>
      </w:r>
      <w:r w:rsidR="00012F95" w:rsidRPr="00CD0344">
        <w:t xml:space="preserve">. In the current study, we address this issue by </w:t>
      </w:r>
      <w:r w:rsidR="00DF2E9B">
        <w:t xml:space="preserve">using Bhat’s (2014) </w:t>
      </w:r>
      <w:r w:rsidR="00D07E22">
        <w:t xml:space="preserve">generalized heterogeneous data </w:t>
      </w:r>
      <w:r w:rsidR="00012F95" w:rsidRPr="00CD0344">
        <w:t xml:space="preserve">model </w:t>
      </w:r>
      <w:r w:rsidR="00D07E22">
        <w:t xml:space="preserve">(GHDM) </w:t>
      </w:r>
      <w:r w:rsidR="00E416E7" w:rsidRPr="00CD0344">
        <w:t xml:space="preserve">system that is capable of accommodating a range of different types of </w:t>
      </w:r>
      <w:r w:rsidR="00984225">
        <w:t>dependent outcomes</w:t>
      </w:r>
      <w:r w:rsidR="00E416E7" w:rsidRPr="00CD0344">
        <w:t xml:space="preserve">, while capturing </w:t>
      </w:r>
      <w:proofErr w:type="spellStart"/>
      <w:r w:rsidR="00E416E7" w:rsidRPr="00CD0344">
        <w:t>jointness</w:t>
      </w:r>
      <w:proofErr w:type="spellEnd"/>
      <w:r w:rsidR="00E416E7" w:rsidRPr="00CD0344">
        <w:t xml:space="preserve"> caused by </w:t>
      </w:r>
      <w:r w:rsidR="000D7DE1" w:rsidRPr="00CD0344">
        <w:t>unobserved fact</w:t>
      </w:r>
      <w:r w:rsidR="00D07E22">
        <w:t>ors. We do so by introducing latent psychological construct</w:t>
      </w:r>
      <w:r w:rsidR="00CC7487">
        <w:t>s</w:t>
      </w:r>
      <w:r w:rsidR="00D07E22">
        <w:t xml:space="preserve"> that influence multiple ho</w:t>
      </w:r>
      <w:r w:rsidR="00984225">
        <w:t>using choice outcomes</w:t>
      </w:r>
      <w:r w:rsidR="00D07E22">
        <w:t xml:space="preserve"> in a measurement equation, engendering a parsimonious covariance structure across the many outcomes because the latent constructs themselves are specified in a structural system to be a function of exogenous variables and correlated random error terms. T</w:t>
      </w:r>
      <w:r w:rsidR="00D07E22" w:rsidRPr="00CF0952">
        <w:t>he approach</w:t>
      </w:r>
      <w:r w:rsidR="00D07E22">
        <w:t xml:space="preserve"> </w:t>
      </w:r>
      <w:r w:rsidR="00D07E22" w:rsidRPr="00CF0952">
        <w:t>represents a powerful dimension-reduction technique</w:t>
      </w:r>
      <w:r w:rsidR="00D07E22">
        <w:t xml:space="preserve">, </w:t>
      </w:r>
      <w:r w:rsidR="00DF2E9B">
        <w:t>and accommodates non-nominal as well as nominal variables.</w:t>
      </w:r>
      <w:r w:rsidR="00D07E22" w:rsidRPr="00CF0952">
        <w:t xml:space="preserve"> </w:t>
      </w:r>
      <w:r w:rsidR="00D07E22">
        <w:t>For example, we specify</w:t>
      </w:r>
      <w:r w:rsidR="000D7DE1" w:rsidRPr="00CD0344">
        <w:t xml:space="preserve"> that an environmentally conscious household will locate itself in a multi-family household setting with fewer bathrooms and bedrooms,</w:t>
      </w:r>
      <w:r w:rsidR="00E416E7" w:rsidRPr="00CD0344">
        <w:t xml:space="preserve"> </w:t>
      </w:r>
      <w:r w:rsidR="000D7DE1" w:rsidRPr="00CD0344">
        <w:t xml:space="preserve">in a one </w:t>
      </w:r>
      <w:proofErr w:type="spellStart"/>
      <w:r w:rsidR="000D7DE1" w:rsidRPr="00CD0344">
        <w:t>storey</w:t>
      </w:r>
      <w:proofErr w:type="spellEnd"/>
      <w:r w:rsidR="000D7DE1" w:rsidRPr="00CD0344">
        <w:t xml:space="preserve"> home for energy efficiency, in a high density neighborhood that supports non-auto modes of transportation, in a dwelling unit with a smaller square footage and smaller land acreage, and closer to the work place. </w:t>
      </w:r>
      <w:r w:rsidR="00CC7487">
        <w:t xml:space="preserve">Besides, including the latent psychological constructs is consistent with the </w:t>
      </w:r>
      <w:proofErr w:type="spellStart"/>
      <w:r w:rsidR="00CC7487">
        <w:t>persepective</w:t>
      </w:r>
      <w:proofErr w:type="spellEnd"/>
      <w:r w:rsidR="00CC7487">
        <w:t xml:space="preserve"> that </w:t>
      </w:r>
      <w:r w:rsidR="0073172B">
        <w:t xml:space="preserve">dwelling unit choice involves an affective dimension in that it constitutes a lifestyle choice. </w:t>
      </w:r>
      <w:r w:rsidR="000D7DE1" w:rsidRPr="00CD0344">
        <w:lastRenderedPageBreak/>
        <w:t xml:space="preserve">Fifth, we propose the use of Bhat’s Maximum Approximate Composite Marginal Likelihood (MACML) approach for estimation of the resulting two stage model. </w:t>
      </w:r>
      <w:r w:rsidR="00BC2BA8">
        <w:t xml:space="preserve">The </w:t>
      </w:r>
      <w:r w:rsidR="00BC2BA8" w:rsidRPr="00380A04">
        <w:rPr>
          <w:noProof/>
        </w:rPr>
        <w:t xml:space="preserve">proposed MACML procedure requires the maximization of a function that has no more than bivariate normal cumulative distribution functions to be evaluated. </w:t>
      </w:r>
    </w:p>
    <w:p w14:paraId="62EB1AFB" w14:textId="77777777" w:rsidR="00533D55" w:rsidRDefault="004D0FF3" w:rsidP="00533D55">
      <w:pPr>
        <w:autoSpaceDE w:val="0"/>
        <w:autoSpaceDN w:val="0"/>
        <w:adjustRightInd w:val="0"/>
        <w:ind w:firstLine="720"/>
        <w:jc w:val="both"/>
      </w:pPr>
      <w:r>
        <w:t>The rest of this</w:t>
      </w:r>
      <w:r w:rsidR="00A605E1">
        <w:t xml:space="preserve"> paper is structured as follows. </w:t>
      </w:r>
      <w:r w:rsidR="00C25841">
        <w:t>Section 2</w:t>
      </w:r>
      <w:r w:rsidR="00A605E1">
        <w:t xml:space="preserve"> presents the model formulation,</w:t>
      </w:r>
      <w:r w:rsidR="00CE62B2">
        <w:t xml:space="preserve"> while Section 3</w:t>
      </w:r>
      <w:r w:rsidR="00C25841">
        <w:t xml:space="preserve"> presents the empirical application of the </w:t>
      </w:r>
      <w:r w:rsidR="00A605E1">
        <w:t>model. S</w:t>
      </w:r>
      <w:r w:rsidR="00CE62B2">
        <w:t>ection 4</w:t>
      </w:r>
      <w:r w:rsidR="00A605E1">
        <w:t xml:space="preserve"> concludes the paper by highlighting the important results and identifying future research directions</w:t>
      </w:r>
      <w:r w:rsidR="00C25841">
        <w:t>.</w:t>
      </w:r>
    </w:p>
    <w:p w14:paraId="1D3DD833" w14:textId="77777777" w:rsidR="00533D55" w:rsidRDefault="00533D55" w:rsidP="00533D55">
      <w:pPr>
        <w:autoSpaceDE w:val="0"/>
        <w:autoSpaceDN w:val="0"/>
        <w:adjustRightInd w:val="0"/>
        <w:jc w:val="both"/>
      </w:pPr>
    </w:p>
    <w:p w14:paraId="6B244712" w14:textId="2FCDE503" w:rsidR="00864C60" w:rsidRPr="00533D55" w:rsidRDefault="001B69D9" w:rsidP="00533D55">
      <w:pPr>
        <w:autoSpaceDE w:val="0"/>
        <w:autoSpaceDN w:val="0"/>
        <w:adjustRightInd w:val="0"/>
        <w:jc w:val="both"/>
      </w:pPr>
      <w:r>
        <w:rPr>
          <w:b/>
        </w:rPr>
        <w:t xml:space="preserve">2. </w:t>
      </w:r>
      <w:r w:rsidRPr="00F65B91">
        <w:rPr>
          <w:b/>
          <w:caps/>
        </w:rPr>
        <w:t>The GHDM</w:t>
      </w:r>
      <w:r w:rsidR="00864C60" w:rsidRPr="00F65B91">
        <w:rPr>
          <w:b/>
          <w:caps/>
        </w:rPr>
        <w:t xml:space="preserve"> Model Formulation</w:t>
      </w:r>
      <w:r w:rsidR="00864C60" w:rsidRPr="00CF0952">
        <w:rPr>
          <w:b/>
        </w:rPr>
        <w:t xml:space="preserve"> </w:t>
      </w:r>
    </w:p>
    <w:p w14:paraId="69C75FEB" w14:textId="3DECE994" w:rsidR="00864C60" w:rsidRPr="00CF0952" w:rsidRDefault="00864C60" w:rsidP="00864C60">
      <w:pPr>
        <w:jc w:val="both"/>
      </w:pPr>
      <w:r>
        <w:t xml:space="preserve">Let </w:t>
      </w:r>
      <w:r w:rsidRPr="00CF0952">
        <w:rPr>
          <w:i/>
        </w:rPr>
        <w:t>q</w:t>
      </w:r>
      <w:r w:rsidRPr="00CF0952">
        <w:t xml:space="preserve"> </w:t>
      </w:r>
      <w:r>
        <w:t xml:space="preserve">be the index for </w:t>
      </w:r>
      <w:proofErr w:type="gramStart"/>
      <w:r>
        <w:t>households</w:t>
      </w:r>
      <w:r w:rsidR="00F522D0">
        <w:t xml:space="preserve"> </w:t>
      </w:r>
      <w:proofErr w:type="gramEnd"/>
      <w:r w:rsidR="00F522D0" w:rsidRPr="00F522D0">
        <w:rPr>
          <w:position w:val="-10"/>
        </w:rPr>
        <w:object w:dxaOrig="1420" w:dyaOrig="320" w14:anchorId="5819D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15pt;height:15.9pt" o:ole="">
            <v:imagedata r:id="rId11" o:title=""/>
          </v:shape>
          <o:OLEObject Type="Embed" ProgID="Equation.3" ShapeID="_x0000_i1025" DrawAspect="Content" ObjectID="_1493479491" r:id="rId12"/>
        </w:object>
      </w:r>
      <w:r>
        <w:t>, which we will suppress</w:t>
      </w:r>
      <w:r w:rsidRPr="00CF0952">
        <w:t xml:space="preserve"> in parts of the presentation</w:t>
      </w:r>
      <w:r>
        <w:t xml:space="preserve"> below. A</w:t>
      </w:r>
      <w:r w:rsidRPr="00CF0952">
        <w:t xml:space="preserve">ssume that all error terms </w:t>
      </w:r>
      <w:r w:rsidR="001B69D9">
        <w:t>in the GHDM</w:t>
      </w:r>
      <w:r>
        <w:t xml:space="preserve"> model for a household </w:t>
      </w:r>
      <w:r w:rsidRPr="00CF0952">
        <w:t xml:space="preserve">are independent </w:t>
      </w:r>
      <w:r>
        <w:t>of other household error terms</w:t>
      </w:r>
      <w:r w:rsidRPr="00CF0952">
        <w:t xml:space="preserve">.  </w:t>
      </w:r>
    </w:p>
    <w:p w14:paraId="20B7A73E" w14:textId="77777777" w:rsidR="00864C60" w:rsidRPr="00CF0952" w:rsidRDefault="00864C60" w:rsidP="00864C60">
      <w:pPr>
        <w:contextualSpacing/>
        <w:jc w:val="both"/>
        <w:rPr>
          <w:b/>
        </w:rPr>
      </w:pPr>
    </w:p>
    <w:p w14:paraId="4097CC71" w14:textId="77777777" w:rsidR="00864C60" w:rsidRPr="00CF0952" w:rsidRDefault="008479C0" w:rsidP="00864C60">
      <w:pPr>
        <w:contextualSpacing/>
        <w:jc w:val="both"/>
        <w:rPr>
          <w:b/>
        </w:rPr>
      </w:pPr>
      <w:r>
        <w:rPr>
          <w:b/>
        </w:rPr>
        <w:t xml:space="preserve">2.1. </w:t>
      </w:r>
      <w:r w:rsidR="00864C60" w:rsidRPr="00CF0952">
        <w:rPr>
          <w:b/>
        </w:rPr>
        <w:t>Structural Equation Model</w:t>
      </w:r>
    </w:p>
    <w:p w14:paraId="1A8AD981" w14:textId="24726AD7" w:rsidR="00864C60" w:rsidRPr="00CF0952" w:rsidRDefault="00864C60" w:rsidP="00864C60">
      <w:pPr>
        <w:contextualSpacing/>
        <w:jc w:val="both"/>
      </w:pPr>
      <w:r w:rsidRPr="00CF0952">
        <w:t xml:space="preserve">Consider the latent variable </w:t>
      </w:r>
      <w:r w:rsidR="00E51C11" w:rsidRPr="00533D55">
        <w:rPr>
          <w:i/>
        </w:rPr>
        <w:t>(i.e.</w:t>
      </w:r>
      <w:r w:rsidR="00E51C11">
        <w:t xml:space="preserve">, an unobserved lifestyle variable or a latent psychological construct) </w:t>
      </w:r>
      <w:r w:rsidRPr="00CF0952">
        <w:rPr>
          <w:position w:val="-12"/>
        </w:rPr>
        <w:object w:dxaOrig="260" w:dyaOrig="380" w14:anchorId="6668283D">
          <v:shape id="_x0000_i1026" type="#_x0000_t75" style="width:14.25pt;height:19.25pt" o:ole="">
            <v:imagedata r:id="rId13" o:title=""/>
          </v:shape>
          <o:OLEObject Type="Embed" ProgID="Equation.3" ShapeID="_x0000_i1026" DrawAspect="Content" ObjectID="_1493479492" r:id="rId14"/>
        </w:object>
      </w:r>
      <w:r w:rsidR="00BC7FDC">
        <w:t xml:space="preserve"> for a specific household, </w:t>
      </w:r>
      <w:proofErr w:type="gramStart"/>
      <w:r w:rsidR="00BC7FDC">
        <w:t>with</w:t>
      </w:r>
      <w:r w:rsidRPr="00CF0952">
        <w:t xml:space="preserve"> </w:t>
      </w:r>
      <w:r w:rsidR="00BC7FDC">
        <w:t xml:space="preserve"> </w:t>
      </w:r>
      <w:r w:rsidRPr="00CF0952">
        <w:rPr>
          <w:i/>
        </w:rPr>
        <w:t>l</w:t>
      </w:r>
      <w:proofErr w:type="gramEnd"/>
      <w:r w:rsidRPr="00CF0952">
        <w:t xml:space="preserve"> </w:t>
      </w:r>
      <w:r w:rsidR="00BC7FDC">
        <w:t xml:space="preserve"> </w:t>
      </w:r>
      <w:r w:rsidRPr="00CF0952">
        <w:t>be</w:t>
      </w:r>
      <w:r w:rsidR="00BC7FDC">
        <w:t>ing the</w:t>
      </w:r>
      <w:r w:rsidRPr="00CF0952">
        <w:t xml:space="preserve"> index for latent variables (</w:t>
      </w:r>
      <w:r w:rsidRPr="00CF0952">
        <w:rPr>
          <w:i/>
        </w:rPr>
        <w:t>l</w:t>
      </w:r>
      <w:r w:rsidR="005D00F9">
        <w:rPr>
          <w:i/>
        </w:rPr>
        <w:t xml:space="preserve"> </w:t>
      </w:r>
      <w:r w:rsidRPr="00CF0952">
        <w:t>=</w:t>
      </w:r>
      <w:r w:rsidR="005D00F9">
        <w:t xml:space="preserve"> </w:t>
      </w:r>
      <w:r w:rsidRPr="00CF0952">
        <w:t>1,</w:t>
      </w:r>
      <w:r w:rsidR="005D00F9">
        <w:t xml:space="preserve"> </w:t>
      </w:r>
      <w:r w:rsidRPr="00CF0952">
        <w:t>2,…</w:t>
      </w:r>
      <w:r w:rsidR="005D00F9">
        <w:t xml:space="preserve">, </w:t>
      </w:r>
      <w:r w:rsidRPr="00CF0952">
        <w:rPr>
          <w:i/>
        </w:rPr>
        <w:t>L</w:t>
      </w:r>
      <w:r w:rsidR="00BC7FDC">
        <w:t>). W</w:t>
      </w:r>
      <w:r>
        <w:t xml:space="preserve">rite </w:t>
      </w:r>
      <w:r w:rsidRPr="00CF0952">
        <w:rPr>
          <w:position w:val="-12"/>
        </w:rPr>
        <w:object w:dxaOrig="260" w:dyaOrig="380" w14:anchorId="44DCA7DE">
          <v:shape id="_x0000_i1027" type="#_x0000_t75" style="width:14.25pt;height:19.25pt" o:ole="">
            <v:imagedata r:id="rId13" o:title=""/>
          </v:shape>
          <o:OLEObject Type="Embed" ProgID="Equation.3" ShapeID="_x0000_i1027" DrawAspect="Content" ObjectID="_1493479493" r:id="rId15"/>
        </w:object>
      </w:r>
      <w:r>
        <w:t xml:space="preserve"> </w:t>
      </w:r>
      <w:r w:rsidRPr="00CF0952">
        <w:t>as a linear function of covariates:</w:t>
      </w:r>
    </w:p>
    <w:p w14:paraId="5BC6E428" w14:textId="77777777" w:rsidR="00864C60" w:rsidRPr="00CF0952" w:rsidRDefault="00864C60" w:rsidP="00864C60">
      <w:pPr>
        <w:tabs>
          <w:tab w:val="right" w:pos="9360"/>
        </w:tabs>
        <w:contextualSpacing/>
        <w:jc w:val="both"/>
      </w:pPr>
      <w:r w:rsidRPr="00CF0952">
        <w:rPr>
          <w:position w:val="-14"/>
        </w:rPr>
        <w:object w:dxaOrig="1480" w:dyaOrig="400" w14:anchorId="6020C537">
          <v:shape id="_x0000_i1028" type="#_x0000_t75" style="width:75.35pt;height:19.25pt" o:ole="">
            <v:imagedata r:id="rId16" o:title=""/>
          </v:shape>
          <o:OLEObject Type="Embed" ProgID="Equation.3" ShapeID="_x0000_i1028" DrawAspect="Content" ObjectID="_1493479494" r:id="rId17"/>
        </w:object>
      </w:r>
      <w:r w:rsidRPr="00CF0952">
        <w:t xml:space="preserve">     </w:t>
      </w:r>
      <w:r w:rsidRPr="00CF0952">
        <w:tab/>
        <w:t>(1)</w:t>
      </w:r>
    </w:p>
    <w:p w14:paraId="782BB881" w14:textId="034D114A" w:rsidR="00864C60" w:rsidRPr="00CF0952" w:rsidRDefault="00864C60" w:rsidP="00864C60">
      <w:pPr>
        <w:contextualSpacing/>
        <w:jc w:val="both"/>
      </w:pPr>
      <w:proofErr w:type="gramStart"/>
      <w:r w:rsidRPr="00CF0952">
        <w:t>where</w:t>
      </w:r>
      <w:proofErr w:type="gramEnd"/>
      <w:r w:rsidRPr="00CF0952">
        <w:t xml:space="preserve"> </w:t>
      </w:r>
      <w:r w:rsidRPr="00CF0952">
        <w:rPr>
          <w:position w:val="-14"/>
        </w:rPr>
        <w:object w:dxaOrig="300" w:dyaOrig="380" w14:anchorId="643AB974">
          <v:shape id="_x0000_i1029" type="#_x0000_t75" style="width:15.05pt;height:19.25pt" o:ole="">
            <v:imagedata r:id="rId18" o:title=""/>
          </v:shape>
          <o:OLEObject Type="Embed" ProgID="Equation.3" ShapeID="_x0000_i1029" DrawAspect="Content" ObjectID="_1493479495" r:id="rId19"/>
        </w:object>
      </w:r>
      <w:r w:rsidRPr="00CF0952">
        <w:t xml:space="preserve"> is a </w:t>
      </w:r>
      <w:r w:rsidRPr="00CF0952">
        <w:rPr>
          <w:position w:val="-10"/>
        </w:rPr>
        <w:object w:dxaOrig="720" w:dyaOrig="360" w14:anchorId="3BE97540">
          <v:shape id="_x0000_i1030" type="#_x0000_t75" style="width:36.85pt;height:18.4pt" o:ole="">
            <v:imagedata r:id="rId20" o:title=""/>
          </v:shape>
          <o:OLEObject Type="Embed" ProgID="Equation.3" ShapeID="_x0000_i1030" DrawAspect="Content" ObjectID="_1493479496" r:id="rId21"/>
        </w:object>
      </w:r>
      <w:r w:rsidRPr="00CF0952">
        <w:t xml:space="preserve"> vector of observed covariates</w:t>
      </w:r>
      <w:r w:rsidR="0098188F">
        <w:t xml:space="preserve"> (excluding constant)</w:t>
      </w:r>
      <w:r w:rsidRPr="00CF0952">
        <w:t xml:space="preserve">, </w:t>
      </w:r>
      <w:r w:rsidRPr="00CF0952">
        <w:rPr>
          <w:position w:val="-12"/>
        </w:rPr>
        <w:object w:dxaOrig="260" w:dyaOrig="360" w14:anchorId="0643F77D">
          <v:shape id="_x0000_i1031" type="#_x0000_t75" style="width:14.25pt;height:18.4pt" o:ole="">
            <v:imagedata r:id="rId22" o:title=""/>
          </v:shape>
          <o:OLEObject Type="Embed" ProgID="Equation.3" ShapeID="_x0000_i1031" DrawAspect="Content" ObjectID="_1493479497" r:id="rId23"/>
        </w:object>
      </w:r>
      <w:r w:rsidRPr="00CF0952">
        <w:t xml:space="preserve"> is a corresponding </w:t>
      </w:r>
      <w:r w:rsidRPr="00CF0952">
        <w:rPr>
          <w:position w:val="-10"/>
        </w:rPr>
        <w:object w:dxaOrig="720" w:dyaOrig="360" w14:anchorId="787A24B6">
          <v:shape id="_x0000_i1032" type="#_x0000_t75" style="width:36.85pt;height:18.4pt" o:ole="">
            <v:imagedata r:id="rId24" o:title=""/>
          </v:shape>
          <o:OLEObject Type="Embed" ProgID="Equation.3" ShapeID="_x0000_i1032" DrawAspect="Content" ObjectID="_1493479498" r:id="rId25"/>
        </w:object>
      </w:r>
      <w:r w:rsidRPr="00CF0952">
        <w:t xml:space="preserve"> vector of coefficients, and </w:t>
      </w:r>
      <w:r w:rsidRPr="00CF0952">
        <w:rPr>
          <w:position w:val="-12"/>
        </w:rPr>
        <w:object w:dxaOrig="240" w:dyaOrig="360" w14:anchorId="00DF6410">
          <v:shape id="_x0000_i1033" type="#_x0000_t75" style="width:11.7pt;height:18.4pt" o:ole="">
            <v:imagedata r:id="rId26" o:title=""/>
          </v:shape>
          <o:OLEObject Type="Embed" ProgID="Equation.3" ShapeID="_x0000_i1033" DrawAspect="Content" ObjectID="_1493479499" r:id="rId27"/>
        </w:object>
      </w:r>
      <w:r w:rsidRPr="00CF0952">
        <w:t xml:space="preserve"> is a random error term assumed to be standard normally distributed for identification purposes (see Stapleton, 1978). Next, define the </w:t>
      </w:r>
      <w:r w:rsidRPr="00CF0952">
        <w:rPr>
          <w:position w:val="-10"/>
        </w:rPr>
        <w:object w:dxaOrig="780" w:dyaOrig="360" w14:anchorId="150E7CBA">
          <v:shape id="_x0000_i1034" type="#_x0000_t75" style="width:38.5pt;height:18.4pt" o:ole="">
            <v:imagedata r:id="rId28" o:title=""/>
          </v:shape>
          <o:OLEObject Type="Embed" ProgID="Equation.3" ShapeID="_x0000_i1034" DrawAspect="Content" ObjectID="_1493479500" r:id="rId29"/>
        </w:object>
      </w:r>
      <w:r w:rsidR="005D00F9">
        <w:t xml:space="preserve"> </w:t>
      </w:r>
      <w:r w:rsidRPr="00CF0952">
        <w:t xml:space="preserve">matrix </w:t>
      </w:r>
      <w:r w:rsidR="00B42E92" w:rsidRPr="00CF0952">
        <w:rPr>
          <w:position w:val="-10"/>
        </w:rPr>
        <w:object w:dxaOrig="1880" w:dyaOrig="340" w14:anchorId="67D3A6EA">
          <v:shape id="_x0000_i1035" type="#_x0000_t75" style="width:94.6pt;height:17.6pt" o:ole="" o:preferrelative="f">
            <v:imagedata r:id="rId30" o:title=""/>
            <o:lock v:ext="edit" aspectratio="f"/>
          </v:shape>
          <o:OLEObject Type="Embed" ProgID="Equation.3" ShapeID="_x0000_i1035" DrawAspect="Content" ObjectID="_1493479501" r:id="rId31"/>
        </w:object>
      </w:r>
      <w:r w:rsidRPr="00CF0952">
        <w:t xml:space="preserve">, and the </w:t>
      </w:r>
      <w:r w:rsidRPr="00CF0952">
        <w:rPr>
          <w:position w:val="-10"/>
        </w:rPr>
        <w:object w:dxaOrig="680" w:dyaOrig="320" w14:anchorId="3DB73EF4">
          <v:shape id="_x0000_i1036" type="#_x0000_t75" style="width:33.5pt;height:15.9pt" o:ole="">
            <v:imagedata r:id="rId32" o:title=""/>
          </v:shape>
          <o:OLEObject Type="Embed" ProgID="Equation.3" ShapeID="_x0000_i1036" DrawAspect="Content" ObjectID="_1493479502" r:id="rId33"/>
        </w:object>
      </w:r>
      <w:r w:rsidR="005D00F9">
        <w:t xml:space="preserve"> </w:t>
      </w:r>
      <w:r w:rsidRPr="00CF0952">
        <w:t xml:space="preserve">vectors </w:t>
      </w:r>
      <w:r w:rsidR="00B42E92" w:rsidRPr="00CF0952">
        <w:rPr>
          <w:position w:val="-10"/>
        </w:rPr>
        <w:object w:dxaOrig="1880" w:dyaOrig="360" w14:anchorId="39F6F401">
          <v:shape id="_x0000_i1037" type="#_x0000_t75" style="width:94.6pt;height:18.4pt" o:ole="" o:preferrelative="f">
            <v:imagedata r:id="rId34" o:title=""/>
            <o:lock v:ext="edit" aspectratio="f"/>
          </v:shape>
          <o:OLEObject Type="Embed" ProgID="Equation.3" ShapeID="_x0000_i1037" DrawAspect="Content" ObjectID="_1493479503" r:id="rId35"/>
        </w:object>
      </w:r>
      <w:r w:rsidRPr="00CF0952">
        <w:t xml:space="preserve"> and </w:t>
      </w:r>
      <w:r w:rsidR="00B42E92" w:rsidRPr="00CF0952">
        <w:rPr>
          <w:position w:val="-12"/>
        </w:rPr>
        <w:object w:dxaOrig="2140" w:dyaOrig="360" w14:anchorId="51FB8A47">
          <v:shape id="_x0000_i1038" type="#_x0000_t75" style="width:107.15pt;height:18.4pt" o:ole="" o:preferrelative="f">
            <v:imagedata r:id="rId36" o:title=""/>
            <o:lock v:ext="edit" aspectratio="f"/>
          </v:shape>
          <o:OLEObject Type="Embed" ProgID="Equation.3" ShapeID="_x0000_i1038" DrawAspect="Content" ObjectID="_1493479504" r:id="rId37"/>
        </w:object>
      </w:r>
      <w:r w:rsidRPr="00CF0952">
        <w:t xml:space="preserve"> </w:t>
      </w:r>
      <w:r>
        <w:t xml:space="preserve">Let </w:t>
      </w:r>
      <w:r w:rsidRPr="00CF0952">
        <w:rPr>
          <w:position w:val="-10"/>
        </w:rPr>
        <w:object w:dxaOrig="1740" w:dyaOrig="340" w14:anchorId="39F49D4F">
          <v:shape id="_x0000_i1039" type="#_x0000_t75" style="width:87.9pt;height:18.4pt" o:ole="">
            <v:imagedata r:id="rId38" o:title=""/>
          </v:shape>
          <o:OLEObject Type="Embed" ProgID="Equation.3" ShapeID="_x0000_i1039" DrawAspect="Content" ObjectID="_1493479505" r:id="rId39"/>
        </w:object>
      </w:r>
      <w:r w:rsidRPr="00CF0952">
        <w:t xml:space="preserve">, where </w:t>
      </w:r>
      <w:r w:rsidRPr="00CF0952">
        <w:rPr>
          <w:position w:val="-10"/>
        </w:rPr>
        <w:object w:dxaOrig="300" w:dyaOrig="340" w14:anchorId="7843BF88">
          <v:shape id="_x0000_i1040" type="#_x0000_t75" style="width:15.05pt;height:18.4pt" o:ole="">
            <v:imagedata r:id="rId40" o:title=""/>
          </v:shape>
          <o:OLEObject Type="Embed" ProgID="Equation.3" ShapeID="_x0000_i1040" DrawAspect="Content" ObjectID="_1493479506" r:id="rId41"/>
        </w:object>
      </w:r>
      <w:r w:rsidRPr="00CF0952">
        <w:t xml:space="preserve"> is an </w:t>
      </w:r>
      <w:r w:rsidRPr="00CF0952">
        <w:rPr>
          <w:position w:val="-10"/>
        </w:rPr>
        <w:object w:dxaOrig="680" w:dyaOrig="320" w14:anchorId="5A17AA75">
          <v:shape id="_x0000_i1041" type="#_x0000_t75" style="width:33.5pt;height:15.9pt" o:ole="">
            <v:imagedata r:id="rId32" o:title=""/>
          </v:shape>
          <o:OLEObject Type="Embed" ProgID="Equation.3" ShapeID="_x0000_i1041" DrawAspect="Content" ObjectID="_1493479507" r:id="rId42"/>
        </w:object>
      </w:r>
      <w:r w:rsidRPr="00CF0952">
        <w:t xml:space="preserve"> column vector of zeros, and </w:t>
      </w:r>
      <w:r w:rsidR="00413BEA" w:rsidRPr="00CF0952">
        <w:rPr>
          <w:position w:val="-4"/>
        </w:rPr>
        <w:object w:dxaOrig="220" w:dyaOrig="240" w14:anchorId="58F333A1">
          <v:shape id="_x0000_i1042" type="#_x0000_t75" style="width:10.9pt;height:11.7pt" o:ole="">
            <v:imagedata r:id="rId43" o:title=""/>
          </v:shape>
          <o:OLEObject Type="Embed" ProgID="Equation.3" ShapeID="_x0000_i1042" DrawAspect="Content" ObjectID="_1493479508" r:id="rId44"/>
        </w:object>
      </w:r>
      <w:r w:rsidRPr="00CF0952">
        <w:t xml:space="preserve"> is </w:t>
      </w:r>
      <w:r w:rsidR="00BB4DF0">
        <w:t xml:space="preserve">an </w:t>
      </w:r>
      <w:r w:rsidRPr="00CF0952">
        <w:rPr>
          <w:position w:val="-10"/>
        </w:rPr>
        <w:object w:dxaOrig="740" w:dyaOrig="320" w14:anchorId="05107B43">
          <v:shape id="_x0000_i1043" type="#_x0000_t75" style="width:36.85pt;height:15.9pt" o:ole="">
            <v:imagedata r:id="rId45" o:title=""/>
          </v:shape>
          <o:OLEObject Type="Embed" ProgID="Equation.3" ShapeID="_x0000_i1043" DrawAspect="Content" ObjectID="_1493479509" r:id="rId46"/>
        </w:object>
      </w:r>
      <w:r w:rsidRPr="00CF0952">
        <w:t>correlation matrix. In matrix form, we may write Equation (1) as:</w:t>
      </w:r>
    </w:p>
    <w:p w14:paraId="4052353C" w14:textId="77777777" w:rsidR="00864C60" w:rsidRPr="00CF0952" w:rsidRDefault="00E51C11" w:rsidP="00864C60">
      <w:pPr>
        <w:tabs>
          <w:tab w:val="right" w:pos="9360"/>
        </w:tabs>
        <w:contextualSpacing/>
        <w:jc w:val="both"/>
      </w:pPr>
      <w:r w:rsidRPr="00CF0952">
        <w:rPr>
          <w:position w:val="-10"/>
        </w:rPr>
        <w:object w:dxaOrig="1200" w:dyaOrig="360" w14:anchorId="64556FA9">
          <v:shape id="_x0000_i1044" type="#_x0000_t75" style="width:59.45pt;height:18.4pt" o:ole="">
            <v:imagedata r:id="rId47" o:title=""/>
          </v:shape>
          <o:OLEObject Type="Embed" ProgID="Equation.3" ShapeID="_x0000_i1044" DrawAspect="Content" ObjectID="_1493479510" r:id="rId48"/>
        </w:object>
      </w:r>
      <w:r w:rsidR="00864C60" w:rsidRPr="00CF0952">
        <w:t xml:space="preserve">.         </w:t>
      </w:r>
      <w:r w:rsidR="00864C60" w:rsidRPr="00CF0952">
        <w:tab/>
        <w:t>(2)</w:t>
      </w:r>
    </w:p>
    <w:p w14:paraId="2CD108C1" w14:textId="3351E6A8" w:rsidR="00864C60" w:rsidRDefault="00E51C11" w:rsidP="00864C60">
      <w:pPr>
        <w:jc w:val="both"/>
      </w:pPr>
      <w:r w:rsidRPr="00536CAB">
        <w:rPr>
          <w:position w:val="-6"/>
        </w:rPr>
        <w:object w:dxaOrig="260" w:dyaOrig="320" w14:anchorId="7D7F5BBF">
          <v:shape id="_x0000_i1045" type="#_x0000_t75" style="width:13.4pt;height:16.75pt" o:ole="">
            <v:imagedata r:id="rId49" o:title=""/>
          </v:shape>
          <o:OLEObject Type="Embed" ProgID="Equation.3" ShapeID="_x0000_i1045" DrawAspect="Content" ObjectID="_1493479511" r:id="rId50"/>
        </w:object>
      </w:r>
      <w:proofErr w:type="gramStart"/>
      <w:r>
        <w:t>is</w:t>
      </w:r>
      <w:proofErr w:type="gramEnd"/>
      <w:r>
        <w:t xml:space="preserve"> a vector of latent psychological constructs (variables). </w:t>
      </w:r>
    </w:p>
    <w:p w14:paraId="1A93CDFB" w14:textId="77777777" w:rsidR="00E51C11" w:rsidRPr="00CF0952" w:rsidRDefault="00E51C11" w:rsidP="00864C60">
      <w:pPr>
        <w:jc w:val="both"/>
      </w:pPr>
    </w:p>
    <w:p w14:paraId="6A49924D" w14:textId="77777777" w:rsidR="00864C60" w:rsidRPr="00CF0952" w:rsidRDefault="008479C0" w:rsidP="00B42E92">
      <w:pPr>
        <w:keepNext/>
        <w:keepLines/>
        <w:jc w:val="both"/>
        <w:rPr>
          <w:b/>
        </w:rPr>
      </w:pPr>
      <w:r>
        <w:rPr>
          <w:b/>
        </w:rPr>
        <w:lastRenderedPageBreak/>
        <w:t xml:space="preserve">2.2. </w:t>
      </w:r>
      <w:r w:rsidR="00864C60" w:rsidRPr="00CF0952">
        <w:rPr>
          <w:b/>
        </w:rPr>
        <w:t>Measurement Equation Model Components</w:t>
      </w:r>
    </w:p>
    <w:p w14:paraId="237E8B09" w14:textId="77777777" w:rsidR="00864C60" w:rsidRPr="00CF0952" w:rsidRDefault="00864C60" w:rsidP="00B42E92">
      <w:pPr>
        <w:keepNext/>
        <w:keepLines/>
        <w:jc w:val="both"/>
      </w:pPr>
      <w:r w:rsidRPr="00CF0952">
        <w:t>We will consider a comb</w:t>
      </w:r>
      <w:r>
        <w:t xml:space="preserve">ination of grouped, </w:t>
      </w:r>
      <w:r w:rsidRPr="00CF0952">
        <w:t xml:space="preserve">count, and nominal outcomes (indicators) of the underlying latent variable </w:t>
      </w:r>
      <w:proofErr w:type="gramStart"/>
      <w:r w:rsidRPr="00CF0952">
        <w:t xml:space="preserve">vector </w:t>
      </w:r>
      <w:proofErr w:type="gramEnd"/>
      <w:r w:rsidRPr="00CF0952">
        <w:rPr>
          <w:position w:val="-6"/>
        </w:rPr>
        <w:object w:dxaOrig="260" w:dyaOrig="320" w14:anchorId="3CA99AAF">
          <v:shape id="_x0000_i1046" type="#_x0000_t75" style="width:14.25pt;height:15.9pt" o:ole="">
            <v:imagedata r:id="rId51" o:title=""/>
          </v:shape>
          <o:OLEObject Type="Embed" ProgID="Equation.3" ShapeID="_x0000_i1046" DrawAspect="Content" ObjectID="_1493479512" r:id="rId52"/>
        </w:object>
      </w:r>
      <w:r w:rsidRPr="00CF0952">
        <w:t xml:space="preserve">. </w:t>
      </w:r>
      <w:r>
        <w:t xml:space="preserve">In the past, SEM-type models have primarily used binary, ordinal, and continuous outcomes, but we use grouped, count, and nominal variables in the current paper. </w:t>
      </w:r>
    </w:p>
    <w:p w14:paraId="48A8A3CC" w14:textId="7786E9BD" w:rsidR="00864C60" w:rsidRPr="00CF0952" w:rsidRDefault="00864C60" w:rsidP="00864C60">
      <w:pPr>
        <w:ind w:firstLine="720"/>
        <w:jc w:val="both"/>
      </w:pPr>
      <w:r>
        <w:t>C</w:t>
      </w:r>
      <w:r w:rsidRPr="00CF0952">
        <w:t xml:space="preserve">onsider </w:t>
      </w:r>
      <w:r w:rsidRPr="00CF0952">
        <w:rPr>
          <w:i/>
        </w:rPr>
        <w:t>N</w:t>
      </w:r>
      <w:r w:rsidR="00BC7FDC">
        <w:t xml:space="preserve"> grouped</w:t>
      </w:r>
      <w:r w:rsidRPr="00CF0952">
        <w:t xml:space="preserve"> outcomes (indicator variables) for the individual, and let </w:t>
      </w:r>
      <w:r w:rsidRPr="00CF0952">
        <w:rPr>
          <w:i/>
        </w:rPr>
        <w:t>n</w:t>
      </w:r>
      <w:r w:rsidR="00BC7FDC">
        <w:t xml:space="preserve"> be the index for the grouped</w:t>
      </w:r>
      <w:r w:rsidRPr="00CF0952">
        <w:t xml:space="preserve"> </w:t>
      </w:r>
      <w:proofErr w:type="gramStart"/>
      <w:r w:rsidRPr="00CF0952">
        <w:t xml:space="preserve">outcomes </w:t>
      </w:r>
      <w:proofErr w:type="gramEnd"/>
      <w:r w:rsidR="00B42E92" w:rsidRPr="00CF0952">
        <w:rPr>
          <w:position w:val="-10"/>
        </w:rPr>
        <w:object w:dxaOrig="1480" w:dyaOrig="320" w14:anchorId="51A001D1">
          <v:shape id="_x0000_i1047" type="#_x0000_t75" style="width:74.5pt;height:15.9pt" o:ole="" o:preferrelative="f">
            <v:imagedata r:id="rId53" o:title=""/>
            <o:lock v:ext="edit" aspectratio="f"/>
          </v:shape>
          <o:OLEObject Type="Embed" ProgID="Equation.3" ShapeID="_x0000_i1047" DrawAspect="Content" ObjectID="_1493479513" r:id="rId54"/>
        </w:object>
      </w:r>
      <w:r w:rsidRPr="00CF0952">
        <w:t xml:space="preserve">. Also, let </w:t>
      </w:r>
      <w:r w:rsidRPr="00CF0952">
        <w:rPr>
          <w:position w:val="-12"/>
        </w:rPr>
        <w:object w:dxaOrig="300" w:dyaOrig="360" w14:anchorId="02728B64">
          <v:shape id="_x0000_i1048" type="#_x0000_t75" style="width:15.05pt;height:18.4pt" o:ole="">
            <v:imagedata r:id="rId55" o:title=""/>
          </v:shape>
          <o:OLEObject Type="Embed" ProgID="Equation.3" ShapeID="_x0000_i1048" DrawAspect="Content" ObjectID="_1493479514" r:id="rId56"/>
        </w:object>
      </w:r>
      <w:r w:rsidRPr="00CF0952">
        <w:rPr>
          <w:position w:val="-12"/>
        </w:rPr>
        <w:t xml:space="preserve"> </w:t>
      </w:r>
      <w:r w:rsidRPr="00CF0952">
        <w:t xml:space="preserve">be the number of categories for the </w:t>
      </w:r>
      <w:r w:rsidRPr="00CF0952">
        <w:rPr>
          <w:i/>
        </w:rPr>
        <w:t>n</w:t>
      </w:r>
      <w:r w:rsidRPr="00CF0952">
        <w:rPr>
          <w:i/>
          <w:vertAlign w:val="superscript"/>
        </w:rPr>
        <w:t>th</w:t>
      </w:r>
      <w:r w:rsidR="00BB4DF0">
        <w:t xml:space="preserve"> grouped</w:t>
      </w:r>
      <w:r w:rsidRPr="00CF0952">
        <w:t xml:space="preserve"> outcome </w:t>
      </w:r>
      <w:r w:rsidRPr="00CF0952">
        <w:rPr>
          <w:position w:val="-12"/>
        </w:rPr>
        <w:object w:dxaOrig="859" w:dyaOrig="360" w14:anchorId="7F5A3458">
          <v:shape id="_x0000_i1049" type="#_x0000_t75" style="width:41.85pt;height:18.4pt" o:ole="">
            <v:imagedata r:id="rId57" o:title=""/>
          </v:shape>
          <o:OLEObject Type="Embed" ProgID="Equation.3" ShapeID="_x0000_i1049" DrawAspect="Content" ObjectID="_1493479515" r:id="rId58"/>
        </w:object>
      </w:r>
      <w:r w:rsidRPr="00CF0952">
        <w:rPr>
          <w:position w:val="-12"/>
        </w:rPr>
        <w:t xml:space="preserve"> </w:t>
      </w:r>
      <w:r w:rsidRPr="00CF0952">
        <w:t>and let the corresponding index be</w:t>
      </w:r>
      <w:r w:rsidRPr="00CF0952">
        <w:rPr>
          <w:position w:val="-12"/>
        </w:rPr>
        <w:object w:dxaOrig="279" w:dyaOrig="360" w14:anchorId="42971CF1">
          <v:shape id="_x0000_i1050" type="#_x0000_t75" style="width:15.05pt;height:18.4pt" o:ole="">
            <v:imagedata r:id="rId59" o:title=""/>
          </v:shape>
          <o:OLEObject Type="Embed" ProgID="Equation.3" ShapeID="_x0000_i1050" DrawAspect="Content" ObjectID="_1493479516" r:id="rId60"/>
        </w:object>
      </w:r>
      <w:r w:rsidR="00B42E92" w:rsidRPr="00CF0952">
        <w:rPr>
          <w:position w:val="-12"/>
        </w:rPr>
        <w:object w:dxaOrig="1640" w:dyaOrig="360" w14:anchorId="3A3E159B">
          <v:shape id="_x0000_i1051" type="#_x0000_t75" style="width:82.05pt;height:18.4pt" o:ole="" o:preferrelative="f">
            <v:imagedata r:id="rId61" o:title=""/>
            <o:lock v:ext="edit" aspectratio="f"/>
          </v:shape>
          <o:OLEObject Type="Embed" ProgID="Equation.3" ShapeID="_x0000_i1051" DrawAspect="Content" ObjectID="_1493479517" r:id="rId62"/>
        </w:object>
      </w:r>
      <w:r w:rsidRPr="00CF0952">
        <w:t xml:space="preserve">. Let </w:t>
      </w:r>
      <w:r w:rsidRPr="00CF0952">
        <w:rPr>
          <w:position w:val="-12"/>
        </w:rPr>
        <w:object w:dxaOrig="300" w:dyaOrig="380" w14:anchorId="7ACF9CCB">
          <v:shape id="_x0000_i1052" type="#_x0000_t75" style="width:15.05pt;height:17.6pt" o:ole="">
            <v:imagedata r:id="rId63" o:title=""/>
          </v:shape>
          <o:OLEObject Type="Embed" ProgID="Equation.3" ShapeID="_x0000_i1052" DrawAspect="Content" ObjectID="_1493479518" r:id="rId64"/>
        </w:object>
      </w:r>
      <w:r w:rsidRPr="00CF0952">
        <w:t xml:space="preserve"> be the latent underlying variable whose horizontal partitioning leads to the observed outcome for the </w:t>
      </w:r>
      <w:r w:rsidRPr="00CF0952">
        <w:rPr>
          <w:i/>
        </w:rPr>
        <w:t>n</w:t>
      </w:r>
      <w:r w:rsidRPr="00CF0952">
        <w:rPr>
          <w:i/>
          <w:vertAlign w:val="superscript"/>
        </w:rPr>
        <w:t>th</w:t>
      </w:r>
      <w:r w:rsidR="00BB4DF0">
        <w:t xml:space="preserve"> grouped</w:t>
      </w:r>
      <w:r w:rsidRPr="00CF0952">
        <w:t xml:space="preserve"> vari</w:t>
      </w:r>
      <w:r w:rsidR="00BB4DF0">
        <w:t>able. Assume that the household</w:t>
      </w:r>
      <w:r w:rsidRPr="00CF0952">
        <w:t xml:space="preserve"> under consideration chooses the </w:t>
      </w:r>
      <w:r w:rsidRPr="00CF0952">
        <w:rPr>
          <w:position w:val="-12"/>
        </w:rPr>
        <w:object w:dxaOrig="340" w:dyaOrig="380" w14:anchorId="09BF0E83">
          <v:shape id="_x0000_i1053" type="#_x0000_t75" style="width:18.4pt;height:19.25pt" o:ole="">
            <v:imagedata r:id="rId65" o:title=""/>
          </v:shape>
          <o:OLEObject Type="Embed" ProgID="Equation.3" ShapeID="_x0000_i1053" DrawAspect="Content" ObjectID="_1493479519" r:id="rId66"/>
        </w:object>
      </w:r>
      <w:r w:rsidR="00BC7FDC">
        <w:t xml:space="preserve"> grouped</w:t>
      </w:r>
      <w:r w:rsidRPr="00CF0952">
        <w:t xml:space="preserve"> categ</w:t>
      </w:r>
      <w:r w:rsidR="00BC7FDC">
        <w:t xml:space="preserve">ory. Then, in the grouped </w:t>
      </w:r>
      <w:r w:rsidRPr="00CF0952">
        <w:t>response formulation</w:t>
      </w:r>
      <w:r w:rsidR="00CA402A">
        <w:t xml:space="preserve"> (see Bhat, 1994</w:t>
      </w:r>
      <w:r w:rsidR="00BC7FDC">
        <w:t>) for the household</w:t>
      </w:r>
      <w:r w:rsidRPr="00CF0952">
        <w:t>, we may write:</w:t>
      </w:r>
    </w:p>
    <w:p w14:paraId="08A0A68C" w14:textId="19C0F6B8" w:rsidR="00864C60" w:rsidRPr="00CF0952" w:rsidRDefault="00121A94" w:rsidP="00864C60">
      <w:pPr>
        <w:tabs>
          <w:tab w:val="right" w:pos="9360"/>
        </w:tabs>
        <w:spacing w:before="120" w:after="120"/>
        <w:jc w:val="both"/>
      </w:pPr>
      <w:r w:rsidRPr="00CF0952">
        <w:rPr>
          <w:position w:val="-14"/>
        </w:rPr>
        <w:object w:dxaOrig="4540" w:dyaOrig="420" w14:anchorId="019C6753">
          <v:shape id="_x0000_i1054" type="#_x0000_t75" style="width:226.9pt;height:20.95pt" o:ole="" o:preferrelative="f">
            <v:imagedata r:id="rId67" o:title=""/>
            <o:lock v:ext="edit" aspectratio="f"/>
          </v:shape>
          <o:OLEObject Type="Embed" ProgID="Equation.3" ShapeID="_x0000_i1054" DrawAspect="Content" ObjectID="_1493479520" r:id="rId68"/>
        </w:object>
      </w:r>
      <w:r w:rsidR="00864C60" w:rsidRPr="00CF0952">
        <w:rPr>
          <w:position w:val="-94"/>
        </w:rPr>
        <w:tab/>
      </w:r>
      <w:r w:rsidR="00AB68AB">
        <w:t xml:space="preserve"> (3</w:t>
      </w:r>
      <w:r w:rsidR="00864C60" w:rsidRPr="00CF0952">
        <w:t>)</w:t>
      </w:r>
    </w:p>
    <w:p w14:paraId="16220FBF" w14:textId="6C7072A6" w:rsidR="00A60725" w:rsidRDefault="00864C60" w:rsidP="00864C60">
      <w:pPr>
        <w:jc w:val="both"/>
      </w:pPr>
      <w:proofErr w:type="gramStart"/>
      <w:r w:rsidRPr="00CF0952">
        <w:t>where</w:t>
      </w:r>
      <w:proofErr w:type="gramEnd"/>
      <w:r w:rsidRPr="00CF0952">
        <w:t xml:space="preserve"> </w:t>
      </w:r>
      <w:r w:rsidRPr="00CF0952">
        <w:rPr>
          <w:position w:val="-6"/>
        </w:rPr>
        <w:object w:dxaOrig="220" w:dyaOrig="220" w14:anchorId="68348350">
          <v:shape id="_x0000_i1055" type="#_x0000_t75" style="width:11.7pt;height:11.7pt" o:ole="">
            <v:imagedata r:id="rId69" o:title=""/>
          </v:shape>
          <o:OLEObject Type="Embed" ProgID="Equation.3" ShapeID="_x0000_i1055" DrawAspect="Content" ObjectID="_1493479521" r:id="rId70"/>
        </w:object>
      </w:r>
      <w:r w:rsidRPr="00CF0952">
        <w:t xml:space="preserve"> is a fixed </w:t>
      </w:r>
      <w:r w:rsidR="00B42E92" w:rsidRPr="00CF0952">
        <w:rPr>
          <w:position w:val="-10"/>
        </w:rPr>
        <w:object w:dxaOrig="700" w:dyaOrig="320" w14:anchorId="1EDCA913">
          <v:shape id="_x0000_i1056" type="#_x0000_t75" style="width:35.15pt;height:15.9pt" o:ole="" o:preferrelative="f">
            <v:imagedata r:id="rId71" o:title=""/>
            <o:lock v:ext="edit" aspectratio="f"/>
          </v:shape>
          <o:OLEObject Type="Embed" ProgID="Equation.3" ShapeID="_x0000_i1056" DrawAspect="Content" ObjectID="_1493479522" r:id="rId72"/>
        </w:object>
      </w:r>
      <w:r w:rsidR="00BB4DF0">
        <w:t xml:space="preserve"> </w:t>
      </w:r>
      <w:r w:rsidRPr="00CF0952">
        <w:t xml:space="preserve">vector of exogenous variables </w:t>
      </w:r>
      <w:r w:rsidR="000371D8" w:rsidRPr="00A0000E">
        <w:rPr>
          <w:noProof/>
        </w:rPr>
        <w:t xml:space="preserve">(including a constant) </w:t>
      </w:r>
      <w:r w:rsidR="000371D8" w:rsidRPr="0021729F">
        <w:t>as well as possibly th</w:t>
      </w:r>
      <w:r w:rsidR="00104D49">
        <w:t xml:space="preserve">e observed values of </w:t>
      </w:r>
      <w:r w:rsidR="000371D8" w:rsidRPr="0021729F">
        <w:t xml:space="preserve">other </w:t>
      </w:r>
      <w:r w:rsidR="000371D8">
        <w:t xml:space="preserve">endogenous </w:t>
      </w:r>
      <w:r w:rsidR="00104D49">
        <w:t xml:space="preserve">grouped, </w:t>
      </w:r>
      <w:r w:rsidR="000371D8" w:rsidRPr="0021729F">
        <w:t>count variables,</w:t>
      </w:r>
      <w:r w:rsidR="00104D49">
        <w:t xml:space="preserve"> and </w:t>
      </w:r>
      <w:r w:rsidR="000371D8" w:rsidRPr="0021729F">
        <w:t>nominal variables (introduced as dummy variables).</w:t>
      </w:r>
      <w:r w:rsidR="000371D8" w:rsidRPr="00096BC0">
        <w:rPr>
          <w:rStyle w:val="FootnoteReference"/>
        </w:rPr>
        <w:footnoteReference w:id="6"/>
      </w:r>
      <w:r w:rsidR="000371D8" w:rsidRPr="00096BC0">
        <w:rPr>
          <w:noProof/>
        </w:rPr>
        <w:t xml:space="preserve"> </w:t>
      </w:r>
      <w:r w:rsidRPr="00CF0952">
        <w:rPr>
          <w:position w:val="-12"/>
        </w:rPr>
        <w:object w:dxaOrig="260" w:dyaOrig="360" w14:anchorId="419E7BB1">
          <v:shape id="_x0000_i1057" type="#_x0000_t75" style="width:14.25pt;height:18.4pt" o:ole="">
            <v:imagedata r:id="rId73" o:title=""/>
          </v:shape>
          <o:OLEObject Type="Embed" ProgID="Equation.3" ShapeID="_x0000_i1057" DrawAspect="Content" ObjectID="_1493479523" r:id="rId74"/>
        </w:object>
      </w:r>
      <w:r w:rsidRPr="00CF0952">
        <w:rPr>
          <w:position w:val="-12"/>
        </w:rPr>
        <w:t xml:space="preserve"> </w:t>
      </w:r>
      <w:r w:rsidRPr="00CF0952">
        <w:t xml:space="preserve">is a corresponding </w:t>
      </w:r>
      <w:r w:rsidR="00B42E92" w:rsidRPr="00CF0952">
        <w:rPr>
          <w:position w:val="-10"/>
        </w:rPr>
        <w:object w:dxaOrig="700" w:dyaOrig="320" w14:anchorId="0B9D8C87">
          <v:shape id="_x0000_i1058" type="#_x0000_t75" style="width:35.15pt;height:15.9pt" o:ole="">
            <v:imagedata r:id="rId75" o:title=""/>
          </v:shape>
          <o:OLEObject Type="Embed" ProgID="Equation.3" ShapeID="_x0000_i1058" DrawAspect="Content" ObjectID="_1493479524" r:id="rId76"/>
        </w:object>
      </w:r>
      <w:r w:rsidR="00E577B4">
        <w:t xml:space="preserve"> </w:t>
      </w:r>
      <w:r w:rsidRPr="00CF0952">
        <w:t xml:space="preserve">vector of coefficients to be estimated, </w:t>
      </w:r>
      <w:r w:rsidRPr="00CF0952">
        <w:rPr>
          <w:position w:val="-12"/>
        </w:rPr>
        <w:object w:dxaOrig="279" w:dyaOrig="400" w14:anchorId="77FBFC41">
          <v:shape id="_x0000_i1059" type="#_x0000_t75" style="width:14.25pt;height:19.25pt" o:ole="">
            <v:imagedata r:id="rId77" o:title=""/>
          </v:shape>
          <o:OLEObject Type="Embed" ProgID="Equation.3" ShapeID="_x0000_i1059" DrawAspect="Content" ObjectID="_1493479525" r:id="rId78"/>
        </w:object>
      </w:r>
      <w:r w:rsidRPr="00CF0952">
        <w:t xml:space="preserve"> is an </w:t>
      </w:r>
      <w:r w:rsidR="00B42E92" w:rsidRPr="00CF0952">
        <w:rPr>
          <w:position w:val="-10"/>
        </w:rPr>
        <w:object w:dxaOrig="680" w:dyaOrig="320" w14:anchorId="19094A58">
          <v:shape id="_x0000_i1060" type="#_x0000_t75" style="width:33.5pt;height:15.9pt" o:ole="">
            <v:imagedata r:id="rId79" o:title=""/>
          </v:shape>
          <o:OLEObject Type="Embed" ProgID="Equation.3" ShapeID="_x0000_i1060" DrawAspect="Content" ObjectID="_1493479526" r:id="rId80"/>
        </w:object>
      </w:r>
      <w:r w:rsidR="00E577B4">
        <w:t xml:space="preserve"> </w:t>
      </w:r>
      <w:r w:rsidRPr="00CF0952">
        <w:t xml:space="preserve">vector of latent variable loadings on the </w:t>
      </w:r>
      <w:r w:rsidRPr="00CF0952">
        <w:rPr>
          <w:i/>
        </w:rPr>
        <w:t>n</w:t>
      </w:r>
      <w:r w:rsidRPr="00CF0952">
        <w:rPr>
          <w:i/>
          <w:vertAlign w:val="superscript"/>
        </w:rPr>
        <w:t>th</w:t>
      </w:r>
      <w:r w:rsidR="00BB4DF0">
        <w:t xml:space="preserve"> grouped</w:t>
      </w:r>
      <w:r w:rsidRPr="00CF0952">
        <w:t xml:space="preserve"> outcome, the </w:t>
      </w:r>
      <w:r w:rsidRPr="00CF0952">
        <w:rPr>
          <w:position w:val="-10"/>
        </w:rPr>
        <w:object w:dxaOrig="240" w:dyaOrig="320" w14:anchorId="1475C7D8">
          <v:shape id="_x0000_i1061" type="#_x0000_t75" style="width:11.7pt;height:15.9pt" o:ole="">
            <v:imagedata r:id="rId81" o:title=""/>
          </v:shape>
          <o:OLEObject Type="Embed" ProgID="Equation.3" ShapeID="_x0000_i1061" DrawAspect="Content" ObjectID="_1493479527" r:id="rId82"/>
        </w:object>
      </w:r>
      <w:r w:rsidRPr="00CF0952">
        <w:t xml:space="preserve"> terms represent thresholds, and </w:t>
      </w:r>
      <w:r w:rsidRPr="00CF0952">
        <w:rPr>
          <w:position w:val="-12"/>
        </w:rPr>
        <w:object w:dxaOrig="279" w:dyaOrig="360" w14:anchorId="058073F4">
          <v:shape id="_x0000_i1062" type="#_x0000_t75" style="width:15.05pt;height:18.4pt" o:ole="">
            <v:imagedata r:id="rId83" o:title=""/>
          </v:shape>
          <o:OLEObject Type="Embed" ProgID="Equation.3" ShapeID="_x0000_i1062" DrawAspect="Content" ObjectID="_1493479528" r:id="rId84"/>
        </w:object>
      </w:r>
      <w:r w:rsidR="00BC7FDC">
        <w:t xml:space="preserve"> is a </w:t>
      </w:r>
      <w:r w:rsidRPr="00CF0952">
        <w:t xml:space="preserve">normal random error </w:t>
      </w:r>
      <w:r w:rsidR="00BC7FDC">
        <w:t xml:space="preserve">term </w:t>
      </w:r>
      <w:r w:rsidRPr="00CF0952">
        <w:t xml:space="preserve">for the </w:t>
      </w:r>
      <w:r w:rsidRPr="00CF0952">
        <w:rPr>
          <w:i/>
        </w:rPr>
        <w:t>n</w:t>
      </w:r>
      <w:r w:rsidRPr="00CF0952">
        <w:rPr>
          <w:i/>
          <w:vertAlign w:val="superscript"/>
        </w:rPr>
        <w:t>th</w:t>
      </w:r>
      <w:r w:rsidRPr="00CF0952">
        <w:rPr>
          <w:i/>
        </w:rPr>
        <w:t xml:space="preserve"> </w:t>
      </w:r>
      <w:r w:rsidR="003B3D35">
        <w:t>grouped</w:t>
      </w:r>
      <w:r w:rsidRPr="00CF0952">
        <w:t xml:space="preserve"> outcome</w:t>
      </w:r>
      <w:r w:rsidR="00BC7FDC">
        <w:t xml:space="preserve">; </w:t>
      </w:r>
      <w:r w:rsidR="00B42E92" w:rsidRPr="00BC7FDC">
        <w:rPr>
          <w:position w:val="-12"/>
        </w:rPr>
        <w:object w:dxaOrig="1380" w:dyaOrig="380" w14:anchorId="2BECF9E2">
          <v:shape id="_x0000_i1063" type="#_x0000_t75" style="width:68.65pt;height:17.6pt" o:ole="">
            <v:imagedata r:id="rId85" o:title=""/>
          </v:shape>
          <o:OLEObject Type="Embed" ProgID="Equation.3" ShapeID="_x0000_i1063" DrawAspect="Content" ObjectID="_1493479529" r:id="rId86"/>
        </w:object>
      </w:r>
      <w:r w:rsidR="00BC7FDC">
        <w:t>. For each grouped</w:t>
      </w:r>
      <w:r w:rsidRPr="00CF0952">
        <w:t xml:space="preserve"> outcome</w:t>
      </w:r>
      <w:proofErr w:type="gramStart"/>
      <w:r w:rsidRPr="00CF0952">
        <w:t xml:space="preserve">, </w:t>
      </w:r>
      <w:proofErr w:type="gramEnd"/>
      <w:r w:rsidR="00B42E92" w:rsidRPr="00CF0952">
        <w:rPr>
          <w:position w:val="-14"/>
        </w:rPr>
        <w:object w:dxaOrig="3379" w:dyaOrig="380" w14:anchorId="3D3B2D51">
          <v:shape id="_x0000_i1064" type="#_x0000_t75" style="width:169.1pt;height:19.25pt" o:ole="">
            <v:imagedata r:id="rId87" o:title=""/>
          </v:shape>
          <o:OLEObject Type="Embed" ProgID="Equation.3" ShapeID="_x0000_i1064" DrawAspect="Content" ObjectID="_1493479530" r:id="rId88"/>
        </w:object>
      </w:r>
      <w:r w:rsidR="00B42E92">
        <w:t xml:space="preserve">; </w:t>
      </w:r>
      <w:r w:rsidR="00B42E92" w:rsidRPr="00CF0952">
        <w:rPr>
          <w:position w:val="-14"/>
        </w:rPr>
        <w:object w:dxaOrig="999" w:dyaOrig="380" w14:anchorId="68037782">
          <v:shape id="_x0000_i1065" type="#_x0000_t75" style="width:49.4pt;height:19.25pt" o:ole="">
            <v:imagedata r:id="rId89" o:title=""/>
          </v:shape>
          <o:OLEObject Type="Embed" ProgID="Equation.3" ShapeID="_x0000_i1065" DrawAspect="Content" ObjectID="_1493479531" r:id="rId90"/>
        </w:object>
      </w:r>
      <w:r w:rsidR="00B42E92">
        <w:t xml:space="preserve"> and </w:t>
      </w:r>
      <w:r w:rsidR="00B42E92" w:rsidRPr="00CF0952">
        <w:rPr>
          <w:position w:val="-14"/>
        </w:rPr>
        <w:object w:dxaOrig="1080" w:dyaOrig="380" w14:anchorId="2B6C9EC1">
          <v:shape id="_x0000_i1066" type="#_x0000_t75" style="width:54.4pt;height:19.25pt" o:ole="">
            <v:imagedata r:id="rId91" o:title=""/>
          </v:shape>
          <o:OLEObject Type="Embed" ProgID="Equation.3" ShapeID="_x0000_i1066" DrawAspect="Content" ObjectID="_1493479532" r:id="rId92"/>
        </w:object>
      </w:r>
      <w:r w:rsidR="00BC7FDC">
        <w:t>, which are observed thresholds that do not need to be estimated.</w:t>
      </w:r>
      <w:r w:rsidRPr="00CF0952">
        <w:t xml:space="preserve"> For later use, let </w:t>
      </w:r>
      <w:r w:rsidR="00B42E92" w:rsidRPr="00CF0952">
        <w:rPr>
          <w:position w:val="-14"/>
        </w:rPr>
        <w:object w:dxaOrig="2960" w:dyaOrig="380" w14:anchorId="22464A94">
          <v:shape id="_x0000_i1067" type="#_x0000_t75" style="width:158.25pt;height:18.4pt" o:ole="">
            <v:imagedata r:id="rId93" o:title=""/>
          </v:shape>
          <o:OLEObject Type="Embed" ProgID="Equation.3" ShapeID="_x0000_i1067" DrawAspect="Content" ObjectID="_1493479533" r:id="rId94"/>
        </w:object>
      </w:r>
      <w:proofErr w:type="spellStart"/>
      <w:proofErr w:type="gramStart"/>
      <w:r w:rsidR="00BB4DF0">
        <w:t>and</w:t>
      </w:r>
      <w:proofErr w:type="spellEnd"/>
      <w:r w:rsidR="00BB4DF0">
        <w:t xml:space="preserve"> </w:t>
      </w:r>
      <w:proofErr w:type="gramEnd"/>
      <w:r w:rsidR="00B42E92" w:rsidRPr="00681AD0">
        <w:rPr>
          <w:position w:val="-10"/>
        </w:rPr>
        <w:object w:dxaOrig="2000" w:dyaOrig="340" w14:anchorId="4C5230C8">
          <v:shape id="_x0000_i1068" type="#_x0000_t75" style="width:99.65pt;height:17.6pt" o:ole="">
            <v:imagedata r:id="rId95" o:title=""/>
          </v:shape>
          <o:OLEObject Type="Embed" ProgID="Equation.3" ShapeID="_x0000_i1068" DrawAspect="Content" ObjectID="_1493479534" r:id="rId96"/>
        </w:object>
      </w:r>
      <w:r w:rsidRPr="00CF0952">
        <w:t xml:space="preserve">. Stack the </w:t>
      </w:r>
      <w:r w:rsidRPr="00CF0952">
        <w:rPr>
          <w:i/>
        </w:rPr>
        <w:t xml:space="preserve">N </w:t>
      </w:r>
      <w:r w:rsidRPr="00CF0952">
        <w:t xml:space="preserve">underlying </w:t>
      </w:r>
      <w:r w:rsidRPr="00CF0952">
        <w:lastRenderedPageBreak/>
        <w:t>continuous</w:t>
      </w:r>
      <w:r w:rsidRPr="00CF0952">
        <w:rPr>
          <w:i/>
        </w:rPr>
        <w:t xml:space="preserve"> </w:t>
      </w:r>
      <w:r w:rsidRPr="00CF0952">
        <w:t xml:space="preserve">variables </w:t>
      </w:r>
      <w:r w:rsidR="005C7D76" w:rsidRPr="00CF0952">
        <w:rPr>
          <w:position w:val="-12"/>
        </w:rPr>
        <w:object w:dxaOrig="300" w:dyaOrig="380" w14:anchorId="7DA7D48C">
          <v:shape id="_x0000_i1069" type="#_x0000_t75" style="width:18.4pt;height:20.1pt" o:ole="">
            <v:imagedata r:id="rId97" o:title=""/>
          </v:shape>
          <o:OLEObject Type="Embed" ProgID="Equation.3" ShapeID="_x0000_i1069" DrawAspect="Content" ObjectID="_1493479535" r:id="rId98"/>
        </w:object>
      </w:r>
      <w:r w:rsidRPr="00CF0952">
        <w:t xml:space="preserve"> into an </w:t>
      </w:r>
      <w:r w:rsidR="00B42E92" w:rsidRPr="00CF0952">
        <w:rPr>
          <w:position w:val="-10"/>
        </w:rPr>
        <w:object w:dxaOrig="720" w:dyaOrig="320" w14:anchorId="2A91F553">
          <v:shape id="_x0000_i1070" type="#_x0000_t75" style="width:38.5pt;height:15.9pt" o:ole="">
            <v:imagedata r:id="rId99" o:title=""/>
          </v:shape>
          <o:OLEObject Type="Embed" ProgID="Equation.3" ShapeID="_x0000_i1070" DrawAspect="Content" ObjectID="_1493479536" r:id="rId100"/>
        </w:object>
      </w:r>
      <w:r w:rsidR="00B42E92">
        <w:t xml:space="preserve"> </w:t>
      </w:r>
      <w:proofErr w:type="gramStart"/>
      <w:r w:rsidRPr="00CF0952">
        <w:t xml:space="preserve">vector </w:t>
      </w:r>
      <w:proofErr w:type="gramEnd"/>
      <w:r w:rsidR="005C7D76" w:rsidRPr="00CF0952">
        <w:rPr>
          <w:position w:val="-10"/>
        </w:rPr>
        <w:object w:dxaOrig="300" w:dyaOrig="360" w14:anchorId="3C7D2B5F">
          <v:shape id="_x0000_i1071" type="#_x0000_t75" style="width:15.05pt;height:18.4pt" o:ole="">
            <v:imagedata r:id="rId101" o:title=""/>
          </v:shape>
          <o:OLEObject Type="Embed" ProgID="Equation.3" ShapeID="_x0000_i1071" DrawAspect="Content" ObjectID="_1493479537" r:id="rId102"/>
        </w:object>
      </w:r>
      <w:r w:rsidRPr="00CF0952">
        <w:t xml:space="preserve">, and the </w:t>
      </w:r>
      <w:r w:rsidRPr="00CF0952">
        <w:rPr>
          <w:i/>
        </w:rPr>
        <w:t>N</w:t>
      </w:r>
      <w:r w:rsidRPr="00CF0952">
        <w:t xml:space="preserve"> error terms </w:t>
      </w:r>
      <w:r w:rsidRPr="00CF0952">
        <w:rPr>
          <w:position w:val="-12"/>
        </w:rPr>
        <w:object w:dxaOrig="279" w:dyaOrig="360" w14:anchorId="28F5BA86">
          <v:shape id="_x0000_i1072" type="#_x0000_t75" style="width:15.05pt;height:18.4pt" o:ole="">
            <v:imagedata r:id="rId103" o:title=""/>
          </v:shape>
          <o:OLEObject Type="Embed" ProgID="Equation.3" ShapeID="_x0000_i1072" DrawAspect="Content" ObjectID="_1493479538" r:id="rId104"/>
        </w:object>
      </w:r>
      <w:r w:rsidRPr="00CF0952">
        <w:t xml:space="preserve"> into another </w:t>
      </w:r>
      <w:r w:rsidR="00B42E92" w:rsidRPr="00CF0952">
        <w:rPr>
          <w:position w:val="-10"/>
        </w:rPr>
        <w:object w:dxaOrig="720" w:dyaOrig="320" w14:anchorId="76016671">
          <v:shape id="_x0000_i1073" type="#_x0000_t75" style="width:38.5pt;height:15.9pt" o:ole="">
            <v:imagedata r:id="rId105" o:title=""/>
          </v:shape>
          <o:OLEObject Type="Embed" ProgID="Equation.3" ShapeID="_x0000_i1073" DrawAspect="Content" ObjectID="_1493479539" r:id="rId106"/>
        </w:object>
      </w:r>
      <w:r w:rsidR="00B42E92">
        <w:t xml:space="preserve"> </w:t>
      </w:r>
      <w:r w:rsidRPr="00CF0952">
        <w:t xml:space="preserve">vector </w:t>
      </w:r>
      <w:r w:rsidR="00FF6F93" w:rsidRPr="00CF0952">
        <w:rPr>
          <w:position w:val="-6"/>
        </w:rPr>
        <w:object w:dxaOrig="220" w:dyaOrig="279" w14:anchorId="2EC3ECFF">
          <v:shape id="_x0000_i1074" type="#_x0000_t75" style="width:10.9pt;height:13.4pt" o:ole="" o:preferrelative="f">
            <v:imagedata r:id="rId107" o:title=""/>
            <o:lock v:ext="edit" aspectratio="f"/>
          </v:shape>
          <o:OLEObject Type="Embed" ProgID="Equation.3" ShapeID="_x0000_i1074" DrawAspect="Content" ObjectID="_1493479540" r:id="rId108"/>
        </w:object>
      </w:r>
      <w:r w:rsidR="00AB68AB">
        <w:t>.  Let</w:t>
      </w:r>
      <w:r w:rsidRPr="00CF0952">
        <w:t xml:space="preserve"> </w:t>
      </w:r>
      <w:r w:rsidR="005C7D76" w:rsidRPr="00CF0952">
        <w:rPr>
          <w:position w:val="-10"/>
        </w:rPr>
        <w:object w:dxaOrig="1740" w:dyaOrig="340" w14:anchorId="2D67B480">
          <v:shape id="_x0000_i1075" type="#_x0000_t75" style="width:94.6pt;height:16.75pt" o:ole="">
            <v:imagedata r:id="rId109" o:title=""/>
          </v:shape>
          <o:OLEObject Type="Embed" ProgID="Equation.3" ShapeID="_x0000_i1075" DrawAspect="Content" ObjectID="_1493479541" r:id="rId110"/>
        </w:object>
      </w:r>
      <w:r w:rsidRPr="00CF0952">
        <w:t xml:space="preserve"> [</w:t>
      </w:r>
      <w:r w:rsidR="00B42E92" w:rsidRPr="00CF0952">
        <w:rPr>
          <w:position w:val="-10"/>
        </w:rPr>
        <w:object w:dxaOrig="800" w:dyaOrig="320" w14:anchorId="7E845F5F">
          <v:shape id="_x0000_i1076" type="#_x0000_t75" style="width:40.2pt;height:15.9pt" o:ole="">
            <v:imagedata r:id="rId111" o:title=""/>
          </v:shape>
          <o:OLEObject Type="Embed" ProgID="Equation.3" ShapeID="_x0000_i1076" DrawAspect="Content" ObjectID="_1493479542" r:id="rId112"/>
        </w:object>
      </w:r>
      <w:r w:rsidRPr="00CF0952">
        <w:rPr>
          <w:position w:val="-10"/>
        </w:rPr>
        <w:t xml:space="preserve"> </w:t>
      </w:r>
      <w:r w:rsidR="00B42E92">
        <w:t xml:space="preserve">matrix] </w:t>
      </w:r>
      <w:r w:rsidRPr="00CF0952">
        <w:t xml:space="preserve">and </w:t>
      </w:r>
      <w:r w:rsidR="00E577B4" w:rsidRPr="00E577B4">
        <w:rPr>
          <w:position w:val="-10"/>
        </w:rPr>
        <w:object w:dxaOrig="1740" w:dyaOrig="380" w14:anchorId="374BCDA7">
          <v:shape id="_x0000_i1077" type="#_x0000_t75" style="width:86.25pt;height:19.25pt" o:ole="">
            <v:imagedata r:id="rId113" o:title=""/>
          </v:shape>
          <o:OLEObject Type="Embed" ProgID="Equation.3" ShapeID="_x0000_i1077" DrawAspect="Content" ObjectID="_1493479543" r:id="rId114"/>
        </w:object>
      </w:r>
      <w:r w:rsidRPr="00CF0952">
        <w:rPr>
          <w:position w:val="-12"/>
        </w:rPr>
        <w:t xml:space="preserve"> </w:t>
      </w:r>
      <w:r w:rsidRPr="00CF0952">
        <w:t>[</w:t>
      </w:r>
      <w:r w:rsidR="00B42E92" w:rsidRPr="00CF0952">
        <w:rPr>
          <w:position w:val="-10"/>
        </w:rPr>
        <w:object w:dxaOrig="780" w:dyaOrig="320" w14:anchorId="721D492B">
          <v:shape id="_x0000_i1078" type="#_x0000_t75" style="width:41pt;height:15.9pt" o:ole="">
            <v:imagedata r:id="rId115" o:title=""/>
          </v:shape>
          <o:OLEObject Type="Embed" ProgID="Equation.3" ShapeID="_x0000_i1078" DrawAspect="Content" ObjectID="_1493479544" r:id="rId116"/>
        </w:object>
      </w:r>
      <w:r w:rsidRPr="00CF0952">
        <w:rPr>
          <w:position w:val="-10"/>
        </w:rPr>
        <w:t xml:space="preserve"> </w:t>
      </w:r>
      <w:r w:rsidRPr="00CF0952">
        <w:t xml:space="preserve">matrix], and let </w:t>
      </w:r>
      <w:r w:rsidR="00A60725" w:rsidRPr="00A60725">
        <w:rPr>
          <w:position w:val="-4"/>
        </w:rPr>
        <w:object w:dxaOrig="220" w:dyaOrig="240" w14:anchorId="688CFE17">
          <v:shape id="_x0000_i1079" type="#_x0000_t75" style="width:10.9pt;height:11.7pt" o:ole="">
            <v:imagedata r:id="rId117" o:title=""/>
          </v:shape>
          <o:OLEObject Type="Embed" ProgID="Equation.3" ShapeID="_x0000_i1079" DrawAspect="Content" ObjectID="_1493479545" r:id="rId118"/>
        </w:object>
      </w:r>
      <w:r w:rsidR="00A60725">
        <w:t xml:space="preserve"> </w:t>
      </w:r>
      <w:r w:rsidRPr="00CF0952">
        <w:t xml:space="preserve">be the </w:t>
      </w:r>
      <w:r w:rsidR="00A60725">
        <w:t xml:space="preserve">diagonal </w:t>
      </w:r>
      <w:r w:rsidRPr="00CF0952">
        <w:t>matrix of dimensio</w:t>
      </w:r>
      <w:r w:rsidR="00AB68AB">
        <w:t>n N representing the covariance</w:t>
      </w:r>
      <w:r w:rsidRPr="00CF0952">
        <w:t xml:space="preserve"> matrix </w:t>
      </w:r>
      <w:proofErr w:type="gramStart"/>
      <w:r w:rsidRPr="00CF0952">
        <w:t xml:space="preserve">of </w:t>
      </w:r>
      <w:proofErr w:type="gramEnd"/>
      <w:r w:rsidRPr="00CF0952">
        <w:rPr>
          <w:position w:val="-6"/>
        </w:rPr>
        <w:object w:dxaOrig="220" w:dyaOrig="279" w14:anchorId="03FCA1C9">
          <v:shape id="_x0000_i1080" type="#_x0000_t75" style="width:11.7pt;height:14.25pt" o:ole="">
            <v:imagedata r:id="rId119" o:title=""/>
          </v:shape>
          <o:OLEObject Type="Embed" ProgID="Equation.3" ShapeID="_x0000_i1080" DrawAspect="Content" ObjectID="_1493479546" r:id="rId120"/>
        </w:object>
      </w:r>
      <w:r w:rsidR="00A60725">
        <w:t>. That is,</w:t>
      </w:r>
    </w:p>
    <w:p w14:paraId="33C2BF6B" w14:textId="32BDA052" w:rsidR="00A60725" w:rsidRDefault="009D4049" w:rsidP="00B42E92">
      <w:pPr>
        <w:tabs>
          <w:tab w:val="right" w:pos="9360"/>
        </w:tabs>
        <w:jc w:val="both"/>
      </w:pPr>
      <w:r w:rsidRPr="00A60725">
        <w:rPr>
          <w:position w:val="-96"/>
        </w:rPr>
        <w:object w:dxaOrig="2940" w:dyaOrig="2040" w14:anchorId="0DD73EF1">
          <v:shape id="_x0000_i1081" type="#_x0000_t75" style="width:2in;height:104.65pt" o:ole="">
            <v:imagedata r:id="rId121" o:title=""/>
          </v:shape>
          <o:OLEObject Type="Embed" ProgID="Equation.3" ShapeID="_x0000_i1081" DrawAspect="Content" ObjectID="_1493479547" r:id="rId122"/>
        </w:object>
      </w:r>
      <w:r w:rsidR="00864C60" w:rsidRPr="00CF0952">
        <w:t xml:space="preserve"> </w:t>
      </w:r>
      <w:r w:rsidR="00B42E92">
        <w:tab/>
      </w:r>
      <w:r w:rsidR="008479C0">
        <w:t>(4)</w:t>
      </w:r>
    </w:p>
    <w:p w14:paraId="51364C14" w14:textId="100AED23" w:rsidR="00864C60" w:rsidRPr="00CF0952" w:rsidRDefault="00A60725" w:rsidP="00864C60">
      <w:pPr>
        <w:jc w:val="both"/>
      </w:pPr>
      <w:r>
        <w:t xml:space="preserve">The diagonal specification for the matrix above </w:t>
      </w:r>
      <w:r w:rsidR="00DF1B67">
        <w:t xml:space="preserve">helps </w:t>
      </w:r>
      <w:r>
        <w:t>identification</w:t>
      </w:r>
      <w:r w:rsidR="00DF1B67">
        <w:t xml:space="preserve"> (see Bhat, 2014 for a detailed discussion)</w:t>
      </w:r>
      <w:r w:rsidR="00864C60" w:rsidRPr="00CF0952">
        <w:t xml:space="preserve">, </w:t>
      </w:r>
      <w:r w:rsidR="00DF1B67">
        <w:t xml:space="preserve">though the </w:t>
      </w:r>
      <w:r w:rsidR="00864C60" w:rsidRPr="00CF0952">
        <w:t xml:space="preserve">presence of the unobserved </w:t>
      </w:r>
      <w:r w:rsidR="00B42E92" w:rsidRPr="00CF0952">
        <w:rPr>
          <w:position w:val="-6"/>
        </w:rPr>
        <w:object w:dxaOrig="260" w:dyaOrig="320" w14:anchorId="15964964">
          <v:shape id="_x0000_i1082" type="#_x0000_t75" style="width:12.55pt;height:17.6pt" o:ole="">
            <v:imagedata r:id="rId123" o:title=""/>
          </v:shape>
          <o:OLEObject Type="Embed" ProgID="Equation.3" ShapeID="_x0000_i1082" DrawAspect="Content" ObjectID="_1493479548" r:id="rId124"/>
        </w:object>
      </w:r>
      <w:r w:rsidR="00B42E92">
        <w:t xml:space="preserve"> </w:t>
      </w:r>
      <w:r>
        <w:t xml:space="preserve">vector </w:t>
      </w:r>
      <w:r w:rsidR="00DF1B67">
        <w:t>will, in general,</w:t>
      </w:r>
      <w:r>
        <w:t xml:space="preserve"> generate covariance among the grouped outcomes</w:t>
      </w:r>
      <w:r w:rsidR="00864C60" w:rsidRPr="00CF0952">
        <w:t xml:space="preserve">. Finally, stack the lower </w:t>
      </w:r>
      <w:r w:rsidR="00AB68AB">
        <w:t xml:space="preserve">observed </w:t>
      </w:r>
      <w:r w:rsidR="00864C60" w:rsidRPr="00CF0952">
        <w:t xml:space="preserve">thresholds </w:t>
      </w:r>
      <w:r w:rsidR="00864C60">
        <w:t>for the decision-maker</w:t>
      </w:r>
      <w:r w:rsidR="00864C60" w:rsidRPr="00CF0952">
        <w:t xml:space="preserve"> </w:t>
      </w:r>
      <w:r w:rsidR="00B42E92" w:rsidRPr="00CF0952">
        <w:rPr>
          <w:position w:val="-14"/>
        </w:rPr>
        <w:object w:dxaOrig="2060" w:dyaOrig="380" w14:anchorId="418A50C1">
          <v:shape id="_x0000_i1083" type="#_x0000_t75" style="width:103pt;height:17.6pt" o:ole="">
            <v:imagedata r:id="rId125" o:title=""/>
          </v:shape>
          <o:OLEObject Type="Embed" ProgID="Equation.3" ShapeID="_x0000_i1083" DrawAspect="Content" ObjectID="_1493479549" r:id="rId126"/>
        </w:object>
      </w:r>
      <w:r w:rsidR="00864C60" w:rsidRPr="00CF0952">
        <w:rPr>
          <w:position w:val="-14"/>
        </w:rPr>
        <w:t xml:space="preserve"> </w:t>
      </w:r>
      <w:r w:rsidR="00864C60" w:rsidRPr="00CF0952">
        <w:t xml:space="preserve">into </w:t>
      </w:r>
      <w:proofErr w:type="gramStart"/>
      <w:r w:rsidR="00864C60" w:rsidRPr="00CF0952">
        <w:t>an</w:t>
      </w:r>
      <w:proofErr w:type="gramEnd"/>
      <w:r w:rsidR="00864C60" w:rsidRPr="00CF0952">
        <w:t xml:space="preserve"> </w:t>
      </w:r>
      <w:r w:rsidR="00B42E92" w:rsidRPr="00CF0952">
        <w:rPr>
          <w:position w:val="-10"/>
        </w:rPr>
        <w:object w:dxaOrig="720" w:dyaOrig="320" w14:anchorId="7248C444">
          <v:shape id="_x0000_i1084" type="#_x0000_t75" style="width:38.5pt;height:15.9pt" o:ole="">
            <v:imagedata r:id="rId127" o:title=""/>
          </v:shape>
          <o:OLEObject Type="Embed" ProgID="Equation.3" ShapeID="_x0000_i1084" DrawAspect="Content" ObjectID="_1493479550" r:id="rId128"/>
        </w:object>
      </w:r>
      <w:r w:rsidR="00864C60" w:rsidRPr="00CF0952">
        <w:rPr>
          <w:position w:val="-10"/>
        </w:rPr>
        <w:t xml:space="preserve"> </w:t>
      </w:r>
      <w:r w:rsidR="00864C60" w:rsidRPr="00CF0952">
        <w:t xml:space="preserve">vector </w:t>
      </w:r>
      <w:r w:rsidR="00B42E92" w:rsidRPr="00CF0952">
        <w:rPr>
          <w:position w:val="-12"/>
        </w:rPr>
        <w:object w:dxaOrig="440" w:dyaOrig="360" w14:anchorId="6C9E61D5">
          <v:shape id="_x0000_i1085" type="#_x0000_t75" style="width:22.6pt;height:19.25pt" o:ole="">
            <v:imagedata r:id="rId129" o:title=""/>
          </v:shape>
          <o:OLEObject Type="Embed" ProgID="Equation.3" ShapeID="_x0000_i1085" DrawAspect="Content" ObjectID="_1493479551" r:id="rId130"/>
        </w:object>
      </w:r>
      <w:r w:rsidR="00864C60" w:rsidRPr="00CF0952">
        <w:rPr>
          <w:position w:val="-12"/>
        </w:rPr>
        <w:t xml:space="preserve"> </w:t>
      </w:r>
      <w:r w:rsidR="00864C60" w:rsidRPr="00CF0952">
        <w:t xml:space="preserve">and the upper thresholds </w:t>
      </w:r>
      <w:r w:rsidR="00B42E92" w:rsidRPr="00CF0952">
        <w:rPr>
          <w:position w:val="-14"/>
        </w:rPr>
        <w:object w:dxaOrig="1939" w:dyaOrig="380" w14:anchorId="131C0F69">
          <v:shape id="_x0000_i1086" type="#_x0000_t75" style="width:97.1pt;height:17.6pt" o:ole="">
            <v:imagedata r:id="rId131" o:title=""/>
          </v:shape>
          <o:OLEObject Type="Embed" ProgID="Equation.3" ShapeID="_x0000_i1086" DrawAspect="Content" ObjectID="_1493479552" r:id="rId132"/>
        </w:object>
      </w:r>
      <w:r w:rsidR="00864C60" w:rsidRPr="00CF0952">
        <w:t xml:space="preserve"> into another vector </w:t>
      </w:r>
      <w:r w:rsidR="00B42E92" w:rsidRPr="00CF0952">
        <w:rPr>
          <w:position w:val="-14"/>
        </w:rPr>
        <w:object w:dxaOrig="440" w:dyaOrig="380" w14:anchorId="3687D954">
          <v:shape id="_x0000_i1087" type="#_x0000_t75" style="width:21.75pt;height:18.4pt" o:ole="">
            <v:imagedata r:id="rId133" o:title=""/>
          </v:shape>
          <o:OLEObject Type="Embed" ProgID="Equation.3" ShapeID="_x0000_i1087" DrawAspect="Content" ObjectID="_1493479553" r:id="rId134"/>
        </w:object>
      </w:r>
      <w:r w:rsidR="00864C60" w:rsidRPr="00CF0952">
        <w:t xml:space="preserve"> Then, in matrix form, the measu</w:t>
      </w:r>
      <w:r w:rsidR="00AB68AB">
        <w:t xml:space="preserve">rement equation for the grouped </w:t>
      </w:r>
      <w:r w:rsidR="00864C60" w:rsidRPr="00CF0952">
        <w:t xml:space="preserve">outcomes (indicators) </w:t>
      </w:r>
      <w:r w:rsidR="00AB68AB">
        <w:t>for the household</w:t>
      </w:r>
      <w:r w:rsidR="00864C60" w:rsidRPr="00CF0952">
        <w:t xml:space="preserve"> may be written as:</w:t>
      </w:r>
    </w:p>
    <w:p w14:paraId="2B117DCC" w14:textId="5EFDA9E9" w:rsidR="00864C60" w:rsidRPr="00CF0952" w:rsidRDefault="00FF6F93" w:rsidP="00B42E92">
      <w:pPr>
        <w:tabs>
          <w:tab w:val="right" w:pos="9360"/>
        </w:tabs>
        <w:jc w:val="both"/>
      </w:pPr>
      <w:r w:rsidRPr="00CF0952">
        <w:rPr>
          <w:position w:val="-14"/>
        </w:rPr>
        <w:object w:dxaOrig="3560" w:dyaOrig="420" w14:anchorId="14A94F79">
          <v:shape id="_x0000_i1088" type="#_x0000_t75" style="width:190.05pt;height:20.95pt" o:ole="">
            <v:imagedata r:id="rId135" o:title=""/>
          </v:shape>
          <o:OLEObject Type="Embed" ProgID="Equation.3" ShapeID="_x0000_i1088" DrawAspect="Content" ObjectID="_1493479554" r:id="rId136"/>
        </w:object>
      </w:r>
      <w:r w:rsidR="00864C60" w:rsidRPr="00CF0952">
        <w:t xml:space="preserve">.     </w:t>
      </w:r>
      <w:r w:rsidR="00B42E92">
        <w:tab/>
      </w:r>
      <w:r w:rsidR="00864C60">
        <w:t>(5)</w:t>
      </w:r>
    </w:p>
    <w:p w14:paraId="5913CF7A" w14:textId="65F8F643" w:rsidR="00864C60" w:rsidRPr="00CF0952" w:rsidRDefault="00864C60" w:rsidP="00864C60">
      <w:pPr>
        <w:ind w:firstLine="720"/>
        <w:jc w:val="both"/>
      </w:pPr>
      <w:r w:rsidRPr="00CF0952">
        <w:t xml:space="preserve">Let there be </w:t>
      </w:r>
      <w:r w:rsidRPr="00CF0952">
        <w:rPr>
          <w:i/>
        </w:rPr>
        <w:t>C</w:t>
      </w:r>
      <w:r w:rsidR="008479C0">
        <w:t xml:space="preserve"> count outcomes</w:t>
      </w:r>
      <w:r w:rsidRPr="00CF0952">
        <w:t xml:space="preserve"> for a household, and let </w:t>
      </w:r>
      <w:r w:rsidRPr="00CF0952">
        <w:rPr>
          <w:i/>
        </w:rPr>
        <w:t xml:space="preserve">c </w:t>
      </w:r>
      <w:r w:rsidRPr="00CF0952">
        <w:t>be the index</w:t>
      </w:r>
      <w:r w:rsidR="008479C0">
        <w:t xml:space="preserve"> for the count </w:t>
      </w:r>
      <w:proofErr w:type="gramStart"/>
      <w:r w:rsidR="008479C0">
        <w:t>outcomes</w:t>
      </w:r>
      <w:r w:rsidRPr="00CF0952">
        <w:t xml:space="preserve"> </w:t>
      </w:r>
      <w:proofErr w:type="gramEnd"/>
      <w:r w:rsidRPr="00CF0952">
        <w:rPr>
          <w:position w:val="-10"/>
        </w:rPr>
        <w:object w:dxaOrig="1440" w:dyaOrig="320" w14:anchorId="3E5A9446">
          <v:shape id="_x0000_i1089" type="#_x0000_t75" style="width:1in;height:15.9pt" o:ole="">
            <v:imagedata r:id="rId137" o:title=""/>
          </v:shape>
          <o:OLEObject Type="Embed" ProgID="Equation.3" ShapeID="_x0000_i1089" DrawAspect="Content" ObjectID="_1493479555" r:id="rId138"/>
        </w:object>
      </w:r>
      <w:r w:rsidRPr="00CF0952">
        <w:t>. Let the count index be</w:t>
      </w:r>
      <w:r w:rsidR="008871F1">
        <w:t xml:space="preserve"> </w:t>
      </w:r>
      <w:r w:rsidRPr="00CF0952">
        <w:rPr>
          <w:position w:val="-12"/>
        </w:rPr>
        <w:object w:dxaOrig="260" w:dyaOrig="360" w14:anchorId="33F70790">
          <v:shape id="_x0000_i1090" type="#_x0000_t75" style="width:14.25pt;height:18.4pt" o:ole="">
            <v:imagedata r:id="rId139" o:title=""/>
          </v:shape>
          <o:OLEObject Type="Embed" ProgID="Equation.3" ShapeID="_x0000_i1090" DrawAspect="Content" ObjectID="_1493479556" r:id="rId140"/>
        </w:object>
      </w:r>
      <w:r w:rsidR="00FF6F93" w:rsidRPr="00CF0952">
        <w:rPr>
          <w:position w:val="-12"/>
        </w:rPr>
        <w:object w:dxaOrig="1760" w:dyaOrig="360" w14:anchorId="26E9F9C1">
          <v:shape id="_x0000_i1091" type="#_x0000_t75" style="width:83.7pt;height:18.4pt" o:ole="">
            <v:imagedata r:id="rId141" o:title=""/>
          </v:shape>
          <o:OLEObject Type="Embed" ProgID="Equation.3" ShapeID="_x0000_i1091" DrawAspect="Content" ObjectID="_1493479557" r:id="rId142"/>
        </w:object>
      </w:r>
      <w:r w:rsidRPr="00CF0952">
        <w:t xml:space="preserve"> and let </w:t>
      </w:r>
      <w:r w:rsidRPr="00CF0952">
        <w:rPr>
          <w:position w:val="-12"/>
        </w:rPr>
        <w:object w:dxaOrig="279" w:dyaOrig="360" w14:anchorId="791F1DCD">
          <v:shape id="_x0000_i1092" type="#_x0000_t75" style="width:14.25pt;height:18.4pt" o:ole="">
            <v:imagedata r:id="rId143" o:title=""/>
          </v:shape>
          <o:OLEObject Type="Embed" ProgID="Equation.3" ShapeID="_x0000_i1092" DrawAspect="Content" ObjectID="_1493479558" r:id="rId144"/>
        </w:object>
      </w:r>
      <w:r w:rsidR="00FF6F93">
        <w:t xml:space="preserve"> </w:t>
      </w:r>
      <w:r w:rsidRPr="00CF0952">
        <w:t xml:space="preserve">be the actual observed count value for the household. Then, following the recasting of a count model in a generalized ordered-response probit (GORP) formulation (see Castro, Paleti, and Bhat, or CPB, 2012 and Bhat </w:t>
      </w:r>
      <w:r w:rsidRPr="00784C55">
        <w:rPr>
          <w:i/>
        </w:rPr>
        <w:t>et al</w:t>
      </w:r>
      <w:r w:rsidRPr="00CF0952">
        <w:t>., 201</w:t>
      </w:r>
      <w:r w:rsidR="00655432">
        <w:t>5</w:t>
      </w:r>
      <w:r w:rsidRPr="00CF0952">
        <w:t xml:space="preserve">), a generalized version of the negative binomial count model may be written as: </w:t>
      </w:r>
    </w:p>
    <w:p w14:paraId="680B6963" w14:textId="73F68316" w:rsidR="00864C60" w:rsidRPr="00CF0952" w:rsidRDefault="00864C60" w:rsidP="00864C60">
      <w:pPr>
        <w:tabs>
          <w:tab w:val="right" w:pos="9360"/>
        </w:tabs>
        <w:jc w:val="both"/>
      </w:pPr>
      <w:r w:rsidRPr="00CF0952">
        <w:t xml:space="preserve"> </w:t>
      </w:r>
      <w:r w:rsidR="00E577B4" w:rsidRPr="00CF0952">
        <w:rPr>
          <w:position w:val="-14"/>
        </w:rPr>
        <w:object w:dxaOrig="3360" w:dyaOrig="420" w14:anchorId="39C7469F">
          <v:shape id="_x0000_i1093" type="#_x0000_t75" style="width:151.55pt;height:20.1pt" o:ole="">
            <v:imagedata r:id="rId145" o:title=""/>
          </v:shape>
          <o:OLEObject Type="Embed" ProgID="Equation.3" ShapeID="_x0000_i1093" DrawAspect="Content" ObjectID="_1493479559" r:id="rId146"/>
        </w:object>
      </w:r>
      <w:r w:rsidR="00B42E92">
        <w:tab/>
      </w:r>
      <w:r>
        <w:t>(6)</w:t>
      </w:r>
      <w:r>
        <w:tab/>
      </w:r>
      <w:r>
        <w:tab/>
      </w:r>
      <w:r>
        <w:tab/>
      </w:r>
    </w:p>
    <w:p w14:paraId="18D6F4A7" w14:textId="442C385B" w:rsidR="00864C60" w:rsidRPr="00CF0952" w:rsidRDefault="00E577B4" w:rsidP="00864C60">
      <w:pPr>
        <w:tabs>
          <w:tab w:val="right" w:pos="9360"/>
        </w:tabs>
        <w:jc w:val="both"/>
      </w:pPr>
      <w:r w:rsidRPr="00CF0952">
        <w:rPr>
          <w:position w:val="-34"/>
        </w:rPr>
        <w:object w:dxaOrig="4740" w:dyaOrig="800" w14:anchorId="2CED130F">
          <v:shape id="_x0000_i1094" type="#_x0000_t75" style="width:236.1pt;height:40.2pt" o:ole="">
            <v:imagedata r:id="rId147" o:title=""/>
          </v:shape>
          <o:OLEObject Type="Embed" ProgID="Equation.3" ShapeID="_x0000_i1094" DrawAspect="Content" ObjectID="_1493479560" r:id="rId148"/>
        </w:object>
      </w:r>
      <w:proofErr w:type="gramStart"/>
      <w:r w:rsidR="00864C60" w:rsidRPr="00CF0952">
        <w:t xml:space="preserve">, </w:t>
      </w:r>
      <w:proofErr w:type="gramEnd"/>
      <w:r w:rsidRPr="00CF0952">
        <w:rPr>
          <w:position w:val="-30"/>
        </w:rPr>
        <w:object w:dxaOrig="1160" w:dyaOrig="680" w14:anchorId="1E01035D">
          <v:shape id="_x0000_i1095" type="#_x0000_t75" style="width:57.75pt;height:34.35pt" o:ole="">
            <v:imagedata r:id="rId149" o:title=""/>
          </v:shape>
          <o:OLEObject Type="Embed" ProgID="Equation.3" ShapeID="_x0000_i1095" DrawAspect="Content" ObjectID="_1493479561" r:id="rId150"/>
        </w:object>
      </w:r>
      <w:r w:rsidR="00864C60" w:rsidRPr="00CF0952">
        <w:t xml:space="preserve">, and </w:t>
      </w:r>
      <w:r w:rsidRPr="00CF0952">
        <w:rPr>
          <w:position w:val="-12"/>
        </w:rPr>
        <w:object w:dxaOrig="820" w:dyaOrig="380" w14:anchorId="27EAC341">
          <v:shape id="_x0000_i1096" type="#_x0000_t75" style="width:41pt;height:20.1pt" o:ole="">
            <v:imagedata r:id="rId151" o:title=""/>
          </v:shape>
          <o:OLEObject Type="Embed" ProgID="Equation.3" ShapeID="_x0000_i1096" DrawAspect="Content" ObjectID="_1493479562" r:id="rId152"/>
        </w:object>
      </w:r>
      <w:r w:rsidR="00864C60" w:rsidRPr="00CF0952">
        <w:t xml:space="preserve">. </w:t>
      </w:r>
      <w:r w:rsidR="00864C60">
        <w:tab/>
        <w:t>(7)</w:t>
      </w:r>
    </w:p>
    <w:p w14:paraId="09745D8C" w14:textId="5347B5FA" w:rsidR="00864C60" w:rsidRPr="00CF0952" w:rsidRDefault="00864C60" w:rsidP="00864C60">
      <w:pPr>
        <w:jc w:val="both"/>
      </w:pPr>
      <w:r w:rsidRPr="00CF0952">
        <w:t xml:space="preserve">In the above equation, </w:t>
      </w:r>
      <w:r w:rsidRPr="00CF0952">
        <w:rPr>
          <w:position w:val="-12"/>
        </w:rPr>
        <w:object w:dxaOrig="279" w:dyaOrig="380" w14:anchorId="74515E7D">
          <v:shape id="_x0000_i1097" type="#_x0000_t75" style="width:14.25pt;height:18.4pt" o:ole="">
            <v:imagedata r:id="rId153" o:title=""/>
          </v:shape>
          <o:OLEObject Type="Embed" ProgID="Equation.3" ShapeID="_x0000_i1097" DrawAspect="Content" ObjectID="_1493479563" r:id="rId154"/>
        </w:object>
      </w:r>
      <w:r w:rsidRPr="00CF0952">
        <w:t xml:space="preserve"> is a latent continuous stochastic propensity variable asso</w:t>
      </w:r>
      <w:r w:rsidR="00FF6F93">
        <w:t xml:space="preserve">ciated with the count variable </w:t>
      </w:r>
      <w:r w:rsidR="00FF6F93">
        <w:rPr>
          <w:i/>
        </w:rPr>
        <w:t>c</w:t>
      </w:r>
      <w:r w:rsidRPr="00CF0952">
        <w:t xml:space="preserve"> that maps into the observed count </w:t>
      </w:r>
      <w:r w:rsidRPr="00CF0952">
        <w:rPr>
          <w:position w:val="-12"/>
        </w:rPr>
        <w:object w:dxaOrig="279" w:dyaOrig="360" w14:anchorId="70A2E55B">
          <v:shape id="_x0000_i1098" type="#_x0000_t75" style="width:14.25pt;height:18.4pt" o:ole="">
            <v:imagedata r:id="rId143" o:title=""/>
          </v:shape>
          <o:OLEObject Type="Embed" ProgID="Equation.3" ShapeID="_x0000_i1098" DrawAspect="Content" ObjectID="_1493479564" r:id="rId155"/>
        </w:object>
      </w:r>
      <w:r w:rsidRPr="00CF0952">
        <w:rPr>
          <w:position w:val="-14"/>
        </w:rPr>
        <w:t xml:space="preserve"> </w:t>
      </w:r>
      <w:r w:rsidRPr="00CF0952">
        <w:t xml:space="preserve">through the </w:t>
      </w:r>
      <w:r w:rsidR="00E577B4" w:rsidRPr="00CF0952">
        <w:rPr>
          <w:position w:val="-12"/>
        </w:rPr>
        <w:object w:dxaOrig="300" w:dyaOrig="360" w14:anchorId="3445CF51">
          <v:shape id="_x0000_i1099" type="#_x0000_t75" style="width:15.05pt;height:18.4pt" o:ole="">
            <v:imagedata r:id="rId156" o:title=""/>
          </v:shape>
          <o:OLEObject Type="Embed" ProgID="Equation.3" ShapeID="_x0000_i1099" DrawAspect="Content" ObjectID="_1493479565" r:id="rId157"/>
        </w:object>
      </w:r>
      <w:r w:rsidR="00E577B4">
        <w:t xml:space="preserve"> </w:t>
      </w:r>
      <w:r w:rsidRPr="00CF0952">
        <w:t>vector (which is a vertically stacked column vector of thresholds</w:t>
      </w:r>
      <w:r w:rsidR="00E577B4">
        <w:t xml:space="preserve"> </w:t>
      </w:r>
      <w:r w:rsidRPr="00CF0952">
        <w:rPr>
          <w:position w:val="-14"/>
        </w:rPr>
        <w:object w:dxaOrig="2420" w:dyaOrig="380" w14:anchorId="752F289F">
          <v:shape id="_x0000_i1100" type="#_x0000_t75" style="width:120.55pt;height:19.25pt" o:ole="">
            <v:imagedata r:id="rId158" o:title=""/>
          </v:shape>
          <o:OLEObject Type="Embed" ProgID="Equation.3" ShapeID="_x0000_i1100" DrawAspect="Content" ObjectID="_1493479566" r:id="rId159"/>
        </w:object>
      </w:r>
      <w:r w:rsidRPr="00CF0952">
        <w:t xml:space="preserve"> </w:t>
      </w:r>
      <w:r w:rsidRPr="00CF0952">
        <w:rPr>
          <w:position w:val="-12"/>
        </w:rPr>
        <w:object w:dxaOrig="279" w:dyaOrig="380" w14:anchorId="2D363F91">
          <v:shape id="_x0000_i1101" type="#_x0000_t75" style="width:14.25pt;height:18.4pt" o:ole="">
            <v:imagedata r:id="rId160" o:title=""/>
          </v:shape>
          <o:OLEObject Type="Embed" ProgID="Equation.3" ShapeID="_x0000_i1101" DrawAspect="Content" ObjectID="_1493479567" r:id="rId161"/>
        </w:object>
      </w:r>
      <w:r w:rsidRPr="00CF0952">
        <w:t xml:space="preserve"> is an </w:t>
      </w:r>
      <w:r w:rsidRPr="00CF0952">
        <w:rPr>
          <w:position w:val="-10"/>
        </w:rPr>
        <w:object w:dxaOrig="680" w:dyaOrig="320" w14:anchorId="1531756B">
          <v:shape id="_x0000_i1102" type="#_x0000_t75" style="width:33.5pt;height:15.05pt" o:ole="">
            <v:imagedata r:id="rId79" o:title=""/>
          </v:shape>
          <o:OLEObject Type="Embed" ProgID="Equation.3" ShapeID="_x0000_i1102" DrawAspect="Content" ObjectID="_1493479568" r:id="rId162"/>
        </w:object>
      </w:r>
      <w:r w:rsidRPr="00CF0952">
        <w:t xml:space="preserve">vector of </w:t>
      </w:r>
      <w:r w:rsidRPr="00CF0952">
        <w:lastRenderedPageBreak/>
        <w:t xml:space="preserve">latent variable loadings on the </w:t>
      </w:r>
      <w:proofErr w:type="spellStart"/>
      <w:r w:rsidRPr="00CF0952">
        <w:rPr>
          <w:i/>
        </w:rPr>
        <w:t>c</w:t>
      </w:r>
      <w:r w:rsidRPr="00CF0952">
        <w:rPr>
          <w:i/>
          <w:vertAlign w:val="superscript"/>
        </w:rPr>
        <w:t>th</w:t>
      </w:r>
      <w:proofErr w:type="spellEnd"/>
      <w:r w:rsidRPr="00CF0952">
        <w:t xml:space="preserve"> count outcome, and </w:t>
      </w:r>
      <w:r w:rsidRPr="00CF0952">
        <w:rPr>
          <w:position w:val="-12"/>
        </w:rPr>
        <w:object w:dxaOrig="260" w:dyaOrig="360" w14:anchorId="2572583F">
          <v:shape id="_x0000_i1103" type="#_x0000_t75" style="width:14.25pt;height:18.4pt" o:ole="">
            <v:imagedata r:id="rId163" o:title=""/>
          </v:shape>
          <o:OLEObject Type="Embed" ProgID="Equation.3" ShapeID="_x0000_i1103" DrawAspect="Content" ObjectID="_1493479569" r:id="rId164"/>
        </w:object>
      </w:r>
      <w:r w:rsidRPr="00CF0952">
        <w:t xml:space="preserve"> is a standard normal random error term. </w:t>
      </w:r>
      <w:r w:rsidR="004A2D52" w:rsidRPr="00CF0952">
        <w:rPr>
          <w:position w:val="-12"/>
        </w:rPr>
        <w:object w:dxaOrig="260" w:dyaOrig="360" w14:anchorId="2EB04294">
          <v:shape id="_x0000_i1104" type="#_x0000_t75" style="width:14.25pt;height:18.4pt" o:ole="">
            <v:imagedata r:id="rId165" o:title=""/>
          </v:shape>
          <o:OLEObject Type="Embed" ProgID="Equation.3" ShapeID="_x0000_i1104" DrawAspect="Content" ObjectID="_1493479570" r:id="rId166"/>
        </w:object>
      </w:r>
      <w:r w:rsidRPr="00CF0952">
        <w:t xml:space="preserve"> is a</w:t>
      </w:r>
      <w:r w:rsidR="00BB4DF0">
        <w:t xml:space="preserve">n </w:t>
      </w:r>
      <w:r w:rsidR="00FF6F93" w:rsidRPr="00CF0952">
        <w:rPr>
          <w:position w:val="-10"/>
        </w:rPr>
        <w:object w:dxaOrig="700" w:dyaOrig="320" w14:anchorId="082BD898">
          <v:shape id="_x0000_i1105" type="#_x0000_t75" style="width:35.15pt;height:15.9pt" o:ole="">
            <v:imagedata r:id="rId75" o:title=""/>
          </v:shape>
          <o:OLEObject Type="Embed" ProgID="Equation.3" ShapeID="_x0000_i1105" DrawAspect="Content" ObjectID="_1493479571" r:id="rId167"/>
        </w:object>
      </w:r>
      <w:r w:rsidRPr="00CF0952">
        <w:t xml:space="preserve"> column vector corresponding to the vector </w:t>
      </w:r>
      <w:r w:rsidRPr="00CF0952">
        <w:rPr>
          <w:position w:val="-6"/>
        </w:rPr>
        <w:object w:dxaOrig="220" w:dyaOrig="220" w14:anchorId="3AF6EB80">
          <v:shape id="_x0000_i1106" type="#_x0000_t75" style="width:10.9pt;height:11.7pt" o:ole="">
            <v:imagedata r:id="rId168" o:title=""/>
          </v:shape>
          <o:OLEObject Type="Embed" ProgID="Equation.3" ShapeID="_x0000_i1106" DrawAspect="Content" ObjectID="_1493479572" r:id="rId169"/>
        </w:object>
      </w:r>
      <w:r w:rsidR="00104D49">
        <w:t>.</w:t>
      </w:r>
      <w:r w:rsidRPr="00CF0952">
        <w:t xml:space="preserve"> </w:t>
      </w:r>
      <w:r w:rsidRPr="00CF0952">
        <w:rPr>
          <w:position w:val="-4"/>
        </w:rPr>
        <w:object w:dxaOrig="420" w:dyaOrig="300" w14:anchorId="2DB56F22">
          <v:shape id="_x0000_i1107" type="#_x0000_t75" style="width:21.75pt;height:15.05pt" o:ole="">
            <v:imagedata r:id="rId170" o:title=""/>
          </v:shape>
          <o:OLEObject Type="Embed" ProgID="Equation.3" ShapeID="_x0000_i1107" DrawAspect="Content" ObjectID="_1493479573" r:id="rId171"/>
        </w:object>
      </w:r>
      <w:r w:rsidRPr="00CF0952">
        <w:t xml:space="preserve"> in the t</w:t>
      </w:r>
      <w:r>
        <w:t>hreshold function of Equation (7</w:t>
      </w:r>
      <w:r w:rsidRPr="00CF0952">
        <w:t xml:space="preserve">) is the inverse function of the univariate cumulative standard normal. </w:t>
      </w:r>
      <w:r w:rsidRPr="00CF0952">
        <w:rPr>
          <w:position w:val="-12"/>
        </w:rPr>
        <w:object w:dxaOrig="260" w:dyaOrig="360" w14:anchorId="247538D4">
          <v:shape id="_x0000_i1108" type="#_x0000_t75" style="width:11.7pt;height:18.4pt" o:ole="">
            <v:imagedata r:id="rId172" o:title=""/>
          </v:shape>
          <o:OLEObject Type="Embed" ProgID="Equation.3" ShapeID="_x0000_i1108" DrawAspect="Content" ObjectID="_1493479574" r:id="rId173"/>
        </w:object>
      </w:r>
      <w:r w:rsidRPr="00CF0952">
        <w:t xml:space="preserve"> is a parameter that provides flexibility to the count formulation, and is related to the dispersion parameter in a traditional</w:t>
      </w:r>
      <w:r>
        <w:t xml:space="preserve"> negative binomial model </w:t>
      </w:r>
      <w:r w:rsidRPr="00CF0952">
        <w:rPr>
          <w:position w:val="-12"/>
        </w:rPr>
        <w:object w:dxaOrig="1200" w:dyaOrig="360" w14:anchorId="4011EFD0">
          <v:shape id="_x0000_i1109" type="#_x0000_t75" style="width:60.3pt;height:18.4pt" o:ole="">
            <v:imagedata r:id="rId174" o:title=""/>
          </v:shape>
          <o:OLEObject Type="Embed" ProgID="Equation.3" ShapeID="_x0000_i1109" DrawAspect="Content" ObjectID="_1493479575" r:id="rId175"/>
        </w:object>
      </w:r>
      <w:r w:rsidRPr="00CF0952">
        <w:t xml:space="preserve">. </w:t>
      </w:r>
      <w:r w:rsidRPr="00CF0952">
        <w:rPr>
          <w:position w:val="-12"/>
        </w:rPr>
        <w:object w:dxaOrig="620" w:dyaOrig="360" w14:anchorId="0B29CD64">
          <v:shape id="_x0000_i1110" type="#_x0000_t75" style="width:31pt;height:18.4pt" o:ole="">
            <v:imagedata r:id="rId176" o:title=""/>
          </v:shape>
          <o:OLEObject Type="Embed" ProgID="Equation.3" ShapeID="_x0000_i1110" DrawAspect="Content" ObjectID="_1493479576" r:id="rId177"/>
        </w:object>
      </w:r>
      <w:r w:rsidRPr="00CF0952">
        <w:t xml:space="preserve"> is the traditional gamma function; </w:t>
      </w:r>
      <w:r w:rsidRPr="00CF0952">
        <w:rPr>
          <w:position w:val="-32"/>
        </w:rPr>
        <w:object w:dxaOrig="2160" w:dyaOrig="760" w14:anchorId="5DB92C19">
          <v:shape id="_x0000_i1111" type="#_x0000_t75" style="width:108.85pt;height:38.5pt" o:ole="">
            <v:imagedata r:id="rId178" o:title=""/>
          </v:shape>
          <o:OLEObject Type="Embed" ProgID="Equation.3" ShapeID="_x0000_i1111" DrawAspect="Content" ObjectID="_1493479577" r:id="rId179"/>
        </w:object>
      </w:r>
      <w:r w:rsidR="00E577B4">
        <w:t xml:space="preserve">. The threshold terms in the </w:t>
      </w:r>
      <w:r w:rsidRPr="00CF0952">
        <w:rPr>
          <w:position w:val="-12"/>
        </w:rPr>
        <w:object w:dxaOrig="320" w:dyaOrig="360" w14:anchorId="23DDB2D2">
          <v:shape id="_x0000_i1112" type="#_x0000_t75" style="width:15.9pt;height:18.4pt" o:ole="">
            <v:imagedata r:id="rId180" o:title=""/>
          </v:shape>
          <o:OLEObject Type="Embed" ProgID="Equation.3" ShapeID="_x0000_i1112" DrawAspect="Content" ObjectID="_1493479578" r:id="rId181"/>
        </w:object>
      </w:r>
      <w:r w:rsidR="00E577B4">
        <w:t xml:space="preserve"> </w:t>
      </w:r>
      <w:r w:rsidRPr="00CF0952">
        <w:t>vector satisfy the ordering condition (</w:t>
      </w:r>
      <w:r w:rsidRPr="00CF0952">
        <w:rPr>
          <w:i/>
        </w:rPr>
        <w:t>i.e.</w:t>
      </w:r>
      <w:r w:rsidRPr="00CF0952">
        <w:t xml:space="preserve">, </w:t>
      </w:r>
      <w:r w:rsidR="00C976D0" w:rsidRPr="00CF0952">
        <w:rPr>
          <w:position w:val="-14"/>
        </w:rPr>
        <w:object w:dxaOrig="3560" w:dyaOrig="380" w14:anchorId="0B21DFCF">
          <v:shape id="_x0000_i1113" type="#_x0000_t75" style="width:179.15pt;height:19.25pt" o:ole="">
            <v:imagedata r:id="rId182" o:title=""/>
          </v:shape>
          <o:OLEObject Type="Embed" ProgID="Equation.3" ShapeID="_x0000_i1113" DrawAspect="Content" ObjectID="_1493479579" r:id="rId183"/>
        </w:object>
      </w:r>
      <w:r w:rsidR="00E577B4">
        <w:t xml:space="preserve"> as long as </w:t>
      </w:r>
      <w:r w:rsidRPr="00CF0952">
        <w:rPr>
          <w:position w:val="-14"/>
        </w:rPr>
        <w:object w:dxaOrig="2960" w:dyaOrig="380" w14:anchorId="2D93C08C">
          <v:shape id="_x0000_i1114" type="#_x0000_t75" style="width:147.35pt;height:19.25pt" o:ole="">
            <v:imagedata r:id="rId184" o:title=""/>
          </v:shape>
          <o:OLEObject Type="Embed" ProgID="Equation.3" ShapeID="_x0000_i1114" DrawAspect="Content" ObjectID="_1493479580" r:id="rId185"/>
        </w:object>
      </w:r>
      <w:r w:rsidRPr="00CF0952">
        <w:t xml:space="preserve"> The presence of the </w:t>
      </w:r>
      <w:r w:rsidRPr="00CF0952">
        <w:rPr>
          <w:position w:val="-12"/>
        </w:rPr>
        <w:object w:dxaOrig="300" w:dyaOrig="360" w14:anchorId="184E851E">
          <v:shape id="_x0000_i1115" type="#_x0000_t75" style="width:15.05pt;height:18.4pt" o:ole="">
            <v:imagedata r:id="rId186" o:title=""/>
          </v:shape>
          <o:OLEObject Type="Embed" ProgID="Equation.3" ShapeID="_x0000_i1115" DrawAspect="Content" ObjectID="_1493479581" r:id="rId187"/>
        </w:object>
      </w:r>
      <w:r w:rsidRPr="00CF0952">
        <w:rPr>
          <w:position w:val="-14"/>
        </w:rPr>
        <w:t xml:space="preserve"> </w:t>
      </w:r>
      <w:r w:rsidRPr="00CF0952">
        <w:t>terms in the thresholds provides flexibility to accommodate high or low probability masses for specific count outcomes without the need for cumbersome traditional treatments using zero-inflated or related mechanisms in multi-dimensional model systems (see CPB, 201</w:t>
      </w:r>
      <w:r w:rsidR="0046357A">
        <w:t>2</w:t>
      </w:r>
      <w:r w:rsidRPr="00CF0952">
        <w:t xml:space="preserve"> for a detailed discussion). For identification, we set </w:t>
      </w:r>
      <w:r w:rsidRPr="00CF0952">
        <w:rPr>
          <w:position w:val="-14"/>
        </w:rPr>
        <w:object w:dxaOrig="1060" w:dyaOrig="380" w14:anchorId="1755839A">
          <v:shape id="_x0000_i1116" type="#_x0000_t75" style="width:53.6pt;height:19.25pt" o:ole="">
            <v:imagedata r:id="rId188" o:title=""/>
          </v:shape>
          <o:OLEObject Type="Embed" ProgID="Equation.3" ShapeID="_x0000_i1116" DrawAspect="Content" ObjectID="_1493479582" r:id="rId189"/>
        </w:object>
      </w:r>
      <w:r w:rsidRPr="00CF0952">
        <w:t xml:space="preserve"> and </w:t>
      </w:r>
      <w:r w:rsidRPr="00CF0952">
        <w:rPr>
          <w:position w:val="-14"/>
        </w:rPr>
        <w:object w:dxaOrig="840" w:dyaOrig="380" w14:anchorId="46A66B29">
          <v:shape id="_x0000_i1117" type="#_x0000_t75" style="width:41.85pt;height:19.25pt" o:ole="">
            <v:imagedata r:id="rId190" o:title=""/>
          </v:shape>
          <o:OLEObject Type="Embed" ProgID="Equation.3" ShapeID="_x0000_i1117" DrawAspect="Content" ObjectID="_1493479583" r:id="rId191"/>
        </w:object>
      </w:r>
      <w:r w:rsidRPr="00CF0952">
        <w:t xml:space="preserve">for all count variables </w:t>
      </w:r>
      <w:r w:rsidRPr="00CF0952">
        <w:rPr>
          <w:i/>
        </w:rPr>
        <w:t>c</w:t>
      </w:r>
      <w:r w:rsidR="00C976D0">
        <w:rPr>
          <w:i/>
        </w:rPr>
        <w:t xml:space="preserve"> </w:t>
      </w:r>
      <w:r w:rsidR="00C976D0" w:rsidRPr="00C976D0">
        <w:t>(</w:t>
      </w:r>
      <w:proofErr w:type="gramStart"/>
      <w:r w:rsidR="00C976D0" w:rsidRPr="00C976D0">
        <w:t>so</w:t>
      </w:r>
      <w:r w:rsidR="00C976D0">
        <w:rPr>
          <w:i/>
        </w:rPr>
        <w:t xml:space="preserve"> </w:t>
      </w:r>
      <w:proofErr w:type="gramEnd"/>
      <w:r w:rsidR="00C976D0" w:rsidRPr="00536CAB">
        <w:rPr>
          <w:position w:val="-14"/>
        </w:rPr>
        <w:object w:dxaOrig="1620" w:dyaOrig="380" w14:anchorId="7A41565F">
          <v:shape id="_x0000_i1118" type="#_x0000_t75" style="width:81.2pt;height:19.25pt" o:ole="">
            <v:imagedata r:id="rId192" o:title=""/>
          </v:shape>
          <o:OLEObject Type="Embed" ProgID="Equation.3" ShapeID="_x0000_i1118" DrawAspect="Content" ObjectID="_1493479584" r:id="rId193"/>
        </w:object>
      </w:r>
      <w:r w:rsidR="00C976D0">
        <w:t>.</w:t>
      </w:r>
      <w:r w:rsidRPr="00CF0952">
        <w:t xml:space="preserve"> In addition, we identify a count value </w:t>
      </w:r>
      <w:r w:rsidRPr="00CF0952">
        <w:rPr>
          <w:position w:val="-12"/>
        </w:rPr>
        <w:object w:dxaOrig="260" w:dyaOrig="380" w14:anchorId="7969D0EB">
          <v:shape id="_x0000_i1119" type="#_x0000_t75" style="width:14.25pt;height:19.25pt" o:ole="">
            <v:imagedata r:id="rId194" o:title=""/>
          </v:shape>
          <o:OLEObject Type="Embed" ProgID="Equation.3" ShapeID="_x0000_i1119" DrawAspect="Content" ObjectID="_1493479585" r:id="rId195"/>
        </w:object>
      </w:r>
      <w:r w:rsidRPr="00CF0952">
        <w:t xml:space="preserve"> </w:t>
      </w:r>
      <w:r w:rsidRPr="00CF0952">
        <w:rPr>
          <w:position w:val="-12"/>
        </w:rPr>
        <w:object w:dxaOrig="1860" w:dyaOrig="400" w14:anchorId="6B80BD15">
          <v:shape id="_x0000_i1120" type="#_x0000_t75" style="width:93.75pt;height:19.25pt" o:ole="">
            <v:imagedata r:id="rId196" o:title=""/>
          </v:shape>
          <o:OLEObject Type="Embed" ProgID="Equation.3" ShapeID="_x0000_i1120" DrawAspect="Content" ObjectID="_1493479586" r:id="rId197"/>
        </w:object>
      </w:r>
      <w:r>
        <w:t xml:space="preserve"> </w:t>
      </w:r>
      <w:r w:rsidRPr="00CF0952">
        <w:t xml:space="preserve">above which </w:t>
      </w:r>
      <w:r w:rsidRPr="00CF0952">
        <w:rPr>
          <w:position w:val="-14"/>
        </w:rPr>
        <w:object w:dxaOrig="2160" w:dyaOrig="380" w14:anchorId="44E2B641">
          <v:shape id="_x0000_i1121" type="#_x0000_t75" style="width:107.15pt;height:19.25pt" o:ole="">
            <v:imagedata r:id="rId198" o:title=""/>
          </v:shape>
          <o:OLEObject Type="Embed" ProgID="Equation.3" ShapeID="_x0000_i1121" DrawAspect="Content" ObjectID="_1493479587" r:id="rId199"/>
        </w:object>
      </w:r>
      <w:r w:rsidRPr="00CF0952">
        <w:t xml:space="preserve">is held fixed </w:t>
      </w:r>
      <w:proofErr w:type="gramStart"/>
      <w:r w:rsidRPr="00CF0952">
        <w:t xml:space="preserve">at </w:t>
      </w:r>
      <w:proofErr w:type="gramEnd"/>
      <w:r w:rsidRPr="00CF0952">
        <w:rPr>
          <w:position w:val="-18"/>
        </w:rPr>
        <w:object w:dxaOrig="460" w:dyaOrig="420" w14:anchorId="4876BD8B">
          <v:shape id="_x0000_i1122" type="#_x0000_t75" style="width:24.3pt;height:21.75pt" o:ole="">
            <v:imagedata r:id="rId200" o:title=""/>
          </v:shape>
          <o:OLEObject Type="Embed" ProgID="Equation.3" ShapeID="_x0000_i1122" DrawAspect="Content" ObjectID="_1493479588" r:id="rId201"/>
        </w:object>
      </w:r>
      <w:r w:rsidRPr="00CF0952">
        <w:t xml:space="preserve">; that is, </w:t>
      </w:r>
      <w:r w:rsidRPr="00CF0952">
        <w:rPr>
          <w:position w:val="-18"/>
        </w:rPr>
        <w:object w:dxaOrig="1080" w:dyaOrig="420" w14:anchorId="0E5266D9">
          <v:shape id="_x0000_i1123" type="#_x0000_t75" style="width:54.4pt;height:21.75pt" o:ole="">
            <v:imagedata r:id="rId202" o:title=""/>
          </v:shape>
          <o:OLEObject Type="Embed" ProgID="Equation.3" ShapeID="_x0000_i1123" DrawAspect="Content" ObjectID="_1493479589" r:id="rId203"/>
        </w:object>
      </w:r>
      <w:r w:rsidRPr="00CF0952">
        <w:t xml:space="preserve"> if </w:t>
      </w:r>
      <w:r w:rsidRPr="00CF0952">
        <w:rPr>
          <w:position w:val="-12"/>
        </w:rPr>
        <w:object w:dxaOrig="800" w:dyaOrig="380" w14:anchorId="0A405526">
          <v:shape id="_x0000_i1124" type="#_x0000_t75" style="width:41pt;height:19.25pt" o:ole="">
            <v:imagedata r:id="rId204" o:title=""/>
          </v:shape>
          <o:OLEObject Type="Embed" ProgID="Equation.3" ShapeID="_x0000_i1124" DrawAspect="Content" ObjectID="_1493479590" r:id="rId205"/>
        </w:object>
      </w:r>
      <w:r w:rsidRPr="00CF0952">
        <w:t xml:space="preserve"> where the value of </w:t>
      </w:r>
      <w:r w:rsidRPr="00CF0952">
        <w:rPr>
          <w:position w:val="-12"/>
        </w:rPr>
        <w:object w:dxaOrig="260" w:dyaOrig="380" w14:anchorId="610F3CC3">
          <v:shape id="_x0000_i1125" type="#_x0000_t75" style="width:14.25pt;height:19.25pt" o:ole="">
            <v:imagedata r:id="rId206" o:title=""/>
          </v:shape>
          <o:OLEObject Type="Embed" ProgID="Equation.3" ShapeID="_x0000_i1125" DrawAspect="Content" ObjectID="_1493479591" r:id="rId207"/>
        </w:object>
      </w:r>
      <w:r w:rsidRPr="00CF0952">
        <w:t xml:space="preserve"> can be based on empirical testing. Doing so is the key to allowing the count model to predict beyond the range available in the estimation sample. For later use, let </w:t>
      </w:r>
      <w:r w:rsidR="00FF6F93" w:rsidRPr="00CF0952">
        <w:rPr>
          <w:position w:val="-18"/>
        </w:rPr>
        <w:object w:dxaOrig="2320" w:dyaOrig="420" w14:anchorId="209AFA41">
          <v:shape id="_x0000_i1126" type="#_x0000_t75" style="width:116.35pt;height:20.95pt" o:ole="">
            <v:imagedata r:id="rId208" o:title=""/>
            <o:lock v:ext="edit" aspectratio="f"/>
          </v:shape>
          <o:OLEObject Type="Embed" ProgID="Equation.3" ShapeID="_x0000_i1126" DrawAspect="Content" ObjectID="_1493479592" r:id="rId209"/>
        </w:object>
      </w:r>
      <w:r w:rsidR="00C976D0">
        <w:t xml:space="preserve"> </w:t>
      </w:r>
      <w:r w:rsidR="00FF6F93" w:rsidRPr="00E577B4">
        <w:rPr>
          <w:position w:val="-12"/>
        </w:rPr>
        <w:object w:dxaOrig="1540" w:dyaOrig="380" w14:anchorId="5CD9979C">
          <v:shape id="_x0000_i1127" type="#_x0000_t75" style="width:77pt;height:18.4pt" o:ole="" o:preferrelative="f">
            <v:imagedata r:id="rId210" o:title=""/>
            <o:lock v:ext="edit" aspectratio="f"/>
          </v:shape>
          <o:OLEObject Type="Embed" ProgID="Equation.3" ShapeID="_x0000_i1127" DrawAspect="Content" ObjectID="_1493479593" r:id="rId211"/>
        </w:object>
      </w:r>
      <w:r w:rsidR="007F7DED">
        <w:t xml:space="preserve"> </w:t>
      </w:r>
      <w:r>
        <w:t xml:space="preserve">(assuming </w:t>
      </w:r>
      <w:r w:rsidR="00FF6F93" w:rsidRPr="00CF0952">
        <w:rPr>
          <w:position w:val="-12"/>
        </w:rPr>
        <w:object w:dxaOrig="720" w:dyaOrig="380" w14:anchorId="54DE1141">
          <v:shape id="_x0000_i1128" type="#_x0000_t75" style="width:36pt;height:18.4pt" o:ole="">
            <v:imagedata r:id="rId212" o:title=""/>
          </v:shape>
          <o:OLEObject Type="Embed" ProgID="Equation.3" ShapeID="_x0000_i1128" DrawAspect="Content" ObjectID="_1493479594" r:id="rId213"/>
        </w:object>
      </w:r>
      <w:r w:rsidR="00E577B4">
        <w:t>,</w:t>
      </w:r>
      <w:r w:rsidRPr="00CF0952">
        <w:t xml:space="preserve"> </w:t>
      </w:r>
      <w:r w:rsidR="00FF6F93" w:rsidRPr="00CF0952">
        <w:rPr>
          <w:position w:val="-32"/>
        </w:rPr>
        <w:object w:dxaOrig="3860" w:dyaOrig="760" w14:anchorId="6648CFB1">
          <v:shape id="_x0000_i1129" type="#_x0000_t75" style="width:192.55pt;height:38.5pt" o:ole="" o:preferrelative="f">
            <v:imagedata r:id="rId214" o:title=""/>
            <o:lock v:ext="edit" aspectratio="f"/>
          </v:shape>
          <o:OLEObject Type="Embed" ProgID="Equation.3" ShapeID="_x0000_i1129" DrawAspect="Content" ObjectID="_1493479595" r:id="rId215"/>
        </w:object>
      </w:r>
      <w:r w:rsidR="00FF6F93">
        <w:t xml:space="preserve">, </w:t>
      </w:r>
      <w:r w:rsidR="00FF6F93" w:rsidRPr="00CF0952">
        <w:rPr>
          <w:position w:val="-12"/>
        </w:rPr>
        <w:object w:dxaOrig="1780" w:dyaOrig="360" w14:anchorId="1254946B">
          <v:shape id="_x0000_i1130" type="#_x0000_t75" style="width:89.6pt;height:18.4pt" o:ole="">
            <v:imagedata r:id="rId216" o:title=""/>
          </v:shape>
          <o:OLEObject Type="Embed" ProgID="Equation.3" ShapeID="_x0000_i1130" DrawAspect="Content" ObjectID="_1493479596" r:id="rId217"/>
        </w:object>
      </w:r>
      <w:r w:rsidR="00FF6F93" w:rsidRPr="00E577B4">
        <w:rPr>
          <w:position w:val="-10"/>
        </w:rPr>
        <w:object w:dxaOrig="1480" w:dyaOrig="340" w14:anchorId="28ED61B6">
          <v:shape id="_x0000_i1131" type="#_x0000_t75" style="width:74.5pt;height:17.6pt" o:ole="">
            <v:imagedata r:id="rId218" o:title=""/>
          </v:shape>
          <o:OLEObject Type="Embed" ProgID="Equation.3" ShapeID="_x0000_i1131" DrawAspect="Content" ObjectID="_1493479597" r:id="rId219"/>
        </w:object>
      </w:r>
      <w:r w:rsidR="00FF6F93">
        <w:t xml:space="preserve">, </w:t>
      </w:r>
      <w:r w:rsidR="00C976D0">
        <w:t xml:space="preserve">and </w:t>
      </w:r>
      <w:r w:rsidR="00FF6F93" w:rsidRPr="00C976D0">
        <w:rPr>
          <w:position w:val="-12"/>
        </w:rPr>
        <w:object w:dxaOrig="1980" w:dyaOrig="360" w14:anchorId="6BBA4B95">
          <v:shape id="_x0000_i1132" type="#_x0000_t75" style="width:99.65pt;height:18.4pt" o:ole="" o:preferrelative="f">
            <v:imagedata r:id="rId220" o:title=""/>
            <o:lock v:ext="edit" aspectratio="f"/>
          </v:shape>
          <o:OLEObject Type="Embed" ProgID="Equation.3" ShapeID="_x0000_i1132" DrawAspect="Content" ObjectID="_1493479598" r:id="rId221"/>
        </w:object>
      </w:r>
      <w:r w:rsidRPr="00CF0952">
        <w:t xml:space="preserve"> Also, stack the </w:t>
      </w:r>
      <w:r w:rsidRPr="00CF0952">
        <w:rPr>
          <w:i/>
        </w:rPr>
        <w:t xml:space="preserve">C </w:t>
      </w:r>
      <w:r w:rsidRPr="00CF0952">
        <w:t xml:space="preserve">latent variables </w:t>
      </w:r>
      <w:r w:rsidRPr="00CF0952">
        <w:rPr>
          <w:position w:val="-12"/>
        </w:rPr>
        <w:object w:dxaOrig="279" w:dyaOrig="380" w14:anchorId="51CE7B8D">
          <v:shape id="_x0000_i1133" type="#_x0000_t75" style="width:14.25pt;height:18.4pt" o:ole="">
            <v:imagedata r:id="rId222" o:title=""/>
          </v:shape>
          <o:OLEObject Type="Embed" ProgID="Equation.3" ShapeID="_x0000_i1133" DrawAspect="Content" ObjectID="_1493479599" r:id="rId223"/>
        </w:object>
      </w:r>
      <w:r w:rsidRPr="00CF0952">
        <w:t xml:space="preserve"> into a </w:t>
      </w:r>
      <w:r w:rsidRPr="00CF0952">
        <w:rPr>
          <w:position w:val="-10"/>
        </w:rPr>
        <w:object w:dxaOrig="700" w:dyaOrig="320" w14:anchorId="7966B047">
          <v:shape id="_x0000_i1134" type="#_x0000_t75" style="width:35.15pt;height:15.05pt" o:ole="">
            <v:imagedata r:id="rId224" o:title=""/>
          </v:shape>
          <o:OLEObject Type="Embed" ProgID="Equation.3" ShapeID="_x0000_i1134" DrawAspect="Content" ObjectID="_1493479600" r:id="rId225"/>
        </w:object>
      </w:r>
      <w:r w:rsidRPr="00CF0952">
        <w:t>vector</w:t>
      </w:r>
      <w:r w:rsidRPr="00CF0952">
        <w:rPr>
          <w:position w:val="-14"/>
        </w:rPr>
        <w:t xml:space="preserve"> </w:t>
      </w:r>
      <w:r w:rsidR="007F7DED" w:rsidRPr="00CF0952">
        <w:rPr>
          <w:position w:val="-14"/>
        </w:rPr>
        <w:object w:dxaOrig="300" w:dyaOrig="400" w14:anchorId="73858EBF">
          <v:shape id="_x0000_i1135" type="#_x0000_t75" style="width:14.25pt;height:20.1pt" o:ole="">
            <v:imagedata r:id="rId226" o:title=""/>
          </v:shape>
          <o:OLEObject Type="Embed" ProgID="Equation.3" ShapeID="_x0000_i1135" DrawAspect="Content" ObjectID="_1493479601" r:id="rId227"/>
        </w:object>
      </w:r>
      <w:r w:rsidRPr="00CF0952">
        <w:t xml:space="preserve">, the </w:t>
      </w:r>
      <w:r w:rsidRPr="007F7DED">
        <w:rPr>
          <w:i/>
        </w:rPr>
        <w:t>C</w:t>
      </w:r>
      <w:r w:rsidRPr="00CF0952">
        <w:t xml:space="preserve"> error terms </w:t>
      </w:r>
      <w:r w:rsidR="007F7DED" w:rsidRPr="00CF0952">
        <w:rPr>
          <w:position w:val="-12"/>
        </w:rPr>
        <w:object w:dxaOrig="260" w:dyaOrig="360" w14:anchorId="65C2386F">
          <v:shape id="_x0000_i1136" type="#_x0000_t75" style="width:12.55pt;height:15.9pt" o:ole="">
            <v:imagedata r:id="rId228" o:title=""/>
          </v:shape>
          <o:OLEObject Type="Embed" ProgID="Equation.3" ShapeID="_x0000_i1136" DrawAspect="Content" ObjectID="_1493479602" r:id="rId229"/>
        </w:object>
      </w:r>
      <w:r w:rsidRPr="00CF0952">
        <w:t xml:space="preserve"> into another </w:t>
      </w:r>
      <w:r w:rsidR="007F7DED" w:rsidRPr="00CF0952">
        <w:rPr>
          <w:position w:val="-10"/>
        </w:rPr>
        <w:object w:dxaOrig="700" w:dyaOrig="320" w14:anchorId="66FBEEB0">
          <v:shape id="_x0000_i1137" type="#_x0000_t75" style="width:36.85pt;height:15.9pt" o:ole="">
            <v:imagedata r:id="rId224" o:title=""/>
          </v:shape>
          <o:OLEObject Type="Embed" ProgID="Equation.3" ShapeID="_x0000_i1137" DrawAspect="Content" ObjectID="_1493479603" r:id="rId230"/>
        </w:object>
      </w:r>
      <w:r w:rsidR="007F7DED">
        <w:t xml:space="preserve"> </w:t>
      </w:r>
      <w:r w:rsidRPr="00CF0952">
        <w:t>vector</w:t>
      </w:r>
      <w:r w:rsidRPr="00CF0952">
        <w:rPr>
          <w:position w:val="-14"/>
        </w:rPr>
        <w:t xml:space="preserve"> </w:t>
      </w:r>
      <w:r w:rsidR="007F7DED" w:rsidRPr="00CF0952">
        <w:rPr>
          <w:position w:val="-6"/>
        </w:rPr>
        <w:object w:dxaOrig="200" w:dyaOrig="279" w14:anchorId="6A00B325">
          <v:shape id="_x0000_i1138" type="#_x0000_t75" style="width:8.35pt;height:14.25pt" o:ole="">
            <v:imagedata r:id="rId231" o:title=""/>
          </v:shape>
          <o:OLEObject Type="Embed" ProgID="Equation.3" ShapeID="_x0000_i1138" DrawAspect="Content" ObjectID="_1493479604" r:id="rId232"/>
        </w:object>
      </w:r>
      <w:r w:rsidRPr="00CF0952">
        <w:t xml:space="preserve">. Let </w:t>
      </w:r>
      <w:r w:rsidR="004564B9" w:rsidRPr="00CF0952">
        <w:rPr>
          <w:position w:val="-12"/>
        </w:rPr>
        <w:object w:dxaOrig="2360" w:dyaOrig="380" w14:anchorId="37E59125">
          <v:shape id="_x0000_i1139" type="#_x0000_t75" style="width:118.9pt;height:18.4pt" o:ole="">
            <v:imagedata r:id="rId233" o:title=""/>
          </v:shape>
          <o:OLEObject Type="Embed" ProgID="Equation.3" ShapeID="_x0000_i1139" DrawAspect="Content" ObjectID="_1493479605" r:id="rId234"/>
        </w:object>
      </w:r>
      <w:r w:rsidRPr="00CF0952">
        <w:t xml:space="preserve"> from identification considerations, and stack the lower thresholds of the individual </w:t>
      </w:r>
      <w:r w:rsidR="004564B9" w:rsidRPr="00CF0952">
        <w:rPr>
          <w:position w:val="-14"/>
        </w:rPr>
        <w:object w:dxaOrig="1960" w:dyaOrig="380" w14:anchorId="7CFE1832">
          <v:shape id="_x0000_i1140" type="#_x0000_t75" style="width:97.95pt;height:18.4pt" o:ole="" o:preferrelative="f">
            <v:imagedata r:id="rId235" o:title=""/>
            <o:lock v:ext="edit" aspectratio="f"/>
          </v:shape>
          <o:OLEObject Type="Embed" ProgID="Equation.3" ShapeID="_x0000_i1140" DrawAspect="Content" ObjectID="_1493479606" r:id="rId236"/>
        </w:object>
      </w:r>
      <w:r w:rsidRPr="00CF0952">
        <w:rPr>
          <w:position w:val="-14"/>
        </w:rPr>
        <w:t xml:space="preserve"> </w:t>
      </w:r>
      <w:r w:rsidRPr="00CF0952">
        <w:t xml:space="preserve">into a </w:t>
      </w:r>
      <w:r w:rsidR="004564B9" w:rsidRPr="00CF0952">
        <w:rPr>
          <w:position w:val="-10"/>
        </w:rPr>
        <w:object w:dxaOrig="700" w:dyaOrig="320" w14:anchorId="3AF33B9D">
          <v:shape id="_x0000_i1141" type="#_x0000_t75" style="width:35.15pt;height:15.9pt" o:ole="" o:preferrelative="f">
            <v:imagedata r:id="rId237" o:title=""/>
            <o:lock v:ext="edit" aspectratio="f"/>
          </v:shape>
          <o:OLEObject Type="Embed" ProgID="Equation.3" ShapeID="_x0000_i1141" DrawAspect="Content" ObjectID="_1493479607" r:id="rId238"/>
        </w:object>
      </w:r>
      <w:r w:rsidRPr="00CF0952">
        <w:rPr>
          <w:position w:val="-10"/>
        </w:rPr>
        <w:t xml:space="preserve"> </w:t>
      </w:r>
      <w:proofErr w:type="gramStart"/>
      <w:r w:rsidRPr="00CF0952">
        <w:t xml:space="preserve">vector </w:t>
      </w:r>
      <w:proofErr w:type="gramEnd"/>
      <w:r w:rsidRPr="00CF0952">
        <w:rPr>
          <w:position w:val="-12"/>
        </w:rPr>
        <w:object w:dxaOrig="440" w:dyaOrig="360" w14:anchorId="2042BCD8">
          <v:shape id="_x0000_i1142" type="#_x0000_t75" style="width:21.75pt;height:18.4pt" o:ole="">
            <v:imagedata r:id="rId239" o:title=""/>
          </v:shape>
          <o:OLEObject Type="Embed" ProgID="Equation.3" ShapeID="_x0000_i1142" DrawAspect="Content" ObjectID="_1493479608" r:id="rId240"/>
        </w:object>
      </w:r>
      <w:r w:rsidRPr="00CF0952">
        <w:t>,</w:t>
      </w:r>
      <w:r w:rsidRPr="00CF0952">
        <w:rPr>
          <w:position w:val="-12"/>
        </w:rPr>
        <w:t xml:space="preserve"> </w:t>
      </w:r>
      <w:r w:rsidRPr="00CF0952">
        <w:t xml:space="preserve">and the upper thresholds </w:t>
      </w:r>
      <w:r w:rsidR="004564B9" w:rsidRPr="00CF0952">
        <w:rPr>
          <w:position w:val="-14"/>
        </w:rPr>
        <w:object w:dxaOrig="1820" w:dyaOrig="380" w14:anchorId="3B5376E5">
          <v:shape id="_x0000_i1143" type="#_x0000_t75" style="width:90.4pt;height:18.4pt" o:ole="" o:preferrelative="f">
            <v:imagedata r:id="rId241" o:title=""/>
            <o:lock v:ext="edit" aspectratio="f"/>
          </v:shape>
          <o:OLEObject Type="Embed" ProgID="Equation.3" ShapeID="_x0000_i1143" DrawAspect="Content" ObjectID="_1493479609" r:id="rId242"/>
        </w:object>
      </w:r>
      <w:r w:rsidRPr="00CF0952">
        <w:t xml:space="preserve"> into another </w:t>
      </w:r>
      <w:r w:rsidR="004564B9" w:rsidRPr="00CF0952">
        <w:rPr>
          <w:position w:val="-10"/>
        </w:rPr>
        <w:object w:dxaOrig="700" w:dyaOrig="320" w14:anchorId="0C051386">
          <v:shape id="_x0000_i1144" type="#_x0000_t75" style="width:35.15pt;height:15.9pt" o:ole="" o:preferrelative="f">
            <v:imagedata r:id="rId243" o:title=""/>
            <o:lock v:ext="edit" aspectratio="f"/>
          </v:shape>
          <o:OLEObject Type="Embed" ProgID="Equation.3" ShapeID="_x0000_i1144" DrawAspect="Content" ObjectID="_1493479610" r:id="rId244"/>
        </w:object>
      </w:r>
      <w:r w:rsidRPr="00CF0952">
        <w:t xml:space="preserve">vector </w:t>
      </w:r>
      <w:r w:rsidRPr="00CF0952">
        <w:rPr>
          <w:position w:val="-14"/>
        </w:rPr>
        <w:object w:dxaOrig="400" w:dyaOrig="380" w14:anchorId="39CAB779">
          <v:shape id="_x0000_i1145" type="#_x0000_t75" style="width:19.25pt;height:19.25pt" o:ole="">
            <v:imagedata r:id="rId245" o:title=""/>
          </v:shape>
          <o:OLEObject Type="Embed" ProgID="Equation.3" ShapeID="_x0000_i1145" DrawAspect="Content" ObjectID="_1493479611" r:id="rId246"/>
        </w:object>
      </w:r>
      <w:r w:rsidRPr="00CF0952">
        <w:t>. Define</w:t>
      </w:r>
      <w:r>
        <w:t xml:space="preserve"> </w:t>
      </w:r>
      <w:r w:rsidR="004564B9" w:rsidRPr="00963FFE">
        <w:rPr>
          <w:position w:val="-12"/>
        </w:rPr>
        <w:object w:dxaOrig="1800" w:dyaOrig="360" w14:anchorId="30ED74D9">
          <v:shape id="_x0000_i1146" type="#_x0000_t75" style="width:90.4pt;height:18.4pt" o:ole="">
            <v:imagedata r:id="rId247" o:title=""/>
          </v:shape>
          <o:OLEObject Type="Embed" ProgID="Equation.3" ShapeID="_x0000_i1146" DrawAspect="Content" ObjectID="_1493479612" r:id="rId248"/>
        </w:object>
      </w:r>
      <w:r w:rsidRPr="00CF0952">
        <w:t xml:space="preserve">  [</w:t>
      </w:r>
      <w:r w:rsidR="004564B9" w:rsidRPr="00CF0952">
        <w:rPr>
          <w:position w:val="-10"/>
        </w:rPr>
        <w:object w:dxaOrig="780" w:dyaOrig="320" w14:anchorId="20A88525">
          <v:shape id="_x0000_i1147" type="#_x0000_t75" style="width:38.5pt;height:15.9pt" o:ole="" o:preferrelative="f">
            <v:imagedata r:id="rId249" o:title=""/>
            <o:lock v:ext="edit" aspectratio="f"/>
          </v:shape>
          <o:OLEObject Type="Embed" ProgID="Equation.3" ShapeID="_x0000_i1147" DrawAspect="Content" ObjectID="_1493479613" r:id="rId250"/>
        </w:object>
      </w:r>
      <w:r w:rsidRPr="00CF0952">
        <w:rPr>
          <w:position w:val="-10"/>
        </w:rPr>
        <w:t xml:space="preserve"> </w:t>
      </w:r>
      <w:r w:rsidRPr="00CF0952">
        <w:t>matrix</w:t>
      </w:r>
      <w:proofErr w:type="gramStart"/>
      <w:r w:rsidRPr="00CF0952">
        <w:t>]  and</w:t>
      </w:r>
      <w:proofErr w:type="gramEnd"/>
      <w:r w:rsidRPr="00CF0952">
        <w:t xml:space="preserve"> </w:t>
      </w:r>
      <w:r w:rsidR="004564B9" w:rsidRPr="00CF0952">
        <w:rPr>
          <w:position w:val="-14"/>
        </w:rPr>
        <w:object w:dxaOrig="1800" w:dyaOrig="520" w14:anchorId="7C08ADE3">
          <v:shape id="_x0000_i1148" type="#_x0000_t75" style="width:90.4pt;height:25.95pt" o:ole="" o:preferrelative="f">
            <v:imagedata r:id="rId251" o:title=""/>
            <o:lock v:ext="edit" aspectratio="f"/>
          </v:shape>
          <o:OLEObject Type="Embed" ProgID="Equation.3" ShapeID="_x0000_i1148" DrawAspect="Content" ObjectID="_1493479614" r:id="rId252"/>
        </w:object>
      </w:r>
      <w:r w:rsidRPr="00CF0952">
        <w:rPr>
          <w:position w:val="-12"/>
        </w:rPr>
        <w:t xml:space="preserve"> </w:t>
      </w:r>
      <w:r w:rsidR="004564B9" w:rsidRPr="00CF0952">
        <w:rPr>
          <w:position w:val="-10"/>
        </w:rPr>
        <w:object w:dxaOrig="880" w:dyaOrig="320" w14:anchorId="7403C84F">
          <v:shape id="_x0000_i1149" type="#_x0000_t75" style="width:44.35pt;height:15.9pt" o:ole="" o:preferrelative="f">
            <v:imagedata r:id="rId253" o:title=""/>
            <o:lock v:ext="edit" aspectratio="f"/>
          </v:shape>
          <o:OLEObject Type="Embed" ProgID="Equation.3" ShapeID="_x0000_i1149" DrawAspect="Content" ObjectID="_1493479615" r:id="rId254"/>
        </w:object>
      </w:r>
      <w:r w:rsidRPr="00CF0952">
        <w:rPr>
          <w:position w:val="-10"/>
        </w:rPr>
        <w:t xml:space="preserve"> </w:t>
      </w:r>
      <w:r w:rsidRPr="00CF0952">
        <w:t xml:space="preserve">matrix]. With these definitions, the latent propensity underlying the count outcomes may be written in matrix form as: </w:t>
      </w:r>
    </w:p>
    <w:p w14:paraId="50358426" w14:textId="3695C980" w:rsidR="00864C60" w:rsidRPr="00CF0952" w:rsidRDefault="004564B9" w:rsidP="00FF6F93">
      <w:pPr>
        <w:tabs>
          <w:tab w:val="right" w:pos="9360"/>
        </w:tabs>
        <w:jc w:val="both"/>
      </w:pPr>
      <w:r w:rsidRPr="00CF0952">
        <w:rPr>
          <w:position w:val="-14"/>
        </w:rPr>
        <w:object w:dxaOrig="2960" w:dyaOrig="420" w14:anchorId="50287FCD">
          <v:shape id="_x0000_i1150" type="#_x0000_t75" style="width:148.2pt;height:20.95pt" o:ole="" o:preferrelative="f">
            <v:imagedata r:id="rId255" o:title=""/>
            <o:lock v:ext="edit" aspectratio="f"/>
          </v:shape>
          <o:OLEObject Type="Embed" ProgID="Equation.3" ShapeID="_x0000_i1150" DrawAspect="Content" ObjectID="_1493479616" r:id="rId256"/>
        </w:object>
      </w:r>
      <w:r w:rsidR="00864C60">
        <w:tab/>
        <w:t xml:space="preserve"> (8)</w:t>
      </w:r>
    </w:p>
    <w:p w14:paraId="301B79CD" w14:textId="51EB0F2F" w:rsidR="00864C60" w:rsidRPr="00CF0952" w:rsidRDefault="00864C60" w:rsidP="00864C60">
      <w:pPr>
        <w:ind w:firstLine="720"/>
        <w:jc w:val="both"/>
      </w:pPr>
      <w:r w:rsidRPr="00CF0952">
        <w:t xml:space="preserve">Finally, let there be </w:t>
      </w:r>
      <w:r w:rsidRPr="00CF0952">
        <w:rPr>
          <w:i/>
        </w:rPr>
        <w:t>G</w:t>
      </w:r>
      <w:r w:rsidRPr="00CF0952">
        <w:t xml:space="preserve"> nominal (unordered-response) variables </w:t>
      </w:r>
      <w:r w:rsidR="008479C0">
        <w:t xml:space="preserve">for an </w:t>
      </w:r>
      <w:proofErr w:type="gramStart"/>
      <w:r w:rsidR="008479C0">
        <w:t>individual</w:t>
      </w:r>
      <w:r w:rsidR="003D4333">
        <w:t xml:space="preserve"> </w:t>
      </w:r>
      <w:proofErr w:type="gramEnd"/>
      <w:r w:rsidR="003D4333" w:rsidRPr="003D4333">
        <w:rPr>
          <w:position w:val="-10"/>
        </w:rPr>
        <w:object w:dxaOrig="1620" w:dyaOrig="320" w14:anchorId="49F89F8C">
          <v:shape id="_x0000_i1151" type="#_x0000_t75" style="width:81.2pt;height:15.9pt" o:ole="">
            <v:imagedata r:id="rId257" o:title=""/>
          </v:shape>
          <o:OLEObject Type="Embed" ProgID="Equation.3" ShapeID="_x0000_i1151" DrawAspect="Content" ObjectID="_1493479617" r:id="rId258"/>
        </w:object>
      </w:r>
      <w:r w:rsidRPr="00CF0952">
        <w:t xml:space="preserve">. Also, let </w:t>
      </w:r>
      <w:r w:rsidRPr="00CF0952">
        <w:rPr>
          <w:i/>
        </w:rPr>
        <w:t>I</w:t>
      </w:r>
      <w:r w:rsidRPr="00CF0952">
        <w:rPr>
          <w:i/>
          <w:vertAlign w:val="subscript"/>
        </w:rPr>
        <w:t>g</w:t>
      </w:r>
      <w:r w:rsidRPr="00CF0952">
        <w:t xml:space="preserve"> be the number of alternatives corresponding to the </w:t>
      </w:r>
      <w:proofErr w:type="spellStart"/>
      <w:r w:rsidRPr="00CF0952">
        <w:rPr>
          <w:i/>
        </w:rPr>
        <w:t>g</w:t>
      </w:r>
      <w:r w:rsidRPr="00CF0952">
        <w:rPr>
          <w:vertAlign w:val="superscript"/>
        </w:rPr>
        <w:t>th</w:t>
      </w:r>
      <w:proofErr w:type="spellEnd"/>
      <w:r w:rsidRPr="00CF0952">
        <w:t xml:space="preserve"> nominal variable (</w:t>
      </w:r>
      <w:r w:rsidRPr="00CF0952">
        <w:rPr>
          <w:i/>
        </w:rPr>
        <w:t>I</w:t>
      </w:r>
      <w:r w:rsidRPr="00CF0952">
        <w:rPr>
          <w:i/>
          <w:vertAlign w:val="subscript"/>
        </w:rPr>
        <w:t>g</w:t>
      </w:r>
      <w:r w:rsidRPr="00CF0952">
        <w:rPr>
          <w:position w:val="-4"/>
        </w:rPr>
        <w:object w:dxaOrig="200" w:dyaOrig="240" w14:anchorId="3CBBB41D">
          <v:shape id="_x0000_i1152" type="#_x0000_t75" style="width:10.9pt;height:11.7pt" o:ole="">
            <v:imagedata r:id="rId259" o:title=""/>
          </v:shape>
          <o:OLEObject Type="Embed" ProgID="Equation.3" ShapeID="_x0000_i1152" DrawAspect="Content" ObjectID="_1493479618" r:id="rId260"/>
        </w:object>
      </w:r>
      <w:r w:rsidR="004D41D9">
        <w:t>2</w:t>
      </w:r>
      <w:r w:rsidRPr="00CF0952">
        <w:t xml:space="preserve">) and let </w:t>
      </w:r>
      <w:r w:rsidRPr="00CF0952">
        <w:rPr>
          <w:position w:val="-14"/>
        </w:rPr>
        <w:object w:dxaOrig="220" w:dyaOrig="380" w14:anchorId="07F991CF">
          <v:shape id="_x0000_i1153" type="#_x0000_t75" style="width:11.7pt;height:18.4pt" o:ole="">
            <v:imagedata r:id="rId261" o:title=""/>
          </v:shape>
          <o:OLEObject Type="Embed" ProgID="Equation.3" ShapeID="_x0000_i1153" DrawAspect="Content" ObjectID="_1493479619" r:id="rId262"/>
        </w:object>
      </w:r>
      <w:r w:rsidRPr="00CF0952">
        <w:t xml:space="preserve"> be the corresponding </w:t>
      </w:r>
      <w:proofErr w:type="gramStart"/>
      <w:r w:rsidRPr="00CF0952">
        <w:t>index</w:t>
      </w:r>
      <w:r w:rsidR="003D4333">
        <w:t xml:space="preserve"> </w:t>
      </w:r>
      <w:proofErr w:type="gramEnd"/>
      <w:r w:rsidR="003D4333" w:rsidRPr="003D4333">
        <w:rPr>
          <w:position w:val="-14"/>
        </w:rPr>
        <w:object w:dxaOrig="1719" w:dyaOrig="380" w14:anchorId="5CC0CA2F">
          <v:shape id="_x0000_i1154" type="#_x0000_t75" style="width:86.25pt;height:18.4pt" o:ole="">
            <v:imagedata r:id="rId263" o:title=""/>
          </v:shape>
          <o:OLEObject Type="Embed" ProgID="Equation.3" ShapeID="_x0000_i1154" DrawAspect="Content" ObjectID="_1493479620" r:id="rId264"/>
        </w:object>
      </w:r>
      <w:r w:rsidRPr="00CF0952">
        <w:t xml:space="preserve">. Consider the </w:t>
      </w:r>
      <w:proofErr w:type="spellStart"/>
      <w:r w:rsidRPr="00CF0952">
        <w:rPr>
          <w:i/>
        </w:rPr>
        <w:t>g</w:t>
      </w:r>
      <w:r w:rsidRPr="00CF0952">
        <w:rPr>
          <w:vertAlign w:val="superscript"/>
        </w:rPr>
        <w:t>th</w:t>
      </w:r>
      <w:proofErr w:type="spellEnd"/>
      <w:r w:rsidRPr="00CF0952">
        <w:t xml:space="preserve"> nominal variable and assume that the individual under consideration chooses the </w:t>
      </w:r>
      <w:proofErr w:type="gramStart"/>
      <w:r w:rsidRPr="00CF0952">
        <w:t xml:space="preserve">alternative </w:t>
      </w:r>
      <w:proofErr w:type="gramEnd"/>
      <w:r w:rsidRPr="00CF0952">
        <w:rPr>
          <w:position w:val="-14"/>
        </w:rPr>
        <w:object w:dxaOrig="340" w:dyaOrig="380" w14:anchorId="27A942EC">
          <v:shape id="_x0000_i1155" type="#_x0000_t75" style="width:18.4pt;height:18.4pt" o:ole="">
            <v:imagedata r:id="rId265" o:title=""/>
          </v:shape>
          <o:OLEObject Type="Embed" ProgID="Equation.3" ShapeID="_x0000_i1155" DrawAspect="Content" ObjectID="_1493479621" r:id="rId266"/>
        </w:object>
      </w:r>
      <w:r w:rsidRPr="00CF0952">
        <w:t xml:space="preserve">. </w:t>
      </w:r>
      <w:r w:rsidR="005B47E2">
        <w:t xml:space="preserve">Also, assume the usual </w:t>
      </w:r>
      <w:r w:rsidR="005B47E2" w:rsidRPr="00CF0952">
        <w:t xml:space="preserve">utility structure </w:t>
      </w:r>
      <w:r w:rsidR="005B47E2">
        <w:t xml:space="preserve">(see, for example, Bhat, 2000) </w:t>
      </w:r>
      <w:r w:rsidR="005B47E2" w:rsidRPr="00CF0952">
        <w:t xml:space="preserve">for each </w:t>
      </w:r>
      <w:proofErr w:type="gramStart"/>
      <w:r w:rsidR="005B47E2" w:rsidRPr="00CF0952">
        <w:t>alternative</w:t>
      </w:r>
      <w:r w:rsidRPr="00CF0952">
        <w:t xml:space="preserve"> </w:t>
      </w:r>
      <w:proofErr w:type="gramEnd"/>
      <w:r w:rsidRPr="00CF0952">
        <w:rPr>
          <w:position w:val="-14"/>
        </w:rPr>
        <w:object w:dxaOrig="220" w:dyaOrig="380" w14:anchorId="23790F1C">
          <v:shape id="_x0000_i1156" type="#_x0000_t75" style="width:11.7pt;height:18.4pt" o:ole="">
            <v:imagedata r:id="rId267" o:title=""/>
          </v:shape>
          <o:OLEObject Type="Embed" ProgID="Equation.3" ShapeID="_x0000_i1156" DrawAspect="Content" ObjectID="_1493479622" r:id="rId268"/>
        </w:object>
      </w:r>
      <w:r w:rsidRPr="00CF0952">
        <w:t>.</w:t>
      </w:r>
      <w:r w:rsidRPr="00CF0952">
        <w:tab/>
      </w:r>
    </w:p>
    <w:p w14:paraId="291C78B4" w14:textId="20AAFBE5" w:rsidR="00864C60" w:rsidRPr="00CF0952" w:rsidRDefault="003D4333" w:rsidP="00FF6F93">
      <w:pPr>
        <w:tabs>
          <w:tab w:val="right" w:pos="9360"/>
        </w:tabs>
        <w:jc w:val="both"/>
      </w:pPr>
      <w:r w:rsidRPr="00CF0952">
        <w:rPr>
          <w:position w:val="-16"/>
        </w:rPr>
        <w:object w:dxaOrig="3159" w:dyaOrig="420" w14:anchorId="76456190">
          <v:shape id="_x0000_i1157" type="#_x0000_t75" style="width:150.7pt;height:20.1pt" o:ole="">
            <v:imagedata r:id="rId269" o:title=""/>
          </v:shape>
          <o:OLEObject Type="Embed" ProgID="Equation.3" ShapeID="_x0000_i1157" DrawAspect="Content" ObjectID="_1493479623" r:id="rId270"/>
        </w:object>
      </w:r>
      <w:r w:rsidR="00864C60">
        <w:tab/>
        <w:t xml:space="preserve"> (9)</w:t>
      </w:r>
    </w:p>
    <w:p w14:paraId="322E3202" w14:textId="195F9BFA" w:rsidR="00864C60" w:rsidRPr="003D4333" w:rsidRDefault="00864C60" w:rsidP="00864C60">
      <w:pPr>
        <w:jc w:val="both"/>
      </w:pPr>
      <w:proofErr w:type="gramStart"/>
      <w:r w:rsidRPr="00CF0952">
        <w:t>where</w:t>
      </w:r>
      <w:proofErr w:type="gramEnd"/>
      <w:r w:rsidRPr="00CF0952">
        <w:t xml:space="preserve"> </w:t>
      </w:r>
      <w:r w:rsidR="003D4333" w:rsidRPr="003D4333">
        <w:rPr>
          <w:b/>
          <w:i/>
        </w:rPr>
        <w:t>x</w:t>
      </w:r>
      <w:r w:rsidRPr="00CF0952">
        <w:t xml:space="preserve"> is the same fixed vector as earlier, </w:t>
      </w:r>
      <w:r w:rsidR="003D4333" w:rsidRPr="00CF0952">
        <w:rPr>
          <w:position w:val="-16"/>
        </w:rPr>
        <w:object w:dxaOrig="380" w:dyaOrig="400" w14:anchorId="094EEE47">
          <v:shape id="_x0000_i1158" type="#_x0000_t75" style="width:19.25pt;height:19.25pt" o:ole="">
            <v:imagedata r:id="rId271" o:title=""/>
          </v:shape>
          <o:OLEObject Type="Embed" ProgID="Equation.3" ShapeID="_x0000_i1158" DrawAspect="Content" ObjectID="_1493479624" r:id="rId272"/>
        </w:object>
      </w:r>
      <w:r w:rsidRPr="00CF0952">
        <w:t xml:space="preserve"> is an </w:t>
      </w:r>
      <w:r w:rsidRPr="00CF0952">
        <w:rPr>
          <w:position w:val="-10"/>
        </w:rPr>
        <w:object w:dxaOrig="680" w:dyaOrig="320" w14:anchorId="3417CED8">
          <v:shape id="_x0000_i1159" type="#_x0000_t75" style="width:33.5pt;height:15.9pt" o:ole="">
            <v:imagedata r:id="rId273" o:title=""/>
          </v:shape>
          <o:OLEObject Type="Embed" ProgID="Equation.3" ShapeID="_x0000_i1159" DrawAspect="Content" ObjectID="_1493479625" r:id="rId274"/>
        </w:object>
      </w:r>
      <w:r w:rsidRPr="00CF0952">
        <w:t xml:space="preserve"> column vector of corresponding coefficients, and </w:t>
      </w:r>
      <w:r w:rsidRPr="00CF0952">
        <w:rPr>
          <w:position w:val="-16"/>
        </w:rPr>
        <w:object w:dxaOrig="380" w:dyaOrig="400" w14:anchorId="1066FF07">
          <v:shape id="_x0000_i1160" type="#_x0000_t75" style="width:18.4pt;height:19.25pt" o:ole="">
            <v:imagedata r:id="rId275" o:title=""/>
          </v:shape>
          <o:OLEObject Type="Embed" ProgID="Equation.3" ShapeID="_x0000_i1160" DrawAspect="Content" ObjectID="_1493479626" r:id="rId276"/>
        </w:object>
      </w:r>
      <w:r w:rsidRPr="00CF0952">
        <w:t xml:space="preserve">is a normal error term. </w:t>
      </w:r>
      <w:r w:rsidRPr="00CF0952">
        <w:rPr>
          <w:position w:val="-16"/>
        </w:rPr>
        <w:object w:dxaOrig="420" w:dyaOrig="400" w14:anchorId="5A5258C1">
          <v:shape id="_x0000_i1161" type="#_x0000_t75" style="width:21.75pt;height:19.25pt" o:ole="">
            <v:imagedata r:id="rId277" o:title=""/>
          </v:shape>
          <o:OLEObject Type="Embed" ProgID="Equation.3" ShapeID="_x0000_i1161" DrawAspect="Content" ObjectID="_1493479627" r:id="rId278"/>
        </w:object>
      </w:r>
      <w:r w:rsidRPr="00CF0952">
        <w:t xml:space="preserve"> </w:t>
      </w:r>
      <w:proofErr w:type="gramStart"/>
      <w:r w:rsidRPr="00CF0952">
        <w:t>is</w:t>
      </w:r>
      <w:proofErr w:type="gramEnd"/>
      <w:r w:rsidRPr="00CF0952">
        <w:t xml:space="preserve"> a </w:t>
      </w:r>
      <w:r w:rsidR="003D4333" w:rsidRPr="00CF0952">
        <w:rPr>
          <w:position w:val="-16"/>
        </w:rPr>
        <w:object w:dxaOrig="999" w:dyaOrig="400" w14:anchorId="2423BA35">
          <v:shape id="_x0000_i1162" type="#_x0000_t75" style="width:49.4pt;height:18.4pt" o:ole="">
            <v:imagedata r:id="rId279" o:title=""/>
          </v:shape>
          <o:OLEObject Type="Embed" ProgID="Equation.3" ShapeID="_x0000_i1162" DrawAspect="Content" ObjectID="_1493479628" r:id="rId280"/>
        </w:object>
      </w:r>
      <w:r w:rsidRPr="00CF0952">
        <w:t xml:space="preserve">-matrix of variables interacting with latent variables to influence the utility of alternative </w:t>
      </w:r>
      <w:r w:rsidRPr="00CF0952">
        <w:rPr>
          <w:position w:val="-14"/>
        </w:rPr>
        <w:object w:dxaOrig="220" w:dyaOrig="380" w14:anchorId="09AB51C8">
          <v:shape id="_x0000_i1163" type="#_x0000_t75" style="width:11.7pt;height:18.4pt" o:ole="">
            <v:imagedata r:id="rId267" o:title=""/>
          </v:shape>
          <o:OLEObject Type="Embed" ProgID="Equation.3" ShapeID="_x0000_i1163" DrawAspect="Content" ObjectID="_1493479629" r:id="rId281"/>
        </w:object>
      </w:r>
      <w:r w:rsidRPr="00CF0952">
        <w:t xml:space="preserve">, and </w:t>
      </w:r>
      <w:r w:rsidR="00F95001" w:rsidRPr="00681AD0">
        <w:rPr>
          <w:position w:val="-16"/>
        </w:rPr>
        <w:object w:dxaOrig="400" w:dyaOrig="400" w14:anchorId="43D86924">
          <v:shape id="_x0000_i1164" type="#_x0000_t75" style="width:19.25pt;height:19.25pt" o:ole="">
            <v:imagedata r:id="rId282" o:title=""/>
          </v:shape>
          <o:OLEObject Type="Embed" ProgID="Equation.3" ShapeID="_x0000_i1164" DrawAspect="Content" ObjectID="_1493479630" r:id="rId283"/>
        </w:object>
      </w:r>
      <w:r w:rsidRPr="00CF0952">
        <w:t xml:space="preserve"> is a</w:t>
      </w:r>
      <w:r w:rsidR="00F95001">
        <w:t>n</w:t>
      </w:r>
      <w:r w:rsidRPr="00CF0952">
        <w:t xml:space="preserve"> </w:t>
      </w:r>
      <w:r w:rsidRPr="00CF0952">
        <w:rPr>
          <w:position w:val="-16"/>
        </w:rPr>
        <w:object w:dxaOrig="940" w:dyaOrig="400" w14:anchorId="527AE73A">
          <v:shape id="_x0000_i1165" type="#_x0000_t75" style="width:47.7pt;height:18.4pt" o:ole="">
            <v:imagedata r:id="rId284" o:title=""/>
          </v:shape>
          <o:OLEObject Type="Embed" ProgID="Equation.3" ShapeID="_x0000_i1165" DrawAspect="Content" ObjectID="_1493479631" r:id="rId285"/>
        </w:object>
      </w:r>
      <w:r w:rsidRPr="00CF0952">
        <w:t>-column vector of coefficients capturing the effects of latent variables and its interaction effects with other exogenous variables</w:t>
      </w:r>
      <w:r w:rsidR="008479C0">
        <w:t xml:space="preserve"> (see Bhat and Dubey, 2014)</w:t>
      </w:r>
      <w:r w:rsidRPr="00CF0952">
        <w:t xml:space="preserve">. Let </w:t>
      </w:r>
      <w:r w:rsidR="003D4333" w:rsidRPr="00CF0952">
        <w:rPr>
          <w:position w:val="-16"/>
        </w:rPr>
        <w:object w:dxaOrig="2140" w:dyaOrig="400" w14:anchorId="50057E73">
          <v:shape id="_x0000_i1166" type="#_x0000_t75" style="width:107.15pt;height:19.25pt" o:ole="">
            <v:imagedata r:id="rId286" o:title=""/>
          </v:shape>
          <o:OLEObject Type="Embed" ProgID="Equation.3" ShapeID="_x0000_i1166" DrawAspect="Content" ObjectID="_1493479632" r:id="rId287"/>
        </w:object>
      </w:r>
      <w:r w:rsidRPr="00CF0952">
        <w:t xml:space="preserve"> (</w:t>
      </w:r>
      <w:r w:rsidRPr="00CF0952">
        <w:rPr>
          <w:position w:val="-14"/>
        </w:rPr>
        <w:object w:dxaOrig="580" w:dyaOrig="380" w14:anchorId="7DD0EE92">
          <v:shape id="_x0000_i1167" type="#_x0000_t75" style="width:29.3pt;height:19.25pt" o:ole="">
            <v:imagedata r:id="rId288" o:title=""/>
          </v:shape>
          <o:OLEObject Type="Embed" ProgID="Equation.3" ShapeID="_x0000_i1167" DrawAspect="Content" ObjectID="_1493479633" r:id="rId289"/>
        </w:object>
      </w:r>
      <w:r w:rsidRPr="00CF0952">
        <w:t xml:space="preserve"> vector), </w:t>
      </w:r>
      <w:proofErr w:type="gramStart"/>
      <w:r w:rsidRPr="00CF0952">
        <w:t xml:space="preserve">and </w:t>
      </w:r>
      <w:proofErr w:type="gramEnd"/>
      <w:r w:rsidR="003D4333" w:rsidRPr="00CF0952">
        <w:rPr>
          <w:position w:val="-16"/>
        </w:rPr>
        <w:object w:dxaOrig="1920" w:dyaOrig="400" w14:anchorId="535D4D5A">
          <v:shape id="_x0000_i1168" type="#_x0000_t75" style="width:96.3pt;height:21.75pt" o:ole="">
            <v:imagedata r:id="rId290" o:title=""/>
          </v:shape>
          <o:OLEObject Type="Embed" ProgID="Equation.3" ShapeID="_x0000_i1168" DrawAspect="Content" ObjectID="_1493479634" r:id="rId291"/>
        </w:object>
      </w:r>
      <w:r w:rsidRPr="00CF0952">
        <w:t xml:space="preserve">. Taking the difference with respect to the first alternative, only the elements of the covariance matrix </w:t>
      </w:r>
      <w:r w:rsidRPr="00CF0952">
        <w:rPr>
          <w:position w:val="-14"/>
        </w:rPr>
        <w:object w:dxaOrig="360" w:dyaOrig="400" w14:anchorId="3D6D4857">
          <v:shape id="_x0000_i1169" type="#_x0000_t75" style="width:16.75pt;height:19.25pt" o:ole="">
            <v:imagedata r:id="rId292" o:title=""/>
          </v:shape>
          <o:OLEObject Type="Embed" ProgID="Equation.3" ShapeID="_x0000_i1169" DrawAspect="Content" ObjectID="_1493479635" r:id="rId293"/>
        </w:object>
      </w:r>
      <w:r w:rsidRPr="00CF0952">
        <w:t xml:space="preserve"> of the covariance matrix of the error differences, </w:t>
      </w:r>
      <w:r w:rsidR="003D4333" w:rsidRPr="00CF0952">
        <w:rPr>
          <w:position w:val="-16"/>
        </w:rPr>
        <w:object w:dxaOrig="2079" w:dyaOrig="400" w14:anchorId="247D18DC">
          <v:shape id="_x0000_i1170" type="#_x0000_t75" style="width:102.15pt;height:19.25pt" o:ole="">
            <v:imagedata r:id="rId294" o:title=""/>
          </v:shape>
          <o:OLEObject Type="Embed" ProgID="Equation.3" ShapeID="_x0000_i1170" DrawAspect="Content" ObjectID="_1493479636" r:id="rId295"/>
        </w:object>
      </w:r>
      <w:r w:rsidRPr="00CF0952">
        <w:t xml:space="preserve"> (</w:t>
      </w:r>
      <w:proofErr w:type="gramStart"/>
      <w:r w:rsidRPr="00CF0952">
        <w:t xml:space="preserve">where </w:t>
      </w:r>
      <w:proofErr w:type="gramEnd"/>
      <w:r w:rsidRPr="00CF0952">
        <w:rPr>
          <w:position w:val="-14"/>
        </w:rPr>
        <w:object w:dxaOrig="1359" w:dyaOrig="380" w14:anchorId="6E2F6EEF">
          <v:shape id="_x0000_i1171" type="#_x0000_t75" style="width:68.65pt;height:19.25pt" o:ole="">
            <v:imagedata r:id="rId296" o:title=""/>
          </v:shape>
          <o:OLEObject Type="Embed" ProgID="Equation.3" ShapeID="_x0000_i1171" DrawAspect="Content" ObjectID="_1493479637" r:id="rId297"/>
        </w:object>
      </w:r>
      <w:r w:rsidRPr="00CF0952">
        <w:t>,</w:t>
      </w:r>
      <w:r w:rsidRPr="00CF0952">
        <w:rPr>
          <w:position w:val="-10"/>
        </w:rPr>
        <w:object w:dxaOrig="520" w:dyaOrig="320" w14:anchorId="2CBFBDD0">
          <v:shape id="_x0000_i1172" type="#_x0000_t75" style="width:26.8pt;height:15.05pt" o:ole="">
            <v:imagedata r:id="rId298" o:title=""/>
          </v:shape>
          <o:OLEObject Type="Embed" ProgID="Equation.3" ShapeID="_x0000_i1172" DrawAspect="Content" ObjectID="_1493479638" r:id="rId299"/>
        </w:object>
      </w:r>
      <w:r w:rsidRPr="00CF0952">
        <w:t>), are estimable.</w:t>
      </w:r>
      <w:r w:rsidR="008479C0">
        <w:t xml:space="preserve"> </w:t>
      </w:r>
      <w:r w:rsidR="008479C0" w:rsidRPr="00CF0952">
        <w:t xml:space="preserve"> </w:t>
      </w:r>
      <w:r w:rsidRPr="00CF0952">
        <w:t xml:space="preserve">Further, the variance term at the top left diagonal of </w:t>
      </w:r>
      <w:r w:rsidRPr="00CF0952">
        <w:rPr>
          <w:position w:val="-14"/>
        </w:rPr>
        <w:object w:dxaOrig="360" w:dyaOrig="400" w14:anchorId="52E1991F">
          <v:shape id="_x0000_i1173" type="#_x0000_t75" style="width:16.75pt;height:19.25pt" o:ole="">
            <v:imagedata r:id="rId300" o:title=""/>
          </v:shape>
          <o:OLEObject Type="Embed" ProgID="Equation.3" ShapeID="_x0000_i1173" DrawAspect="Content" ObjectID="_1493479639" r:id="rId301"/>
        </w:object>
      </w:r>
      <w:r w:rsidRPr="00CF0952">
        <w:t xml:space="preserve"> </w:t>
      </w:r>
      <w:r w:rsidR="003D4333" w:rsidRPr="003D4333">
        <w:rPr>
          <w:position w:val="-10"/>
        </w:rPr>
        <w:object w:dxaOrig="1420" w:dyaOrig="320" w14:anchorId="0FBC29AD">
          <v:shape id="_x0000_i1174" type="#_x0000_t75" style="width:71.15pt;height:15.9pt" o:ole="">
            <v:imagedata r:id="rId302" o:title=""/>
          </v:shape>
          <o:OLEObject Type="Embed" ProgID="Equation.3" ShapeID="_x0000_i1174" DrawAspect="Content" ObjectID="_1493479640" r:id="rId303"/>
        </w:object>
      </w:r>
      <w:r w:rsidR="003D4333">
        <w:t xml:space="preserve"> </w:t>
      </w:r>
      <w:r w:rsidRPr="00CF0952">
        <w:t xml:space="preserve">is set to one to account for scale invariance. </w:t>
      </w:r>
      <w:r w:rsidRPr="00CF0952">
        <w:rPr>
          <w:position w:val="-14"/>
        </w:rPr>
        <w:object w:dxaOrig="340" w:dyaOrig="380" w14:anchorId="33BC1BD2">
          <v:shape id="_x0000_i1175" type="#_x0000_t75" style="width:18.4pt;height:18.4pt" o:ole="">
            <v:imagedata r:id="rId304" o:title=""/>
          </v:shape>
          <o:OLEObject Type="Embed" ProgID="Equation.3" ShapeID="_x0000_i1175" DrawAspect="Content" ObjectID="_1493479641" r:id="rId305"/>
        </w:object>
      </w:r>
      <w:r w:rsidRPr="00CF0952">
        <w:t xml:space="preserve"> </w:t>
      </w:r>
      <w:proofErr w:type="gramStart"/>
      <w:r w:rsidRPr="00CF0952">
        <w:t>is</w:t>
      </w:r>
      <w:proofErr w:type="gramEnd"/>
      <w:r w:rsidRPr="00CF0952">
        <w:t xml:space="preserve"> constructed from </w:t>
      </w:r>
      <w:r w:rsidRPr="00CF0952">
        <w:rPr>
          <w:position w:val="-14"/>
        </w:rPr>
        <w:object w:dxaOrig="340" w:dyaOrig="400" w14:anchorId="52840DCC">
          <v:shape id="_x0000_i1176" type="#_x0000_t75" style="width:15.9pt;height:19.25pt" o:ole="">
            <v:imagedata r:id="rId306" o:title=""/>
          </v:shape>
          <o:OLEObject Type="Embed" ProgID="Equation.3" ShapeID="_x0000_i1176" DrawAspect="Content" ObjectID="_1493479642" r:id="rId307"/>
        </w:object>
      </w:r>
      <w:r w:rsidRPr="00CF0952">
        <w:rPr>
          <w:position w:val="-10"/>
        </w:rPr>
        <w:t xml:space="preserve"> </w:t>
      </w:r>
      <w:r w:rsidRPr="00CF0952">
        <w:t>by adding an additional row on top and an additional column to the left. All elements of this additional row and column are filled with values of zeros.  In addition, the usual identification restriction is imposed that one of the alternatives serves as the base when introducing alternative-specific constants and variables that do not vary across alternatives</w:t>
      </w:r>
      <w:r>
        <w:t xml:space="preserve"> </w:t>
      </w:r>
      <w:r w:rsidRPr="00CF0952">
        <w:t xml:space="preserve">(that is, whenever an element of </w:t>
      </w:r>
      <w:r w:rsidR="003D4333" w:rsidRPr="003D4333">
        <w:rPr>
          <w:b/>
          <w:i/>
        </w:rPr>
        <w:t>x</w:t>
      </w:r>
      <w:r w:rsidRPr="00CF0952">
        <w:t xml:space="preserve"> is individual-</w:t>
      </w:r>
      <w:r>
        <w:t xml:space="preserve">specific </w:t>
      </w:r>
      <w:r w:rsidRPr="00CF0952">
        <w:t xml:space="preserve">and not </w:t>
      </w:r>
      <w:r>
        <w:t>alternative-specific</w:t>
      </w:r>
      <w:r w:rsidRPr="00CF0952">
        <w:t xml:space="preserve">, the corresponding element in </w:t>
      </w:r>
      <w:r w:rsidRPr="00CF0952">
        <w:rPr>
          <w:position w:val="-16"/>
        </w:rPr>
        <w:object w:dxaOrig="380" w:dyaOrig="400" w14:anchorId="65B034FE">
          <v:shape id="_x0000_i1177" type="#_x0000_t75" style="width:19.25pt;height:19.25pt" o:ole="">
            <v:imagedata r:id="rId308" o:title=""/>
          </v:shape>
          <o:OLEObject Type="Embed" ProgID="Equation.3" ShapeID="_x0000_i1177" DrawAspect="Content" ObjectID="_1493479643" r:id="rId309"/>
        </w:object>
      </w:r>
      <w:r w:rsidRPr="00CF0952">
        <w:t xml:space="preserve">is set to zero for at least one alternative </w:t>
      </w:r>
      <w:r w:rsidRPr="00CF0952">
        <w:rPr>
          <w:position w:val="-14"/>
        </w:rPr>
        <w:object w:dxaOrig="380" w:dyaOrig="380" w14:anchorId="33EDD4EF">
          <v:shape id="_x0000_i1178" type="#_x0000_t75" style="width:18.4pt;height:18.4pt" o:ole="">
            <v:imagedata r:id="rId310" o:title=""/>
          </v:shape>
          <o:OLEObject Type="Embed" ProgID="Equation.3" ShapeID="_x0000_i1178" DrawAspect="Content" ObjectID="_1493479644" r:id="rId311"/>
        </w:object>
      </w:r>
      <w:r>
        <w:t xml:space="preserve"> </w:t>
      </w:r>
      <w:r w:rsidRPr="00CF0952">
        <w:t xml:space="preserve">To proceed forward, define </w:t>
      </w:r>
      <w:r w:rsidRPr="00CF0952">
        <w:rPr>
          <w:position w:val="-16"/>
        </w:rPr>
        <w:object w:dxaOrig="2380" w:dyaOrig="400" w14:anchorId="460E9470">
          <v:shape id="_x0000_i1179" type="#_x0000_t75" style="width:120.55pt;height:19.25pt" o:ole="">
            <v:imagedata r:id="rId312" o:title=""/>
          </v:shape>
          <o:OLEObject Type="Embed" ProgID="Equation.3" ShapeID="_x0000_i1179" DrawAspect="Content" ObjectID="_1493479645" r:id="rId313"/>
        </w:object>
      </w:r>
      <w:r w:rsidRPr="00CF0952">
        <w:rPr>
          <w:lang w:val="fr-FR"/>
        </w:rPr>
        <w:t xml:space="preserve"> </w:t>
      </w:r>
      <w:r w:rsidRPr="00CF0952">
        <w:rPr>
          <w:position w:val="-14"/>
        </w:rPr>
        <w:object w:dxaOrig="680" w:dyaOrig="380" w14:anchorId="38616EB2">
          <v:shape id="_x0000_i1180" type="#_x0000_t75" style="width:33.5pt;height:19.25pt" o:ole="">
            <v:imagedata r:id="rId314" o:title=""/>
          </v:shape>
          <o:OLEObject Type="Embed" ProgID="Equation.3" ShapeID="_x0000_i1180" DrawAspect="Content" ObjectID="_1493479646" r:id="rId315"/>
        </w:object>
      </w:r>
      <w:r w:rsidRPr="00CF0952">
        <w:rPr>
          <w:lang w:val="fr-FR"/>
        </w:rPr>
        <w:t xml:space="preserve"> </w:t>
      </w:r>
      <w:proofErr w:type="spellStart"/>
      <w:r w:rsidRPr="00CF0952">
        <w:rPr>
          <w:lang w:val="fr-FR"/>
        </w:rPr>
        <w:t>vector</w:t>
      </w:r>
      <w:proofErr w:type="spellEnd"/>
      <w:r w:rsidRPr="00CF0952">
        <w:rPr>
          <w:lang w:val="fr-FR"/>
        </w:rPr>
        <w:t>),</w:t>
      </w:r>
      <w:r w:rsidRPr="00CF0952">
        <w:t xml:space="preserve"> </w:t>
      </w:r>
      <w:r w:rsidRPr="00CF0952">
        <w:rPr>
          <w:position w:val="-16"/>
        </w:rPr>
        <w:object w:dxaOrig="2540" w:dyaOrig="400" w14:anchorId="0CE06C9F">
          <v:shape id="_x0000_i1181" type="#_x0000_t75" style="width:124.75pt;height:19.25pt" o:ole="">
            <v:imagedata r:id="rId316" o:title=""/>
          </v:shape>
          <o:OLEObject Type="Embed" ProgID="Equation.3" ShapeID="_x0000_i1181" DrawAspect="Content" ObjectID="_1493479647" r:id="rId317"/>
        </w:object>
      </w:r>
      <w:r w:rsidRPr="00CF0952">
        <w:t xml:space="preserve"> </w:t>
      </w:r>
      <w:r w:rsidRPr="00CF0952">
        <w:rPr>
          <w:position w:val="-14"/>
        </w:rPr>
        <w:object w:dxaOrig="740" w:dyaOrig="380" w14:anchorId="18B3CDF4">
          <v:shape id="_x0000_i1182" type="#_x0000_t75" style="width:36.85pt;height:19.25pt" o:ole="">
            <v:imagedata r:id="rId318" o:title=""/>
          </v:shape>
          <o:OLEObject Type="Embed" ProgID="Equation.3" ShapeID="_x0000_i1182" DrawAspect="Content" ObjectID="_1493479648" r:id="rId319"/>
        </w:object>
      </w:r>
      <w:r w:rsidRPr="00CF0952">
        <w:rPr>
          <w:lang w:val="fr-FR"/>
        </w:rPr>
        <w:t xml:space="preserve"> matrix), and </w:t>
      </w:r>
      <w:r w:rsidR="0015515D" w:rsidRPr="00CF0952">
        <w:rPr>
          <w:position w:val="-16"/>
        </w:rPr>
        <w:object w:dxaOrig="2340" w:dyaOrig="400" w14:anchorId="44F0DA57">
          <v:shape id="_x0000_i1183" type="#_x0000_t75" style="width:117.2pt;height:19.25pt" o:ole="">
            <v:imagedata r:id="rId320" o:title=""/>
          </v:shape>
          <o:OLEObject Type="Embed" ProgID="Equation.3" ShapeID="_x0000_i1183" DrawAspect="Content" ObjectID="_1493479649" r:id="rId321"/>
        </w:object>
      </w:r>
      <w:r w:rsidRPr="00CF0952">
        <w:t xml:space="preserve"> </w:t>
      </w:r>
      <w:r w:rsidRPr="00CF0952">
        <w:rPr>
          <w:position w:val="-36"/>
        </w:rPr>
        <w:object w:dxaOrig="1440" w:dyaOrig="840" w14:anchorId="66F50722">
          <v:shape id="_x0000_i1184" type="#_x0000_t75" style="width:1in;height:41.85pt" o:ole="">
            <v:imagedata r:id="rId322" o:title=""/>
          </v:shape>
          <o:OLEObject Type="Embed" ProgID="Equation.3" ShapeID="_x0000_i1184" DrawAspect="Content" ObjectID="_1493479650" r:id="rId323"/>
        </w:object>
      </w:r>
      <w:r w:rsidRPr="00CF0952">
        <w:t xml:space="preserve"> matrix. Also, define the </w:t>
      </w:r>
      <w:r w:rsidRPr="00CF0952">
        <w:rPr>
          <w:position w:val="-36"/>
        </w:rPr>
        <w:object w:dxaOrig="1359" w:dyaOrig="840" w14:anchorId="611F80C9">
          <v:shape id="_x0000_i1185" type="#_x0000_t75" style="width:67.8pt;height:41.85pt" o:ole="">
            <v:imagedata r:id="rId324" o:title=""/>
          </v:shape>
          <o:OLEObject Type="Embed" ProgID="Equation.3" ShapeID="_x0000_i1185" DrawAspect="Content" ObjectID="_1493479651" r:id="rId325"/>
        </w:object>
      </w:r>
      <w:proofErr w:type="gramStart"/>
      <w:r w:rsidRPr="00CF0952">
        <w:t xml:space="preserve">matrix </w:t>
      </w:r>
      <w:proofErr w:type="gramEnd"/>
      <w:r w:rsidR="00F95001" w:rsidRPr="00F95001">
        <w:rPr>
          <w:position w:val="-14"/>
        </w:rPr>
        <w:object w:dxaOrig="300" w:dyaOrig="380" w14:anchorId="34EEF50C">
          <v:shape id="_x0000_i1186" type="#_x0000_t75" style="width:15.05pt;height:19.25pt" o:ole="">
            <v:imagedata r:id="rId326" o:title=""/>
          </v:shape>
          <o:OLEObject Type="Embed" ProgID="Equation.3" ShapeID="_x0000_i1186" DrawAspect="Content" ObjectID="_1493479652" r:id="rId327"/>
        </w:object>
      </w:r>
      <w:r w:rsidRPr="00CF0952">
        <w:t xml:space="preserve">, which is initially filled with all zero values. Then, position the </w:t>
      </w:r>
      <w:r w:rsidRPr="00CF0952">
        <w:rPr>
          <w:position w:val="-14"/>
        </w:rPr>
        <w:object w:dxaOrig="900" w:dyaOrig="380" w14:anchorId="60BDE019">
          <v:shape id="_x0000_i1187" type="#_x0000_t75" style="width:45.2pt;height:17.6pt" o:ole="">
            <v:imagedata r:id="rId328" o:title=""/>
          </v:shape>
          <o:OLEObject Type="Embed" ProgID="Equation.3" ShapeID="_x0000_i1187" DrawAspect="Content" ObjectID="_1493479653" r:id="rId329"/>
        </w:object>
      </w:r>
      <w:r w:rsidRPr="00CF0952">
        <w:t xml:space="preserve"> row vector </w:t>
      </w:r>
      <w:r w:rsidR="00F95001" w:rsidRPr="00F95001">
        <w:rPr>
          <w:position w:val="-14"/>
        </w:rPr>
        <w:object w:dxaOrig="360" w:dyaOrig="380" w14:anchorId="3074D523">
          <v:shape id="_x0000_i1188" type="#_x0000_t75" style="width:18.4pt;height:19.25pt" o:ole="">
            <v:imagedata r:id="rId330" o:title=""/>
          </v:shape>
          <o:OLEObject Type="Embed" ProgID="Equation.3" ShapeID="_x0000_i1188" DrawAspect="Content" ObjectID="_1493479654" r:id="rId331"/>
        </w:object>
      </w:r>
      <w:r w:rsidRPr="00CF0952">
        <w:t xml:space="preserve"> in the first row </w:t>
      </w:r>
      <w:r w:rsidRPr="00CF0952">
        <w:lastRenderedPageBreak/>
        <w:t xml:space="preserve">to occupy columns 1 </w:t>
      </w:r>
      <w:proofErr w:type="gramStart"/>
      <w:r w:rsidRPr="00CF0952">
        <w:t xml:space="preserve">to </w:t>
      </w:r>
      <w:r w:rsidRPr="00CF0952">
        <w:rPr>
          <w:position w:val="-14"/>
        </w:rPr>
        <w:object w:dxaOrig="420" w:dyaOrig="380" w14:anchorId="2B309C6A">
          <v:shape id="_x0000_i1189" type="#_x0000_t75" style="width:21.75pt;height:18.4pt" o:ole="">
            <v:imagedata r:id="rId332" o:title=""/>
          </v:shape>
          <o:OLEObject Type="Embed" ProgID="Equation.3" ShapeID="_x0000_i1189" DrawAspect="Content" ObjectID="_1493479655" r:id="rId333"/>
        </w:object>
      </w:r>
      <w:r w:rsidRPr="00CF0952">
        <w:t xml:space="preserve"> , position the </w:t>
      </w:r>
      <w:r w:rsidRPr="00CF0952">
        <w:rPr>
          <w:position w:val="-14"/>
        </w:rPr>
        <w:object w:dxaOrig="920" w:dyaOrig="380" w14:anchorId="02ED62F5">
          <v:shape id="_x0000_i1190" type="#_x0000_t75" style="width:45.2pt;height:17.6pt" o:ole="">
            <v:imagedata r:id="rId334" o:title=""/>
          </v:shape>
          <o:OLEObject Type="Embed" ProgID="Equation.3" ShapeID="_x0000_i1190" DrawAspect="Content" ObjectID="_1493479656" r:id="rId335"/>
        </w:object>
      </w:r>
      <w:r w:rsidRPr="00CF0952">
        <w:t xml:space="preserve"> row vector </w:t>
      </w:r>
      <w:r w:rsidR="00F95001" w:rsidRPr="00F95001">
        <w:rPr>
          <w:position w:val="-14"/>
        </w:rPr>
        <w:object w:dxaOrig="380" w:dyaOrig="380" w14:anchorId="7A59FEA7">
          <v:shape id="_x0000_i1191" type="#_x0000_t75" style="width:19.25pt;height:19.25pt" o:ole="">
            <v:imagedata r:id="rId336" o:title=""/>
          </v:shape>
          <o:OLEObject Type="Embed" ProgID="Equation.3" ShapeID="_x0000_i1191" DrawAspect="Content" ObjectID="_1493479657" r:id="rId337"/>
        </w:object>
      </w:r>
      <w:r w:rsidRPr="00CF0952">
        <w:t xml:space="preserve"> in the second row to occupy columns </w:t>
      </w:r>
      <w:r w:rsidRPr="00CF0952">
        <w:rPr>
          <w:position w:val="-14"/>
        </w:rPr>
        <w:object w:dxaOrig="420" w:dyaOrig="380" w14:anchorId="7BDE67A0">
          <v:shape id="_x0000_i1192" type="#_x0000_t75" style="width:21.75pt;height:18.4pt" o:ole="">
            <v:imagedata r:id="rId338" o:title=""/>
          </v:shape>
          <o:OLEObject Type="Embed" ProgID="Equation.3" ShapeID="_x0000_i1192" DrawAspect="Content" ObjectID="_1493479658" r:id="rId339"/>
        </w:object>
      </w:r>
      <w:r w:rsidRPr="00CF0952">
        <w:t xml:space="preserve">+1 to </w:t>
      </w:r>
      <w:r w:rsidRPr="00CF0952">
        <w:rPr>
          <w:position w:val="-14"/>
        </w:rPr>
        <w:object w:dxaOrig="1120" w:dyaOrig="380" w14:anchorId="1E3A55BF">
          <v:shape id="_x0000_i1193" type="#_x0000_t75" style="width:56.1pt;height:18.4pt" o:ole="">
            <v:imagedata r:id="rId340" o:title=""/>
          </v:shape>
          <o:OLEObject Type="Embed" ProgID="Equation.3" ShapeID="_x0000_i1193" DrawAspect="Content" ObjectID="_1493479659" r:id="rId341"/>
        </w:object>
      </w:r>
      <w:r w:rsidRPr="00CF0952">
        <w:t xml:space="preserve"> and so on until the </w:t>
      </w:r>
      <w:r w:rsidRPr="00CF0952">
        <w:rPr>
          <w:position w:val="-16"/>
        </w:rPr>
        <w:object w:dxaOrig="960" w:dyaOrig="400" w14:anchorId="3EF8342A">
          <v:shape id="_x0000_i1194" type="#_x0000_t75" style="width:47.7pt;height:18.4pt" o:ole="">
            <v:imagedata r:id="rId342" o:title=""/>
          </v:shape>
          <o:OLEObject Type="Embed" ProgID="Equation.3" ShapeID="_x0000_i1194" DrawAspect="Content" ObjectID="_1493479660" r:id="rId343"/>
        </w:object>
      </w:r>
      <w:r w:rsidRPr="00CF0952">
        <w:t xml:space="preserve"> row vector </w:t>
      </w:r>
      <w:r w:rsidR="00F95001" w:rsidRPr="00F95001">
        <w:rPr>
          <w:position w:val="-16"/>
        </w:rPr>
        <w:object w:dxaOrig="420" w:dyaOrig="400" w14:anchorId="339587E3">
          <v:shape id="_x0000_i1195" type="#_x0000_t75" style="width:20.1pt;height:19.25pt" o:ole="">
            <v:imagedata r:id="rId344" o:title=""/>
          </v:shape>
          <o:OLEObject Type="Embed" ProgID="Equation.3" ShapeID="_x0000_i1195" DrawAspect="Content" ObjectID="_1493479661" r:id="rId345"/>
        </w:object>
      </w:r>
      <w:r w:rsidRPr="00CF0952">
        <w:t xml:space="preserve"> is appropriately positioned.  </w:t>
      </w:r>
      <w:proofErr w:type="spellStart"/>
      <w:r w:rsidRPr="00CF0952">
        <w:rPr>
          <w:lang w:val="fr-FR"/>
        </w:rPr>
        <w:t>Further</w:t>
      </w:r>
      <w:proofErr w:type="spellEnd"/>
      <w:r w:rsidRPr="00CF0952">
        <w:rPr>
          <w:lang w:val="fr-FR"/>
        </w:rPr>
        <w:t xml:space="preserve">, </w:t>
      </w:r>
      <w:proofErr w:type="spellStart"/>
      <w:r w:rsidRPr="00CF0952">
        <w:rPr>
          <w:lang w:val="fr-FR"/>
        </w:rPr>
        <w:t>define</w:t>
      </w:r>
      <w:proofErr w:type="spellEnd"/>
      <w:r w:rsidRPr="00CF0952">
        <w:rPr>
          <w:lang w:val="fr-FR"/>
        </w:rPr>
        <w:t xml:space="preserve"> </w:t>
      </w:r>
      <w:r w:rsidR="00F95001" w:rsidRPr="00CF0952">
        <w:rPr>
          <w:position w:val="-14"/>
        </w:rPr>
        <w:object w:dxaOrig="1340" w:dyaOrig="380" w14:anchorId="40FC15F5">
          <v:shape id="_x0000_i1196" type="#_x0000_t75" style="width:67.8pt;height:18.4pt" o:ole="">
            <v:imagedata r:id="rId346" o:title=""/>
          </v:shape>
          <o:OLEObject Type="Embed" ProgID="Equation.3" ShapeID="_x0000_i1196" DrawAspect="Content" ObjectID="_1493479662" r:id="rId347"/>
        </w:object>
      </w:r>
      <w:r w:rsidRPr="00CF0952">
        <w:rPr>
          <w:position w:val="-14"/>
        </w:rPr>
        <w:object w:dxaOrig="720" w:dyaOrig="380" w14:anchorId="21E327BB">
          <v:shape id="_x0000_i1197" type="#_x0000_t75" style="width:36.85pt;height:19.25pt" o:ole="">
            <v:imagedata r:id="rId348" o:title=""/>
          </v:shape>
          <o:OLEObject Type="Embed" ProgID="Equation.3" ShapeID="_x0000_i1197" DrawAspect="Content" ObjectID="_1493479663" r:id="rId349"/>
        </w:object>
      </w:r>
      <w:r w:rsidRPr="00CF0952">
        <w:t xml:space="preserve"> matrix</w:t>
      </w:r>
      <w:r w:rsidRPr="00CF0952">
        <w:rPr>
          <w:lang w:val="fr-FR"/>
        </w:rPr>
        <w:t>)</w:t>
      </w:r>
      <w:proofErr w:type="gramStart"/>
      <w:r w:rsidRPr="00CF0952">
        <w:t xml:space="preserve">, </w:t>
      </w:r>
      <w:proofErr w:type="gramEnd"/>
      <w:r w:rsidRPr="00CF0952">
        <w:rPr>
          <w:position w:val="-30"/>
        </w:rPr>
        <w:object w:dxaOrig="999" w:dyaOrig="700" w14:anchorId="2277EE9A">
          <v:shape id="_x0000_i1198" type="#_x0000_t75" style="width:50.25pt;height:35.15pt" o:ole="">
            <v:imagedata r:id="rId350" o:title=""/>
          </v:shape>
          <o:OLEObject Type="Embed" ProgID="Equation.3" ShapeID="_x0000_i1198" DrawAspect="Content" ObjectID="_1493479664" r:id="rId351"/>
        </w:object>
      </w:r>
      <w:r w:rsidRPr="00CF0952">
        <w:t xml:space="preserve">, </w:t>
      </w:r>
      <w:r w:rsidRPr="00CF0952">
        <w:rPr>
          <w:position w:val="-30"/>
        </w:rPr>
        <w:object w:dxaOrig="2580" w:dyaOrig="700" w14:anchorId="6E09503A">
          <v:shape id="_x0000_i1199" type="#_x0000_t75" style="width:127.25pt;height:35.15pt" o:ole="">
            <v:imagedata r:id="rId352" o:title=""/>
          </v:shape>
          <o:OLEObject Type="Embed" ProgID="Equation.3" ShapeID="_x0000_i1199" DrawAspect="Content" ObjectID="_1493479665" r:id="rId353"/>
        </w:object>
      </w:r>
      <w:r w:rsidRPr="00CF0952">
        <w:t xml:space="preserve"> </w:t>
      </w:r>
      <w:r w:rsidR="008871F1" w:rsidRPr="00CF0952">
        <w:rPr>
          <w:position w:val="-12"/>
        </w:rPr>
        <w:object w:dxaOrig="2020" w:dyaOrig="460" w14:anchorId="7657A971">
          <v:shape id="_x0000_i1200" type="#_x0000_t75" style="width:101.3pt;height:22.6pt" o:ole="">
            <v:imagedata r:id="rId354" o:title=""/>
          </v:shape>
          <o:OLEObject Type="Embed" ProgID="Equation.3" ShapeID="_x0000_i1200" DrawAspect="Content" ObjectID="_1493479666" r:id="rId355"/>
        </w:object>
      </w:r>
      <w:r w:rsidRPr="00CF0952">
        <w:t xml:space="preserve">  </w:t>
      </w:r>
      <w:r w:rsidRPr="00CF0952">
        <w:rPr>
          <w:position w:val="-10"/>
        </w:rPr>
        <w:object w:dxaOrig="620" w:dyaOrig="380" w14:anchorId="1C0C554E">
          <v:shape id="_x0000_i1201" type="#_x0000_t75" style="width:31pt;height:19.25pt" o:ole="">
            <v:imagedata r:id="rId356" o:title=""/>
          </v:shape>
          <o:OLEObject Type="Embed" ProgID="Equation.3" ShapeID="_x0000_i1201" DrawAspect="Content" ObjectID="_1493479667" r:id="rId357"/>
        </w:object>
      </w:r>
      <w:r w:rsidRPr="00CF0952">
        <w:t xml:space="preserve"> vector), </w:t>
      </w:r>
      <w:r w:rsidR="003D4333" w:rsidRPr="00CF0952">
        <w:rPr>
          <w:position w:val="-12"/>
        </w:rPr>
        <w:object w:dxaOrig="1840" w:dyaOrig="360" w14:anchorId="2031518D">
          <v:shape id="_x0000_i1202" type="#_x0000_t75" style="width:92.1pt;height:18.4pt" o:ole="">
            <v:imagedata r:id="rId358" o:title=""/>
          </v:shape>
          <o:OLEObject Type="Embed" ProgID="Equation.3" ShapeID="_x0000_i1202" DrawAspect="Content" ObjectID="_1493479668" r:id="rId359"/>
        </w:object>
      </w:r>
      <w:r w:rsidRPr="00CF0952">
        <w:t xml:space="preserve"> (</w:t>
      </w:r>
      <w:r w:rsidRPr="00CF0952">
        <w:rPr>
          <w:position w:val="-6"/>
        </w:rPr>
        <w:object w:dxaOrig="520" w:dyaOrig="340" w14:anchorId="1F125B40">
          <v:shape id="_x0000_i1203" type="#_x0000_t75" style="width:26.8pt;height:18.4pt" o:ole="">
            <v:imagedata r:id="rId360" o:title=""/>
          </v:shape>
          <o:OLEObject Type="Embed" ProgID="Equation.3" ShapeID="_x0000_i1203" DrawAspect="Content" ObjectID="_1493479669" r:id="rId361"/>
        </w:object>
      </w:r>
      <w:r w:rsidRPr="00CF0952">
        <w:t xml:space="preserve"> vector), </w:t>
      </w:r>
      <w:r w:rsidR="00FF6F93" w:rsidRPr="00CF0952">
        <w:rPr>
          <w:position w:val="-12"/>
        </w:rPr>
        <w:object w:dxaOrig="1719" w:dyaOrig="360" w14:anchorId="1E43759A">
          <v:shape id="_x0000_i1204" type="#_x0000_t75" style="width:85.4pt;height:18.4pt" o:ole="" o:preferrelative="f">
            <v:imagedata r:id="rId362" o:title=""/>
            <o:lock v:ext="edit" aspectratio="f"/>
          </v:shape>
          <o:OLEObject Type="Embed" ProgID="Equation.3" ShapeID="_x0000_i1204" DrawAspect="Content" ObjectID="_1493479670" r:id="rId363"/>
        </w:object>
      </w:r>
      <w:r w:rsidRPr="00CF0952">
        <w:rPr>
          <w:position w:val="-10"/>
        </w:rPr>
        <w:object w:dxaOrig="700" w:dyaOrig="380" w14:anchorId="1D035623">
          <v:shape id="_x0000_i1205" type="#_x0000_t75" style="width:36.85pt;height:19.25pt" o:ole="">
            <v:imagedata r:id="rId364" o:title=""/>
          </v:shape>
          <o:OLEObject Type="Embed" ProgID="Equation.3" ShapeID="_x0000_i1205" DrawAspect="Content" ObjectID="_1493479671" r:id="rId365"/>
        </w:object>
      </w:r>
      <w:r w:rsidRPr="00CF0952">
        <w:t xml:space="preserve"> matrix), </w:t>
      </w:r>
      <w:r w:rsidR="003D4333" w:rsidRPr="00F95001">
        <w:rPr>
          <w:position w:val="-12"/>
        </w:rPr>
        <w:object w:dxaOrig="2799" w:dyaOrig="400" w14:anchorId="240C313E">
          <v:shape id="_x0000_i1206" type="#_x0000_t75" style="width:140.65pt;height:19.25pt" o:ole="">
            <v:imagedata r:id="rId366" o:title=""/>
          </v:shape>
          <o:OLEObject Type="Embed" ProgID="Equation.3" ShapeID="_x0000_i1206" DrawAspect="Content" ObjectID="_1493479672" r:id="rId367"/>
        </w:object>
      </w:r>
      <w:r w:rsidR="0046357A">
        <w:t xml:space="preserve">matrix), and </w:t>
      </w:r>
      <w:r w:rsidR="00F95001" w:rsidRPr="00F95001">
        <w:rPr>
          <w:position w:val="-12"/>
        </w:rPr>
        <w:object w:dxaOrig="2500" w:dyaOrig="360" w14:anchorId="02C9D7AB">
          <v:shape id="_x0000_i1207" type="#_x0000_t75" style="width:124.75pt;height:18.4pt" o:ole="">
            <v:imagedata r:id="rId368" o:title=""/>
          </v:shape>
          <o:OLEObject Type="Embed" ProgID="Equation.3" ShapeID="_x0000_i1207" DrawAspect="Content" ObjectID="_1493479673" r:id="rId369"/>
        </w:object>
      </w:r>
      <w:r w:rsidRPr="00CF0952">
        <w:t xml:space="preserve">(that is, </w:t>
      </w:r>
      <w:r w:rsidR="004A2D52" w:rsidRPr="00F95001">
        <w:rPr>
          <w:position w:val="-12"/>
        </w:rPr>
        <w:object w:dxaOrig="400" w:dyaOrig="360" w14:anchorId="14635AD2">
          <v:shape id="_x0000_i1208" type="#_x0000_t75" style="width:19.25pt;height:18.4pt" o:ole="">
            <v:imagedata r:id="rId370" o:title=""/>
          </v:shape>
          <o:OLEObject Type="Embed" ProgID="Equation.3" ShapeID="_x0000_i1208" DrawAspect="Content" ObjectID="_1493479674" r:id="rId371"/>
        </w:object>
      </w:r>
      <w:r w:rsidRPr="00CF0952">
        <w:t xml:space="preserve"> is a column vector that includes all elements of the matrices </w:t>
      </w:r>
      <w:r w:rsidR="00F95001" w:rsidRPr="00CF0952">
        <w:rPr>
          <w:position w:val="-12"/>
        </w:rPr>
        <w:object w:dxaOrig="1160" w:dyaOrig="360" w14:anchorId="429FD766">
          <v:shape id="_x0000_i1209" type="#_x0000_t75" style="width:57.75pt;height:18.4pt" o:ole="">
            <v:imagedata r:id="rId372" o:title=""/>
          </v:shape>
          <o:OLEObject Type="Embed" ProgID="Equation.3" ShapeID="_x0000_i1209" DrawAspect="Content" ObjectID="_1493479675" r:id="rId373"/>
        </w:object>
      </w:r>
      <w:r w:rsidRPr="00CF0952">
        <w:t>). Then, in matrix form, we may write Equation (</w:t>
      </w:r>
      <w:r>
        <w:t>9</w:t>
      </w:r>
      <w:r w:rsidR="003D4333">
        <w:t>) as:</w:t>
      </w:r>
    </w:p>
    <w:p w14:paraId="308BEA0F" w14:textId="363A68F0" w:rsidR="00864C60" w:rsidRPr="00CF0952" w:rsidRDefault="00BC4ABF" w:rsidP="00FF6F93">
      <w:pPr>
        <w:tabs>
          <w:tab w:val="right" w:pos="9360"/>
        </w:tabs>
        <w:jc w:val="both"/>
      </w:pPr>
      <w:r w:rsidRPr="00F95001">
        <w:rPr>
          <w:position w:val="-10"/>
        </w:rPr>
        <w:object w:dxaOrig="1860" w:dyaOrig="360" w14:anchorId="09173BE0">
          <v:shape id="_x0000_i1210" type="#_x0000_t75" style="width:93.75pt;height:18.4pt" o:ole="">
            <v:imagedata r:id="rId374" o:title=""/>
          </v:shape>
          <o:OLEObject Type="Embed" ProgID="Equation.3" ShapeID="_x0000_i1210" DrawAspect="Content" ObjectID="_1493479676" r:id="rId375"/>
        </w:object>
      </w:r>
      <w:r w:rsidR="00FF6F93">
        <w:tab/>
      </w:r>
      <w:r w:rsidR="00864C60">
        <w:t>(10)</w:t>
      </w:r>
    </w:p>
    <w:p w14:paraId="029F0351" w14:textId="3DC3B85C" w:rsidR="00864C60" w:rsidRPr="00CF0952" w:rsidRDefault="00864C60" w:rsidP="00864C60">
      <w:pPr>
        <w:jc w:val="both"/>
      </w:pPr>
      <w:proofErr w:type="gramStart"/>
      <w:r w:rsidRPr="00CF0952">
        <w:t xml:space="preserve">where </w:t>
      </w:r>
      <w:proofErr w:type="gramEnd"/>
      <w:r w:rsidR="004A2D52" w:rsidRPr="00CF0952">
        <w:rPr>
          <w:position w:val="-14"/>
        </w:rPr>
        <w:object w:dxaOrig="1840" w:dyaOrig="380" w14:anchorId="5B60AF5B">
          <v:shape id="_x0000_i1211" type="#_x0000_t75" style="width:91.25pt;height:19.25pt" o:ole="">
            <v:imagedata r:id="rId376" o:title=""/>
          </v:shape>
          <o:OLEObject Type="Embed" ProgID="Equation.3" ShapeID="_x0000_i1211" DrawAspect="Content" ObjectID="_1493479677" r:id="rId377"/>
        </w:object>
      </w:r>
      <w:r w:rsidRPr="00CF0952">
        <w:t xml:space="preserve">.  As earlier, </w:t>
      </w:r>
      <w:r w:rsidR="00DF1B67">
        <w:t xml:space="preserve">due to </w:t>
      </w:r>
      <w:r w:rsidRPr="00CF0952">
        <w:t>identification</w:t>
      </w:r>
      <w:r w:rsidR="00DF1B67">
        <w:t xml:space="preserve"> considerations</w:t>
      </w:r>
      <w:r w:rsidRPr="00CF0952">
        <w:t xml:space="preserve">, we specify </w:t>
      </w:r>
      <w:r w:rsidRPr="00CF0952">
        <w:rPr>
          <w:position w:val="-4"/>
        </w:rPr>
        <w:object w:dxaOrig="260" w:dyaOrig="260" w14:anchorId="27340BA1">
          <v:shape id="_x0000_i1212" type="#_x0000_t75" style="width:11.7pt;height:11.7pt" o:ole="">
            <v:imagedata r:id="rId378" o:title=""/>
          </v:shape>
          <o:OLEObject Type="Embed" ProgID="Equation.3" ShapeID="_x0000_i1212" DrawAspect="Content" ObjectID="_1493479678" r:id="rId379"/>
        </w:object>
      </w:r>
      <w:r w:rsidR="00064C5A">
        <w:t xml:space="preserve"> </w:t>
      </w:r>
      <w:r w:rsidRPr="00CF0952">
        <w:t>as follows:</w:t>
      </w:r>
    </w:p>
    <w:p w14:paraId="294EE0F1" w14:textId="0245F7D1" w:rsidR="00864C60" w:rsidRPr="00CF0952" w:rsidRDefault="00864C60" w:rsidP="00FF6F93">
      <w:pPr>
        <w:tabs>
          <w:tab w:val="right" w:pos="9360"/>
        </w:tabs>
        <w:jc w:val="both"/>
      </w:pPr>
      <w:r w:rsidRPr="00CF0952">
        <w:rPr>
          <w:position w:val="-86"/>
        </w:rPr>
        <w:object w:dxaOrig="4440" w:dyaOrig="1840" w14:anchorId="12AEE39A">
          <v:shape id="_x0000_i1213" type="#_x0000_t75" style="width:222.7pt;height:91.25pt" o:ole="">
            <v:imagedata r:id="rId380" o:title=""/>
          </v:shape>
          <o:OLEObject Type="Embed" ProgID="Equation.3" ShapeID="_x0000_i1213" DrawAspect="Content" ObjectID="_1493479679" r:id="rId381"/>
        </w:object>
      </w:r>
      <w:r>
        <w:tab/>
      </w:r>
      <w:r w:rsidR="00FF6F93">
        <w:t xml:space="preserve"> </w:t>
      </w:r>
      <w:r>
        <w:t>(11)</w:t>
      </w:r>
    </w:p>
    <w:p w14:paraId="52183EF7" w14:textId="1796AE94" w:rsidR="00DF1B67" w:rsidRDefault="00864C60" w:rsidP="00864C60">
      <w:pPr>
        <w:jc w:val="both"/>
      </w:pPr>
      <w:r w:rsidRPr="00CF0952">
        <w:t xml:space="preserve">In the general case, this allows the estimation of </w:t>
      </w:r>
      <w:r w:rsidRPr="00CF0952">
        <w:rPr>
          <w:position w:val="-32"/>
        </w:rPr>
        <w:object w:dxaOrig="2040" w:dyaOrig="768" w14:anchorId="5A5E42B1">
          <v:shape id="_x0000_i1214" type="#_x0000_t75" style="width:102.15pt;height:38.5pt" o:ole="">
            <v:imagedata r:id="rId382" o:title=""/>
          </v:shape>
          <o:OLEObject Type="Embed" ProgID="Equation.3" ShapeID="_x0000_i1214" DrawAspect="Content" ObjectID="_1493479680" r:id="rId383"/>
        </w:object>
      </w:r>
      <w:r w:rsidRPr="00CF0952">
        <w:t xml:space="preserve"> terms across all the </w:t>
      </w:r>
      <w:r w:rsidRPr="00CF0952">
        <w:rPr>
          <w:i/>
        </w:rPr>
        <w:t>G</w:t>
      </w:r>
      <w:r w:rsidRPr="00CF0952">
        <w:t xml:space="preserve"> nominal variables (originating from </w:t>
      </w:r>
      <w:r w:rsidRPr="00CF0952">
        <w:rPr>
          <w:position w:val="-32"/>
        </w:rPr>
        <w:object w:dxaOrig="1740" w:dyaOrig="768" w14:anchorId="6D315F88">
          <v:shape id="_x0000_i1215" type="#_x0000_t75" style="width:87.05pt;height:38.5pt" o:ole="">
            <v:imagedata r:id="rId384" o:title=""/>
          </v:shape>
          <o:OLEObject Type="Embed" ProgID="Equation.3" ShapeID="_x0000_i1215" DrawAspect="Content" ObjectID="_1493479681" r:id="rId385"/>
        </w:object>
      </w:r>
      <w:r w:rsidRPr="00CF0952">
        <w:t xml:space="preserve"> terms embedded in each </w:t>
      </w:r>
      <w:r w:rsidRPr="00CF0952">
        <w:rPr>
          <w:position w:val="-14"/>
        </w:rPr>
        <w:object w:dxaOrig="360" w:dyaOrig="400" w14:anchorId="1A2ADF71">
          <v:shape id="_x0000_i1216" type="#_x0000_t75" style="width:16.75pt;height:19.25pt" o:ole="">
            <v:imagedata r:id="rId300" o:title=""/>
          </v:shape>
          <o:OLEObject Type="Embed" ProgID="Equation.3" ShapeID="_x0000_i1216" DrawAspect="Content" ObjectID="_1493479682" r:id="rId386"/>
        </w:object>
      </w:r>
      <w:r w:rsidRPr="00CF0952">
        <w:t xml:space="preserve">matrix; </w:t>
      </w:r>
      <w:r w:rsidRPr="00CF0952">
        <w:rPr>
          <w:i/>
        </w:rPr>
        <w:t>g</w:t>
      </w:r>
      <w:r w:rsidRPr="00CF0952">
        <w:t>=1</w:t>
      </w:r>
      <w:proofErr w:type="gramStart"/>
      <w:r w:rsidRPr="00CF0952">
        <w:t>,2</w:t>
      </w:r>
      <w:proofErr w:type="gramEnd"/>
      <w:r w:rsidRPr="00CF0952">
        <w:t>,…</w:t>
      </w:r>
      <w:r w:rsidR="003D4333">
        <w:t>,</w:t>
      </w:r>
      <w:r w:rsidRPr="00CF0952">
        <w:rPr>
          <w:i/>
        </w:rPr>
        <w:t>G</w:t>
      </w:r>
      <w:r w:rsidRPr="00CF0952">
        <w:t>) .</w:t>
      </w:r>
      <w:r w:rsidR="008479C0">
        <w:t xml:space="preserve"> </w:t>
      </w:r>
    </w:p>
    <w:p w14:paraId="3FD26B91" w14:textId="084D28DE" w:rsidR="00B800FC" w:rsidRDefault="004A2D52" w:rsidP="00B800FC">
      <w:pPr>
        <w:ind w:firstLine="720"/>
        <w:jc w:val="both"/>
      </w:pPr>
      <w:r w:rsidRPr="00CF0952">
        <w:t xml:space="preserve">Let </w:t>
      </w:r>
      <w:r w:rsidRPr="00CF0952">
        <w:rPr>
          <w:position w:val="-6"/>
        </w:rPr>
        <w:object w:dxaOrig="200" w:dyaOrig="279" w14:anchorId="09D2B7E2">
          <v:shape id="_x0000_i1217" type="#_x0000_t75" style="width:10.9pt;height:14.25pt" o:ole="">
            <v:imagedata r:id="rId387" o:title=""/>
          </v:shape>
          <o:OLEObject Type="Embed" ProgID="Equation.3" ShapeID="_x0000_i1217" DrawAspect="Content" ObjectID="_1493479683" r:id="rId388"/>
        </w:object>
      </w:r>
      <w:r w:rsidRPr="00CF0952">
        <w:rPr>
          <w:position w:val="-6"/>
        </w:rPr>
        <w:t xml:space="preserve"> </w:t>
      </w:r>
      <w:r w:rsidRPr="00CF0952">
        <w:t xml:space="preserve">be the collection of parameters to be estimated: </w:t>
      </w:r>
      <w:r w:rsidR="00565CA6" w:rsidRPr="00CF0952">
        <w:rPr>
          <w:position w:val="-10"/>
        </w:rPr>
        <w:object w:dxaOrig="5600" w:dyaOrig="380" w14:anchorId="73E51AF6">
          <v:shape id="_x0000_i1218" type="#_x0000_t75" style="width:279.65pt;height:18.4pt" o:ole="" o:preferrelative="f">
            <v:imagedata r:id="rId389" o:title=""/>
            <o:lock v:ext="edit" aspectratio="f"/>
          </v:shape>
          <o:OLEObject Type="Embed" ProgID="Equation.3" ShapeID="_x0000_i1218" DrawAspect="Content" ObjectID="_1493479684" r:id="rId390"/>
        </w:object>
      </w:r>
      <w:r w:rsidR="00FF6F93" w:rsidRPr="004A2D52">
        <w:rPr>
          <w:position w:val="-12"/>
        </w:rPr>
        <w:object w:dxaOrig="3340" w:dyaOrig="360" w14:anchorId="3748429C">
          <v:shape id="_x0000_i1219" type="#_x0000_t75" style="width:167.45pt;height:18.4pt" o:ole="" o:preferrelative="f">
            <v:imagedata r:id="rId391" o:title=""/>
            <o:lock v:ext="edit" aspectratio="f"/>
          </v:shape>
          <o:OLEObject Type="Embed" ProgID="Equation.3" ShapeID="_x0000_i1219" DrawAspect="Content" ObjectID="_1493479685" r:id="rId392"/>
        </w:object>
      </w:r>
      <w:r w:rsidRPr="00CF0952">
        <w:t xml:space="preserve"> </w:t>
      </w:r>
      <w:r w:rsidR="00FF6F93">
        <w:t xml:space="preserve">where the operator </w:t>
      </w:r>
      <w:r w:rsidR="00FF6F93" w:rsidRPr="00CF0952">
        <w:rPr>
          <w:position w:val="-10"/>
        </w:rPr>
        <w:object w:dxaOrig="980" w:dyaOrig="320" w14:anchorId="6A301C3B">
          <v:shape id="_x0000_i1220" type="#_x0000_t75" style="width:48.55pt;height:15.9pt" o:ole="">
            <v:imagedata r:id="rId393" o:title=""/>
          </v:shape>
          <o:OLEObject Type="Embed" ProgID="Equation.3" ShapeID="_x0000_i1220" DrawAspect="Content" ObjectID="_1493479686" r:id="rId394"/>
        </w:object>
      </w:r>
      <w:r w:rsidRPr="00CF0952">
        <w:t xml:space="preserve"> </w:t>
      </w:r>
      <w:proofErr w:type="spellStart"/>
      <w:r w:rsidRPr="00CF0952">
        <w:t>vectorizes</w:t>
      </w:r>
      <w:proofErr w:type="spellEnd"/>
      <w:r w:rsidRPr="00CF0952">
        <w:t xml:space="preserve"> all the non-zero elements of the matrix/vector on </w:t>
      </w:r>
      <w:proofErr w:type="gramStart"/>
      <w:r w:rsidRPr="00CF0952">
        <w:t>which  it</w:t>
      </w:r>
      <w:proofErr w:type="gramEnd"/>
      <w:r w:rsidRPr="00CF0952">
        <w:t xml:space="preserve"> operates. We will assume that the error </w:t>
      </w:r>
      <w:proofErr w:type="gramStart"/>
      <w:r w:rsidRPr="00CF0952">
        <w:t>vectors</w:t>
      </w:r>
      <w:r w:rsidRPr="004A2D52">
        <w:t xml:space="preserve"> </w:t>
      </w:r>
      <w:proofErr w:type="gramEnd"/>
      <w:r w:rsidRPr="00681AD0">
        <w:rPr>
          <w:position w:val="-10"/>
        </w:rPr>
        <w:object w:dxaOrig="200" w:dyaOrig="260" w14:anchorId="0130837C">
          <v:shape id="_x0000_i1221" type="#_x0000_t75" style="width:10.9pt;height:12.55pt" o:ole="">
            <v:imagedata r:id="rId395" o:title=""/>
          </v:shape>
          <o:OLEObject Type="Embed" ProgID="Equation.3" ShapeID="_x0000_i1221" DrawAspect="Content" ObjectID="_1493479687" r:id="rId396"/>
        </w:object>
      </w:r>
      <w:r w:rsidRPr="00CF0952">
        <w:t xml:space="preserve">, </w:t>
      </w:r>
      <w:r w:rsidR="00FF6F93" w:rsidRPr="005144D7">
        <w:rPr>
          <w:position w:val="-8"/>
        </w:rPr>
        <w:object w:dxaOrig="260" w:dyaOrig="300" w14:anchorId="78117A27">
          <v:shape id="_x0000_i1222" type="#_x0000_t75" style="width:12.55pt;height:15.05pt" o:ole="" o:preferrelative="f">
            <v:imagedata r:id="rId397" o:title=""/>
            <o:lock v:ext="edit" aspectratio="f"/>
          </v:shape>
          <o:OLEObject Type="Embed" ProgID="Equation.3" ShapeID="_x0000_i1222" DrawAspect="Content" ObjectID="_1493479688" r:id="rId398"/>
        </w:object>
      </w:r>
      <w:r>
        <w:t xml:space="preserve"> and </w:t>
      </w:r>
      <w:r w:rsidR="00FF6F93" w:rsidRPr="002D11F8">
        <w:rPr>
          <w:position w:val="-6"/>
        </w:rPr>
        <w:object w:dxaOrig="200" w:dyaOrig="279" w14:anchorId="51881876">
          <v:shape id="_x0000_i1223" type="#_x0000_t75" style="width:10.05pt;height:13.4pt" o:ole="" o:preferrelative="f">
            <v:imagedata r:id="rId399" o:title=""/>
            <o:lock v:ext="edit" aspectratio="f"/>
          </v:shape>
          <o:OLEObject Type="Embed" ProgID="Equation.3" ShapeID="_x0000_i1223" DrawAspect="Content" ObjectID="_1493479689" r:id="rId400"/>
        </w:object>
      </w:r>
      <w:r w:rsidRPr="00CF0952">
        <w:t xml:space="preserve"> are independent of each other. </w:t>
      </w:r>
      <w:r>
        <w:t>The identification and estimation of the system is pr</w:t>
      </w:r>
      <w:r w:rsidR="0020437E">
        <w:t xml:space="preserve">ovided </w:t>
      </w:r>
      <w:r>
        <w:t xml:space="preserve">in </w:t>
      </w:r>
      <w:r w:rsidR="0020437E">
        <w:t xml:space="preserve">an online supplementary note </w:t>
      </w:r>
      <w:r>
        <w:t>to streamli</w:t>
      </w:r>
      <w:r w:rsidR="0020437E">
        <w:t>n</w:t>
      </w:r>
      <w:r>
        <w:t>e the presentation</w:t>
      </w:r>
      <w:r w:rsidR="0020437E">
        <w:t xml:space="preserve"> here</w:t>
      </w:r>
      <w:r w:rsidR="004C7720">
        <w:t xml:space="preserve"> (see </w:t>
      </w:r>
      <w:hyperlink r:id="rId401" w:history="1">
        <w:r w:rsidR="007569E6" w:rsidRPr="00456485">
          <w:rPr>
            <w:rStyle w:val="Hyperlink"/>
            <w:sz w:val="22"/>
            <w:szCs w:val="22"/>
          </w:rPr>
          <w:t>http://www.caee.utexas.edu/prof/bhat/ABSTRACTS/ResidentialChoice/Online_supplementary_note.pdf</w:t>
        </w:r>
      </w:hyperlink>
      <w:r w:rsidR="004C7720">
        <w:t>).</w:t>
      </w:r>
      <w:r w:rsidR="007569E6">
        <w:t xml:space="preserve"> </w:t>
      </w:r>
      <w:r w:rsidR="004C7720">
        <w:t xml:space="preserve"> </w:t>
      </w:r>
      <w:r w:rsidR="00C976D0">
        <w:t xml:space="preserve">Figure 1 provides a diagrammatic representation of the entire model system. </w:t>
      </w:r>
      <w:r w:rsidR="007569E6">
        <w:t xml:space="preserve"> </w:t>
      </w:r>
    </w:p>
    <w:p w14:paraId="61847024" w14:textId="77777777" w:rsidR="00B800FC" w:rsidRDefault="00B800FC" w:rsidP="00B800FC">
      <w:pPr>
        <w:ind w:firstLine="720"/>
        <w:jc w:val="both"/>
      </w:pPr>
    </w:p>
    <w:p w14:paraId="12BE04D9" w14:textId="77777777" w:rsidR="00B800FC" w:rsidRDefault="008217CE" w:rsidP="00B800FC">
      <w:pPr>
        <w:jc w:val="both"/>
      </w:pPr>
      <w:r>
        <w:rPr>
          <w:b/>
        </w:rPr>
        <w:t>3</w:t>
      </w:r>
      <w:r w:rsidR="007C7688" w:rsidRPr="00CF0952">
        <w:rPr>
          <w:b/>
        </w:rPr>
        <w:t xml:space="preserve">. </w:t>
      </w:r>
      <w:r w:rsidRPr="00F65B91">
        <w:rPr>
          <w:b/>
          <w:caps/>
        </w:rPr>
        <w:t>Empirical Application</w:t>
      </w:r>
    </w:p>
    <w:p w14:paraId="3D007D9A" w14:textId="77777777" w:rsidR="00B800FC" w:rsidRDefault="008217CE" w:rsidP="00B800FC">
      <w:pPr>
        <w:jc w:val="both"/>
      </w:pPr>
      <w:r>
        <w:rPr>
          <w:b/>
        </w:rPr>
        <w:t>3</w:t>
      </w:r>
      <w:r w:rsidR="007C7688" w:rsidRPr="00CF6932">
        <w:rPr>
          <w:b/>
        </w:rPr>
        <w:t>.1. Data</w:t>
      </w:r>
    </w:p>
    <w:p w14:paraId="2583A541" w14:textId="56DF5476" w:rsidR="00ED2420" w:rsidRPr="00B800FC" w:rsidRDefault="00784C55" w:rsidP="00B800FC">
      <w:pPr>
        <w:jc w:val="both"/>
      </w:pPr>
      <w:r w:rsidRPr="003E781B">
        <w:t>D</w:t>
      </w:r>
      <w:r w:rsidR="007C7688" w:rsidRPr="003E781B">
        <w:t xml:space="preserve">ata for this study is derived from </w:t>
      </w:r>
      <w:r w:rsidRPr="003E781B">
        <w:t xml:space="preserve">the </w:t>
      </w:r>
      <w:r w:rsidR="007C7688" w:rsidRPr="003E781B">
        <w:t xml:space="preserve">2009 American Housing Survey (AHS), sponsored by the Department of Housing and Urban Development (HUD) and conducted by the </w:t>
      </w:r>
      <w:r w:rsidR="00CC16D5" w:rsidRPr="003E781B">
        <w:t xml:space="preserve">U.S. Census Bureau. </w:t>
      </w:r>
      <w:r w:rsidR="009C2331" w:rsidRPr="00064C5A">
        <w:rPr>
          <w:rFonts w:eastAsiaTheme="minorHAnsi"/>
        </w:rPr>
        <w:t xml:space="preserve">The </w:t>
      </w:r>
      <w:r w:rsidR="006F6DB6" w:rsidRPr="00064C5A">
        <w:rPr>
          <w:rFonts w:eastAsiaTheme="minorHAnsi"/>
        </w:rPr>
        <w:t>AHS</w:t>
      </w:r>
      <w:r w:rsidR="009C2331" w:rsidRPr="00064C5A">
        <w:rPr>
          <w:rFonts w:eastAsiaTheme="minorHAnsi"/>
        </w:rPr>
        <w:t xml:space="preserve"> </w:t>
      </w:r>
      <w:r w:rsidR="003E781B">
        <w:rPr>
          <w:rFonts w:eastAsiaTheme="minorHAnsi"/>
        </w:rPr>
        <w:t>identified about 59,800 dwelling</w:t>
      </w:r>
      <w:r w:rsidR="001B2E33" w:rsidRPr="00064C5A">
        <w:rPr>
          <w:rFonts w:eastAsiaTheme="minorHAnsi"/>
        </w:rPr>
        <w:t xml:space="preserve"> </w:t>
      </w:r>
      <w:r w:rsidR="003E781B">
        <w:rPr>
          <w:rFonts w:eastAsiaTheme="minorHAnsi"/>
        </w:rPr>
        <w:t xml:space="preserve">(or housing) </w:t>
      </w:r>
      <w:r w:rsidR="001B2E33" w:rsidRPr="00064C5A">
        <w:rPr>
          <w:rFonts w:eastAsiaTheme="minorHAnsi"/>
        </w:rPr>
        <w:t xml:space="preserve">units in the country, sampled to be representative </w:t>
      </w:r>
      <w:r w:rsidR="003E781B">
        <w:rPr>
          <w:rFonts w:eastAsiaTheme="minorHAnsi"/>
        </w:rPr>
        <w:t>of dwelling</w:t>
      </w:r>
      <w:r w:rsidR="001B2E33" w:rsidRPr="00064C5A">
        <w:rPr>
          <w:rFonts w:eastAsiaTheme="minorHAnsi"/>
        </w:rPr>
        <w:t xml:space="preserve"> units in the entire country. </w:t>
      </w:r>
      <w:r w:rsidR="003E781B">
        <w:rPr>
          <w:rFonts w:eastAsiaTheme="minorHAnsi"/>
        </w:rPr>
        <w:t>These dwelling</w:t>
      </w:r>
      <w:r w:rsidR="001B2E33" w:rsidRPr="00064C5A">
        <w:rPr>
          <w:rFonts w:eastAsiaTheme="minorHAnsi"/>
        </w:rPr>
        <w:t xml:space="preserve"> units were contacted by Census enumerators, either through telephone interviews or in-person interviews, and a notebook-based survey was administered to a knowledgeable household member 16 years of age or over</w:t>
      </w:r>
      <w:r w:rsidR="003E781B">
        <w:rPr>
          <w:rFonts w:eastAsiaTheme="minorHAnsi"/>
        </w:rPr>
        <w:t xml:space="preserve"> in the dwelling unit</w:t>
      </w:r>
      <w:r w:rsidR="00ED2420">
        <w:rPr>
          <w:rFonts w:eastAsiaTheme="minorHAnsi"/>
        </w:rPr>
        <w:t xml:space="preserve">. While detailed socio-economic information was collected regarding each member residing in the dwelling unit, the relationships among residents was based on soliciting information regarding the relationship of each resident with a single “reference person”. The “reference person” (also referred to as the “householder” in the 2009 AHS survey) was identified as the first resident member listed as owning or renting a dwelling unit in the official housing records. </w:t>
      </w:r>
    </w:p>
    <w:p w14:paraId="46677785" w14:textId="1C20DCD5" w:rsidR="008A4696" w:rsidRDefault="001B2E33">
      <w:pPr>
        <w:ind w:firstLine="720"/>
        <w:jc w:val="both"/>
        <w:rPr>
          <w:rFonts w:eastAsiaTheme="minorHAnsi"/>
        </w:rPr>
      </w:pPr>
      <w:r w:rsidRPr="00064C5A">
        <w:rPr>
          <w:rFonts w:eastAsiaTheme="minorHAnsi"/>
        </w:rPr>
        <w:t>Of the 59,8</w:t>
      </w:r>
      <w:r w:rsidR="00D1600A" w:rsidRPr="00064C5A">
        <w:rPr>
          <w:rFonts w:eastAsiaTheme="minorHAnsi"/>
        </w:rPr>
        <w:t>00 eligible sample units, 6,450 could not be interviewed either because of inability to contact any interview-eligible individual</w:t>
      </w:r>
      <w:r w:rsidR="003E781B">
        <w:rPr>
          <w:rFonts w:eastAsiaTheme="minorHAnsi"/>
        </w:rPr>
        <w:t xml:space="preserve"> in the corresponding household</w:t>
      </w:r>
      <w:r w:rsidR="00D1600A" w:rsidRPr="00064C5A">
        <w:rPr>
          <w:rFonts w:eastAsiaTheme="minorHAnsi"/>
        </w:rPr>
        <w:t xml:space="preserve"> or because of refusal of the unit despite repeated visits. All the remaining </w:t>
      </w:r>
      <w:r w:rsidR="003E781B">
        <w:rPr>
          <w:rFonts w:eastAsiaTheme="minorHAnsi"/>
        </w:rPr>
        <w:t>dwelling</w:t>
      </w:r>
      <w:r w:rsidR="00D1600A" w:rsidRPr="00064C5A">
        <w:rPr>
          <w:rFonts w:eastAsiaTheme="minorHAnsi"/>
        </w:rPr>
        <w:t xml:space="preserve"> units were interviewed </w:t>
      </w:r>
      <w:r w:rsidR="006F6DB6" w:rsidRPr="00064C5A">
        <w:rPr>
          <w:rFonts w:eastAsiaTheme="minorHAnsi"/>
        </w:rPr>
        <w:t>between April and September 2009</w:t>
      </w:r>
      <w:r w:rsidR="007D2828" w:rsidRPr="00064C5A">
        <w:rPr>
          <w:rFonts w:eastAsiaTheme="minorHAnsi"/>
        </w:rPr>
        <w:t xml:space="preserve">. The sampling units are located across 878 counties and independent cities with representation from all 50 states and the District of Columbia. Details of the sample design and survey administration procedures are available in Appendix B of </w:t>
      </w:r>
      <w:r w:rsidR="000C0284" w:rsidRPr="00064C5A">
        <w:rPr>
          <w:rFonts w:eastAsiaTheme="minorHAnsi"/>
        </w:rPr>
        <w:t>U</w:t>
      </w:r>
      <w:r w:rsidR="00022D88">
        <w:rPr>
          <w:rFonts w:eastAsiaTheme="minorHAnsi"/>
        </w:rPr>
        <w:t>.</w:t>
      </w:r>
      <w:r w:rsidR="000C0284" w:rsidRPr="00064C5A">
        <w:rPr>
          <w:rFonts w:eastAsiaTheme="minorHAnsi"/>
        </w:rPr>
        <w:t>S</w:t>
      </w:r>
      <w:r w:rsidR="00022D88">
        <w:rPr>
          <w:rFonts w:eastAsiaTheme="minorHAnsi"/>
        </w:rPr>
        <w:t>. Census Bureau (2011</w:t>
      </w:r>
      <w:r w:rsidR="000C0284" w:rsidRPr="00064C5A">
        <w:rPr>
          <w:rFonts w:eastAsiaTheme="minorHAnsi"/>
        </w:rPr>
        <w:t xml:space="preserve">). Each sampled housing unit represents about 2000 other units in the country.  A majority of the sample units (about 89%) were occupied at the time of the survey, while 11% were vacant. In </w:t>
      </w:r>
      <w:r w:rsidR="008A4696">
        <w:rPr>
          <w:rFonts w:eastAsiaTheme="minorHAnsi"/>
        </w:rPr>
        <w:t xml:space="preserve">addition to this national level survey, a concurrent metropolitan survey of housing was undertaken in New Orleans and Seattle. In this paper, we focus only on occupied dwelling units because of better data quality for such units than for vacant units. Further, </w:t>
      </w:r>
      <w:r w:rsidR="00030B6B" w:rsidRPr="00064C5A">
        <w:rPr>
          <w:rFonts w:eastAsiaTheme="minorHAnsi"/>
        </w:rPr>
        <w:t>to maintain focus on one metropolitan region</w:t>
      </w:r>
      <w:r w:rsidR="008A4696">
        <w:rPr>
          <w:rFonts w:eastAsiaTheme="minorHAnsi"/>
        </w:rPr>
        <w:t xml:space="preserve">, </w:t>
      </w:r>
      <w:r w:rsidR="008A4696" w:rsidRPr="00095692">
        <w:rPr>
          <w:rFonts w:eastAsiaTheme="minorHAnsi"/>
        </w:rPr>
        <w:t>we selected the Seattle region in the State of Washington</w:t>
      </w:r>
      <w:r w:rsidR="008A4696">
        <w:rPr>
          <w:rFonts w:eastAsiaTheme="minorHAnsi"/>
        </w:rPr>
        <w:t xml:space="preserve"> </w:t>
      </w:r>
      <w:r w:rsidR="00F40D51">
        <w:rPr>
          <w:rFonts w:eastAsiaTheme="minorHAnsi"/>
        </w:rPr>
        <w:t xml:space="preserve">where the </w:t>
      </w:r>
      <w:r w:rsidR="003E781B">
        <w:rPr>
          <w:rFonts w:eastAsiaTheme="minorHAnsi"/>
        </w:rPr>
        <w:t>occupancy rates of the dwelling</w:t>
      </w:r>
      <w:r w:rsidR="00F40D51">
        <w:rPr>
          <w:rFonts w:eastAsiaTheme="minorHAnsi"/>
        </w:rPr>
        <w:t xml:space="preserve"> units was quite</w:t>
      </w:r>
      <w:r w:rsidR="008A4696">
        <w:rPr>
          <w:rFonts w:eastAsiaTheme="minorHAnsi"/>
        </w:rPr>
        <w:t xml:space="preserve"> high</w:t>
      </w:r>
      <w:r w:rsidR="00030B6B" w:rsidRPr="00064C5A">
        <w:rPr>
          <w:rFonts w:eastAsiaTheme="minorHAnsi"/>
        </w:rPr>
        <w:t xml:space="preserve">. </w:t>
      </w:r>
      <w:r w:rsidR="008A4696">
        <w:rPr>
          <w:rFonts w:eastAsiaTheme="minorHAnsi"/>
        </w:rPr>
        <w:t xml:space="preserve">Another reason </w:t>
      </w:r>
      <w:r w:rsidR="008A4696">
        <w:rPr>
          <w:rFonts w:eastAsiaTheme="minorHAnsi"/>
        </w:rPr>
        <w:lastRenderedPageBreak/>
        <w:t>for choosing the Seattle region over the New Orleans region was the lingering effects of Hurricane Katrina in 2005 on housing markets there.</w:t>
      </w:r>
    </w:p>
    <w:p w14:paraId="0A60F90B" w14:textId="5B7CC198" w:rsidR="00030B6B" w:rsidRPr="003E781B" w:rsidRDefault="00030B6B">
      <w:pPr>
        <w:ind w:firstLine="720"/>
        <w:jc w:val="both"/>
        <w:rPr>
          <w:lang w:eastAsia="zh-CN"/>
        </w:rPr>
      </w:pPr>
      <w:r w:rsidRPr="003E781B">
        <w:t xml:space="preserve">The initial sample size </w:t>
      </w:r>
      <w:r w:rsidR="003E781B">
        <w:t>of occupied dwelling</w:t>
      </w:r>
      <w:r w:rsidRPr="003E781B">
        <w:t xml:space="preserve"> units in the AHS </w:t>
      </w:r>
      <w:r w:rsidR="008A4696">
        <w:t>(including the national survey and the concurrent metropolitan survey) in the Seattle region was</w:t>
      </w:r>
      <w:r w:rsidR="003E781B" w:rsidRPr="003E781B">
        <w:t xml:space="preserve"> </w:t>
      </w:r>
      <w:r w:rsidR="008A4696">
        <w:t>149</w:t>
      </w:r>
      <w:r w:rsidR="003E781B" w:rsidRPr="003E781B">
        <w:t>1</w:t>
      </w:r>
      <w:r w:rsidRPr="003E781B">
        <w:t>. There w</w:t>
      </w:r>
      <w:r w:rsidR="003E781B" w:rsidRPr="003E781B">
        <w:t>ere very few</w:t>
      </w:r>
      <w:r w:rsidR="00142023">
        <w:t xml:space="preserve"> mobile homes in this sample</w:t>
      </w:r>
      <w:r w:rsidR="003E781B" w:rsidRPr="003E781B">
        <w:t xml:space="preserve"> and</w:t>
      </w:r>
      <w:r w:rsidR="00142023">
        <w:t>,</w:t>
      </w:r>
      <w:r w:rsidR="003E781B" w:rsidRPr="003E781B">
        <w:t xml:space="preserve"> a</w:t>
      </w:r>
      <w:r w:rsidRPr="003E781B">
        <w:t>fter dropping the</w:t>
      </w:r>
      <w:r w:rsidR="003E781B" w:rsidRPr="003E781B">
        <w:t>se</w:t>
      </w:r>
      <w:r w:rsidRPr="003E781B">
        <w:t xml:space="preserve"> observations, the sample size red</w:t>
      </w:r>
      <w:r w:rsidR="008A4696">
        <w:t>uced to 1445</w:t>
      </w:r>
      <w:r w:rsidRPr="003E781B">
        <w:t xml:space="preserve"> </w:t>
      </w:r>
      <w:r w:rsidR="003E781B">
        <w:t>fixed and occupied dwelling</w:t>
      </w:r>
      <w:r w:rsidR="003E781B" w:rsidRPr="003E781B">
        <w:t xml:space="preserve"> units</w:t>
      </w:r>
      <w:r w:rsidRPr="003E781B">
        <w:t xml:space="preserve">. </w:t>
      </w:r>
      <w:r w:rsidR="008A4696">
        <w:t>After some additional screening to remove inconsistent/unusual records (such as dwellings with zero square footage and/or zero monthly rent for rented houses), the final sample size used was 1421 with complete information on dwelling attributes as well as the socio-economic characteristics of individuals in the dwelling</w:t>
      </w:r>
      <w:r w:rsidR="00DC297D">
        <w:t xml:space="preserve"> (interestingly, all dwelling units in our sample had at least one resident worker, presumably a reflection of the vibrant technology-driven labor market in the Seattle region)</w:t>
      </w:r>
      <w:r w:rsidR="008A4696">
        <w:t xml:space="preserve">. </w:t>
      </w:r>
    </w:p>
    <w:p w14:paraId="453ED8A9" w14:textId="3DB43BD9" w:rsidR="007C7688" w:rsidRDefault="003E781B" w:rsidP="00064C5A">
      <w:pPr>
        <w:ind w:firstLine="720"/>
        <w:jc w:val="both"/>
      </w:pPr>
      <w:r>
        <w:t>T</w:t>
      </w:r>
      <w:r w:rsidR="009C2331">
        <w:t xml:space="preserve">he </w:t>
      </w:r>
      <w:r>
        <w:t xml:space="preserve">survey collected </w:t>
      </w:r>
      <w:r w:rsidR="00F410E8">
        <w:t xml:space="preserve">detailed information </w:t>
      </w:r>
      <w:r w:rsidR="005925A2">
        <w:t xml:space="preserve">on </w:t>
      </w:r>
      <w:r w:rsidR="00F410E8">
        <w:t xml:space="preserve">the characteristics of </w:t>
      </w:r>
      <w:r w:rsidR="005925A2">
        <w:t>each dwelling unit</w:t>
      </w:r>
      <w:r w:rsidR="00F410E8">
        <w:t>, including (but not limited to)</w:t>
      </w:r>
      <w:r w:rsidR="009C2331">
        <w:t xml:space="preserve"> </w:t>
      </w:r>
      <w:r w:rsidR="00784C55">
        <w:t xml:space="preserve"> </w:t>
      </w:r>
      <w:r w:rsidR="007C7688">
        <w:t>hous</w:t>
      </w:r>
      <w:r w:rsidR="00CC16D5">
        <w:t>ing type (single family-attach</w:t>
      </w:r>
      <w:r w:rsidR="005925A2">
        <w:t>ed, single family-</w:t>
      </w:r>
      <w:r w:rsidR="007F0B16">
        <w:t>detached,</w:t>
      </w:r>
      <w:r w:rsidR="005925A2">
        <w:t xml:space="preserve"> and </w:t>
      </w:r>
      <w:r w:rsidR="007F0B16">
        <w:t xml:space="preserve"> </w:t>
      </w:r>
      <w:r w:rsidR="00CC16D5">
        <w:t>apartment complex</w:t>
      </w:r>
      <w:r w:rsidR="00105A08">
        <w:t xml:space="preserve"> with two or mo</w:t>
      </w:r>
      <w:r w:rsidR="00A07E5C">
        <w:t>re apartment units</w:t>
      </w:r>
      <w:r w:rsidR="005925A2">
        <w:t>)</w:t>
      </w:r>
      <w:r w:rsidR="007C7688">
        <w:t>, number of stories, number of bedroom</w:t>
      </w:r>
      <w:r w:rsidR="00CC16D5">
        <w:t>s</w:t>
      </w:r>
      <w:r w:rsidR="007C7688">
        <w:t xml:space="preserve"> and bathroom</w:t>
      </w:r>
      <w:r w:rsidR="00CC16D5">
        <w:t>s</w:t>
      </w:r>
      <w:r w:rsidR="007C7688">
        <w:t>, hous</w:t>
      </w:r>
      <w:r w:rsidR="00CC16D5">
        <w:t>e square footage</w:t>
      </w:r>
      <w:r w:rsidR="008217CE">
        <w:t>, lot area</w:t>
      </w:r>
      <w:r w:rsidR="00F410E8">
        <w:t xml:space="preserve">, </w:t>
      </w:r>
      <w:r w:rsidR="00C83BE8">
        <w:t>den</w:t>
      </w:r>
      <w:r w:rsidR="00226860">
        <w:t>sity of dwelling unit</w:t>
      </w:r>
      <w:r w:rsidR="00C83BE8">
        <w:t xml:space="preserve"> </w:t>
      </w:r>
      <w:r w:rsidR="00F410E8">
        <w:t>location</w:t>
      </w:r>
      <w:r w:rsidR="00C83BE8">
        <w:t xml:space="preserve"> </w:t>
      </w:r>
      <w:r w:rsidR="007C7688">
        <w:t xml:space="preserve">(primary central city, secondary central city </w:t>
      </w:r>
      <w:r w:rsidR="00CC16D5">
        <w:t>or</w:t>
      </w:r>
      <w:r w:rsidR="007C7688">
        <w:t xml:space="preserve"> suburb)</w:t>
      </w:r>
      <w:r w:rsidR="00F410E8">
        <w:t xml:space="preserve">, </w:t>
      </w:r>
      <w:r w:rsidR="008A4696">
        <w:t>whether the unit was currently being rented or owned (</w:t>
      </w:r>
      <w:r w:rsidR="008A4696" w:rsidRPr="003D4333">
        <w:rPr>
          <w:i/>
        </w:rPr>
        <w:t>i.e.</w:t>
      </w:r>
      <w:r w:rsidR="008A4696">
        <w:t xml:space="preserve">, tenure type), and </w:t>
      </w:r>
      <w:r w:rsidR="00F410E8">
        <w:t>housing costs</w:t>
      </w:r>
      <w:r w:rsidR="00CC16D5">
        <w:t>.</w:t>
      </w:r>
      <w:r w:rsidR="00ED2420">
        <w:rPr>
          <w:rStyle w:val="FootnoteReference"/>
        </w:rPr>
        <w:footnoteReference w:id="7"/>
      </w:r>
      <w:r w:rsidR="00142023">
        <w:rPr>
          <w:rStyle w:val="FootnoteReference"/>
        </w:rPr>
        <w:t>,</w:t>
      </w:r>
      <w:r w:rsidR="00142023">
        <w:rPr>
          <w:rStyle w:val="FootnoteReference"/>
        </w:rPr>
        <w:footnoteReference w:id="8"/>
      </w:r>
      <w:r w:rsidR="00CC16D5">
        <w:t xml:space="preserve"> In add</w:t>
      </w:r>
      <w:r w:rsidR="008F3145">
        <w:t xml:space="preserve">ition, information on </w:t>
      </w:r>
      <w:r w:rsidR="00105A08">
        <w:t>demographics wa</w:t>
      </w:r>
      <w:r w:rsidR="00002AC4">
        <w:t>s also collected, including</w:t>
      </w:r>
      <w:r w:rsidR="00081245">
        <w:t xml:space="preserve">, for each individual in the household, the following characteristics: </w:t>
      </w:r>
      <w:r w:rsidR="00002AC4">
        <w:t xml:space="preserve">age, education level, sex, ethnicity/race, relationship to reference person, </w:t>
      </w:r>
      <w:r w:rsidR="00F410E8">
        <w:t xml:space="preserve">marital status, </w:t>
      </w:r>
      <w:r w:rsidR="00002AC4">
        <w:t>country of birth, U.S. citizenship status, employment status, commuting charact</w:t>
      </w:r>
      <w:r w:rsidR="00081245">
        <w:t>eristics if employed</w:t>
      </w:r>
      <w:r w:rsidR="00ED2420">
        <w:t xml:space="preserve"> </w:t>
      </w:r>
      <w:r w:rsidR="003435D9">
        <w:lastRenderedPageBreak/>
        <w:t>(</w:t>
      </w:r>
      <w:r w:rsidR="00002AC4">
        <w:t xml:space="preserve">whether or not the individual worked outside the </w:t>
      </w:r>
      <w:r w:rsidR="00002AC4" w:rsidRPr="00064C5A">
        <w:t>home</w:t>
      </w:r>
      <w:r w:rsidR="003435D9">
        <w:t>)</w:t>
      </w:r>
      <w:r w:rsidR="00002AC4" w:rsidRPr="008F04E5">
        <w:t xml:space="preserve">, </w:t>
      </w:r>
      <w:r w:rsidR="00BB7016" w:rsidRPr="008F04E5">
        <w:t xml:space="preserve">full-time </w:t>
      </w:r>
      <w:r w:rsidR="00142023">
        <w:t xml:space="preserve">employment </w:t>
      </w:r>
      <w:r w:rsidR="00BB7016" w:rsidRPr="008F04E5">
        <w:t>(</w:t>
      </w:r>
      <w:r w:rsidR="008E0347" w:rsidRPr="008F04E5">
        <w:t>35</w:t>
      </w:r>
      <w:r w:rsidR="00BB7016" w:rsidRPr="008F04E5">
        <w:t xml:space="preserve"> hours of work or more per week) or part-time employment (less than </w:t>
      </w:r>
      <w:r w:rsidR="008E0347" w:rsidRPr="008F04E5">
        <w:t>35</w:t>
      </w:r>
      <w:r w:rsidR="00BB7016" w:rsidRPr="008F04E5">
        <w:t xml:space="preserve"> hours of work),</w:t>
      </w:r>
      <w:r w:rsidR="00BB7016">
        <w:t xml:space="preserve"> </w:t>
      </w:r>
      <w:r w:rsidR="00081245">
        <w:t>tel</w:t>
      </w:r>
      <w:r w:rsidR="00142023">
        <w:t xml:space="preserve">ecommuting characteristics, </w:t>
      </w:r>
      <w:r w:rsidR="00081245">
        <w:t>commute mode, time, and distance to the usual work location of the individual</w:t>
      </w:r>
      <w:r w:rsidR="00F410E8">
        <w:t xml:space="preserve">, and annual </w:t>
      </w:r>
      <w:r w:rsidR="00081245">
        <w:t>income</w:t>
      </w:r>
      <w:r w:rsidR="00F410E8">
        <w:t xml:space="preserve"> by source (</w:t>
      </w:r>
      <w:r w:rsidR="00431774">
        <w:t xml:space="preserve">such as </w:t>
      </w:r>
      <w:r w:rsidR="00F410E8">
        <w:t>wages, tips, self-employment, rental pr</w:t>
      </w:r>
      <w:r w:rsidR="00431774">
        <w:t xml:space="preserve">operty, retirement/pension, public welfare, and </w:t>
      </w:r>
      <w:r w:rsidR="00F410E8">
        <w:t>alimony or child support</w:t>
      </w:r>
      <w:r w:rsidR="00431774">
        <w:t>)</w:t>
      </w:r>
      <w:r w:rsidR="003D4333">
        <w:t>.</w:t>
      </w:r>
      <w:r w:rsidR="00002AC4">
        <w:t xml:space="preserve"> </w:t>
      </w:r>
      <w:r w:rsidR="00ED2420">
        <w:t>The individual-level information also provide</w:t>
      </w:r>
      <w:r w:rsidR="008217CE">
        <w:t>d</w:t>
      </w:r>
      <w:r w:rsidR="00ED2420">
        <w:t xml:space="preserve"> many variables at the </w:t>
      </w:r>
      <w:r w:rsidR="008217CE">
        <w:t>household level (some of which we</w:t>
      </w:r>
      <w:r w:rsidR="00ED2420">
        <w:t>re sought directly in the survey for verification purposes, though they can be computed from the individual-level information). These include</w:t>
      </w:r>
      <w:r w:rsidR="008217CE">
        <w:t>d</w:t>
      </w:r>
      <w:r w:rsidR="00ED2420">
        <w:t xml:space="preserve"> </w:t>
      </w:r>
      <w:r w:rsidR="007C7688">
        <w:t>household income</w:t>
      </w:r>
      <w:r w:rsidR="00ED2420">
        <w:t xml:space="preserve"> (sum of the in</w:t>
      </w:r>
      <w:r w:rsidR="000A5252">
        <w:t>comes of all individuals aged 16</w:t>
      </w:r>
      <w:r w:rsidR="00ED2420">
        <w:t xml:space="preserve"> years or older)</w:t>
      </w:r>
      <w:r w:rsidR="007C7688">
        <w:t>, household size</w:t>
      </w:r>
      <w:r w:rsidR="00ED2420">
        <w:t xml:space="preserve"> by age groupings</w:t>
      </w:r>
      <w:r w:rsidR="007C7688">
        <w:t>, number of adults</w:t>
      </w:r>
      <w:r w:rsidR="000A5252">
        <w:t xml:space="preserve"> (individuals over 16</w:t>
      </w:r>
      <w:r w:rsidR="00ED2420">
        <w:t xml:space="preserve"> </w:t>
      </w:r>
      <w:r w:rsidR="003B07B7">
        <w:t xml:space="preserve">years </w:t>
      </w:r>
      <w:r w:rsidR="00ED2420">
        <w:t>of age)</w:t>
      </w:r>
      <w:r w:rsidR="007C7688">
        <w:t>, number of children</w:t>
      </w:r>
      <w:r w:rsidR="00ED2420">
        <w:t xml:space="preserve"> of different age groups, </w:t>
      </w:r>
      <w:r w:rsidR="00DC297D">
        <w:t xml:space="preserve">number of individuals with physical challenges, </w:t>
      </w:r>
      <w:r w:rsidR="00ED2420">
        <w:t xml:space="preserve">number of workers, </w:t>
      </w:r>
      <w:r w:rsidR="00BB7016">
        <w:t xml:space="preserve">number of workers with full-time employment, number of workers with part-time employment, </w:t>
      </w:r>
      <w:r w:rsidR="00ED2420">
        <w:t xml:space="preserve">number of workers with </w:t>
      </w:r>
      <w:r w:rsidR="00DC297D">
        <w:t xml:space="preserve">the </w:t>
      </w:r>
      <w:r w:rsidR="00ED2420">
        <w:t xml:space="preserve">option to work from home, </w:t>
      </w:r>
      <w:r w:rsidR="00134BEC">
        <w:t xml:space="preserve">education status of individuals in the household, marital status of individuals (married, widowed, separated or divorced, or never married), </w:t>
      </w:r>
      <w:r w:rsidR="00CC498C">
        <w:t>race/ethnicity of the householder in one of the following categories: (1) Caucasian, (2) Asian, (3) African-American, and (4) Others (Hawaiian, Ame</w:t>
      </w:r>
      <w:r w:rsidR="005E1FBA">
        <w:t>rican Indian and Alaska Native</w:t>
      </w:r>
      <w:r w:rsidR="00CC498C">
        <w:t>)</w:t>
      </w:r>
      <w:r w:rsidR="00894BF3">
        <w:t xml:space="preserve">, </w:t>
      </w:r>
      <w:r w:rsidR="00DC297D">
        <w:t>and the immigrant status of the household in one of the following three categories: (1) all members are foreign born (labeled as immigrant households), (2) all members are born in the U.S. (labeled as non-immigrant households), and (3) some members born in the U.S., and other</w:t>
      </w:r>
      <w:r w:rsidR="00142023">
        <w:t>s</w:t>
      </w:r>
      <w:r w:rsidR="00DC297D">
        <w:t xml:space="preserve"> born outside the U.S. (labeled as combination households).</w:t>
      </w:r>
      <w:r w:rsidR="00DC297D">
        <w:rPr>
          <w:rStyle w:val="FootnoteReference"/>
        </w:rPr>
        <w:footnoteReference w:id="9"/>
      </w:r>
      <w:r w:rsidR="00DC297D">
        <w:t xml:space="preserve"> </w:t>
      </w:r>
      <w:r w:rsidR="00C03DDF">
        <w:t xml:space="preserve">Descriptive statistics of these household-level independent variables are provided in an online supplement to this paper at </w:t>
      </w:r>
      <w:hyperlink r:id="rId402" w:history="1">
        <w:r w:rsidR="00FC135B" w:rsidRPr="00425A40">
          <w:rPr>
            <w:rStyle w:val="Hyperlink"/>
            <w:sz w:val="23"/>
            <w:szCs w:val="23"/>
          </w:rPr>
          <w:t>http://www.caee.utexas.edu/prof/bhat/ABSTRACTS/ResidentialChoice/Independent_Variables.pdf</w:t>
        </w:r>
      </w:hyperlink>
      <w:r w:rsidR="00FC135B">
        <w:t xml:space="preserve">. </w:t>
      </w:r>
    </w:p>
    <w:p w14:paraId="11434003" w14:textId="77777777" w:rsidR="007C7688" w:rsidRDefault="007C7688" w:rsidP="00C03DDF">
      <w:pPr>
        <w:rPr>
          <w:lang w:eastAsia="zh-CN"/>
        </w:rPr>
      </w:pPr>
    </w:p>
    <w:p w14:paraId="5BFB678A" w14:textId="28747CC6" w:rsidR="007C7688" w:rsidRDefault="004C7720" w:rsidP="007C7688">
      <w:pPr>
        <w:jc w:val="both"/>
        <w:rPr>
          <w:b/>
          <w:lang w:eastAsia="zh-CN"/>
        </w:rPr>
      </w:pPr>
      <w:r>
        <w:rPr>
          <w:b/>
          <w:lang w:eastAsia="zh-CN"/>
        </w:rPr>
        <w:t>3</w:t>
      </w:r>
      <w:r w:rsidR="007C7688" w:rsidRPr="003C62A3">
        <w:rPr>
          <w:b/>
          <w:lang w:eastAsia="zh-CN"/>
        </w:rPr>
        <w:t xml:space="preserve">.2. Dependent Variables </w:t>
      </w:r>
    </w:p>
    <w:p w14:paraId="56BFF8AA" w14:textId="19E584FC" w:rsidR="00194DC9" w:rsidRDefault="00657CEF" w:rsidP="008F04E5">
      <w:pPr>
        <w:jc w:val="both"/>
      </w:pPr>
      <w:r w:rsidRPr="00417C1C">
        <w:t>The dependent varia</w:t>
      </w:r>
      <w:r w:rsidR="004A37F2">
        <w:t>bles considered in this study represent different attributes of</w:t>
      </w:r>
      <w:r w:rsidRPr="00417C1C">
        <w:t xml:space="preserve"> </w:t>
      </w:r>
      <w:r w:rsidR="00627B3A">
        <w:t xml:space="preserve">the </w:t>
      </w:r>
      <w:r w:rsidR="004A37F2">
        <w:t xml:space="preserve">physical </w:t>
      </w:r>
      <w:r w:rsidR="00627B3A">
        <w:t xml:space="preserve">dwelling </w:t>
      </w:r>
      <w:r w:rsidRPr="00417C1C">
        <w:t>unit characteristics</w:t>
      </w:r>
      <w:r w:rsidR="004A37F2">
        <w:t>, housing costs, tenure type</w:t>
      </w:r>
      <w:r w:rsidR="00886654">
        <w:t xml:space="preserve">, </w:t>
      </w:r>
      <w:r w:rsidR="004A37F2">
        <w:t xml:space="preserve">housing type, </w:t>
      </w:r>
      <w:r w:rsidR="000F1B61">
        <w:t xml:space="preserve">density of </w:t>
      </w:r>
      <w:r w:rsidR="00886654">
        <w:t>residential location</w:t>
      </w:r>
      <w:r w:rsidR="000F1B61">
        <w:t xml:space="preserve">, and </w:t>
      </w:r>
      <w:r w:rsidR="008F04E5">
        <w:t xml:space="preserve">household </w:t>
      </w:r>
      <w:r w:rsidR="0054699D">
        <w:t xml:space="preserve">average </w:t>
      </w:r>
      <w:r w:rsidR="000F1B61">
        <w:t>commute distance associated with the dwelling unit. The</w:t>
      </w:r>
      <w:r w:rsidR="00886654">
        <w:t>se</w:t>
      </w:r>
      <w:r w:rsidR="000F1B61">
        <w:t xml:space="preserve"> dependent variables are discussed below by variable type.</w:t>
      </w:r>
    </w:p>
    <w:p w14:paraId="1DB3824D" w14:textId="77777777" w:rsidR="00194DC9" w:rsidRDefault="00194DC9" w:rsidP="00194DC9">
      <w:pPr>
        <w:jc w:val="both"/>
        <w:rPr>
          <w:b/>
          <w:lang w:eastAsia="zh-CN"/>
        </w:rPr>
      </w:pPr>
    </w:p>
    <w:p w14:paraId="5B61A4E5" w14:textId="4BFFBDAE" w:rsidR="006B37AD" w:rsidRPr="008F04E5" w:rsidRDefault="00194DC9" w:rsidP="00194DC9">
      <w:pPr>
        <w:jc w:val="both"/>
        <w:rPr>
          <w:u w:val="single"/>
          <w:lang w:eastAsia="zh-CN"/>
        </w:rPr>
      </w:pPr>
      <w:r w:rsidRPr="008F04E5">
        <w:rPr>
          <w:u w:val="single"/>
          <w:lang w:eastAsia="zh-CN"/>
        </w:rPr>
        <w:lastRenderedPageBreak/>
        <w:t xml:space="preserve">Grouped outcomes </w:t>
      </w:r>
    </w:p>
    <w:p w14:paraId="592BCB07" w14:textId="0CBAFF5D" w:rsidR="002B40C0" w:rsidRPr="008F04E5" w:rsidRDefault="00A61486" w:rsidP="008F04E5">
      <w:pPr>
        <w:pStyle w:val="ListParagraph"/>
        <w:numPr>
          <w:ilvl w:val="0"/>
          <w:numId w:val="26"/>
        </w:numPr>
        <w:spacing w:line="360" w:lineRule="auto"/>
        <w:ind w:left="360"/>
        <w:jc w:val="both"/>
        <w:rPr>
          <w:rFonts w:ascii="Times New Roman" w:hAnsi="Times New Roman"/>
          <w:sz w:val="24"/>
          <w:szCs w:val="24"/>
        </w:rPr>
      </w:pPr>
      <w:r w:rsidRPr="008F04E5">
        <w:rPr>
          <w:rFonts w:ascii="Times New Roman" w:hAnsi="Times New Roman"/>
          <w:sz w:val="24"/>
          <w:szCs w:val="24"/>
        </w:rPr>
        <w:t>T</w:t>
      </w:r>
      <w:r w:rsidR="002552E7" w:rsidRPr="008F04E5">
        <w:rPr>
          <w:rFonts w:ascii="Times New Roman" w:hAnsi="Times New Roman"/>
          <w:sz w:val="24"/>
          <w:szCs w:val="24"/>
        </w:rPr>
        <w:t>he s</w:t>
      </w:r>
      <w:r w:rsidR="00657CEF" w:rsidRPr="008F04E5">
        <w:rPr>
          <w:rFonts w:ascii="Times New Roman" w:hAnsi="Times New Roman"/>
          <w:sz w:val="24"/>
          <w:szCs w:val="24"/>
        </w:rPr>
        <w:t>quare footage</w:t>
      </w:r>
      <w:r w:rsidR="00142023">
        <w:rPr>
          <w:rFonts w:ascii="Times New Roman" w:hAnsi="Times New Roman"/>
          <w:sz w:val="24"/>
          <w:szCs w:val="24"/>
        </w:rPr>
        <w:t xml:space="preserve"> of the dwelling unit </w:t>
      </w:r>
      <w:r w:rsidR="00657CEF" w:rsidRPr="008F04E5">
        <w:rPr>
          <w:rFonts w:ascii="Times New Roman" w:hAnsi="Times New Roman"/>
          <w:sz w:val="24"/>
          <w:szCs w:val="24"/>
        </w:rPr>
        <w:t xml:space="preserve">corresponds to the square feet of all the rooms in the </w:t>
      </w:r>
      <w:r w:rsidR="000F1B61" w:rsidRPr="008F04E5">
        <w:rPr>
          <w:rFonts w:ascii="Times New Roman" w:hAnsi="Times New Roman"/>
          <w:sz w:val="24"/>
          <w:szCs w:val="24"/>
        </w:rPr>
        <w:t xml:space="preserve">dwelling </w:t>
      </w:r>
      <w:r w:rsidR="00657CEF" w:rsidRPr="008F04E5">
        <w:rPr>
          <w:rFonts w:ascii="Times New Roman" w:hAnsi="Times New Roman"/>
          <w:sz w:val="24"/>
          <w:szCs w:val="24"/>
        </w:rPr>
        <w:t xml:space="preserve">unit, </w:t>
      </w:r>
      <w:r w:rsidR="000F1B61" w:rsidRPr="008F04E5">
        <w:rPr>
          <w:rFonts w:ascii="Times New Roman" w:hAnsi="Times New Roman"/>
          <w:sz w:val="24"/>
          <w:szCs w:val="24"/>
        </w:rPr>
        <w:t xml:space="preserve">including </w:t>
      </w:r>
      <w:r w:rsidR="00657CEF" w:rsidRPr="008F04E5">
        <w:rPr>
          <w:rFonts w:ascii="Times New Roman" w:hAnsi="Times New Roman"/>
          <w:sz w:val="24"/>
          <w:szCs w:val="24"/>
        </w:rPr>
        <w:t>base</w:t>
      </w:r>
      <w:r w:rsidR="000F1B61" w:rsidRPr="008F04E5">
        <w:rPr>
          <w:rFonts w:ascii="Times New Roman" w:hAnsi="Times New Roman"/>
          <w:sz w:val="24"/>
          <w:szCs w:val="24"/>
        </w:rPr>
        <w:t>ment and finished attics (but excluding</w:t>
      </w:r>
      <w:r w:rsidR="00657CEF" w:rsidRPr="008F04E5">
        <w:rPr>
          <w:rFonts w:ascii="Times New Roman" w:hAnsi="Times New Roman"/>
          <w:sz w:val="24"/>
          <w:szCs w:val="24"/>
        </w:rPr>
        <w:t xml:space="preserve"> unfinished attics, carports, attached garages, and porches that are unprotected from weather</w:t>
      </w:r>
      <w:r w:rsidR="00142023">
        <w:rPr>
          <w:rFonts w:ascii="Times New Roman" w:hAnsi="Times New Roman"/>
          <w:sz w:val="24"/>
          <w:szCs w:val="24"/>
        </w:rPr>
        <w:t>). This variable i</w:t>
      </w:r>
      <w:r w:rsidR="00C655BD" w:rsidRPr="008F04E5">
        <w:rPr>
          <w:rFonts w:ascii="Times New Roman" w:hAnsi="Times New Roman"/>
          <w:sz w:val="24"/>
          <w:szCs w:val="24"/>
        </w:rPr>
        <w:t>s classified</w:t>
      </w:r>
      <w:r w:rsidR="000F1B61" w:rsidRPr="008F04E5">
        <w:rPr>
          <w:rFonts w:ascii="Times New Roman" w:hAnsi="Times New Roman"/>
          <w:sz w:val="24"/>
          <w:szCs w:val="24"/>
        </w:rPr>
        <w:t xml:space="preserve"> into six </w:t>
      </w:r>
      <w:r w:rsidR="00C655BD" w:rsidRPr="008F04E5">
        <w:rPr>
          <w:rFonts w:ascii="Times New Roman" w:hAnsi="Times New Roman"/>
          <w:sz w:val="24"/>
          <w:szCs w:val="24"/>
        </w:rPr>
        <w:t>grouped categories</w:t>
      </w:r>
      <w:r w:rsidR="000F1B61" w:rsidRPr="008F04E5">
        <w:rPr>
          <w:rFonts w:ascii="Times New Roman" w:hAnsi="Times New Roman"/>
          <w:sz w:val="24"/>
          <w:szCs w:val="24"/>
        </w:rPr>
        <w:t xml:space="preserve">: </w:t>
      </w:r>
      <w:r w:rsidR="00657CEF" w:rsidRPr="008F04E5">
        <w:rPr>
          <w:rFonts w:ascii="Times New Roman" w:hAnsi="Times New Roman"/>
          <w:sz w:val="24"/>
          <w:szCs w:val="24"/>
        </w:rPr>
        <w:t>(</w:t>
      </w:r>
      <w:r w:rsidR="000F1B61" w:rsidRPr="008F04E5">
        <w:rPr>
          <w:rFonts w:ascii="Times New Roman" w:hAnsi="Times New Roman"/>
          <w:sz w:val="24"/>
          <w:szCs w:val="24"/>
        </w:rPr>
        <w:t>1</w:t>
      </w:r>
      <w:r w:rsidR="00657CEF" w:rsidRPr="008F04E5">
        <w:rPr>
          <w:rFonts w:ascii="Times New Roman" w:hAnsi="Times New Roman"/>
          <w:sz w:val="24"/>
          <w:szCs w:val="24"/>
        </w:rPr>
        <w:t>) less than or equal to 1,000, (</w:t>
      </w:r>
      <w:r w:rsidR="000F1B61" w:rsidRPr="008F04E5">
        <w:rPr>
          <w:rFonts w:ascii="Times New Roman" w:hAnsi="Times New Roman"/>
          <w:sz w:val="24"/>
          <w:szCs w:val="24"/>
        </w:rPr>
        <w:t>2</w:t>
      </w:r>
      <w:r w:rsidR="00657CEF" w:rsidRPr="008F04E5">
        <w:rPr>
          <w:rFonts w:ascii="Times New Roman" w:hAnsi="Times New Roman"/>
          <w:sz w:val="24"/>
          <w:szCs w:val="24"/>
        </w:rPr>
        <w:t xml:space="preserve">) 1,001 </w:t>
      </w:r>
      <w:r w:rsidR="003D4333" w:rsidRPr="008F04E5">
        <w:rPr>
          <w:rFonts w:ascii="Times New Roman" w:hAnsi="Times New Roman"/>
          <w:sz w:val="24"/>
          <w:szCs w:val="24"/>
        </w:rPr>
        <w:t>–</w:t>
      </w:r>
      <w:r w:rsidR="00657CEF" w:rsidRPr="008F04E5">
        <w:rPr>
          <w:rFonts w:ascii="Times New Roman" w:hAnsi="Times New Roman"/>
          <w:sz w:val="24"/>
          <w:szCs w:val="24"/>
        </w:rPr>
        <w:t xml:space="preserve"> 1,500, (</w:t>
      </w:r>
      <w:r w:rsidR="000F1B61" w:rsidRPr="008F04E5">
        <w:rPr>
          <w:rFonts w:ascii="Times New Roman" w:hAnsi="Times New Roman"/>
          <w:sz w:val="24"/>
          <w:szCs w:val="24"/>
        </w:rPr>
        <w:t>3</w:t>
      </w:r>
      <w:r w:rsidR="00657CEF" w:rsidRPr="008F04E5">
        <w:rPr>
          <w:rFonts w:ascii="Times New Roman" w:hAnsi="Times New Roman"/>
          <w:sz w:val="24"/>
          <w:szCs w:val="24"/>
        </w:rPr>
        <w:t>) 1,501 – 2,000, (</w:t>
      </w:r>
      <w:r w:rsidR="000F1B61" w:rsidRPr="008F04E5">
        <w:rPr>
          <w:rFonts w:ascii="Times New Roman" w:hAnsi="Times New Roman"/>
          <w:sz w:val="24"/>
          <w:szCs w:val="24"/>
        </w:rPr>
        <w:t>4</w:t>
      </w:r>
      <w:r w:rsidR="00657CEF" w:rsidRPr="008F04E5">
        <w:rPr>
          <w:rFonts w:ascii="Times New Roman" w:hAnsi="Times New Roman"/>
          <w:sz w:val="24"/>
          <w:szCs w:val="24"/>
        </w:rPr>
        <w:t>) 2,001 – 2,500, (</w:t>
      </w:r>
      <w:r w:rsidR="000F1B61" w:rsidRPr="008F04E5">
        <w:rPr>
          <w:rFonts w:ascii="Times New Roman" w:hAnsi="Times New Roman"/>
          <w:sz w:val="24"/>
          <w:szCs w:val="24"/>
        </w:rPr>
        <w:t>5</w:t>
      </w:r>
      <w:r w:rsidR="00657CEF" w:rsidRPr="008F04E5">
        <w:rPr>
          <w:rFonts w:ascii="Times New Roman" w:hAnsi="Times New Roman"/>
          <w:sz w:val="24"/>
          <w:szCs w:val="24"/>
        </w:rPr>
        <w:t>) 2,501 – 3,000, and (</w:t>
      </w:r>
      <w:r w:rsidR="000F1B61" w:rsidRPr="008F04E5">
        <w:rPr>
          <w:rFonts w:ascii="Times New Roman" w:hAnsi="Times New Roman"/>
          <w:sz w:val="24"/>
          <w:szCs w:val="24"/>
        </w:rPr>
        <w:t>6</w:t>
      </w:r>
      <w:r w:rsidR="00657CEF" w:rsidRPr="008F04E5">
        <w:rPr>
          <w:rFonts w:ascii="Times New Roman" w:hAnsi="Times New Roman"/>
          <w:sz w:val="24"/>
          <w:szCs w:val="24"/>
        </w:rPr>
        <w:t>) g</w:t>
      </w:r>
      <w:r w:rsidR="002B40C0" w:rsidRPr="008F04E5">
        <w:rPr>
          <w:rFonts w:ascii="Times New Roman" w:hAnsi="Times New Roman"/>
          <w:sz w:val="24"/>
          <w:szCs w:val="24"/>
        </w:rPr>
        <w:t xml:space="preserve">reater than 3,000. </w:t>
      </w:r>
    </w:p>
    <w:p w14:paraId="00189E6B" w14:textId="395863FE" w:rsidR="00657CEF" w:rsidRPr="002B40C0" w:rsidRDefault="002552E7" w:rsidP="008F04E5">
      <w:pPr>
        <w:pStyle w:val="ListParagraph"/>
        <w:numPr>
          <w:ilvl w:val="0"/>
          <w:numId w:val="26"/>
        </w:numPr>
        <w:spacing w:after="0" w:line="360" w:lineRule="auto"/>
        <w:ind w:left="360"/>
        <w:jc w:val="both"/>
        <w:rPr>
          <w:rFonts w:ascii="Times New Roman" w:hAnsi="Times New Roman"/>
          <w:sz w:val="24"/>
          <w:szCs w:val="24"/>
        </w:rPr>
      </w:pPr>
      <w:r w:rsidRPr="002B40C0">
        <w:rPr>
          <w:rFonts w:ascii="Times New Roman" w:hAnsi="Times New Roman"/>
          <w:sz w:val="24"/>
          <w:szCs w:val="24"/>
        </w:rPr>
        <w:t>The d</w:t>
      </w:r>
      <w:r w:rsidR="00C12C05" w:rsidRPr="002B40C0">
        <w:rPr>
          <w:rFonts w:ascii="Times New Roman" w:hAnsi="Times New Roman"/>
          <w:sz w:val="24"/>
          <w:szCs w:val="24"/>
        </w:rPr>
        <w:t>welling l</w:t>
      </w:r>
      <w:r w:rsidR="00657CEF" w:rsidRPr="00076203">
        <w:rPr>
          <w:rFonts w:ascii="Times New Roman" w:hAnsi="Times New Roman"/>
          <w:sz w:val="24"/>
          <w:szCs w:val="24"/>
        </w:rPr>
        <w:t xml:space="preserve">ot size refers to the square footage of the lot, including all connecting land that is owned or that is rented with the rental units. </w:t>
      </w:r>
      <w:r w:rsidRPr="001F6744">
        <w:rPr>
          <w:rFonts w:ascii="Times New Roman" w:hAnsi="Times New Roman"/>
          <w:sz w:val="24"/>
          <w:szCs w:val="24"/>
        </w:rPr>
        <w:t>T</w:t>
      </w:r>
      <w:r w:rsidR="00657CEF" w:rsidRPr="001F6744">
        <w:rPr>
          <w:rFonts w:ascii="Times New Roman" w:hAnsi="Times New Roman"/>
          <w:sz w:val="24"/>
          <w:szCs w:val="24"/>
        </w:rPr>
        <w:t xml:space="preserve">he </w:t>
      </w:r>
      <w:r w:rsidR="00C12C05" w:rsidRPr="001F6744">
        <w:rPr>
          <w:rFonts w:ascii="Times New Roman" w:hAnsi="Times New Roman"/>
          <w:sz w:val="24"/>
          <w:szCs w:val="24"/>
        </w:rPr>
        <w:t xml:space="preserve">dwelling </w:t>
      </w:r>
      <w:r w:rsidR="00657CEF" w:rsidRPr="001F6744">
        <w:rPr>
          <w:rFonts w:ascii="Times New Roman" w:hAnsi="Times New Roman"/>
          <w:sz w:val="24"/>
          <w:szCs w:val="24"/>
        </w:rPr>
        <w:t>lot siz</w:t>
      </w:r>
      <w:r w:rsidRPr="001F6744">
        <w:rPr>
          <w:rFonts w:ascii="Times New Roman" w:hAnsi="Times New Roman"/>
          <w:sz w:val="24"/>
          <w:szCs w:val="24"/>
        </w:rPr>
        <w:t xml:space="preserve">e </w:t>
      </w:r>
      <w:r w:rsidR="00A07E5C">
        <w:rPr>
          <w:rFonts w:ascii="Times New Roman" w:hAnsi="Times New Roman"/>
          <w:sz w:val="24"/>
          <w:szCs w:val="24"/>
        </w:rPr>
        <w:t xml:space="preserve">applies only to units that are not in apartment complexes. The lot size </w:t>
      </w:r>
      <w:r w:rsidR="00142023">
        <w:rPr>
          <w:rFonts w:ascii="Times New Roman" w:hAnsi="Times New Roman"/>
          <w:sz w:val="24"/>
          <w:szCs w:val="24"/>
        </w:rPr>
        <w:t>i</w:t>
      </w:r>
      <w:r w:rsidRPr="001F6744">
        <w:rPr>
          <w:rFonts w:ascii="Times New Roman" w:hAnsi="Times New Roman"/>
          <w:sz w:val="24"/>
          <w:szCs w:val="24"/>
        </w:rPr>
        <w:t xml:space="preserve">s classified into </w:t>
      </w:r>
      <w:r w:rsidRPr="003F69AC">
        <w:rPr>
          <w:rFonts w:ascii="Times New Roman" w:hAnsi="Times New Roman"/>
          <w:sz w:val="24"/>
          <w:szCs w:val="24"/>
        </w:rPr>
        <w:t>eight</w:t>
      </w:r>
      <w:r w:rsidR="00657CEF" w:rsidRPr="002B40C0">
        <w:rPr>
          <w:rFonts w:ascii="Times New Roman" w:hAnsi="Times New Roman"/>
          <w:sz w:val="24"/>
          <w:szCs w:val="24"/>
        </w:rPr>
        <w:t xml:space="preserve"> </w:t>
      </w:r>
      <w:r w:rsidR="00C655BD" w:rsidRPr="002B40C0">
        <w:rPr>
          <w:rFonts w:ascii="Times New Roman" w:hAnsi="Times New Roman"/>
          <w:sz w:val="24"/>
          <w:szCs w:val="24"/>
        </w:rPr>
        <w:t xml:space="preserve">grouped </w:t>
      </w:r>
      <w:r w:rsidR="00657CEF" w:rsidRPr="002B40C0">
        <w:rPr>
          <w:rFonts w:ascii="Times New Roman" w:hAnsi="Times New Roman"/>
          <w:sz w:val="24"/>
          <w:szCs w:val="24"/>
        </w:rPr>
        <w:t xml:space="preserve">categories as </w:t>
      </w:r>
      <w:r w:rsidR="00657CEF" w:rsidRPr="003F69AC">
        <w:rPr>
          <w:rFonts w:ascii="Times New Roman" w:hAnsi="Times New Roman"/>
          <w:sz w:val="24"/>
          <w:szCs w:val="24"/>
        </w:rPr>
        <w:t>(</w:t>
      </w:r>
      <w:r w:rsidRPr="008F04E5">
        <w:rPr>
          <w:rFonts w:ascii="Times New Roman" w:hAnsi="Times New Roman"/>
          <w:sz w:val="24"/>
          <w:szCs w:val="24"/>
        </w:rPr>
        <w:t>1</w:t>
      </w:r>
      <w:r w:rsidR="00657CEF" w:rsidRPr="008F04E5">
        <w:rPr>
          <w:rFonts w:ascii="Times New Roman" w:hAnsi="Times New Roman"/>
          <w:sz w:val="24"/>
          <w:szCs w:val="24"/>
        </w:rPr>
        <w:t xml:space="preserve">) </w:t>
      </w:r>
      <w:r w:rsidRPr="008F04E5">
        <w:rPr>
          <w:rFonts w:ascii="Times New Roman" w:hAnsi="Times New Roman"/>
          <w:sz w:val="24"/>
          <w:szCs w:val="24"/>
        </w:rPr>
        <w:t xml:space="preserve">less than or equal to 1,500, (2) 1,501 </w:t>
      </w:r>
      <w:r w:rsidR="003D4333" w:rsidRPr="008F04E5">
        <w:rPr>
          <w:rFonts w:ascii="Times New Roman" w:hAnsi="Times New Roman"/>
          <w:sz w:val="24"/>
          <w:szCs w:val="24"/>
        </w:rPr>
        <w:t>–</w:t>
      </w:r>
      <w:r w:rsidRPr="008F04E5">
        <w:rPr>
          <w:rFonts w:ascii="Times New Roman" w:hAnsi="Times New Roman"/>
          <w:sz w:val="24"/>
          <w:szCs w:val="24"/>
        </w:rPr>
        <w:t xml:space="preserve"> 2,500</w:t>
      </w:r>
      <w:r w:rsidRPr="003F69AC">
        <w:rPr>
          <w:rFonts w:ascii="Times New Roman" w:hAnsi="Times New Roman"/>
          <w:sz w:val="24"/>
          <w:szCs w:val="24"/>
        </w:rPr>
        <w:t>, (</w:t>
      </w:r>
      <w:r w:rsidRPr="002B40C0">
        <w:rPr>
          <w:rFonts w:ascii="Times New Roman" w:hAnsi="Times New Roman"/>
          <w:sz w:val="24"/>
          <w:szCs w:val="24"/>
        </w:rPr>
        <w:t>3) 2,501 – 5,000, (4) 5,001 – 7,500, (5) 7,501 – 10,000, (6) 10,001 – 12,500,  and (</w:t>
      </w:r>
      <w:r w:rsidRPr="001F6744">
        <w:rPr>
          <w:rFonts w:ascii="Times New Roman" w:hAnsi="Times New Roman"/>
          <w:sz w:val="24"/>
          <w:szCs w:val="24"/>
        </w:rPr>
        <w:t>7) 12,501 – 15,000, and (8</w:t>
      </w:r>
      <w:r w:rsidR="00657CEF" w:rsidRPr="001F6744">
        <w:rPr>
          <w:rFonts w:ascii="Times New Roman" w:hAnsi="Times New Roman"/>
          <w:sz w:val="24"/>
          <w:szCs w:val="24"/>
        </w:rPr>
        <w:t>) gre</w:t>
      </w:r>
      <w:r w:rsidR="002B40C0" w:rsidRPr="001F6744">
        <w:rPr>
          <w:rFonts w:ascii="Times New Roman" w:hAnsi="Times New Roman"/>
          <w:sz w:val="24"/>
          <w:szCs w:val="24"/>
        </w:rPr>
        <w:t>ater than 15,000 square footage</w:t>
      </w:r>
      <w:r w:rsidR="002B40C0">
        <w:rPr>
          <w:rFonts w:ascii="Times New Roman" w:hAnsi="Times New Roman"/>
          <w:sz w:val="24"/>
          <w:szCs w:val="24"/>
        </w:rPr>
        <w:t>.</w:t>
      </w:r>
    </w:p>
    <w:p w14:paraId="4B821E4D" w14:textId="77777777" w:rsidR="00657CEF" w:rsidRPr="00417C1C" w:rsidRDefault="00657CEF" w:rsidP="008F04E5">
      <w:pPr>
        <w:pStyle w:val="ListParagraph"/>
        <w:numPr>
          <w:ilvl w:val="0"/>
          <w:numId w:val="26"/>
        </w:numPr>
        <w:spacing w:after="0" w:line="360" w:lineRule="auto"/>
        <w:ind w:left="360"/>
        <w:jc w:val="both"/>
        <w:rPr>
          <w:rFonts w:ascii="Times New Roman" w:hAnsi="Times New Roman"/>
          <w:sz w:val="24"/>
          <w:szCs w:val="24"/>
        </w:rPr>
      </w:pPr>
      <w:r w:rsidRPr="00417C1C">
        <w:rPr>
          <w:rFonts w:ascii="Times New Roman" w:hAnsi="Times New Roman"/>
          <w:sz w:val="24"/>
          <w:szCs w:val="24"/>
        </w:rPr>
        <w:t xml:space="preserve">Housing costs (monthly) is </w:t>
      </w:r>
      <w:r w:rsidR="00C655BD">
        <w:rPr>
          <w:rFonts w:ascii="Times New Roman" w:hAnsi="Times New Roman"/>
          <w:sz w:val="24"/>
          <w:szCs w:val="24"/>
        </w:rPr>
        <w:t xml:space="preserve">computed as discussed in a footnote in the earlier section, and is classified into five grouped categories: (1) </w:t>
      </w:r>
      <w:r w:rsidRPr="00417C1C">
        <w:rPr>
          <w:rFonts w:ascii="Times New Roman" w:hAnsi="Times New Roman"/>
          <w:sz w:val="24"/>
          <w:szCs w:val="24"/>
        </w:rPr>
        <w:t>less than or equal to $1,000, (</w:t>
      </w:r>
      <w:r w:rsidR="00C655BD">
        <w:rPr>
          <w:rFonts w:ascii="Times New Roman" w:hAnsi="Times New Roman"/>
        </w:rPr>
        <w:t>2</w:t>
      </w:r>
      <w:r w:rsidRPr="00417C1C">
        <w:rPr>
          <w:rFonts w:ascii="Times New Roman" w:hAnsi="Times New Roman"/>
        </w:rPr>
        <w:t xml:space="preserve">) </w:t>
      </w:r>
      <w:r w:rsidRPr="00417C1C">
        <w:rPr>
          <w:rFonts w:ascii="Times New Roman" w:hAnsi="Times New Roman"/>
          <w:sz w:val="24"/>
          <w:szCs w:val="24"/>
        </w:rPr>
        <w:t>$1,001 – $1,500, (</w:t>
      </w:r>
      <w:r w:rsidR="00C655BD">
        <w:rPr>
          <w:rFonts w:ascii="Times New Roman" w:hAnsi="Times New Roman"/>
        </w:rPr>
        <w:t>3</w:t>
      </w:r>
      <w:r w:rsidRPr="00417C1C">
        <w:rPr>
          <w:rFonts w:ascii="Times New Roman" w:hAnsi="Times New Roman"/>
        </w:rPr>
        <w:t>)</w:t>
      </w:r>
      <w:r w:rsidRPr="00417C1C">
        <w:rPr>
          <w:rFonts w:ascii="Times New Roman" w:hAnsi="Times New Roman"/>
          <w:sz w:val="24"/>
          <w:szCs w:val="24"/>
        </w:rPr>
        <w:t xml:space="preserve"> $1,501 – $2,000, (</w:t>
      </w:r>
      <w:r w:rsidR="00C655BD">
        <w:rPr>
          <w:rFonts w:ascii="Times New Roman" w:hAnsi="Times New Roman"/>
        </w:rPr>
        <w:t>4</w:t>
      </w:r>
      <w:r w:rsidRPr="00417C1C">
        <w:rPr>
          <w:rFonts w:ascii="Times New Roman" w:hAnsi="Times New Roman"/>
        </w:rPr>
        <w:t>)</w:t>
      </w:r>
      <w:r w:rsidRPr="00417C1C">
        <w:rPr>
          <w:rFonts w:ascii="Times New Roman" w:hAnsi="Times New Roman"/>
          <w:sz w:val="24"/>
          <w:szCs w:val="24"/>
        </w:rPr>
        <w:t xml:space="preserve"> $2,001 – $2,500, (</w:t>
      </w:r>
      <w:r w:rsidR="00C655BD">
        <w:rPr>
          <w:rFonts w:ascii="Times New Roman" w:hAnsi="Times New Roman"/>
        </w:rPr>
        <w:t>5</w:t>
      </w:r>
      <w:r w:rsidRPr="00417C1C">
        <w:rPr>
          <w:rFonts w:ascii="Times New Roman" w:hAnsi="Times New Roman"/>
        </w:rPr>
        <w:t xml:space="preserve">) </w:t>
      </w:r>
      <w:r w:rsidRPr="00417C1C">
        <w:rPr>
          <w:rFonts w:ascii="Times New Roman" w:hAnsi="Times New Roman"/>
          <w:sz w:val="24"/>
          <w:szCs w:val="24"/>
        </w:rPr>
        <w:t>$2,501 – $3,000, and (</w:t>
      </w:r>
      <w:r w:rsidR="00C655BD">
        <w:rPr>
          <w:rFonts w:ascii="Times New Roman" w:hAnsi="Times New Roman"/>
        </w:rPr>
        <w:t>6</w:t>
      </w:r>
      <w:r w:rsidRPr="00417C1C">
        <w:rPr>
          <w:rFonts w:ascii="Times New Roman" w:hAnsi="Times New Roman"/>
        </w:rPr>
        <w:t>)</w:t>
      </w:r>
      <w:r w:rsidRPr="00417C1C">
        <w:rPr>
          <w:rFonts w:ascii="Times New Roman" w:hAnsi="Times New Roman"/>
          <w:sz w:val="24"/>
          <w:szCs w:val="24"/>
        </w:rPr>
        <w:t xml:space="preserve"> greater than $3,000. </w:t>
      </w:r>
    </w:p>
    <w:p w14:paraId="4CE9F14B" w14:textId="5985AA00" w:rsidR="002B40C0" w:rsidRPr="00121A94" w:rsidRDefault="00574B21" w:rsidP="00121A94">
      <w:pPr>
        <w:pStyle w:val="ListParagraph"/>
        <w:numPr>
          <w:ilvl w:val="0"/>
          <w:numId w:val="26"/>
        </w:numPr>
        <w:spacing w:after="120" w:line="360" w:lineRule="auto"/>
        <w:ind w:left="360"/>
        <w:jc w:val="both"/>
        <w:rPr>
          <w:rFonts w:ascii="Times New Roman" w:hAnsi="Times New Roman"/>
          <w:sz w:val="24"/>
          <w:szCs w:val="24"/>
        </w:rPr>
      </w:pPr>
      <w:r>
        <w:rPr>
          <w:rFonts w:ascii="Times New Roman" w:hAnsi="Times New Roman"/>
          <w:sz w:val="24"/>
          <w:szCs w:val="24"/>
        </w:rPr>
        <w:t>Household average c</w:t>
      </w:r>
      <w:r w:rsidR="00657CEF" w:rsidRPr="00417C1C">
        <w:rPr>
          <w:rFonts w:ascii="Times New Roman" w:hAnsi="Times New Roman"/>
          <w:sz w:val="24"/>
          <w:szCs w:val="24"/>
        </w:rPr>
        <w:t>ommute distance (miles</w:t>
      </w:r>
      <w:r w:rsidR="00C655BD">
        <w:rPr>
          <w:rFonts w:ascii="Times New Roman" w:hAnsi="Times New Roman"/>
          <w:sz w:val="24"/>
          <w:szCs w:val="24"/>
        </w:rPr>
        <w:t xml:space="preserve">) is the </w:t>
      </w:r>
      <w:r>
        <w:rPr>
          <w:rFonts w:ascii="Times New Roman" w:hAnsi="Times New Roman"/>
          <w:sz w:val="24"/>
          <w:szCs w:val="24"/>
        </w:rPr>
        <w:t xml:space="preserve">average </w:t>
      </w:r>
      <w:r w:rsidR="00C655BD">
        <w:rPr>
          <w:rFonts w:ascii="Times New Roman" w:hAnsi="Times New Roman"/>
          <w:sz w:val="24"/>
          <w:szCs w:val="24"/>
        </w:rPr>
        <w:t xml:space="preserve">one-way </w:t>
      </w:r>
      <w:r w:rsidR="00657CEF" w:rsidRPr="00417C1C">
        <w:rPr>
          <w:rFonts w:ascii="Times New Roman" w:hAnsi="Times New Roman"/>
          <w:sz w:val="24"/>
          <w:szCs w:val="24"/>
        </w:rPr>
        <w:t xml:space="preserve">distance in miles between </w:t>
      </w:r>
      <w:r w:rsidR="00C655BD">
        <w:rPr>
          <w:rFonts w:ascii="Times New Roman" w:hAnsi="Times New Roman"/>
          <w:sz w:val="24"/>
          <w:szCs w:val="24"/>
        </w:rPr>
        <w:t xml:space="preserve">the </w:t>
      </w:r>
      <w:r w:rsidR="00657CEF" w:rsidRPr="00417C1C">
        <w:rPr>
          <w:rFonts w:ascii="Times New Roman" w:hAnsi="Times New Roman"/>
          <w:sz w:val="24"/>
          <w:szCs w:val="24"/>
        </w:rPr>
        <w:t xml:space="preserve">home and </w:t>
      </w:r>
      <w:r w:rsidR="00C655BD">
        <w:rPr>
          <w:rFonts w:ascii="Times New Roman" w:hAnsi="Times New Roman"/>
          <w:sz w:val="24"/>
          <w:szCs w:val="24"/>
        </w:rPr>
        <w:t>the workplace</w:t>
      </w:r>
      <w:r w:rsidR="00AE78DA">
        <w:rPr>
          <w:rFonts w:ascii="Times New Roman" w:hAnsi="Times New Roman"/>
          <w:sz w:val="24"/>
          <w:szCs w:val="24"/>
        </w:rPr>
        <w:t xml:space="preserve"> </w:t>
      </w:r>
      <w:r w:rsidR="00142023">
        <w:rPr>
          <w:rFonts w:ascii="Times New Roman" w:hAnsi="Times New Roman"/>
          <w:sz w:val="24"/>
          <w:szCs w:val="24"/>
        </w:rPr>
        <w:t xml:space="preserve">across </w:t>
      </w:r>
      <w:r w:rsidR="0073172B">
        <w:rPr>
          <w:rFonts w:ascii="Times New Roman" w:hAnsi="Times New Roman"/>
          <w:sz w:val="24"/>
          <w:szCs w:val="24"/>
        </w:rPr>
        <w:t>those individuals</w:t>
      </w:r>
      <w:r w:rsidR="00142023">
        <w:rPr>
          <w:rFonts w:ascii="Times New Roman" w:hAnsi="Times New Roman"/>
          <w:sz w:val="24"/>
          <w:szCs w:val="24"/>
        </w:rPr>
        <w:t xml:space="preserve"> </w:t>
      </w:r>
      <w:r w:rsidR="0073172B">
        <w:rPr>
          <w:rFonts w:ascii="Times New Roman" w:hAnsi="Times New Roman"/>
          <w:sz w:val="24"/>
          <w:szCs w:val="24"/>
        </w:rPr>
        <w:t>who work outside the home</w:t>
      </w:r>
      <w:r w:rsidR="00142023">
        <w:rPr>
          <w:rFonts w:ascii="Times New Roman" w:hAnsi="Times New Roman"/>
          <w:sz w:val="24"/>
          <w:szCs w:val="24"/>
        </w:rPr>
        <w:t xml:space="preserve"> </w:t>
      </w:r>
      <w:r w:rsidR="00886654">
        <w:rPr>
          <w:rFonts w:ascii="Times New Roman" w:hAnsi="Times New Roman"/>
          <w:sz w:val="24"/>
          <w:szCs w:val="24"/>
        </w:rPr>
        <w:t xml:space="preserve">(for brevity, </w:t>
      </w:r>
      <w:r w:rsidR="00142023">
        <w:rPr>
          <w:rFonts w:ascii="Times New Roman" w:hAnsi="Times New Roman"/>
          <w:sz w:val="24"/>
          <w:szCs w:val="24"/>
        </w:rPr>
        <w:t xml:space="preserve">from </w:t>
      </w:r>
      <w:proofErr w:type="spellStart"/>
      <w:r w:rsidR="00142023">
        <w:rPr>
          <w:rFonts w:ascii="Times New Roman" w:hAnsi="Times New Roman"/>
          <w:sz w:val="24"/>
          <w:szCs w:val="24"/>
        </w:rPr>
        <w:t>hereon</w:t>
      </w:r>
      <w:proofErr w:type="spellEnd"/>
      <w:r w:rsidR="00142023">
        <w:rPr>
          <w:rFonts w:ascii="Times New Roman" w:hAnsi="Times New Roman"/>
          <w:sz w:val="24"/>
          <w:szCs w:val="24"/>
        </w:rPr>
        <w:t xml:space="preserve">, </w:t>
      </w:r>
      <w:r w:rsidR="00886654">
        <w:rPr>
          <w:rFonts w:ascii="Times New Roman" w:hAnsi="Times New Roman"/>
          <w:sz w:val="24"/>
          <w:szCs w:val="24"/>
        </w:rPr>
        <w:t>we will refer to this variable as househ</w:t>
      </w:r>
      <w:r w:rsidR="00142023">
        <w:rPr>
          <w:rFonts w:ascii="Times New Roman" w:hAnsi="Times New Roman"/>
          <w:sz w:val="24"/>
          <w:szCs w:val="24"/>
        </w:rPr>
        <w:t>old commute distance</w:t>
      </w:r>
      <w:r w:rsidR="00886654">
        <w:rPr>
          <w:rFonts w:ascii="Times New Roman" w:hAnsi="Times New Roman"/>
          <w:sz w:val="24"/>
          <w:szCs w:val="24"/>
        </w:rPr>
        <w:t>)</w:t>
      </w:r>
      <w:r w:rsidR="00C655BD">
        <w:rPr>
          <w:rFonts w:ascii="Times New Roman" w:hAnsi="Times New Roman"/>
          <w:sz w:val="24"/>
          <w:szCs w:val="24"/>
        </w:rPr>
        <w:t>.</w:t>
      </w:r>
      <w:r w:rsidR="00657CEF" w:rsidRPr="00417C1C">
        <w:rPr>
          <w:rFonts w:ascii="Times New Roman" w:hAnsi="Times New Roman"/>
          <w:sz w:val="24"/>
          <w:szCs w:val="24"/>
        </w:rPr>
        <w:t xml:space="preserve"> </w:t>
      </w:r>
      <w:r w:rsidR="00C655BD">
        <w:rPr>
          <w:rFonts w:ascii="Times New Roman" w:hAnsi="Times New Roman"/>
          <w:sz w:val="24"/>
          <w:szCs w:val="24"/>
        </w:rPr>
        <w:t xml:space="preserve">For the consideration stage, we group </w:t>
      </w:r>
      <w:r w:rsidR="00886654">
        <w:rPr>
          <w:rFonts w:ascii="Times New Roman" w:hAnsi="Times New Roman"/>
          <w:sz w:val="24"/>
          <w:szCs w:val="24"/>
        </w:rPr>
        <w:t xml:space="preserve">the </w:t>
      </w:r>
      <w:r>
        <w:rPr>
          <w:rFonts w:ascii="Times New Roman" w:hAnsi="Times New Roman"/>
          <w:sz w:val="24"/>
          <w:szCs w:val="24"/>
        </w:rPr>
        <w:t>household</w:t>
      </w:r>
      <w:r w:rsidR="00142023">
        <w:rPr>
          <w:rFonts w:ascii="Times New Roman" w:hAnsi="Times New Roman"/>
          <w:sz w:val="24"/>
          <w:szCs w:val="24"/>
        </w:rPr>
        <w:t xml:space="preserve"> </w:t>
      </w:r>
      <w:r w:rsidR="00C655BD">
        <w:rPr>
          <w:rFonts w:ascii="Times New Roman" w:hAnsi="Times New Roman"/>
          <w:sz w:val="24"/>
          <w:szCs w:val="24"/>
        </w:rPr>
        <w:t xml:space="preserve">commute distance into </w:t>
      </w:r>
      <w:r w:rsidR="00267AAE" w:rsidRPr="003F69AC">
        <w:rPr>
          <w:rFonts w:ascii="Times New Roman" w:hAnsi="Times New Roman"/>
          <w:sz w:val="24"/>
          <w:szCs w:val="24"/>
        </w:rPr>
        <w:t>seven</w:t>
      </w:r>
      <w:r w:rsidR="00C655BD">
        <w:rPr>
          <w:rFonts w:ascii="Times New Roman" w:hAnsi="Times New Roman"/>
          <w:sz w:val="24"/>
          <w:szCs w:val="24"/>
        </w:rPr>
        <w:t xml:space="preserve"> categories: </w:t>
      </w:r>
      <w:r w:rsidR="00657CEF" w:rsidRPr="003F69AC">
        <w:rPr>
          <w:rFonts w:ascii="Times New Roman" w:hAnsi="Times New Roman"/>
          <w:sz w:val="24"/>
          <w:szCs w:val="24"/>
        </w:rPr>
        <w:t>(</w:t>
      </w:r>
      <w:r w:rsidR="00267AAE" w:rsidRPr="008F04E5">
        <w:rPr>
          <w:rFonts w:ascii="Times New Roman" w:hAnsi="Times New Roman"/>
        </w:rPr>
        <w:t>1</w:t>
      </w:r>
      <w:r w:rsidR="00657CEF" w:rsidRPr="003F69AC">
        <w:rPr>
          <w:rFonts w:ascii="Times New Roman" w:hAnsi="Times New Roman"/>
        </w:rPr>
        <w:t xml:space="preserve">) </w:t>
      </w:r>
      <w:r w:rsidR="006B4364" w:rsidRPr="003F69AC">
        <w:rPr>
          <w:rFonts w:ascii="Times New Roman" w:hAnsi="Times New Roman"/>
          <w:sz w:val="24"/>
          <w:szCs w:val="24"/>
        </w:rPr>
        <w:t xml:space="preserve">less than or equal to </w:t>
      </w:r>
      <w:r w:rsidR="00267AAE" w:rsidRPr="003F69AC">
        <w:rPr>
          <w:rFonts w:ascii="Times New Roman" w:hAnsi="Times New Roman"/>
          <w:sz w:val="24"/>
          <w:szCs w:val="24"/>
        </w:rPr>
        <w:t>2 miles,</w:t>
      </w:r>
      <w:r w:rsidR="00267AAE">
        <w:rPr>
          <w:rFonts w:ascii="Times New Roman" w:hAnsi="Times New Roman"/>
          <w:sz w:val="24"/>
          <w:szCs w:val="24"/>
        </w:rPr>
        <w:t xml:space="preserve"> (2) &gt;2 and </w:t>
      </w:r>
      <w:r w:rsidR="003D4333">
        <w:rPr>
          <w:rFonts w:ascii="Times New Roman" w:hAnsi="Times New Roman"/>
          <w:sz w:val="24"/>
          <w:szCs w:val="24"/>
        </w:rPr>
        <w:t>≤</w:t>
      </w:r>
      <w:r w:rsidR="00657CEF" w:rsidRPr="00417C1C">
        <w:rPr>
          <w:rFonts w:ascii="Times New Roman" w:hAnsi="Times New Roman"/>
          <w:sz w:val="24"/>
          <w:szCs w:val="24"/>
        </w:rPr>
        <w:t>5</w:t>
      </w:r>
      <w:r w:rsidR="006B4364">
        <w:rPr>
          <w:rFonts w:ascii="Times New Roman" w:hAnsi="Times New Roman"/>
          <w:sz w:val="24"/>
          <w:szCs w:val="24"/>
        </w:rPr>
        <w:t xml:space="preserve"> miles</w:t>
      </w:r>
      <w:r w:rsidR="00267AAE">
        <w:rPr>
          <w:rFonts w:ascii="Times New Roman" w:hAnsi="Times New Roman"/>
          <w:sz w:val="24"/>
          <w:szCs w:val="24"/>
        </w:rPr>
        <w:t>, (3</w:t>
      </w:r>
      <w:r w:rsidR="006B4364">
        <w:rPr>
          <w:rFonts w:ascii="Times New Roman" w:hAnsi="Times New Roman"/>
          <w:sz w:val="24"/>
          <w:szCs w:val="24"/>
        </w:rPr>
        <w:t xml:space="preserve">) </w:t>
      </w:r>
      <w:r w:rsidR="00267AAE">
        <w:rPr>
          <w:rFonts w:ascii="Times New Roman" w:hAnsi="Times New Roman"/>
          <w:sz w:val="24"/>
          <w:szCs w:val="24"/>
        </w:rPr>
        <w:t xml:space="preserve">&gt;5 and </w:t>
      </w:r>
      <w:r w:rsidR="003D4333">
        <w:rPr>
          <w:rFonts w:ascii="Times New Roman" w:hAnsi="Times New Roman"/>
          <w:sz w:val="24"/>
          <w:szCs w:val="24"/>
        </w:rPr>
        <w:t>≤</w:t>
      </w:r>
      <w:r w:rsidR="00267AAE">
        <w:rPr>
          <w:rFonts w:ascii="Times New Roman" w:hAnsi="Times New Roman"/>
          <w:sz w:val="24"/>
          <w:szCs w:val="24"/>
        </w:rPr>
        <w:t>10, (4) &gt;10 and</w:t>
      </w:r>
      <w:r w:rsidR="00657CEF" w:rsidRPr="00417C1C">
        <w:rPr>
          <w:rFonts w:ascii="Times New Roman" w:hAnsi="Times New Roman"/>
          <w:sz w:val="24"/>
          <w:szCs w:val="24"/>
        </w:rPr>
        <w:t xml:space="preserve"> </w:t>
      </w:r>
      <w:r w:rsidR="003D4333">
        <w:rPr>
          <w:rFonts w:ascii="Times New Roman" w:hAnsi="Times New Roman"/>
          <w:sz w:val="24"/>
          <w:szCs w:val="24"/>
        </w:rPr>
        <w:t>≤</w:t>
      </w:r>
      <w:r w:rsidR="00267AAE">
        <w:rPr>
          <w:rFonts w:ascii="Times New Roman" w:hAnsi="Times New Roman"/>
          <w:sz w:val="24"/>
          <w:szCs w:val="24"/>
        </w:rPr>
        <w:t xml:space="preserve">15, (5) &gt;15 and </w:t>
      </w:r>
      <w:r w:rsidR="003D4333">
        <w:rPr>
          <w:rFonts w:ascii="Times New Roman" w:hAnsi="Times New Roman"/>
          <w:sz w:val="24"/>
          <w:szCs w:val="24"/>
        </w:rPr>
        <w:t>≤</w:t>
      </w:r>
      <w:r w:rsidR="00267AAE">
        <w:rPr>
          <w:rFonts w:ascii="Times New Roman" w:hAnsi="Times New Roman"/>
          <w:sz w:val="24"/>
          <w:szCs w:val="24"/>
        </w:rPr>
        <w:t xml:space="preserve">20, (6) &gt;20 and </w:t>
      </w:r>
      <w:r w:rsidR="003D4333">
        <w:rPr>
          <w:rFonts w:ascii="Times New Roman" w:hAnsi="Times New Roman"/>
          <w:sz w:val="24"/>
          <w:szCs w:val="24"/>
        </w:rPr>
        <w:t>≤</w:t>
      </w:r>
      <w:r w:rsidR="00267AAE">
        <w:rPr>
          <w:rFonts w:ascii="Times New Roman" w:hAnsi="Times New Roman"/>
          <w:sz w:val="24"/>
          <w:szCs w:val="24"/>
        </w:rPr>
        <w:t>25, and (7</w:t>
      </w:r>
      <w:r w:rsidR="00657CEF" w:rsidRPr="00417C1C">
        <w:rPr>
          <w:rFonts w:ascii="Times New Roman" w:hAnsi="Times New Roman"/>
          <w:sz w:val="24"/>
          <w:szCs w:val="24"/>
        </w:rPr>
        <w:t>) &gt;25</w:t>
      </w:r>
      <w:r w:rsidR="00267AAE">
        <w:rPr>
          <w:rFonts w:ascii="Times New Roman" w:hAnsi="Times New Roman"/>
          <w:sz w:val="24"/>
          <w:szCs w:val="24"/>
        </w:rPr>
        <w:t xml:space="preserve"> miles</w:t>
      </w:r>
      <w:r w:rsidR="002B40C0">
        <w:rPr>
          <w:rFonts w:ascii="Times New Roman" w:hAnsi="Times New Roman"/>
          <w:sz w:val="24"/>
          <w:szCs w:val="24"/>
        </w:rPr>
        <w:t xml:space="preserve">. </w:t>
      </w:r>
    </w:p>
    <w:p w14:paraId="45DAACDA" w14:textId="34B3E340" w:rsidR="00A61486" w:rsidRDefault="002B40C0" w:rsidP="008F04E5">
      <w:pPr>
        <w:jc w:val="both"/>
      </w:pPr>
      <w:r>
        <w:t xml:space="preserve">The top panel of Table </w:t>
      </w:r>
      <w:r w:rsidR="008F04E5">
        <w:t>1</w:t>
      </w:r>
      <w:r>
        <w:t xml:space="preserve"> provides descriptive stati</w:t>
      </w:r>
      <w:r w:rsidR="00142023">
        <w:t>stics for the grouped variables</w:t>
      </w:r>
      <w:r>
        <w:t xml:space="preserve">. The statistics indicate </w:t>
      </w:r>
      <w:r w:rsidRPr="002B40C0">
        <w:t xml:space="preserve">that </w:t>
      </w:r>
      <w:r>
        <w:t xml:space="preserve">(a) </w:t>
      </w:r>
      <w:r w:rsidRPr="002B40C0">
        <w:t>50% of the dwelling units are less than or equal to 1500 square feet in size, while 50% are larger than</w:t>
      </w:r>
      <w:r>
        <w:t xml:space="preserve"> 1500 square feet, (b) A</w:t>
      </w:r>
      <w:r w:rsidR="00886654">
        <w:t xml:space="preserve">bout 40% </w:t>
      </w:r>
      <w:r w:rsidRPr="00BE3663">
        <w:t xml:space="preserve">of the lot sizes are less than 5,000 square feet, while </w:t>
      </w:r>
      <w:r w:rsidR="00886654">
        <w:t>60%</w:t>
      </w:r>
      <w:r w:rsidR="00142023">
        <w:t xml:space="preserve"> </w:t>
      </w:r>
      <w:r w:rsidRPr="00BE3663">
        <w:t>of the lot sizes are more than 5000 square feet</w:t>
      </w:r>
      <w:r w:rsidR="000968B6">
        <w:t xml:space="preserve"> (but note again that these lot sizes correspond only to units that are not apartment complexes)</w:t>
      </w:r>
      <w:r>
        <w:t xml:space="preserve">, (c) a little less than half of the dwelling units have a </w:t>
      </w:r>
      <w:r w:rsidR="00886654">
        <w:t xml:space="preserve">monthly </w:t>
      </w:r>
      <w:r>
        <w:t xml:space="preserve">housing cost of $1,500, while a little more than half have a </w:t>
      </w:r>
      <w:r w:rsidR="00886654">
        <w:t xml:space="preserve">monthly </w:t>
      </w:r>
      <w:r>
        <w:t xml:space="preserve">housing cost of more than $1,500, (d) </w:t>
      </w:r>
      <w:r w:rsidR="00886654">
        <w:t>about one-half of the household commute distances are 10 miles or shorter</w:t>
      </w:r>
      <w:r w:rsidR="00D379FC">
        <w:t>.</w:t>
      </w:r>
      <w:r w:rsidR="00886654">
        <w:t xml:space="preserve"> </w:t>
      </w:r>
    </w:p>
    <w:p w14:paraId="2002EB0C" w14:textId="77777777" w:rsidR="006B37AD" w:rsidRDefault="006B37AD" w:rsidP="00194DC9">
      <w:pPr>
        <w:jc w:val="both"/>
        <w:rPr>
          <w:lang w:eastAsia="zh-CN"/>
        </w:rPr>
      </w:pPr>
    </w:p>
    <w:p w14:paraId="5A3C055B" w14:textId="77777777" w:rsidR="00194DC9" w:rsidRPr="006B37AD" w:rsidRDefault="00194DC9" w:rsidP="00C85362">
      <w:pPr>
        <w:keepNext/>
        <w:keepLines/>
        <w:jc w:val="both"/>
        <w:rPr>
          <w:u w:val="single"/>
          <w:lang w:eastAsia="zh-CN"/>
        </w:rPr>
      </w:pPr>
      <w:r w:rsidRPr="006B37AD">
        <w:rPr>
          <w:u w:val="single"/>
          <w:lang w:eastAsia="zh-CN"/>
        </w:rPr>
        <w:t xml:space="preserve">Count outcomes </w:t>
      </w:r>
    </w:p>
    <w:p w14:paraId="45214C93" w14:textId="11E7C16A" w:rsidR="009E4FBC" w:rsidRPr="003F69AC" w:rsidRDefault="00B309A1" w:rsidP="00C85362">
      <w:pPr>
        <w:pStyle w:val="ListParagraph"/>
        <w:keepNext/>
        <w:keepLines/>
        <w:numPr>
          <w:ilvl w:val="0"/>
          <w:numId w:val="27"/>
        </w:numPr>
        <w:spacing w:after="0" w:line="360" w:lineRule="auto"/>
        <w:ind w:left="360"/>
        <w:jc w:val="both"/>
        <w:rPr>
          <w:rFonts w:ascii="Times New Roman" w:hAnsi="Times New Roman"/>
          <w:sz w:val="24"/>
          <w:szCs w:val="24"/>
        </w:rPr>
      </w:pPr>
      <w:r w:rsidRPr="003F69AC">
        <w:rPr>
          <w:rFonts w:ascii="Times New Roman" w:hAnsi="Times New Roman"/>
          <w:sz w:val="24"/>
          <w:szCs w:val="24"/>
        </w:rPr>
        <w:lastRenderedPageBreak/>
        <w:t>T</w:t>
      </w:r>
      <w:r w:rsidRPr="00B309A1">
        <w:rPr>
          <w:rFonts w:ascii="Times New Roman" w:hAnsi="Times New Roman"/>
          <w:sz w:val="24"/>
          <w:szCs w:val="24"/>
        </w:rPr>
        <w:t>he number of bedrooms refers to</w:t>
      </w:r>
      <w:r w:rsidR="00657CEF" w:rsidRPr="00B309A1">
        <w:rPr>
          <w:rFonts w:ascii="Times New Roman" w:hAnsi="Times New Roman"/>
          <w:sz w:val="24"/>
          <w:szCs w:val="24"/>
        </w:rPr>
        <w:t xml:space="preserve"> the count of rooms </w:t>
      </w:r>
      <w:r w:rsidR="000968B6">
        <w:rPr>
          <w:rFonts w:ascii="Times New Roman" w:hAnsi="Times New Roman"/>
          <w:sz w:val="24"/>
          <w:szCs w:val="24"/>
        </w:rPr>
        <w:t xml:space="preserve">in the dwelling unit </w:t>
      </w:r>
      <w:r w:rsidR="00657CEF" w:rsidRPr="00B309A1">
        <w:rPr>
          <w:rFonts w:ascii="Times New Roman" w:hAnsi="Times New Roman"/>
          <w:sz w:val="24"/>
          <w:szCs w:val="24"/>
        </w:rPr>
        <w:t>used mainly for sleeping</w:t>
      </w:r>
      <w:r w:rsidR="00886654">
        <w:rPr>
          <w:rFonts w:ascii="Times New Roman" w:hAnsi="Times New Roman"/>
          <w:sz w:val="24"/>
          <w:szCs w:val="24"/>
        </w:rPr>
        <w:t>,</w:t>
      </w:r>
      <w:r w:rsidR="00657CEF" w:rsidRPr="00B309A1">
        <w:rPr>
          <w:rFonts w:ascii="Times New Roman" w:hAnsi="Times New Roman"/>
          <w:sz w:val="24"/>
          <w:szCs w:val="24"/>
        </w:rPr>
        <w:t xml:space="preserve"> and rooms reserved for sleeping</w:t>
      </w:r>
      <w:r w:rsidRPr="009E4FBC">
        <w:rPr>
          <w:rFonts w:ascii="Times New Roman" w:hAnsi="Times New Roman"/>
          <w:sz w:val="24"/>
          <w:szCs w:val="24"/>
        </w:rPr>
        <w:t xml:space="preserve"> (</w:t>
      </w:r>
      <w:r w:rsidRPr="00775BA5">
        <w:rPr>
          <w:rFonts w:ascii="Times New Roman" w:hAnsi="Times New Roman"/>
          <w:i/>
          <w:sz w:val="24"/>
          <w:szCs w:val="24"/>
        </w:rPr>
        <w:t>e.g.</w:t>
      </w:r>
      <w:r w:rsidRPr="009E4FBC">
        <w:rPr>
          <w:rFonts w:ascii="Times New Roman" w:hAnsi="Times New Roman"/>
          <w:sz w:val="24"/>
          <w:szCs w:val="24"/>
        </w:rPr>
        <w:t>, guest rooms), with the qualification that dwelling units with only one room (</w:t>
      </w:r>
      <w:r w:rsidR="00E178D6">
        <w:rPr>
          <w:rFonts w:ascii="Times New Roman" w:hAnsi="Times New Roman"/>
          <w:sz w:val="24"/>
          <w:szCs w:val="24"/>
        </w:rPr>
        <w:t>such as a studio or efficiency apartment</w:t>
      </w:r>
      <w:r w:rsidRPr="009E4FBC">
        <w:rPr>
          <w:rFonts w:ascii="Times New Roman" w:hAnsi="Times New Roman"/>
          <w:sz w:val="24"/>
          <w:szCs w:val="24"/>
        </w:rPr>
        <w:t xml:space="preserve">) </w:t>
      </w:r>
      <w:r w:rsidR="00886654">
        <w:rPr>
          <w:rFonts w:ascii="Times New Roman" w:hAnsi="Times New Roman"/>
          <w:sz w:val="24"/>
          <w:szCs w:val="24"/>
        </w:rPr>
        <w:t>are</w:t>
      </w:r>
      <w:r w:rsidRPr="009E4FBC">
        <w:rPr>
          <w:rFonts w:ascii="Times New Roman" w:hAnsi="Times New Roman"/>
          <w:sz w:val="24"/>
          <w:szCs w:val="24"/>
        </w:rPr>
        <w:t xml:space="preserve"> designated</w:t>
      </w:r>
      <w:r w:rsidR="00657CEF" w:rsidRPr="009E4FBC">
        <w:rPr>
          <w:rFonts w:ascii="Times New Roman" w:hAnsi="Times New Roman"/>
          <w:sz w:val="24"/>
          <w:szCs w:val="24"/>
        </w:rPr>
        <w:t xml:space="preserve"> as having zero bedrooms. </w:t>
      </w:r>
    </w:p>
    <w:p w14:paraId="7ADFC6F0" w14:textId="53985F0E" w:rsidR="00142023" w:rsidRPr="00121A94" w:rsidRDefault="00657CEF" w:rsidP="00121A94">
      <w:pPr>
        <w:pStyle w:val="ListParagraph"/>
        <w:numPr>
          <w:ilvl w:val="0"/>
          <w:numId w:val="27"/>
        </w:numPr>
        <w:spacing w:after="120" w:line="360" w:lineRule="auto"/>
        <w:ind w:left="360"/>
        <w:jc w:val="both"/>
        <w:rPr>
          <w:rFonts w:ascii="Times New Roman" w:hAnsi="Times New Roman"/>
          <w:sz w:val="24"/>
          <w:szCs w:val="24"/>
        </w:rPr>
      </w:pPr>
      <w:r w:rsidRPr="006B37AD">
        <w:rPr>
          <w:rFonts w:ascii="Times New Roman" w:hAnsi="Times New Roman"/>
          <w:sz w:val="24"/>
          <w:szCs w:val="24"/>
        </w:rPr>
        <w:t>The number of bathrooms</w:t>
      </w:r>
      <w:r w:rsidR="009E4FBC" w:rsidRPr="006B37AD">
        <w:rPr>
          <w:rFonts w:ascii="Times New Roman" w:hAnsi="Times New Roman"/>
          <w:sz w:val="24"/>
          <w:szCs w:val="24"/>
        </w:rPr>
        <w:t xml:space="preserve"> refers to the count of </w:t>
      </w:r>
      <w:r w:rsidRPr="006B37AD">
        <w:rPr>
          <w:rFonts w:ascii="Times New Roman" w:hAnsi="Times New Roman"/>
          <w:sz w:val="24"/>
          <w:szCs w:val="24"/>
        </w:rPr>
        <w:t>full bathroom</w:t>
      </w:r>
      <w:r w:rsidR="009E4FBC" w:rsidRPr="006B37AD">
        <w:rPr>
          <w:rFonts w:ascii="Times New Roman" w:hAnsi="Times New Roman"/>
          <w:sz w:val="24"/>
          <w:szCs w:val="24"/>
        </w:rPr>
        <w:t xml:space="preserve">s </w:t>
      </w:r>
      <w:r w:rsidR="000968B6" w:rsidRPr="006B37AD">
        <w:rPr>
          <w:rFonts w:ascii="Times New Roman" w:hAnsi="Times New Roman"/>
          <w:sz w:val="24"/>
          <w:szCs w:val="24"/>
        </w:rPr>
        <w:t xml:space="preserve">in the dwelling unit </w:t>
      </w:r>
      <w:r w:rsidRPr="006B37AD">
        <w:rPr>
          <w:rFonts w:ascii="Times New Roman" w:hAnsi="Times New Roman"/>
          <w:sz w:val="24"/>
          <w:szCs w:val="24"/>
        </w:rPr>
        <w:t xml:space="preserve">for the exclusive use of the household occupying the </w:t>
      </w:r>
      <w:r w:rsidR="009E4FBC" w:rsidRPr="006B37AD">
        <w:rPr>
          <w:rFonts w:ascii="Times New Roman" w:hAnsi="Times New Roman"/>
          <w:sz w:val="24"/>
          <w:szCs w:val="24"/>
        </w:rPr>
        <w:t xml:space="preserve">dwelling </w:t>
      </w:r>
      <w:r w:rsidRPr="006B37AD">
        <w:rPr>
          <w:rFonts w:ascii="Times New Roman" w:hAnsi="Times New Roman"/>
          <w:sz w:val="24"/>
          <w:szCs w:val="24"/>
        </w:rPr>
        <w:t xml:space="preserve">unit, </w:t>
      </w:r>
      <w:r w:rsidR="00E43330">
        <w:rPr>
          <w:rFonts w:ascii="Times New Roman" w:hAnsi="Times New Roman"/>
          <w:sz w:val="24"/>
          <w:szCs w:val="24"/>
        </w:rPr>
        <w:t xml:space="preserve">and </w:t>
      </w:r>
      <w:r w:rsidRPr="006B37AD">
        <w:rPr>
          <w:rFonts w:ascii="Times New Roman" w:hAnsi="Times New Roman"/>
          <w:sz w:val="24"/>
          <w:szCs w:val="24"/>
        </w:rPr>
        <w:t xml:space="preserve">including a flush toilet, bathtub or shower, </w:t>
      </w:r>
      <w:r w:rsidR="009E4FBC" w:rsidRPr="006B37AD">
        <w:rPr>
          <w:rFonts w:ascii="Times New Roman" w:hAnsi="Times New Roman"/>
          <w:sz w:val="24"/>
          <w:szCs w:val="24"/>
        </w:rPr>
        <w:t xml:space="preserve">and </w:t>
      </w:r>
      <w:r w:rsidRPr="006B37AD">
        <w:rPr>
          <w:rFonts w:ascii="Times New Roman" w:hAnsi="Times New Roman"/>
          <w:sz w:val="24"/>
          <w:szCs w:val="24"/>
        </w:rPr>
        <w:t>a si</w:t>
      </w:r>
      <w:r w:rsidR="009E4FBC" w:rsidRPr="006B37AD">
        <w:rPr>
          <w:rFonts w:ascii="Times New Roman" w:hAnsi="Times New Roman"/>
          <w:sz w:val="24"/>
          <w:szCs w:val="24"/>
        </w:rPr>
        <w:t>nk</w:t>
      </w:r>
      <w:r w:rsidR="00E178D6" w:rsidRPr="006B37AD">
        <w:rPr>
          <w:rFonts w:ascii="Times New Roman" w:hAnsi="Times New Roman"/>
          <w:sz w:val="24"/>
          <w:szCs w:val="24"/>
        </w:rPr>
        <w:t xml:space="preserve"> with hot and cold piped water</w:t>
      </w:r>
      <w:r w:rsidRPr="006B37AD">
        <w:rPr>
          <w:rFonts w:ascii="Times New Roman" w:hAnsi="Times New Roman"/>
          <w:sz w:val="24"/>
          <w:szCs w:val="24"/>
        </w:rPr>
        <w:t xml:space="preserve">. </w:t>
      </w:r>
    </w:p>
    <w:p w14:paraId="320160DF" w14:textId="5D90ECF4" w:rsidR="00A61486" w:rsidRPr="006B37AD" w:rsidRDefault="009E4FBC" w:rsidP="007A5CF0">
      <w:pPr>
        <w:ind w:firstLine="720"/>
        <w:jc w:val="both"/>
      </w:pPr>
      <w:r w:rsidRPr="006B37AD">
        <w:t xml:space="preserve">As can be noticed from </w:t>
      </w:r>
      <w:r w:rsidR="00E43330">
        <w:t xml:space="preserve">the top right panel of </w:t>
      </w:r>
      <w:r w:rsidRPr="006B37AD">
        <w:t xml:space="preserve">Table </w:t>
      </w:r>
      <w:r w:rsidR="006B37AD" w:rsidRPr="006B37AD">
        <w:t>1</w:t>
      </w:r>
      <w:r w:rsidRPr="006B37AD">
        <w:t xml:space="preserve">, </w:t>
      </w:r>
      <w:r w:rsidR="00142023">
        <w:t xml:space="preserve">40% of the dwelling units </w:t>
      </w:r>
      <w:r w:rsidR="001F6744" w:rsidRPr="006B37AD">
        <w:t>in the sample have three b</w:t>
      </w:r>
      <w:r w:rsidR="00142023">
        <w:t xml:space="preserve">edrooms, with few units </w:t>
      </w:r>
      <w:r w:rsidR="001F6744" w:rsidRPr="006B37AD">
        <w:t xml:space="preserve">with zero or more than four bedrooms. In terms of bathrooms, </w:t>
      </w:r>
      <w:r w:rsidR="00142023">
        <w:t xml:space="preserve">the vast majority of units </w:t>
      </w:r>
      <w:r w:rsidR="001F6744" w:rsidRPr="006B37AD">
        <w:t xml:space="preserve">have one or two bathrooms. </w:t>
      </w:r>
    </w:p>
    <w:p w14:paraId="2EDCBD1E" w14:textId="77777777" w:rsidR="006B37AD" w:rsidRDefault="006B37AD" w:rsidP="006D3633">
      <w:pPr>
        <w:jc w:val="both"/>
        <w:rPr>
          <w:lang w:eastAsia="zh-CN"/>
        </w:rPr>
      </w:pPr>
    </w:p>
    <w:p w14:paraId="0580D520" w14:textId="137F3EE8" w:rsidR="00E617FD" w:rsidRDefault="00194DC9" w:rsidP="00883386">
      <w:pPr>
        <w:jc w:val="both"/>
      </w:pPr>
      <w:r w:rsidRPr="006B37AD">
        <w:rPr>
          <w:u w:val="single"/>
          <w:lang w:eastAsia="zh-CN"/>
        </w:rPr>
        <w:t>Nominal</w:t>
      </w:r>
      <w:r w:rsidR="00E617FD">
        <w:rPr>
          <w:u w:val="single"/>
          <w:lang w:eastAsia="zh-CN"/>
        </w:rPr>
        <w:t>/Binary</w:t>
      </w:r>
      <w:r w:rsidRPr="006B37AD">
        <w:rPr>
          <w:u w:val="single"/>
          <w:lang w:eastAsia="zh-CN"/>
        </w:rPr>
        <w:t xml:space="preserve"> outcomes </w:t>
      </w:r>
    </w:p>
    <w:p w14:paraId="6BEE7F37" w14:textId="2A2CAF08" w:rsidR="00142023" w:rsidRPr="00CD3C1C" w:rsidRDefault="00142023" w:rsidP="00142023">
      <w:pPr>
        <w:ind w:left="360" w:hanging="360"/>
        <w:jc w:val="both"/>
        <w:rPr>
          <w:rFonts w:eastAsia="Calibri"/>
          <w:u w:val="single"/>
          <w:lang w:eastAsia="zh-CN"/>
        </w:rPr>
      </w:pPr>
      <w:r>
        <w:t xml:space="preserve">(1) </w:t>
      </w:r>
      <w:r w:rsidRPr="00CD3C1C">
        <w:t xml:space="preserve">Housing type is distinguished in three nominal alternatives in the sample (after removing mobile homes, as indicated earlier): single-family detached units, single-family attached units, and apartment complexes, with a dominance of single-family detached units. In our analysis, due to the very small sample share of single-family attached units (only 3%), we combine single-family attached and detached units into one category and represent housing type as a binary outcome: single family unit (72%) or apartment complex (28%). In the estimation, the single family </w:t>
      </w:r>
      <w:proofErr w:type="gramStart"/>
      <w:r w:rsidRPr="00CD3C1C">
        <w:t>unit  is</w:t>
      </w:r>
      <w:proofErr w:type="gramEnd"/>
      <w:r w:rsidRPr="00CD3C1C">
        <w:t xml:space="preserve"> considered as the base category.</w:t>
      </w:r>
      <w:r w:rsidRPr="00142023">
        <w:rPr>
          <w:rFonts w:eastAsia="Calibri"/>
          <w:u w:val="single"/>
          <w:lang w:eastAsia="zh-CN"/>
        </w:rPr>
        <w:t xml:space="preserve"> </w:t>
      </w:r>
    </w:p>
    <w:p w14:paraId="54D579CE" w14:textId="23CF0936" w:rsidR="00E617FD" w:rsidRPr="00142023" w:rsidRDefault="00142023" w:rsidP="00142023">
      <w:pPr>
        <w:pStyle w:val="ListParagraph"/>
        <w:spacing w:line="360" w:lineRule="auto"/>
        <w:ind w:left="360" w:hanging="360"/>
        <w:jc w:val="both"/>
        <w:rPr>
          <w:rFonts w:ascii="Times New Roman" w:hAnsi="Times New Roman"/>
          <w:sz w:val="24"/>
          <w:szCs w:val="24"/>
        </w:rPr>
      </w:pPr>
      <w:r w:rsidRPr="00142023">
        <w:rPr>
          <w:rFonts w:ascii="Times New Roman" w:hAnsi="Times New Roman"/>
          <w:sz w:val="24"/>
          <w:szCs w:val="24"/>
        </w:rPr>
        <w:t>(2</w:t>
      </w:r>
      <w:r w:rsidR="00D379FC" w:rsidRPr="00142023">
        <w:rPr>
          <w:rFonts w:ascii="Times New Roman" w:hAnsi="Times New Roman"/>
          <w:sz w:val="24"/>
          <w:szCs w:val="24"/>
        </w:rPr>
        <w:t>)</w:t>
      </w:r>
      <w:r w:rsidR="00CD3C1C" w:rsidRPr="00142023">
        <w:rPr>
          <w:rFonts w:ascii="Times New Roman" w:hAnsi="Times New Roman"/>
          <w:sz w:val="24"/>
          <w:szCs w:val="24"/>
        </w:rPr>
        <w:t xml:space="preserve"> </w:t>
      </w:r>
      <w:r w:rsidR="003643B6" w:rsidRPr="00142023">
        <w:rPr>
          <w:rFonts w:ascii="Times New Roman" w:hAnsi="Times New Roman"/>
          <w:sz w:val="24"/>
          <w:szCs w:val="24"/>
        </w:rPr>
        <w:t xml:space="preserve">The density of the dwelling unit location, as indicated earlier, is identified in three </w:t>
      </w:r>
      <w:r w:rsidR="00877F81" w:rsidRPr="00142023">
        <w:rPr>
          <w:rFonts w:ascii="Times New Roman" w:hAnsi="Times New Roman"/>
          <w:sz w:val="24"/>
          <w:szCs w:val="24"/>
        </w:rPr>
        <w:t>nominal</w:t>
      </w:r>
      <w:r w:rsidR="00E617FD" w:rsidRPr="00142023">
        <w:rPr>
          <w:rFonts w:ascii="Times New Roman" w:hAnsi="Times New Roman"/>
          <w:sz w:val="24"/>
          <w:szCs w:val="24"/>
        </w:rPr>
        <w:t xml:space="preserve"> </w:t>
      </w:r>
      <w:r w:rsidR="00877F81" w:rsidRPr="00142023">
        <w:rPr>
          <w:rFonts w:ascii="Times New Roman" w:hAnsi="Times New Roman"/>
          <w:sz w:val="24"/>
          <w:szCs w:val="24"/>
        </w:rPr>
        <w:t>alternatives</w:t>
      </w:r>
      <w:r w:rsidR="003643B6" w:rsidRPr="00142023">
        <w:rPr>
          <w:rFonts w:ascii="Times New Roman" w:hAnsi="Times New Roman"/>
          <w:sz w:val="24"/>
          <w:szCs w:val="24"/>
        </w:rPr>
        <w:t xml:space="preserve">: suburb, secondary city, and </w:t>
      </w:r>
      <w:r w:rsidR="00391FDD">
        <w:rPr>
          <w:rFonts w:ascii="Times New Roman" w:hAnsi="Times New Roman"/>
          <w:sz w:val="24"/>
          <w:szCs w:val="24"/>
        </w:rPr>
        <w:t xml:space="preserve">primary </w:t>
      </w:r>
      <w:proofErr w:type="gramStart"/>
      <w:r w:rsidR="00E43330" w:rsidRPr="00142023">
        <w:rPr>
          <w:rFonts w:ascii="Times New Roman" w:hAnsi="Times New Roman"/>
          <w:sz w:val="24"/>
          <w:szCs w:val="24"/>
        </w:rPr>
        <w:t xml:space="preserve">central </w:t>
      </w:r>
      <w:r w:rsidR="003643B6" w:rsidRPr="00142023">
        <w:rPr>
          <w:rFonts w:ascii="Times New Roman" w:hAnsi="Times New Roman"/>
          <w:sz w:val="24"/>
          <w:szCs w:val="24"/>
        </w:rPr>
        <w:t xml:space="preserve"> city</w:t>
      </w:r>
      <w:proofErr w:type="gramEnd"/>
      <w:r w:rsidR="003643B6" w:rsidRPr="00142023">
        <w:rPr>
          <w:rFonts w:ascii="Times New Roman" w:hAnsi="Times New Roman"/>
          <w:sz w:val="24"/>
          <w:szCs w:val="24"/>
        </w:rPr>
        <w:t>, with about a fourth of the dwelling units</w:t>
      </w:r>
      <w:r w:rsidR="00E617FD" w:rsidRPr="00142023">
        <w:rPr>
          <w:rFonts w:ascii="Times New Roman" w:hAnsi="Times New Roman"/>
          <w:sz w:val="24"/>
          <w:szCs w:val="24"/>
        </w:rPr>
        <w:t xml:space="preserve"> </w:t>
      </w:r>
      <w:r w:rsidR="003643B6" w:rsidRPr="00142023">
        <w:rPr>
          <w:rFonts w:ascii="Times New Roman" w:hAnsi="Times New Roman"/>
          <w:sz w:val="24"/>
          <w:szCs w:val="24"/>
        </w:rPr>
        <w:t xml:space="preserve">located in </w:t>
      </w:r>
      <w:r w:rsidRPr="00142023">
        <w:rPr>
          <w:rFonts w:ascii="Times New Roman" w:hAnsi="Times New Roman"/>
          <w:sz w:val="24"/>
          <w:szCs w:val="24"/>
        </w:rPr>
        <w:t xml:space="preserve">a </w:t>
      </w:r>
      <w:r w:rsidR="00A5466B" w:rsidRPr="00142023">
        <w:rPr>
          <w:rFonts w:ascii="Times New Roman" w:hAnsi="Times New Roman"/>
          <w:sz w:val="24"/>
          <w:szCs w:val="24"/>
        </w:rPr>
        <w:t>primary city</w:t>
      </w:r>
      <w:r w:rsidR="003643B6" w:rsidRPr="00142023">
        <w:rPr>
          <w:rFonts w:ascii="Times New Roman" w:hAnsi="Times New Roman"/>
          <w:sz w:val="24"/>
          <w:szCs w:val="24"/>
        </w:rPr>
        <w:t>, and 65%</w:t>
      </w:r>
      <w:r w:rsidR="00E43330" w:rsidRPr="00142023">
        <w:rPr>
          <w:rFonts w:ascii="Times New Roman" w:hAnsi="Times New Roman"/>
          <w:sz w:val="24"/>
          <w:szCs w:val="24"/>
        </w:rPr>
        <w:t xml:space="preserve"> </w:t>
      </w:r>
      <w:r w:rsidR="003643B6" w:rsidRPr="00142023">
        <w:rPr>
          <w:rFonts w:ascii="Times New Roman" w:hAnsi="Times New Roman"/>
          <w:sz w:val="24"/>
          <w:szCs w:val="24"/>
        </w:rPr>
        <w:t xml:space="preserve">in </w:t>
      </w:r>
      <w:r w:rsidR="00E43330" w:rsidRPr="00142023">
        <w:rPr>
          <w:rFonts w:ascii="Times New Roman" w:hAnsi="Times New Roman"/>
          <w:sz w:val="24"/>
          <w:szCs w:val="24"/>
        </w:rPr>
        <w:t xml:space="preserve">a suburban location </w:t>
      </w:r>
      <w:r w:rsidR="003643B6" w:rsidRPr="00142023">
        <w:rPr>
          <w:rFonts w:ascii="Times New Roman" w:hAnsi="Times New Roman"/>
          <w:sz w:val="24"/>
          <w:szCs w:val="24"/>
        </w:rPr>
        <w:t xml:space="preserve">(see </w:t>
      </w:r>
      <w:r w:rsidR="00E43330" w:rsidRPr="00142023">
        <w:rPr>
          <w:rFonts w:ascii="Times New Roman" w:hAnsi="Times New Roman"/>
          <w:sz w:val="24"/>
          <w:szCs w:val="24"/>
        </w:rPr>
        <w:t>under “</w:t>
      </w:r>
      <w:r w:rsidR="00E617FD" w:rsidRPr="00142023">
        <w:rPr>
          <w:rFonts w:ascii="Times New Roman" w:hAnsi="Times New Roman"/>
          <w:sz w:val="24"/>
          <w:szCs w:val="24"/>
        </w:rPr>
        <w:t xml:space="preserve">nominal/binary </w:t>
      </w:r>
      <w:r w:rsidR="00E43330" w:rsidRPr="00142023">
        <w:rPr>
          <w:rFonts w:ascii="Times New Roman" w:hAnsi="Times New Roman"/>
          <w:sz w:val="24"/>
          <w:szCs w:val="24"/>
        </w:rPr>
        <w:t xml:space="preserve">outcomes” in </w:t>
      </w:r>
      <w:r w:rsidR="003643B6" w:rsidRPr="00142023">
        <w:rPr>
          <w:rFonts w:ascii="Times New Roman" w:hAnsi="Times New Roman"/>
          <w:sz w:val="24"/>
          <w:szCs w:val="24"/>
        </w:rPr>
        <w:t>Table 1).</w:t>
      </w:r>
      <w:r w:rsidR="006A0582" w:rsidRPr="00142023">
        <w:rPr>
          <w:rFonts w:ascii="Times New Roman" w:hAnsi="Times New Roman"/>
          <w:sz w:val="24"/>
          <w:szCs w:val="24"/>
        </w:rPr>
        <w:t xml:space="preserve"> In the estimation, the suburb </w:t>
      </w:r>
      <w:r w:rsidR="00E43330" w:rsidRPr="00142023">
        <w:rPr>
          <w:rFonts w:ascii="Times New Roman" w:hAnsi="Times New Roman"/>
          <w:sz w:val="24"/>
          <w:szCs w:val="24"/>
        </w:rPr>
        <w:t xml:space="preserve">location </w:t>
      </w:r>
      <w:r w:rsidR="006A0582" w:rsidRPr="00142023">
        <w:rPr>
          <w:rFonts w:ascii="Times New Roman" w:hAnsi="Times New Roman"/>
          <w:sz w:val="24"/>
          <w:szCs w:val="24"/>
        </w:rPr>
        <w:t>is considered as the base category</w:t>
      </w:r>
      <w:r w:rsidR="00022D88">
        <w:rPr>
          <w:rFonts w:ascii="Times New Roman" w:hAnsi="Times New Roman"/>
          <w:sz w:val="24"/>
          <w:szCs w:val="24"/>
        </w:rPr>
        <w:t xml:space="preserve"> (see also Brownstone and Fang, 2010 and Brownstone and </w:t>
      </w:r>
      <w:proofErr w:type="spellStart"/>
      <w:r w:rsidR="00022D88">
        <w:rPr>
          <w:rFonts w:ascii="Times New Roman" w:hAnsi="Times New Roman"/>
          <w:sz w:val="24"/>
          <w:szCs w:val="24"/>
        </w:rPr>
        <w:t>Golob</w:t>
      </w:r>
      <w:proofErr w:type="spellEnd"/>
      <w:r w:rsidR="00022D88">
        <w:rPr>
          <w:rFonts w:ascii="Times New Roman" w:hAnsi="Times New Roman"/>
          <w:sz w:val="24"/>
          <w:szCs w:val="24"/>
        </w:rPr>
        <w:t>, 2009 for the use of density as a representation of residential location)</w:t>
      </w:r>
      <w:r w:rsidR="006A0582" w:rsidRPr="00142023">
        <w:rPr>
          <w:rFonts w:ascii="Times New Roman" w:hAnsi="Times New Roman"/>
          <w:sz w:val="24"/>
          <w:szCs w:val="24"/>
        </w:rPr>
        <w:t>.</w:t>
      </w:r>
    </w:p>
    <w:p w14:paraId="2535301B" w14:textId="2D029710" w:rsidR="003C1E3E" w:rsidRPr="00CD3C1C" w:rsidRDefault="00CD3C1C" w:rsidP="00142023">
      <w:pPr>
        <w:pStyle w:val="ListParagraph"/>
        <w:spacing w:line="360" w:lineRule="auto"/>
        <w:ind w:left="360" w:hanging="360"/>
        <w:jc w:val="both"/>
        <w:rPr>
          <w:rFonts w:ascii="Times New Roman" w:hAnsi="Times New Roman"/>
          <w:sz w:val="24"/>
          <w:szCs w:val="24"/>
        </w:rPr>
      </w:pPr>
      <w:r>
        <w:rPr>
          <w:rFonts w:ascii="Times New Roman" w:hAnsi="Times New Roman"/>
          <w:sz w:val="24"/>
          <w:szCs w:val="24"/>
        </w:rPr>
        <w:t xml:space="preserve">(3) </w:t>
      </w:r>
      <w:r w:rsidR="003C1E3E" w:rsidRPr="00CD3C1C">
        <w:rPr>
          <w:rFonts w:ascii="Times New Roman" w:hAnsi="Times New Roman"/>
          <w:sz w:val="24"/>
          <w:szCs w:val="24"/>
        </w:rPr>
        <w:t xml:space="preserve">Housing tenure type is a binary outcome, corresponding to whether the unit is rented or owned by the occupant household. </w:t>
      </w:r>
      <w:r w:rsidR="00E43330" w:rsidRPr="00CD3C1C">
        <w:rPr>
          <w:rFonts w:ascii="Times New Roman" w:hAnsi="Times New Roman"/>
          <w:sz w:val="24"/>
          <w:szCs w:val="24"/>
        </w:rPr>
        <w:t>Table 1 indicates that m</w:t>
      </w:r>
      <w:r w:rsidR="003C1E3E" w:rsidRPr="00CD3C1C">
        <w:rPr>
          <w:rFonts w:ascii="Times New Roman" w:hAnsi="Times New Roman"/>
          <w:sz w:val="24"/>
          <w:szCs w:val="24"/>
        </w:rPr>
        <w:t>ost of the households (65.0%) choose to own their dwelling units.</w:t>
      </w:r>
      <w:r w:rsidR="006A0582" w:rsidRPr="00CD3C1C">
        <w:rPr>
          <w:rFonts w:ascii="Times New Roman" w:hAnsi="Times New Roman"/>
          <w:sz w:val="24"/>
          <w:szCs w:val="24"/>
        </w:rPr>
        <w:t xml:space="preserve"> In the estimation, the</w:t>
      </w:r>
      <w:r w:rsidR="00E43330" w:rsidRPr="00CD3C1C">
        <w:rPr>
          <w:rFonts w:ascii="Times New Roman" w:hAnsi="Times New Roman"/>
          <w:sz w:val="24"/>
          <w:szCs w:val="24"/>
        </w:rPr>
        <w:t xml:space="preserve"> “owned” alternative</w:t>
      </w:r>
      <w:r w:rsidR="006A0582" w:rsidRPr="00CD3C1C">
        <w:rPr>
          <w:rFonts w:ascii="Times New Roman" w:hAnsi="Times New Roman"/>
          <w:sz w:val="24"/>
          <w:szCs w:val="24"/>
        </w:rPr>
        <w:t xml:space="preserve"> is considered as the base category.</w:t>
      </w:r>
    </w:p>
    <w:p w14:paraId="41819B6F" w14:textId="72FE58A4" w:rsidR="000968B6" w:rsidRPr="00CD3C1C" w:rsidRDefault="00CD3C1C" w:rsidP="00142023">
      <w:pPr>
        <w:pStyle w:val="ListParagraph"/>
        <w:autoSpaceDE w:val="0"/>
        <w:autoSpaceDN w:val="0"/>
        <w:adjustRightInd w:val="0"/>
        <w:spacing w:line="360" w:lineRule="auto"/>
        <w:ind w:left="360" w:hanging="360"/>
        <w:jc w:val="both"/>
        <w:rPr>
          <w:rFonts w:ascii="Times New Roman" w:eastAsiaTheme="minorHAnsi" w:hAnsi="Times New Roman"/>
          <w:sz w:val="24"/>
          <w:szCs w:val="24"/>
        </w:rPr>
      </w:pPr>
      <w:r>
        <w:rPr>
          <w:rFonts w:ascii="Times New Roman" w:eastAsiaTheme="minorHAnsi" w:hAnsi="Times New Roman"/>
          <w:sz w:val="24"/>
          <w:szCs w:val="24"/>
        </w:rPr>
        <w:t>(4)</w:t>
      </w:r>
      <w:r w:rsidR="00142023">
        <w:rPr>
          <w:rFonts w:ascii="Times New Roman" w:eastAsiaTheme="minorHAnsi" w:hAnsi="Times New Roman"/>
          <w:sz w:val="24"/>
          <w:szCs w:val="24"/>
        </w:rPr>
        <w:tab/>
      </w:r>
      <w:r w:rsidR="000968B6" w:rsidRPr="00CD3C1C">
        <w:rPr>
          <w:rFonts w:ascii="Times New Roman" w:eastAsiaTheme="minorHAnsi" w:hAnsi="Times New Roman"/>
          <w:sz w:val="24"/>
          <w:szCs w:val="24"/>
        </w:rPr>
        <w:t xml:space="preserve">The number of </w:t>
      </w:r>
      <w:proofErr w:type="spellStart"/>
      <w:r w:rsidR="000968B6" w:rsidRPr="00CD3C1C">
        <w:rPr>
          <w:rFonts w:ascii="Times New Roman" w:eastAsiaTheme="minorHAnsi" w:hAnsi="Times New Roman"/>
          <w:sz w:val="24"/>
          <w:szCs w:val="24"/>
        </w:rPr>
        <w:t>storeys</w:t>
      </w:r>
      <w:proofErr w:type="spellEnd"/>
      <w:r w:rsidR="000968B6" w:rsidRPr="00CD3C1C">
        <w:rPr>
          <w:rFonts w:ascii="Times New Roman" w:eastAsiaTheme="minorHAnsi" w:hAnsi="Times New Roman"/>
          <w:sz w:val="24"/>
          <w:szCs w:val="24"/>
        </w:rPr>
        <w:t xml:space="preserve"> includes finished or unfinished basements, and finished (but not unfinished) attics. </w:t>
      </w:r>
      <w:r w:rsidR="00A07E5C" w:rsidRPr="00CD3C1C">
        <w:rPr>
          <w:rFonts w:ascii="Times New Roman" w:eastAsiaTheme="minorHAnsi" w:hAnsi="Times New Roman"/>
          <w:sz w:val="24"/>
          <w:szCs w:val="24"/>
        </w:rPr>
        <w:t xml:space="preserve">For split levels and bi-levels, </w:t>
      </w:r>
      <w:r w:rsidR="000968B6" w:rsidRPr="00CD3C1C">
        <w:rPr>
          <w:rFonts w:ascii="Times New Roman" w:eastAsiaTheme="minorHAnsi" w:hAnsi="Times New Roman"/>
          <w:sz w:val="24"/>
          <w:szCs w:val="24"/>
        </w:rPr>
        <w:t xml:space="preserve">the highest number of floors that are </w:t>
      </w:r>
      <w:r w:rsidR="000968B6" w:rsidRPr="00CD3C1C">
        <w:rPr>
          <w:rFonts w:ascii="Times New Roman" w:eastAsiaTheme="minorHAnsi" w:hAnsi="Times New Roman"/>
          <w:sz w:val="24"/>
          <w:szCs w:val="24"/>
        </w:rPr>
        <w:lastRenderedPageBreak/>
        <w:t xml:space="preserve">physically over each other is the designated number of stories. In this paper, we classify </w:t>
      </w:r>
      <w:r w:rsidR="00B805C1" w:rsidRPr="00CD3C1C">
        <w:rPr>
          <w:rFonts w:ascii="Times New Roman" w:eastAsiaTheme="minorHAnsi" w:hAnsi="Times New Roman"/>
          <w:sz w:val="24"/>
          <w:szCs w:val="24"/>
        </w:rPr>
        <w:t xml:space="preserve">dwelling units into single </w:t>
      </w:r>
      <w:proofErr w:type="spellStart"/>
      <w:r w:rsidR="00B805C1" w:rsidRPr="00CD3C1C">
        <w:rPr>
          <w:rFonts w:ascii="Times New Roman" w:eastAsiaTheme="minorHAnsi" w:hAnsi="Times New Roman"/>
          <w:sz w:val="24"/>
          <w:szCs w:val="24"/>
        </w:rPr>
        <w:t>storey</w:t>
      </w:r>
      <w:proofErr w:type="spellEnd"/>
      <w:r w:rsidR="00B805C1" w:rsidRPr="00CD3C1C">
        <w:rPr>
          <w:rFonts w:ascii="Times New Roman" w:eastAsiaTheme="minorHAnsi" w:hAnsi="Times New Roman"/>
          <w:sz w:val="24"/>
          <w:szCs w:val="24"/>
        </w:rPr>
        <w:t xml:space="preserve"> units or multiple </w:t>
      </w:r>
      <w:proofErr w:type="spellStart"/>
      <w:r w:rsidR="00B805C1" w:rsidRPr="00CD3C1C">
        <w:rPr>
          <w:rFonts w:ascii="Times New Roman" w:eastAsiaTheme="minorHAnsi" w:hAnsi="Times New Roman"/>
          <w:sz w:val="24"/>
          <w:szCs w:val="24"/>
        </w:rPr>
        <w:t>storey</w:t>
      </w:r>
      <w:proofErr w:type="spellEnd"/>
      <w:r w:rsidR="00B805C1" w:rsidRPr="00CD3C1C">
        <w:rPr>
          <w:rFonts w:ascii="Times New Roman" w:eastAsiaTheme="minorHAnsi" w:hAnsi="Times New Roman"/>
          <w:sz w:val="24"/>
          <w:szCs w:val="24"/>
        </w:rPr>
        <w:t xml:space="preserve"> units</w:t>
      </w:r>
      <w:r w:rsidR="000968B6" w:rsidRPr="00CD3C1C">
        <w:rPr>
          <w:rFonts w:ascii="Times New Roman" w:eastAsiaTheme="minorHAnsi" w:hAnsi="Times New Roman"/>
          <w:sz w:val="24"/>
          <w:szCs w:val="24"/>
        </w:rPr>
        <w:t xml:space="preserve">. </w:t>
      </w:r>
      <w:r w:rsidR="00142023">
        <w:rPr>
          <w:rFonts w:ascii="Times New Roman" w:eastAsiaTheme="minorHAnsi" w:hAnsi="Times New Roman"/>
          <w:sz w:val="24"/>
          <w:szCs w:val="24"/>
        </w:rPr>
        <w:t>In the sample, there a</w:t>
      </w:r>
      <w:r w:rsidR="00194DC9" w:rsidRPr="00CD3C1C">
        <w:rPr>
          <w:rFonts w:ascii="Times New Roman" w:eastAsiaTheme="minorHAnsi" w:hAnsi="Times New Roman"/>
          <w:sz w:val="24"/>
          <w:szCs w:val="24"/>
        </w:rPr>
        <w:t xml:space="preserve">re </w:t>
      </w:r>
      <w:r w:rsidR="00B805C1" w:rsidRPr="00CD3C1C">
        <w:rPr>
          <w:rFonts w:ascii="Times New Roman" w:eastAsiaTheme="minorHAnsi" w:hAnsi="Times New Roman"/>
          <w:sz w:val="24"/>
          <w:szCs w:val="24"/>
        </w:rPr>
        <w:t xml:space="preserve">28 out of a total of 404 (about 7%) apartment </w:t>
      </w:r>
      <w:r w:rsidR="00194DC9" w:rsidRPr="00CD3C1C">
        <w:rPr>
          <w:rFonts w:ascii="Times New Roman" w:eastAsiaTheme="minorHAnsi" w:hAnsi="Times New Roman"/>
          <w:sz w:val="24"/>
          <w:szCs w:val="24"/>
        </w:rPr>
        <w:t xml:space="preserve">dwelling </w:t>
      </w:r>
      <w:r w:rsidR="00142023">
        <w:rPr>
          <w:rFonts w:ascii="Times New Roman" w:eastAsiaTheme="minorHAnsi" w:hAnsi="Times New Roman"/>
          <w:sz w:val="24"/>
          <w:szCs w:val="24"/>
        </w:rPr>
        <w:t>units that have</w:t>
      </w:r>
      <w:r w:rsidR="00194DC9" w:rsidRPr="00CD3C1C">
        <w:rPr>
          <w:rFonts w:ascii="Times New Roman" w:eastAsiaTheme="minorHAnsi" w:hAnsi="Times New Roman"/>
          <w:sz w:val="24"/>
          <w:szCs w:val="24"/>
        </w:rPr>
        <w:t xml:space="preserve"> multiple stories (based on the definition above), and so we allow for this combination possibility. </w:t>
      </w:r>
      <w:r w:rsidR="00F66FE4" w:rsidRPr="00CD3C1C">
        <w:rPr>
          <w:rFonts w:ascii="Times New Roman" w:eastAsiaTheme="minorHAnsi" w:hAnsi="Times New Roman"/>
          <w:sz w:val="24"/>
          <w:szCs w:val="24"/>
        </w:rPr>
        <w:t xml:space="preserve">Table 1 indicates that </w:t>
      </w:r>
      <w:r w:rsidR="00142023">
        <w:rPr>
          <w:rFonts w:ascii="Times New Roman" w:eastAsiaTheme="minorHAnsi" w:hAnsi="Times New Roman"/>
          <w:sz w:val="24"/>
          <w:szCs w:val="24"/>
        </w:rPr>
        <w:t xml:space="preserve">the dwelling units are about equally split between single and multiple </w:t>
      </w:r>
      <w:proofErr w:type="spellStart"/>
      <w:r w:rsidR="00142023">
        <w:rPr>
          <w:rFonts w:ascii="Times New Roman" w:eastAsiaTheme="minorHAnsi" w:hAnsi="Times New Roman"/>
          <w:sz w:val="24"/>
          <w:szCs w:val="24"/>
        </w:rPr>
        <w:t>storey</w:t>
      </w:r>
      <w:proofErr w:type="spellEnd"/>
      <w:r w:rsidR="00142023">
        <w:rPr>
          <w:rFonts w:ascii="Times New Roman" w:eastAsiaTheme="minorHAnsi" w:hAnsi="Times New Roman"/>
          <w:sz w:val="24"/>
          <w:szCs w:val="24"/>
        </w:rPr>
        <w:t xml:space="preserve"> units. </w:t>
      </w:r>
      <w:r w:rsidR="006A0582" w:rsidRPr="00CD3C1C">
        <w:rPr>
          <w:rFonts w:ascii="Times New Roman" w:hAnsi="Times New Roman"/>
          <w:sz w:val="24"/>
          <w:szCs w:val="24"/>
        </w:rPr>
        <w:t xml:space="preserve">In the estimation, the </w:t>
      </w:r>
      <w:r w:rsidR="00B805C1" w:rsidRPr="00CD3C1C">
        <w:rPr>
          <w:rFonts w:ascii="Times New Roman" w:hAnsi="Times New Roman"/>
          <w:sz w:val="24"/>
          <w:szCs w:val="24"/>
        </w:rPr>
        <w:t xml:space="preserve">multiple </w:t>
      </w:r>
      <w:proofErr w:type="spellStart"/>
      <w:r w:rsidR="006A0582" w:rsidRPr="00CD3C1C">
        <w:rPr>
          <w:rFonts w:ascii="Times New Roman" w:hAnsi="Times New Roman"/>
          <w:sz w:val="24"/>
          <w:szCs w:val="24"/>
        </w:rPr>
        <w:t>storey</w:t>
      </w:r>
      <w:proofErr w:type="spellEnd"/>
      <w:r w:rsidR="006A0582" w:rsidRPr="00CD3C1C">
        <w:rPr>
          <w:rFonts w:ascii="Times New Roman" w:hAnsi="Times New Roman"/>
          <w:sz w:val="24"/>
          <w:szCs w:val="24"/>
        </w:rPr>
        <w:t xml:space="preserve"> </w:t>
      </w:r>
      <w:proofErr w:type="gramStart"/>
      <w:r w:rsidR="00B805C1" w:rsidRPr="00CD3C1C">
        <w:rPr>
          <w:rFonts w:ascii="Times New Roman" w:hAnsi="Times New Roman"/>
          <w:sz w:val="24"/>
          <w:szCs w:val="24"/>
        </w:rPr>
        <w:t>alternative</w:t>
      </w:r>
      <w:proofErr w:type="gramEnd"/>
      <w:r w:rsidR="00B805C1" w:rsidRPr="00CD3C1C">
        <w:rPr>
          <w:rFonts w:ascii="Times New Roman" w:hAnsi="Times New Roman"/>
          <w:sz w:val="24"/>
          <w:szCs w:val="24"/>
        </w:rPr>
        <w:t xml:space="preserve"> </w:t>
      </w:r>
      <w:r w:rsidR="006A0582" w:rsidRPr="00CD3C1C">
        <w:rPr>
          <w:rFonts w:ascii="Times New Roman" w:hAnsi="Times New Roman"/>
          <w:sz w:val="24"/>
          <w:szCs w:val="24"/>
        </w:rPr>
        <w:t>is considered as the base category.</w:t>
      </w:r>
      <w:r w:rsidR="00F66FE4" w:rsidRPr="00CD3C1C">
        <w:rPr>
          <w:rFonts w:ascii="Times New Roman" w:eastAsiaTheme="minorHAnsi" w:hAnsi="Times New Roman"/>
          <w:sz w:val="24"/>
          <w:szCs w:val="24"/>
        </w:rPr>
        <w:t xml:space="preserve"> </w:t>
      </w:r>
    </w:p>
    <w:p w14:paraId="2434C34C" w14:textId="77777777" w:rsidR="00657CEF" w:rsidRPr="00940195" w:rsidRDefault="00657CEF" w:rsidP="006B37AD">
      <w:pPr>
        <w:pStyle w:val="Heading2"/>
        <w:keepLines/>
        <w:numPr>
          <w:ilvl w:val="1"/>
          <w:numId w:val="37"/>
        </w:numPr>
        <w:spacing w:before="120" w:after="0"/>
        <w:ind w:left="540" w:hanging="540"/>
        <w:rPr>
          <w:rFonts w:ascii="Times New Roman" w:hAnsi="Times New Roman"/>
          <w:i w:val="0"/>
          <w:sz w:val="24"/>
          <w:szCs w:val="24"/>
        </w:rPr>
      </w:pPr>
      <w:r w:rsidRPr="00940195">
        <w:rPr>
          <w:rFonts w:ascii="Times New Roman" w:hAnsi="Times New Roman"/>
          <w:i w:val="0"/>
          <w:sz w:val="24"/>
          <w:szCs w:val="24"/>
        </w:rPr>
        <w:t>Latent Variables</w:t>
      </w:r>
    </w:p>
    <w:p w14:paraId="2A7423C9" w14:textId="2B8EF76D" w:rsidR="00E2420C" w:rsidRDefault="00966478" w:rsidP="00003279">
      <w:pPr>
        <w:jc w:val="both"/>
      </w:pPr>
      <w:r>
        <w:t>S</w:t>
      </w:r>
      <w:r w:rsidR="00231B30" w:rsidRPr="00940195">
        <w:t>everal earlier studies have considered lifestyle and attitude-related variables in residence-related choices (the reader is referre</w:t>
      </w:r>
      <w:r w:rsidR="000B7E04" w:rsidRPr="00940195">
        <w:t xml:space="preserve">d to Van Acker </w:t>
      </w:r>
      <w:r w:rsidR="000B7E04" w:rsidRPr="00775BA5">
        <w:rPr>
          <w:i/>
        </w:rPr>
        <w:t>et al</w:t>
      </w:r>
      <w:r w:rsidR="000B7E04" w:rsidRPr="00940195">
        <w:t>., 201</w:t>
      </w:r>
      <w:r w:rsidR="00433953">
        <w:t>1</w:t>
      </w:r>
      <w:r w:rsidR="000B7E04" w:rsidRPr="00940195">
        <w:t xml:space="preserve">, </w:t>
      </w:r>
      <w:proofErr w:type="spellStart"/>
      <w:r w:rsidR="00231B30" w:rsidRPr="00940195">
        <w:t>Bohte</w:t>
      </w:r>
      <w:proofErr w:type="spellEnd"/>
      <w:r w:rsidR="00231B30" w:rsidRPr="00940195">
        <w:t xml:space="preserve"> </w:t>
      </w:r>
      <w:r w:rsidR="00231B30" w:rsidRPr="00775BA5">
        <w:rPr>
          <w:i/>
        </w:rPr>
        <w:t>et al</w:t>
      </w:r>
      <w:r w:rsidR="00231B30" w:rsidRPr="00391FDD">
        <w:t>.</w:t>
      </w:r>
      <w:r w:rsidR="00231B30" w:rsidRPr="00940195">
        <w:t>, 2009</w:t>
      </w:r>
      <w:r w:rsidR="000B7E04" w:rsidRPr="00940195">
        <w:t xml:space="preserve">, and Bhat </w:t>
      </w:r>
      <w:r w:rsidR="000B7E04" w:rsidRPr="00775BA5">
        <w:rPr>
          <w:i/>
        </w:rPr>
        <w:t>et al</w:t>
      </w:r>
      <w:r w:rsidR="000B7E04" w:rsidRPr="00940195">
        <w:t xml:space="preserve">., 2014 for reviews of this literature), but these </w:t>
      </w:r>
      <w:r w:rsidR="00142023">
        <w:t xml:space="preserve">studies </w:t>
      </w:r>
      <w:r w:rsidR="000B7E04" w:rsidRPr="00940195">
        <w:t xml:space="preserve">have focused only on the location dimension of residence and not </w:t>
      </w:r>
      <w:r w:rsidR="00574B21" w:rsidRPr="00940195">
        <w:t xml:space="preserve">on </w:t>
      </w:r>
      <w:r w:rsidR="000B7E04" w:rsidRPr="00940195">
        <w:t>other dwelling unit attributes as we do here.</w:t>
      </w:r>
      <w:r w:rsidR="000B7E04">
        <w:t xml:space="preserve"> Further, rather than use extraneous indicators to characterize attitudes and lifestyles, as in most earlier studies that use an integrated choice and latent variables (ICLV) approach, we use the </w:t>
      </w:r>
      <w:proofErr w:type="spellStart"/>
      <w:r w:rsidR="000B7E04">
        <w:t>endogeneous</w:t>
      </w:r>
      <w:proofErr w:type="spellEnd"/>
      <w:r w:rsidR="000B7E04">
        <w:t xml:space="preserve"> outcomes themselves as indicators of the latent variables </w:t>
      </w:r>
      <w:r w:rsidR="004A7DED">
        <w:t xml:space="preserve">in the GHDM modeling strategy. </w:t>
      </w:r>
      <w:r w:rsidR="00003279">
        <w:rPr>
          <w:lang w:eastAsia="zh-CN"/>
        </w:rPr>
        <w:t xml:space="preserve">At the same time, we use </w:t>
      </w:r>
      <w:r w:rsidR="00003279">
        <w:t xml:space="preserve">earlier descriptive studies investigating </w:t>
      </w:r>
      <w:r w:rsidR="00D40378">
        <w:t xml:space="preserve">(directly or indirectly) </w:t>
      </w:r>
      <w:r w:rsidR="00003279">
        <w:t xml:space="preserve">general lifestyle-related characteristics </w:t>
      </w:r>
      <w:r w:rsidR="00D40378">
        <w:t>that affect</w:t>
      </w:r>
      <w:r w:rsidR="00003279">
        <w:t xml:space="preserve"> residential choice decisions as the basis to select our latent variables </w:t>
      </w:r>
      <w:r w:rsidR="00AB2A5D">
        <w:t>(</w:t>
      </w:r>
      <w:r w:rsidR="00003279">
        <w:t>or constructs</w:t>
      </w:r>
      <w:r w:rsidR="00AB2A5D">
        <w:t>)</w:t>
      </w:r>
      <w:r w:rsidR="00003279">
        <w:t xml:space="preserve">. For example, Fleischer </w:t>
      </w:r>
      <w:r w:rsidR="007C1D4B">
        <w:t xml:space="preserve">(2007) </w:t>
      </w:r>
      <w:r w:rsidR="00003279">
        <w:t xml:space="preserve">reinforce the notion that “to choose a house means to choose a lifestyle” in their investigations based on </w:t>
      </w:r>
      <w:proofErr w:type="spellStart"/>
      <w:r w:rsidR="00003279">
        <w:t>qualitiative</w:t>
      </w:r>
      <w:proofErr w:type="spellEnd"/>
      <w:r w:rsidR="00003279">
        <w:t xml:space="preserve"> data from ethnographic fieldwork. These authors suggest t</w:t>
      </w:r>
      <w:r w:rsidR="007C1D4B">
        <w:t xml:space="preserve">hat </w:t>
      </w:r>
      <w:r w:rsidR="00CD02C0">
        <w:t xml:space="preserve">(1) </w:t>
      </w:r>
      <w:r w:rsidR="007C1D4B">
        <w:t xml:space="preserve">the desire for green space and environmental consciousness, as well as </w:t>
      </w:r>
      <w:r w:rsidR="00A64BD1">
        <w:t xml:space="preserve">(2) </w:t>
      </w:r>
      <w:r w:rsidR="007C1D4B">
        <w:t>the preference for privacy, spaciousness, and exclusivity, substan</w:t>
      </w:r>
      <w:r w:rsidR="00CD02C0">
        <w:t>tially impact the types of houses and the locations of the houses</w:t>
      </w:r>
      <w:r w:rsidR="007C1D4B">
        <w:t xml:space="preserve"> people live in. Indeed, they show that these lifestyle orientations, while related to economic and education-related socio-demographics, have their own signaling considerations that </w:t>
      </w:r>
      <w:r w:rsidR="00D40378">
        <w:t xml:space="preserve">are relevant to housing choice. Similarly, </w:t>
      </w:r>
      <w:proofErr w:type="spellStart"/>
      <w:r w:rsidR="00D40378">
        <w:t>Schwanen</w:t>
      </w:r>
      <w:proofErr w:type="spellEnd"/>
      <w:r w:rsidR="00D40378">
        <w:t xml:space="preserve"> and Mokhtarian</w:t>
      </w:r>
      <w:r w:rsidR="004D43B3">
        <w:t xml:space="preserve"> (20</w:t>
      </w:r>
      <w:r w:rsidR="00E128EB">
        <w:t>07</w:t>
      </w:r>
      <w:r w:rsidR="004D43B3">
        <w:t xml:space="preserve">), in their principal components analysis of </w:t>
      </w:r>
      <w:r w:rsidR="00A64BD1">
        <w:t xml:space="preserve">18 attitudinal statements, </w:t>
      </w:r>
      <w:r w:rsidR="00D40378">
        <w:t>id</w:t>
      </w:r>
      <w:r w:rsidR="004D43B3">
        <w:t xml:space="preserve">entify two </w:t>
      </w:r>
      <w:r w:rsidR="00A64BD1">
        <w:t xml:space="preserve">overarching </w:t>
      </w:r>
      <w:r w:rsidR="004D43B3">
        <w:t>attitudinal</w:t>
      </w:r>
      <w:r w:rsidR="00A64BD1">
        <w:t xml:space="preserve"> factors </w:t>
      </w:r>
      <w:r w:rsidR="007D68AB">
        <w:t>--</w:t>
      </w:r>
      <w:r w:rsidR="00A64BD1">
        <w:t xml:space="preserve"> (1) </w:t>
      </w:r>
      <w:r w:rsidR="004D43B3">
        <w:t>pro-high density environment f</w:t>
      </w:r>
      <w:r w:rsidR="00A64BD1">
        <w:t xml:space="preserve">actor and (2) pro-suburban housing -- </w:t>
      </w:r>
      <w:r w:rsidR="004D43B3">
        <w:t>as determinants of housing choices</w:t>
      </w:r>
      <w:r w:rsidR="00A64BD1">
        <w:t xml:space="preserve">. </w:t>
      </w:r>
      <w:r w:rsidR="007C1D4B">
        <w:t xml:space="preserve"> </w:t>
      </w:r>
      <w:r w:rsidR="00A64BD1">
        <w:t xml:space="preserve">Interestingly, </w:t>
      </w:r>
      <w:r w:rsidR="00E128EB">
        <w:t xml:space="preserve">both </w:t>
      </w:r>
      <w:proofErr w:type="spellStart"/>
      <w:r w:rsidR="00E128EB">
        <w:t>Flesicher</w:t>
      </w:r>
      <w:proofErr w:type="spellEnd"/>
      <w:r w:rsidR="00E128EB">
        <w:t xml:space="preserve"> and </w:t>
      </w:r>
      <w:proofErr w:type="spellStart"/>
      <w:r w:rsidR="00E128EB">
        <w:t>Schwa</w:t>
      </w:r>
      <w:r w:rsidR="00CD02C0">
        <w:t>nen</w:t>
      </w:r>
      <w:proofErr w:type="spellEnd"/>
      <w:r w:rsidR="00CD02C0">
        <w:t xml:space="preserve"> and Mokhtarian identify very similar latent constructs affecting housing choices, with the first factor (second factor) in </w:t>
      </w:r>
      <w:proofErr w:type="spellStart"/>
      <w:r w:rsidR="00CD02C0">
        <w:t>Flesicher’s</w:t>
      </w:r>
      <w:proofErr w:type="spellEnd"/>
      <w:r w:rsidR="00CD02C0">
        <w:t xml:space="preserve"> study related closely to the first </w:t>
      </w:r>
      <w:r w:rsidR="00E128EB">
        <w:t xml:space="preserve">factor (second factor) in </w:t>
      </w:r>
      <w:proofErr w:type="spellStart"/>
      <w:r w:rsidR="00E128EB">
        <w:t>Schwa</w:t>
      </w:r>
      <w:r w:rsidR="00CD02C0">
        <w:t>nen</w:t>
      </w:r>
      <w:proofErr w:type="spellEnd"/>
      <w:r w:rsidR="00CD02C0">
        <w:t xml:space="preserve"> and Mo</w:t>
      </w:r>
      <w:r w:rsidR="00AB2A5D">
        <w:t xml:space="preserve">khtarian. In our study, </w:t>
      </w:r>
      <w:r w:rsidR="00CD02C0">
        <w:t xml:space="preserve">we use latent </w:t>
      </w:r>
      <w:r w:rsidR="00AB2A5D">
        <w:t xml:space="preserve">variables </w:t>
      </w:r>
      <w:r w:rsidR="00CD02C0">
        <w:t xml:space="preserve">without </w:t>
      </w:r>
      <w:r w:rsidR="00AB2A5D">
        <w:t xml:space="preserve">having any </w:t>
      </w:r>
      <w:r w:rsidR="00CD02C0">
        <w:t xml:space="preserve">explicit indicators </w:t>
      </w:r>
      <w:r w:rsidR="00AB2A5D">
        <w:t>to undertake a factor analysis on (</w:t>
      </w:r>
      <w:r w:rsidR="00CD02C0">
        <w:t>except for the housing choice outcomes themselves</w:t>
      </w:r>
      <w:r w:rsidR="00AB2A5D">
        <w:t>). Thus,</w:t>
      </w:r>
      <w:r w:rsidR="00CD02C0">
        <w:t xml:space="preserve"> we base our identification of the </w:t>
      </w:r>
      <w:r w:rsidR="00AB2A5D">
        <w:lastRenderedPageBreak/>
        <w:t xml:space="preserve">latent variables </w:t>
      </w:r>
      <w:r w:rsidR="00CD02C0">
        <w:t xml:space="preserve">on the studies above. Further, to the extent that lifestyle choices typically are precursors to </w:t>
      </w:r>
      <w:r w:rsidR="00AB2A5D">
        <w:t xml:space="preserve">the </w:t>
      </w:r>
      <w:r w:rsidR="00CD02C0">
        <w:t>attitudinal preferences</w:t>
      </w:r>
      <w:r w:rsidR="00E128EB">
        <w:t xml:space="preserve"> used by </w:t>
      </w:r>
      <w:proofErr w:type="spellStart"/>
      <w:r w:rsidR="00E128EB">
        <w:t>Schwa</w:t>
      </w:r>
      <w:r w:rsidR="00AB2A5D">
        <w:t>nen</w:t>
      </w:r>
      <w:proofErr w:type="spellEnd"/>
      <w:r w:rsidR="00AB2A5D">
        <w:t xml:space="preserve"> and Mokhtarian</w:t>
      </w:r>
      <w:r w:rsidR="00CD02C0">
        <w:t xml:space="preserve">, we use two latent constructs that coincide with </w:t>
      </w:r>
      <w:r w:rsidR="00AB2A5D">
        <w:t xml:space="preserve">Fleischer’s lifestyle designations: (1) </w:t>
      </w:r>
      <w:r w:rsidR="00657CEF" w:rsidRPr="00417C1C">
        <w:rPr>
          <w:i/>
        </w:rPr>
        <w:t>Green lifestyle propensity</w:t>
      </w:r>
      <w:r w:rsidR="00657CEF" w:rsidRPr="00417C1C">
        <w:t xml:space="preserve"> and </w:t>
      </w:r>
      <w:r w:rsidR="00AB2A5D">
        <w:t xml:space="preserve">(2) </w:t>
      </w:r>
      <w:r w:rsidR="001E43B4" w:rsidRPr="006B37AD">
        <w:rPr>
          <w:i/>
        </w:rPr>
        <w:t xml:space="preserve">luxury lifestyle </w:t>
      </w:r>
      <w:r w:rsidR="002B07CA" w:rsidRPr="006B37AD">
        <w:rPr>
          <w:i/>
        </w:rPr>
        <w:t>propensity</w:t>
      </w:r>
      <w:r w:rsidR="00657CEF" w:rsidRPr="00417C1C">
        <w:t>. The first latent variable</w:t>
      </w:r>
      <w:r w:rsidR="00142023">
        <w:t xml:space="preserve"> is a measure of the overall </w:t>
      </w:r>
      <w:r w:rsidR="00657CEF" w:rsidRPr="00417C1C">
        <w:t xml:space="preserve">attitude </w:t>
      </w:r>
      <w:r w:rsidR="000B7E04">
        <w:t>and concern toward</w:t>
      </w:r>
      <w:r w:rsidR="00657CEF" w:rsidRPr="00417C1C">
        <w:t xml:space="preserve"> the environment</w:t>
      </w:r>
      <w:r w:rsidR="002B07CA">
        <w:t>, while the second reflects a penchant for</w:t>
      </w:r>
      <w:r w:rsidR="00E2420C">
        <w:t xml:space="preserve"> consuming more, </w:t>
      </w:r>
      <w:r w:rsidR="00AB2A5D">
        <w:t>marked by a desire for privacy, spaciousness, and exclusivity</w:t>
      </w:r>
      <w:r w:rsidR="00657CEF" w:rsidRPr="00417C1C">
        <w:t xml:space="preserve">. </w:t>
      </w:r>
    </w:p>
    <w:p w14:paraId="48AAF70C" w14:textId="448D9389" w:rsidR="004A7DED" w:rsidRPr="003E781B" w:rsidRDefault="00657CEF" w:rsidP="00E2420C">
      <w:pPr>
        <w:ind w:firstLine="720"/>
        <w:jc w:val="both"/>
        <w:rPr>
          <w:lang w:eastAsia="zh-CN"/>
        </w:rPr>
      </w:pPr>
      <w:r w:rsidRPr="00417C1C">
        <w:t>In the context</w:t>
      </w:r>
      <w:r w:rsidR="000B7E04">
        <w:t xml:space="preserve"> of dwelling unit choice, we </w:t>
      </w:r>
      <w:r w:rsidR="005B5805">
        <w:t xml:space="preserve">expect </w:t>
      </w:r>
      <w:r w:rsidRPr="00417C1C">
        <w:t xml:space="preserve">that </w:t>
      </w:r>
      <w:r w:rsidR="009F6E8E">
        <w:t xml:space="preserve">households </w:t>
      </w:r>
      <w:r w:rsidRPr="00417C1C">
        <w:t xml:space="preserve">with </w:t>
      </w:r>
      <w:r w:rsidR="002B07CA">
        <w:t xml:space="preserve">a </w:t>
      </w:r>
      <w:r w:rsidRPr="00417C1C">
        <w:t>green li</w:t>
      </w:r>
      <w:r w:rsidR="005B5805">
        <w:t xml:space="preserve">festyle propensity will </w:t>
      </w:r>
      <w:r w:rsidRPr="00417C1C">
        <w:t>locate themselves in high density area</w:t>
      </w:r>
      <w:r w:rsidR="005B5805">
        <w:t xml:space="preserve">s with </w:t>
      </w:r>
      <w:r w:rsidRPr="00417C1C">
        <w:t>better access to public transit and better facilities for bicycling and walking</w:t>
      </w:r>
      <w:r w:rsidR="005B5805">
        <w:t xml:space="preserve"> (see, for example, </w:t>
      </w:r>
      <w:r w:rsidR="005B5805" w:rsidRPr="00B96CCA">
        <w:t>de Abreu e Silva</w:t>
      </w:r>
      <w:r w:rsidR="005B5805">
        <w:t xml:space="preserve"> </w:t>
      </w:r>
      <w:r w:rsidR="005B5805" w:rsidRPr="00307CB0">
        <w:rPr>
          <w:i/>
        </w:rPr>
        <w:t>et al</w:t>
      </w:r>
      <w:r w:rsidR="005B5805">
        <w:t>., 2012)</w:t>
      </w:r>
      <w:r w:rsidRPr="00417C1C">
        <w:t xml:space="preserve">, </w:t>
      </w:r>
      <w:r w:rsidR="005B5805">
        <w:t xml:space="preserve">will </w:t>
      </w:r>
      <w:r w:rsidR="00C70CDB">
        <w:t xml:space="preserve">have a lower household commute distance, and will </w:t>
      </w:r>
      <w:r w:rsidR="005B5805">
        <w:t xml:space="preserve">shy away from single family-detached housing </w:t>
      </w:r>
      <w:r w:rsidR="008A0833">
        <w:t xml:space="preserve">and large lot sizes </w:t>
      </w:r>
      <w:r w:rsidR="005B5805">
        <w:t>in preference for other less “space-guzzling” forms of housing consumption</w:t>
      </w:r>
      <w:r w:rsidR="004A7DED">
        <w:t xml:space="preserve"> </w:t>
      </w:r>
      <w:r w:rsidR="008A0833">
        <w:t>in the form of apartmen</w:t>
      </w:r>
      <w:r w:rsidR="004A7DED">
        <w:t>t complexes and small lot sizes</w:t>
      </w:r>
      <w:r w:rsidR="00391FDD">
        <w:t>, respectively</w:t>
      </w:r>
      <w:r w:rsidR="00B20AAB">
        <w:t xml:space="preserve">. We also expect that green lifestyle propensity will have an effect on </w:t>
      </w:r>
      <w:r w:rsidR="00966478">
        <w:t xml:space="preserve">tenure type and </w:t>
      </w:r>
      <w:r w:rsidR="00B20AAB">
        <w:t>the n</w:t>
      </w:r>
      <w:r w:rsidR="00170043">
        <w:t xml:space="preserve">umber of </w:t>
      </w:r>
      <w:proofErr w:type="spellStart"/>
      <w:r w:rsidR="00170043">
        <w:t>storeys</w:t>
      </w:r>
      <w:proofErr w:type="spellEnd"/>
      <w:r w:rsidR="00170043">
        <w:t>, because the</w:t>
      </w:r>
      <w:r w:rsidR="00653366">
        <w:t xml:space="preserve"> general consensus in the literature (see, for example,</w:t>
      </w:r>
      <w:r w:rsidR="003D2F87">
        <w:t xml:space="preserve"> </w:t>
      </w:r>
      <w:r w:rsidR="00A964DC">
        <w:t>U.S. Department of Energy</w:t>
      </w:r>
      <w:r w:rsidR="00966478">
        <w:t xml:space="preserve">, </w:t>
      </w:r>
      <w:r w:rsidR="00A964DC">
        <w:t>2011</w:t>
      </w:r>
      <w:r w:rsidR="00653366">
        <w:t>) point</w:t>
      </w:r>
      <w:r w:rsidR="00966478">
        <w:t>s</w:t>
      </w:r>
      <w:r w:rsidR="00653366">
        <w:t xml:space="preserve"> to </w:t>
      </w:r>
      <w:r w:rsidR="00C70CDB">
        <w:t xml:space="preserve">(a) </w:t>
      </w:r>
      <w:r w:rsidR="00966478">
        <w:t xml:space="preserve">a higher energy consumption per square foot for rented houses relative to owned </w:t>
      </w:r>
      <w:r w:rsidR="00C70CDB">
        <w:t>house</w:t>
      </w:r>
      <w:r w:rsidR="00391FDD">
        <w:t>s</w:t>
      </w:r>
      <w:r w:rsidR="00C70CDB">
        <w:t xml:space="preserve">, and (b) </w:t>
      </w:r>
      <w:r w:rsidR="00653366">
        <w:t>multi-</w:t>
      </w:r>
      <w:proofErr w:type="spellStart"/>
      <w:r w:rsidR="00653366">
        <w:t>storey</w:t>
      </w:r>
      <w:proofErr w:type="spellEnd"/>
      <w:r w:rsidR="00653366">
        <w:t xml:space="preserve"> homes being more </w:t>
      </w:r>
      <w:r w:rsidR="00B20AAB">
        <w:t>energy efficient and environmentally beneficial because of less geographic footprint (leading to higher density developments and less disturbance of natural landscape)</w:t>
      </w:r>
      <w:r w:rsidR="00AD76FB">
        <w:t xml:space="preserve"> and less overall surface area for the same volume (resulting in less thermal exchange with the environment). Thus, “green” </w:t>
      </w:r>
      <w:r w:rsidR="00717612">
        <w:t xml:space="preserve">households </w:t>
      </w:r>
      <w:r w:rsidR="00653366">
        <w:t xml:space="preserve">may prefer </w:t>
      </w:r>
      <w:r w:rsidR="00C70CDB">
        <w:t xml:space="preserve">to own rather than rent, and prefer </w:t>
      </w:r>
      <w:r w:rsidR="00653366">
        <w:t>multi-</w:t>
      </w:r>
      <w:proofErr w:type="spellStart"/>
      <w:r w:rsidR="00653366">
        <w:t>storey</w:t>
      </w:r>
      <w:proofErr w:type="spellEnd"/>
      <w:r w:rsidR="00653366">
        <w:t xml:space="preserve"> units to single </w:t>
      </w:r>
      <w:proofErr w:type="spellStart"/>
      <w:r w:rsidR="00653366">
        <w:t>storey</w:t>
      </w:r>
      <w:proofErr w:type="spellEnd"/>
      <w:r w:rsidR="00653366">
        <w:t xml:space="preserve"> units. </w:t>
      </w:r>
      <w:r w:rsidR="00170043">
        <w:t>We also hypothesize that individuals with a luxury lifestyle propensity will consume more in terms of all the attributes of the housing stock (square footage, number of bedrooms, number of bathrooms, housing cost), and will prefer to own multi-</w:t>
      </w:r>
      <w:proofErr w:type="spellStart"/>
      <w:r w:rsidR="00170043">
        <w:t>storey</w:t>
      </w:r>
      <w:proofErr w:type="spellEnd"/>
      <w:r w:rsidR="00170043">
        <w:t xml:space="preserve"> dwelling units of the single family</w:t>
      </w:r>
      <w:r w:rsidR="00C70CDB">
        <w:t xml:space="preserve"> unit </w:t>
      </w:r>
      <w:r w:rsidR="00170043">
        <w:t xml:space="preserve">kind. To satisfy identification considerations, we specify </w:t>
      </w:r>
      <w:r w:rsidR="00C70CDB">
        <w:t xml:space="preserve">household commute distance </w:t>
      </w:r>
      <w:r w:rsidR="0042784F">
        <w:t xml:space="preserve">and lot size </w:t>
      </w:r>
      <w:r w:rsidR="00170043">
        <w:t xml:space="preserve">as </w:t>
      </w:r>
      <w:r w:rsidR="0042784F">
        <w:t>indicators</w:t>
      </w:r>
      <w:r w:rsidR="00170043">
        <w:t xml:space="preserve"> solely of a green lifestyle, while </w:t>
      </w:r>
      <w:r w:rsidR="00DE4D33">
        <w:t xml:space="preserve">we specify </w:t>
      </w:r>
      <w:r w:rsidR="00C70CDB">
        <w:t>housing cost</w:t>
      </w:r>
      <w:r w:rsidR="00DE4D33">
        <w:t xml:space="preserve"> </w:t>
      </w:r>
      <w:r w:rsidR="0042784F">
        <w:t xml:space="preserve">and the number of bedrooms </w:t>
      </w:r>
      <w:r w:rsidR="00DE4D33">
        <w:t xml:space="preserve">as </w:t>
      </w:r>
      <w:r w:rsidR="0042784F">
        <w:t xml:space="preserve">indicators </w:t>
      </w:r>
      <w:r w:rsidR="00DE4D33">
        <w:t xml:space="preserve">solely of a luxury lifestyle. </w:t>
      </w:r>
    </w:p>
    <w:p w14:paraId="76377527" w14:textId="7C2593FB" w:rsidR="004A7DED" w:rsidRDefault="00DE4D33" w:rsidP="007A5CF0">
      <w:pPr>
        <w:ind w:firstLine="720"/>
        <w:jc w:val="both"/>
      </w:pPr>
      <w:r>
        <w:t xml:space="preserve">The latent variables are modeled as a function of a suite of household characteristics in the structural equation system, in which we also allow a covariance between the two latent variables. The expectation is that there will be a negative covariance between green lifestyle propensity and luxury lifestyle propensity. </w:t>
      </w:r>
    </w:p>
    <w:p w14:paraId="777471A2" w14:textId="77777777" w:rsidR="00F65B91" w:rsidRDefault="00F65B91" w:rsidP="00F65B91">
      <w:pPr>
        <w:ind w:firstLine="360"/>
        <w:jc w:val="both"/>
      </w:pPr>
    </w:p>
    <w:p w14:paraId="6FA82A4A" w14:textId="6B3309A6" w:rsidR="0015798C" w:rsidRPr="004A7DED" w:rsidRDefault="004A7DED" w:rsidP="00F65B91">
      <w:pPr>
        <w:pStyle w:val="ListParagraph"/>
        <w:numPr>
          <w:ilvl w:val="1"/>
          <w:numId w:val="37"/>
        </w:numPr>
        <w:spacing w:after="0" w:line="360" w:lineRule="auto"/>
        <w:ind w:left="0" w:firstLine="0"/>
        <w:jc w:val="both"/>
        <w:rPr>
          <w:rFonts w:ascii="Times New Roman" w:hAnsi="Times New Roman"/>
          <w:sz w:val="24"/>
          <w:szCs w:val="24"/>
        </w:rPr>
      </w:pPr>
      <w:r w:rsidRPr="004A7DED">
        <w:rPr>
          <w:rFonts w:ascii="Times New Roman" w:hAnsi="Times New Roman"/>
          <w:b/>
          <w:sz w:val="24"/>
          <w:szCs w:val="24"/>
        </w:rPr>
        <w:lastRenderedPageBreak/>
        <w:t>E</w:t>
      </w:r>
      <w:r w:rsidR="00DE4D33" w:rsidRPr="004A7DED">
        <w:rPr>
          <w:rFonts w:ascii="Times New Roman" w:hAnsi="Times New Roman"/>
          <w:b/>
          <w:sz w:val="24"/>
          <w:szCs w:val="24"/>
        </w:rPr>
        <w:t>ndogenous Effects</w:t>
      </w:r>
    </w:p>
    <w:p w14:paraId="235C2F22" w14:textId="11B3C576" w:rsidR="00D740EB" w:rsidRDefault="006F7179" w:rsidP="00F65B91">
      <w:pPr>
        <w:jc w:val="both"/>
      </w:pPr>
      <w:r w:rsidRPr="00883386">
        <w:rPr>
          <w:noProof/>
        </w:rPr>
        <w:t>These e</w:t>
      </w:r>
      <w:r w:rsidR="004A7DED">
        <w:rPr>
          <w:noProof/>
        </w:rPr>
        <w:t xml:space="preserve">ffects correspond to recursive influences </w:t>
      </w:r>
      <w:r w:rsidRPr="00883386">
        <w:rPr>
          <w:noProof/>
        </w:rPr>
        <w:t>amo</w:t>
      </w:r>
      <w:r w:rsidR="00FE1E2F" w:rsidRPr="00883386">
        <w:rPr>
          <w:noProof/>
        </w:rPr>
        <w:t xml:space="preserve">ng the endogenous outcomes (see Section </w:t>
      </w:r>
      <w:r w:rsidR="0042784F">
        <w:rPr>
          <w:noProof/>
        </w:rPr>
        <w:t>2.2</w:t>
      </w:r>
      <w:r w:rsidR="00FE1E2F" w:rsidRPr="00154378">
        <w:rPr>
          <w:noProof/>
        </w:rPr>
        <w:t>)</w:t>
      </w:r>
      <w:r w:rsidRPr="00154378">
        <w:rPr>
          <w:noProof/>
        </w:rPr>
        <w:t xml:space="preserve">. These are parts of the </w:t>
      </w:r>
      <w:r w:rsidRPr="006B37AD">
        <w:rPr>
          <w:noProof/>
          <w:position w:val="-10"/>
        </w:rPr>
        <w:object w:dxaOrig="200" w:dyaOrig="320" w14:anchorId="6222D9A0">
          <v:shape id="_x0000_i1224" type="#_x0000_t75" style="width:9.2pt;height:15.9pt" o:ole="">
            <v:imagedata r:id="rId403" o:title=""/>
          </v:shape>
          <o:OLEObject Type="Embed" ProgID="Equation.DSMT4" ShapeID="_x0000_i1224" DrawAspect="Content" ObjectID="_1493479690" r:id="rId404"/>
        </w:object>
      </w:r>
      <w:r w:rsidR="00775BA5">
        <w:rPr>
          <w:noProof/>
        </w:rPr>
        <w:t xml:space="preserve"> </w:t>
      </w:r>
      <w:r w:rsidRPr="00154378">
        <w:rPr>
          <w:noProof/>
        </w:rPr>
        <w:t>mat</w:t>
      </w:r>
      <w:r w:rsidR="00FE1E2F" w:rsidRPr="00154378">
        <w:rPr>
          <w:noProof/>
        </w:rPr>
        <w:t xml:space="preserve">rix (for the grouped </w:t>
      </w:r>
      <w:r w:rsidRPr="00154378">
        <w:rPr>
          <w:noProof/>
        </w:rPr>
        <w:t xml:space="preserve">outcomes), the </w:t>
      </w:r>
      <w:r w:rsidRPr="006B37AD">
        <w:rPr>
          <w:position w:val="-10"/>
        </w:rPr>
        <w:object w:dxaOrig="200" w:dyaOrig="320" w14:anchorId="6E03BFBD">
          <v:shape id="_x0000_i1225" type="#_x0000_t75" style="width:9.2pt;height:15.9pt" o:ole="">
            <v:imagedata r:id="rId405" o:title=""/>
          </v:shape>
          <o:OLEObject Type="Embed" ProgID="Equation.3" ShapeID="_x0000_i1225" DrawAspect="Content" ObjectID="_1493479691" r:id="rId406"/>
        </w:object>
      </w:r>
      <w:r w:rsidR="00775BA5">
        <w:t xml:space="preserve"> </w:t>
      </w:r>
      <w:r w:rsidRPr="00154378">
        <w:t xml:space="preserve">matrix (for the count outcomes), and </w:t>
      </w:r>
      <w:r w:rsidRPr="00154378">
        <w:rPr>
          <w:noProof/>
        </w:rPr>
        <w:t xml:space="preserve">the </w:t>
      </w:r>
      <w:r w:rsidR="00B00013" w:rsidRPr="00B00013">
        <w:rPr>
          <w:b/>
          <w:i/>
        </w:rPr>
        <w:t>b</w:t>
      </w:r>
      <w:r w:rsidR="004A7DED">
        <w:t xml:space="preserve"> </w:t>
      </w:r>
      <w:r w:rsidRPr="00154378">
        <w:t>mat</w:t>
      </w:r>
      <w:r w:rsidR="00FE1E2F" w:rsidRPr="00154378">
        <w:t xml:space="preserve">rix (for the nominal outcomes), and represent </w:t>
      </w:r>
      <w:r w:rsidRPr="00154378">
        <w:t xml:space="preserve">“cleansed” effects after accommodating unobserved covariance effects </w:t>
      </w:r>
      <w:r w:rsidR="00FE1E2F" w:rsidRPr="007B68F4">
        <w:t xml:space="preserve">through the latent variables discussed in the previous section. </w:t>
      </w:r>
      <w:r w:rsidR="008E20A8" w:rsidRPr="0039772B">
        <w:t>The final direc</w:t>
      </w:r>
      <w:r w:rsidR="00391FDD">
        <w:t>tions of the recursive effects we</w:t>
      </w:r>
      <w:r w:rsidR="008E20A8" w:rsidRPr="0039772B">
        <w:t xml:space="preserve">re obtained </w:t>
      </w:r>
      <w:r w:rsidR="00391FDD">
        <w:t xml:space="preserve">in the current paper </w:t>
      </w:r>
      <w:r w:rsidR="008E20A8" w:rsidRPr="0039772B">
        <w:t>after an extensive testing of v</w:t>
      </w:r>
      <w:r w:rsidR="008E20A8" w:rsidRPr="00D379FC">
        <w:t>arious model specifications, and choosing</w:t>
      </w:r>
      <w:r w:rsidR="00391FDD">
        <w:t xml:space="preserve"> the specification that provided</w:t>
      </w:r>
      <w:r w:rsidR="008E20A8" w:rsidRPr="00D379FC">
        <w:t xml:space="preserve"> the best data fit in terms of the composite marginal log-likelihood value</w:t>
      </w:r>
      <w:r w:rsidR="00BC1A8E" w:rsidRPr="00CD3C1C">
        <w:t xml:space="preserve"> (note, however, that regardless of the presence or absence of recursive effects, the model is a joint model because of the presence of latent variables that impact the many dependent variables)</w:t>
      </w:r>
      <w:r w:rsidR="008E20A8" w:rsidRPr="00CD3C1C">
        <w:t>. Figure 1 presents the directi</w:t>
      </w:r>
      <w:r w:rsidR="00C44275" w:rsidRPr="00CD3C1C">
        <w:t xml:space="preserve">ons of the endogenous relationships. </w:t>
      </w:r>
      <w:r w:rsidR="00BC1A8E" w:rsidRPr="00CD3C1C">
        <w:t>Our results indicate that</w:t>
      </w:r>
      <w:r w:rsidR="00C44275" w:rsidRPr="00CD3C1C">
        <w:t xml:space="preserve">, after accommodating the </w:t>
      </w:r>
      <w:proofErr w:type="spellStart"/>
      <w:r w:rsidR="00C44275" w:rsidRPr="00CD3C1C">
        <w:t>jointness</w:t>
      </w:r>
      <w:proofErr w:type="spellEnd"/>
      <w:r w:rsidR="00C44275" w:rsidRPr="00CD3C1C">
        <w:t xml:space="preserve"> among the dependent variables caused by the latent variables, </w:t>
      </w:r>
      <w:r w:rsidR="00F21B4C" w:rsidRPr="00CD3C1C">
        <w:t xml:space="preserve">the </w:t>
      </w:r>
      <w:r w:rsidR="00BC1A8E" w:rsidRPr="00CD3C1C">
        <w:t xml:space="preserve">type </w:t>
      </w:r>
      <w:r w:rsidR="00F21B4C" w:rsidRPr="00CD3C1C">
        <w:t>of housing</w:t>
      </w:r>
      <w:r w:rsidR="00C44275" w:rsidRPr="00CD3C1C">
        <w:t xml:space="preserve"> (single</w:t>
      </w:r>
      <w:r w:rsidR="0015798C">
        <w:t xml:space="preserve"> </w:t>
      </w:r>
      <w:r w:rsidR="00C44275" w:rsidRPr="00883386">
        <w:t>family</w:t>
      </w:r>
      <w:r w:rsidR="00C44275" w:rsidRPr="00154378">
        <w:t xml:space="preserve"> units</w:t>
      </w:r>
      <w:r w:rsidR="0015798C">
        <w:t xml:space="preserve"> </w:t>
      </w:r>
      <w:r w:rsidR="00C44275" w:rsidRPr="00154378">
        <w:t xml:space="preserve">or apartment complexes) affects </w:t>
      </w:r>
      <w:r w:rsidR="007551FF" w:rsidRPr="00154378">
        <w:t>housing cost</w:t>
      </w:r>
      <w:r w:rsidR="00F21B4C" w:rsidRPr="00154378">
        <w:t>, and both of these dwelling unit attributes impact</w:t>
      </w:r>
      <w:r w:rsidR="00C44275" w:rsidRPr="007B68F4">
        <w:t xml:space="preserve"> </w:t>
      </w:r>
      <w:r w:rsidR="00F21B4C" w:rsidRPr="0039772B">
        <w:t>square footage choice. The three aforementioned choices influence the density of dwelling unit location</w:t>
      </w:r>
      <w:r w:rsidR="00C64A6B" w:rsidRPr="00D379FC">
        <w:t>, and then the housing type and density of dwelling unit location impact housing tenure (own or rent). Finally, an array of physical dwelling unit attributes (</w:t>
      </w:r>
      <w:proofErr w:type="spellStart"/>
      <w:r w:rsidR="0015798C">
        <w:t>storey</w:t>
      </w:r>
      <w:proofErr w:type="spellEnd"/>
      <w:r w:rsidR="0015798C">
        <w:t xml:space="preserve"> type, </w:t>
      </w:r>
      <w:r w:rsidR="00C64A6B" w:rsidRPr="00883386">
        <w:t xml:space="preserve">lot size, number of bedrooms, </w:t>
      </w:r>
      <w:r w:rsidR="0015798C">
        <w:t xml:space="preserve">and </w:t>
      </w:r>
      <w:r w:rsidR="00C64A6B" w:rsidRPr="00883386">
        <w:t>number of bathrooms</w:t>
      </w:r>
      <w:r w:rsidR="00C64A6B" w:rsidRPr="00154378">
        <w:t xml:space="preserve">) </w:t>
      </w:r>
      <w:r w:rsidR="00C44275" w:rsidRPr="007B68F4">
        <w:t xml:space="preserve">and </w:t>
      </w:r>
      <w:r w:rsidR="00C64A6B" w:rsidRPr="0039772B">
        <w:t>commute distance bring</w:t>
      </w:r>
      <w:r w:rsidR="00C44275" w:rsidRPr="0039772B">
        <w:t xml:space="preserve"> up the trailing edge of the </w:t>
      </w:r>
      <w:proofErr w:type="spellStart"/>
      <w:r w:rsidR="00C44275" w:rsidRPr="0039772B">
        <w:t>recursivity</w:t>
      </w:r>
      <w:proofErr w:type="spellEnd"/>
      <w:r w:rsidR="00C44275" w:rsidRPr="0039772B">
        <w:t xml:space="preserve"> in decision-making. </w:t>
      </w:r>
      <w:r w:rsidR="007551FF" w:rsidRPr="0039772B">
        <w:t xml:space="preserve"> </w:t>
      </w:r>
    </w:p>
    <w:p w14:paraId="7DB54B2C" w14:textId="77777777" w:rsidR="00F65B91" w:rsidRPr="00417C1C" w:rsidRDefault="00F65B91" w:rsidP="00F65B91">
      <w:pPr>
        <w:jc w:val="both"/>
      </w:pPr>
    </w:p>
    <w:p w14:paraId="2288E0ED" w14:textId="50B9EA67" w:rsidR="00D740EB" w:rsidRPr="00F65B91" w:rsidRDefault="006B37AD" w:rsidP="006B37AD">
      <w:pPr>
        <w:pStyle w:val="Heading2"/>
        <w:keepLines/>
        <w:numPr>
          <w:ilvl w:val="1"/>
          <w:numId w:val="37"/>
        </w:numPr>
        <w:spacing w:before="120" w:after="0"/>
        <w:ind w:left="450" w:hanging="450"/>
        <w:rPr>
          <w:rFonts w:ascii="Times New Roman" w:hAnsi="Times New Roman"/>
          <w:i w:val="0"/>
          <w:sz w:val="24"/>
          <w:szCs w:val="24"/>
        </w:rPr>
      </w:pPr>
      <w:r>
        <w:rPr>
          <w:rFonts w:ascii="Times New Roman" w:hAnsi="Times New Roman"/>
          <w:sz w:val="24"/>
          <w:szCs w:val="24"/>
          <w:lang w:val="en-US"/>
        </w:rPr>
        <w:t xml:space="preserve"> </w:t>
      </w:r>
      <w:r w:rsidR="00D740EB" w:rsidRPr="00F65B91">
        <w:rPr>
          <w:rFonts w:ascii="Times New Roman" w:hAnsi="Times New Roman"/>
          <w:i w:val="0"/>
          <w:sz w:val="24"/>
          <w:szCs w:val="24"/>
        </w:rPr>
        <w:t>Struct</w:t>
      </w:r>
      <w:r w:rsidR="00974BA6" w:rsidRPr="00F65B91">
        <w:rPr>
          <w:rFonts w:ascii="Times New Roman" w:hAnsi="Times New Roman"/>
          <w:i w:val="0"/>
          <w:sz w:val="24"/>
          <w:szCs w:val="24"/>
        </w:rPr>
        <w:t xml:space="preserve">ural Equation Model </w:t>
      </w:r>
      <w:r w:rsidR="00974BA6" w:rsidRPr="00F65B91">
        <w:rPr>
          <w:rFonts w:ascii="Times New Roman" w:hAnsi="Times New Roman"/>
          <w:i w:val="0"/>
          <w:sz w:val="24"/>
          <w:szCs w:val="24"/>
          <w:lang w:val="en-US"/>
        </w:rPr>
        <w:t>Results</w:t>
      </w:r>
    </w:p>
    <w:p w14:paraId="73AD9A43" w14:textId="2F11E44D" w:rsidR="00C47959" w:rsidRDefault="002C4FC3" w:rsidP="006B37AD">
      <w:pPr>
        <w:tabs>
          <w:tab w:val="left" w:pos="0"/>
        </w:tabs>
        <w:jc w:val="both"/>
      </w:pPr>
      <w:r w:rsidRPr="008C34DC">
        <w:t xml:space="preserve">Table 2 provides the results for the two latent variables, </w:t>
      </w:r>
      <w:r w:rsidRPr="00391FDD">
        <w:rPr>
          <w:i/>
        </w:rPr>
        <w:t>i.e.</w:t>
      </w:r>
      <w:r w:rsidRPr="008C34DC">
        <w:t xml:space="preserve">, green lifestyle propensity and luxury lifestyle propensity. </w:t>
      </w:r>
      <w:r w:rsidR="00E617FD">
        <w:t>T</w:t>
      </w:r>
      <w:r w:rsidRPr="00EC6C00">
        <w:t>he two latent variables represent the entire household’s attitudes and preferences, to be consistent with the notion that dwelling unit choices are made at a household level.</w:t>
      </w:r>
      <w:r>
        <w:t xml:space="preserve"> </w:t>
      </w:r>
      <w:r w:rsidR="00C47959">
        <w:t xml:space="preserve"> </w:t>
      </w:r>
    </w:p>
    <w:p w14:paraId="11064834" w14:textId="77777777" w:rsidR="004A7DED" w:rsidRDefault="004A7DED" w:rsidP="006B37AD">
      <w:pPr>
        <w:tabs>
          <w:tab w:val="left" w:pos="0"/>
        </w:tabs>
        <w:jc w:val="both"/>
      </w:pPr>
    </w:p>
    <w:p w14:paraId="41D3F40E" w14:textId="77777777" w:rsidR="00D740EB" w:rsidRPr="001135A3" w:rsidRDefault="00D740EB" w:rsidP="00E366EB">
      <w:pPr>
        <w:tabs>
          <w:tab w:val="left" w:pos="0"/>
        </w:tabs>
        <w:jc w:val="both"/>
        <w:rPr>
          <w:b/>
          <w:u w:val="single"/>
        </w:rPr>
      </w:pPr>
      <w:r w:rsidRPr="001135A3">
        <w:rPr>
          <w:b/>
          <w:u w:val="single"/>
        </w:rPr>
        <w:t>Green Lifestyle Propensity</w:t>
      </w:r>
    </w:p>
    <w:p w14:paraId="7B468A69" w14:textId="0B18C186" w:rsidR="00517844" w:rsidRPr="00CD3C1C" w:rsidRDefault="00831399" w:rsidP="00E366EB">
      <w:pPr>
        <w:tabs>
          <w:tab w:val="left" w:pos="3120"/>
        </w:tabs>
        <w:jc w:val="both"/>
      </w:pPr>
      <w:r>
        <w:t xml:space="preserve">A variable that has been found to impact green lifestyle propensity is education status. </w:t>
      </w:r>
      <w:r w:rsidR="00883386">
        <w:t xml:space="preserve">From the data, we categorize the </w:t>
      </w:r>
      <w:r w:rsidR="004702BE">
        <w:t xml:space="preserve">highest level of </w:t>
      </w:r>
      <w:r w:rsidR="00883386">
        <w:t>educati</w:t>
      </w:r>
      <w:r w:rsidR="004702BE">
        <w:t xml:space="preserve">on status obtained by </w:t>
      </w:r>
      <w:r w:rsidR="00883386">
        <w:t xml:space="preserve">each individual </w:t>
      </w:r>
      <w:r w:rsidR="00391FDD">
        <w:t>in four groups</w:t>
      </w:r>
      <w:r>
        <w:t xml:space="preserve">: less than a bachelor’s degree, bachelor’s degree, master’s degree, and PhD degree. To obtain a representation of education status at the household-level, we </w:t>
      </w:r>
      <w:r w:rsidR="00883386">
        <w:t xml:space="preserve">first select out only those individuals in each household who are 25 years or older. We do so because, by that age, most </w:t>
      </w:r>
      <w:r w:rsidR="00883386">
        <w:lastRenderedPageBreak/>
        <w:t>individuals would have finished their bachelor’s degree if they do end up getting one</w:t>
      </w:r>
      <w:r w:rsidR="004702BE">
        <w:t>, thus removing the mechanical effect of age on attaining a bachelor’s degree</w:t>
      </w:r>
      <w:r w:rsidR="00883386">
        <w:t xml:space="preserve">. </w:t>
      </w:r>
      <w:r w:rsidR="004702BE">
        <w:t xml:space="preserve">Next, from among the group of adults who are 25 years or older, we compute the fraction of adults who </w:t>
      </w:r>
      <w:r w:rsidR="00A407CA">
        <w:t>have attained each of the bache</w:t>
      </w:r>
      <w:r w:rsidR="000D44BF">
        <w:t>l</w:t>
      </w:r>
      <w:r w:rsidR="004702BE">
        <w:t xml:space="preserve">or’s degree, master’s degree, and the PhD degree, and use these </w:t>
      </w:r>
      <w:r w:rsidR="00A407CA">
        <w:t xml:space="preserve">three </w:t>
      </w:r>
      <w:r w:rsidR="004702BE">
        <w:t>fractions as household-level determinants of green lifestyle propensity</w:t>
      </w:r>
      <w:r w:rsidR="000D44BF">
        <w:t xml:space="preserve"> (with the fraction of adults who have attained less than a bachelor’s degree serving as a base category)</w:t>
      </w:r>
      <w:r w:rsidR="004702BE">
        <w:t xml:space="preserve">. </w:t>
      </w:r>
      <w:r w:rsidR="002C4FC3" w:rsidRPr="006A7812">
        <w:t xml:space="preserve">The results in Table 2 indicate that </w:t>
      </w:r>
      <w:r w:rsidR="00A407CA">
        <w:t xml:space="preserve">household </w:t>
      </w:r>
      <w:r w:rsidR="002C4FC3" w:rsidRPr="006A7812">
        <w:t xml:space="preserve">education status has a positive impact on the household’s green lifestyle propensity. That is, households with </w:t>
      </w:r>
      <w:r w:rsidR="000D44BF">
        <w:t xml:space="preserve">a higher fraction of more educated individuals tend to have a higher green lifestyle propensity (the coefficients on the fractions corresponding to </w:t>
      </w:r>
      <w:proofErr w:type="gramStart"/>
      <w:r w:rsidR="000D44BF">
        <w:t>bachelor’s  and</w:t>
      </w:r>
      <w:proofErr w:type="gramEnd"/>
      <w:r w:rsidR="000D44BF">
        <w:t xml:space="preserve"> master’s degrees were not statistically significantly different, and</w:t>
      </w:r>
      <w:r w:rsidR="004A7DED">
        <w:t xml:space="preserve"> so have been constrained to </w:t>
      </w:r>
      <w:r w:rsidR="000D44BF">
        <w:t xml:space="preserve">be the same; the implication is that there is no difference between bachelor’s degree attainment and master’s degree attainment in “green” lifestyle propensity). </w:t>
      </w:r>
      <w:r w:rsidR="004A7DED">
        <w:t xml:space="preserve">The education effect </w:t>
      </w:r>
      <w:r w:rsidR="000155CF">
        <w:t xml:space="preserve">is consistent with results in the social-psychological literature (see, for example, </w:t>
      </w:r>
      <w:r w:rsidR="000155CF">
        <w:rPr>
          <w:lang w:eastAsia="zh-CN"/>
        </w:rPr>
        <w:t>Stern, 2000</w:t>
      </w:r>
      <w:r w:rsidR="000E0E9B">
        <w:rPr>
          <w:lang w:eastAsia="zh-CN"/>
        </w:rPr>
        <w:t xml:space="preserve">, </w:t>
      </w:r>
      <w:proofErr w:type="spellStart"/>
      <w:r w:rsidR="000155CF">
        <w:rPr>
          <w:lang w:eastAsia="zh-CN"/>
        </w:rPr>
        <w:t>Sundblad</w:t>
      </w:r>
      <w:proofErr w:type="spellEnd"/>
      <w:r w:rsidR="000155CF">
        <w:rPr>
          <w:lang w:eastAsia="zh-CN"/>
        </w:rPr>
        <w:t xml:space="preserve"> </w:t>
      </w:r>
      <w:r w:rsidR="000155CF" w:rsidRPr="001135A3">
        <w:rPr>
          <w:i/>
          <w:lang w:eastAsia="zh-CN"/>
        </w:rPr>
        <w:t>et al</w:t>
      </w:r>
      <w:r w:rsidR="000155CF">
        <w:rPr>
          <w:lang w:eastAsia="zh-CN"/>
        </w:rPr>
        <w:t>., 2007</w:t>
      </w:r>
      <w:r w:rsidR="000E0E9B">
        <w:rPr>
          <w:lang w:eastAsia="zh-CN"/>
        </w:rPr>
        <w:t xml:space="preserve">, and </w:t>
      </w:r>
      <w:proofErr w:type="spellStart"/>
      <w:r w:rsidR="000E0E9B">
        <w:rPr>
          <w:lang w:eastAsia="zh-CN"/>
        </w:rPr>
        <w:t>Franzen</w:t>
      </w:r>
      <w:proofErr w:type="spellEnd"/>
      <w:r w:rsidR="000E0E9B">
        <w:rPr>
          <w:lang w:eastAsia="zh-CN"/>
        </w:rPr>
        <w:t xml:space="preserve"> and </w:t>
      </w:r>
      <w:proofErr w:type="spellStart"/>
      <w:r w:rsidR="000E0E9B">
        <w:rPr>
          <w:lang w:eastAsia="zh-CN"/>
        </w:rPr>
        <w:t>Vogl</w:t>
      </w:r>
      <w:proofErr w:type="spellEnd"/>
      <w:r w:rsidR="000E0E9B">
        <w:rPr>
          <w:lang w:eastAsia="zh-CN"/>
        </w:rPr>
        <w:t>, 2013</w:t>
      </w:r>
      <w:r w:rsidR="000155CF">
        <w:rPr>
          <w:lang w:eastAsia="zh-CN"/>
        </w:rPr>
        <w:t xml:space="preserve">) that suggest that </w:t>
      </w:r>
      <w:r w:rsidR="000155CF">
        <w:rPr>
          <w:rFonts w:ascii="Times" w:hAnsi="Times" w:cs="Times"/>
        </w:rPr>
        <w:t xml:space="preserve">individuals with a higher education are (a) </w:t>
      </w:r>
      <w:r w:rsidR="000E0E9B">
        <w:rPr>
          <w:rFonts w:ascii="Times" w:hAnsi="Times" w:cs="Times"/>
        </w:rPr>
        <w:t>able to assimilate environmental information quickly</w:t>
      </w:r>
      <w:r w:rsidR="00486CBD">
        <w:rPr>
          <w:rFonts w:ascii="Times" w:hAnsi="Times" w:cs="Times"/>
        </w:rPr>
        <w:t xml:space="preserve">, (b) </w:t>
      </w:r>
      <w:r w:rsidR="000155CF">
        <w:rPr>
          <w:rFonts w:ascii="Times" w:hAnsi="Times" w:cs="Times"/>
        </w:rPr>
        <w:t xml:space="preserve">more </w:t>
      </w:r>
      <w:r w:rsidR="00517844">
        <w:rPr>
          <w:rFonts w:ascii="Times" w:hAnsi="Times" w:cs="Times"/>
        </w:rPr>
        <w:t>self-</w:t>
      </w:r>
      <w:r w:rsidR="000155CF">
        <w:rPr>
          <w:rFonts w:ascii="Times" w:hAnsi="Times" w:cs="Times"/>
        </w:rPr>
        <w:t xml:space="preserve">aware of the negative consequences of degrading the environment (such as </w:t>
      </w:r>
      <w:r w:rsidR="00486CBD">
        <w:rPr>
          <w:rFonts w:ascii="Times" w:hAnsi="Times" w:cs="Times"/>
        </w:rPr>
        <w:t xml:space="preserve">the resulting </w:t>
      </w:r>
      <w:r w:rsidR="000155CF">
        <w:rPr>
          <w:rFonts w:ascii="Times" w:hAnsi="Times" w:cs="Times"/>
        </w:rPr>
        <w:t xml:space="preserve">health-related problems and global warming), </w:t>
      </w:r>
      <w:r w:rsidR="00486CBD">
        <w:rPr>
          <w:rFonts w:ascii="Times" w:hAnsi="Times" w:cs="Times"/>
        </w:rPr>
        <w:t xml:space="preserve">(c) more cognizant of </w:t>
      </w:r>
      <w:r w:rsidR="000155CF">
        <w:rPr>
          <w:rFonts w:ascii="Times" w:hAnsi="Times" w:cs="Times"/>
        </w:rPr>
        <w:t xml:space="preserve">the actions that lead to degrading the environment (such as excessive driving) and </w:t>
      </w:r>
      <w:r w:rsidR="00517844">
        <w:rPr>
          <w:rFonts w:ascii="Times" w:hAnsi="Times" w:cs="Times"/>
        </w:rPr>
        <w:t>benefiting the environment (such as using non-motorized means of travel)</w:t>
      </w:r>
      <w:r w:rsidR="00486CBD">
        <w:rPr>
          <w:rFonts w:ascii="Times" w:hAnsi="Times" w:cs="Times"/>
        </w:rPr>
        <w:t>,</w:t>
      </w:r>
      <w:r w:rsidR="00517844">
        <w:rPr>
          <w:rFonts w:ascii="Times" w:hAnsi="Times" w:cs="Times"/>
        </w:rPr>
        <w:t xml:space="preserve"> and</w:t>
      </w:r>
      <w:r w:rsidR="000155CF">
        <w:rPr>
          <w:rFonts w:ascii="Times" w:hAnsi="Times" w:cs="Times"/>
        </w:rPr>
        <w:t xml:space="preserve"> (</w:t>
      </w:r>
      <w:r w:rsidR="00486CBD">
        <w:rPr>
          <w:rFonts w:ascii="Times" w:hAnsi="Times" w:cs="Times"/>
        </w:rPr>
        <w:t>d</w:t>
      </w:r>
      <w:r w:rsidR="000155CF">
        <w:rPr>
          <w:rFonts w:ascii="Times" w:hAnsi="Times" w:cs="Times"/>
        </w:rPr>
        <w:t xml:space="preserve">) able to better project into the future and appreciate the trajectory of alarming environmental trends, even if these trends are very slow and do not pose an imminent danger to society. </w:t>
      </w:r>
    </w:p>
    <w:p w14:paraId="5C38C95E" w14:textId="38C4F042" w:rsidR="002C4FC3" w:rsidRDefault="002C4FC3" w:rsidP="00F65B91">
      <w:pPr>
        <w:ind w:firstLineChars="300" w:firstLine="720"/>
        <w:jc w:val="both"/>
      </w:pPr>
      <w:r w:rsidRPr="00417C1C">
        <w:t xml:space="preserve">The green lifestyle propensity is also influenced by </w:t>
      </w:r>
      <w:r w:rsidR="00486CBD">
        <w:t>the</w:t>
      </w:r>
      <w:r w:rsidRPr="00417C1C">
        <w:t xml:space="preserve"> race of </w:t>
      </w:r>
      <w:r>
        <w:t>the h</w:t>
      </w:r>
      <w:r w:rsidR="00486CBD">
        <w:t xml:space="preserve">ousehold. </w:t>
      </w:r>
      <w:r w:rsidR="00E90592">
        <w:t>We did not find a statistically significant difference in green lifestyle propensity between Caucasian and Asian households, and these two race categories together formed the base category (as in the 2010 Population Census for the Seattle region, the two dominant races in the sample are Caucasian and Asian; these two races accounted for 85</w:t>
      </w:r>
      <w:r w:rsidR="00391FDD">
        <w:t>-90</w:t>
      </w:r>
      <w:r w:rsidR="00E90592">
        <w:t>% of the population in the 2010 Census</w:t>
      </w:r>
      <w:r w:rsidR="00391FDD">
        <w:t xml:space="preserve"> and</w:t>
      </w:r>
      <w:r w:rsidR="00E90592">
        <w:t xml:space="preserve"> in our sample). Table 2 indicates that </w:t>
      </w:r>
      <w:r>
        <w:t>African-American</w:t>
      </w:r>
      <w:r w:rsidR="00E90592">
        <w:t xml:space="preserve"> households as well as other race households (Hawaiian, American Indian and Alaska Native)</w:t>
      </w:r>
      <w:r w:rsidR="00E90592" w:rsidDel="00E90592">
        <w:t xml:space="preserve"> </w:t>
      </w:r>
      <w:r>
        <w:t>exhibit</w:t>
      </w:r>
      <w:r w:rsidRPr="00417C1C">
        <w:t xml:space="preserve"> </w:t>
      </w:r>
      <w:r>
        <w:t xml:space="preserve">a </w:t>
      </w:r>
      <w:r w:rsidR="00E807A6">
        <w:t>higher</w:t>
      </w:r>
      <w:r>
        <w:t xml:space="preserve"> green lifestyle propensity </w:t>
      </w:r>
      <w:r w:rsidR="00E90592">
        <w:t>relative to Caucasian and Asian households (there was no statistical difference in green lifestyle propensity between African-American and other race households)</w:t>
      </w:r>
      <w:r>
        <w:t>.</w:t>
      </w:r>
      <w:r w:rsidR="00E807A6">
        <w:t xml:space="preserve"> </w:t>
      </w:r>
      <w:r w:rsidR="00136101">
        <w:t xml:space="preserve">There has been substantial environmental-psychological literature on race effects on environmental concern and </w:t>
      </w:r>
      <w:r w:rsidR="00136101">
        <w:lastRenderedPageBreak/>
        <w:t>attitudes (see a recent review of the literature on race and other demographic determinants of environmental attitudes by Gifford</w:t>
      </w:r>
      <w:r w:rsidR="00FB1E50">
        <w:t xml:space="preserve"> </w:t>
      </w:r>
      <w:r w:rsidR="00FB1E50" w:rsidRPr="00AD56E9">
        <w:t>and Nilsson</w:t>
      </w:r>
      <w:r w:rsidR="00136101">
        <w:t xml:space="preserve">, 2014). The early literature on the subject </w:t>
      </w:r>
      <w:r w:rsidR="000E0E9B">
        <w:t xml:space="preserve">(see, for example, Taylor, 1989, </w:t>
      </w:r>
      <w:proofErr w:type="spellStart"/>
      <w:r w:rsidR="000E0E9B">
        <w:t>Mohai</w:t>
      </w:r>
      <w:proofErr w:type="spellEnd"/>
      <w:r w:rsidR="000E0E9B">
        <w:t xml:space="preserve">, 1990, and Jones, 1998) </w:t>
      </w:r>
      <w:r w:rsidR="00136101">
        <w:t>suggested that Caucasians are more likely to be concerned about</w:t>
      </w:r>
      <w:r w:rsidR="000E0E9B">
        <w:t xml:space="preserve"> the environment relative to</w:t>
      </w:r>
      <w:r w:rsidR="00136101">
        <w:t xml:space="preserve"> other races</w:t>
      </w:r>
      <w:r w:rsidR="000E0E9B">
        <w:t>,</w:t>
      </w:r>
      <w:r w:rsidR="00136101">
        <w:t xml:space="preserve"> based on Maslow’s theory of </w:t>
      </w:r>
      <w:r w:rsidR="000E0E9B">
        <w:t xml:space="preserve">the </w:t>
      </w:r>
      <w:r w:rsidR="00136101">
        <w:t>hierarchy of human needs and the generally better social/economic status of Caucasians</w:t>
      </w:r>
      <w:r w:rsidR="000E0E9B">
        <w:t xml:space="preserve"> (</w:t>
      </w:r>
      <w:r w:rsidR="00136101">
        <w:t xml:space="preserve">Maslow’s theory states that humans first focus on the survival-based instinct of </w:t>
      </w:r>
      <w:r w:rsidR="000E0E9B">
        <w:t>meeting their basic material needs, and consider higher level needs such as the need for environmental quality only after the basic needs are satisfied). Howeve</w:t>
      </w:r>
      <w:r w:rsidR="00AC64D8">
        <w:t>r, this view has been challenged</w:t>
      </w:r>
      <w:r w:rsidR="000E0E9B">
        <w:t xml:space="preserve"> more recently, with a majority of studies </w:t>
      </w:r>
      <w:r w:rsidR="00B04F44">
        <w:t xml:space="preserve">in the past decade </w:t>
      </w:r>
      <w:r w:rsidR="000E0E9B">
        <w:t xml:space="preserve">either </w:t>
      </w:r>
      <w:r w:rsidR="00AC64D8">
        <w:t xml:space="preserve">suggesting no statistically significant race-based variations or, as Liu </w:t>
      </w:r>
      <w:r w:rsidR="00AC64D8" w:rsidRPr="001135A3">
        <w:rPr>
          <w:i/>
        </w:rPr>
        <w:t>et al</w:t>
      </w:r>
      <w:r w:rsidR="00AC64D8">
        <w:t xml:space="preserve">. (2014) suggest, “…the best available evidence appears to suggest that non-Whites/Blacks tend to be more concerned for the environment than Whites are”. </w:t>
      </w:r>
      <w:r w:rsidR="00B04F44">
        <w:t xml:space="preserve">The explanation provided for the higher concern for the environment among non-whites/blacks is that minorities </w:t>
      </w:r>
      <w:r w:rsidR="002C6FEB">
        <w:t>have been, for a long time, disproportionately shouldering the burden of negative environmental quality. For example, for many years over the past several decades, hazardous waste facilities were placed disproportionately in people of color</w:t>
      </w:r>
      <w:r w:rsidR="003C4270">
        <w:t>ed</w:t>
      </w:r>
      <w:r w:rsidR="002C6FEB">
        <w:t xml:space="preserve"> communities. This </w:t>
      </w:r>
      <w:r w:rsidR="004A7DED">
        <w:t xml:space="preserve">may have </w:t>
      </w:r>
      <w:r w:rsidR="002C6FEB">
        <w:t xml:space="preserve">contributed to a higher sensitivity to </w:t>
      </w:r>
      <w:r w:rsidR="00B04F44">
        <w:t>the negative implicat</w:t>
      </w:r>
      <w:r w:rsidR="002C6FEB">
        <w:t>ions of environmental stress</w:t>
      </w:r>
      <w:r w:rsidR="003C4270">
        <w:t>ors</w:t>
      </w:r>
      <w:r w:rsidR="002C6FEB">
        <w:t xml:space="preserve"> in general (and </w:t>
      </w:r>
      <w:r w:rsidR="00B04F44">
        <w:t>neighborhood environmental issues</w:t>
      </w:r>
      <w:r w:rsidR="002C6FEB">
        <w:t>, such as air quality</w:t>
      </w:r>
      <w:r w:rsidR="003C4270">
        <w:t>,</w:t>
      </w:r>
      <w:r w:rsidR="002C6FEB">
        <w:t xml:space="preserve"> in particular).</w:t>
      </w:r>
      <w:r w:rsidR="003C4270">
        <w:rPr>
          <w:rStyle w:val="FootnoteReference"/>
        </w:rPr>
        <w:footnoteReference w:id="10"/>
      </w:r>
      <w:r>
        <w:t xml:space="preserve"> </w:t>
      </w:r>
    </w:p>
    <w:p w14:paraId="3F08E43D" w14:textId="38C5E8A0" w:rsidR="003C3DC4" w:rsidRDefault="002C6FEB" w:rsidP="007A5CF0">
      <w:pPr>
        <w:ind w:firstLineChars="300" w:firstLine="720"/>
        <w:jc w:val="both"/>
      </w:pPr>
      <w:r>
        <w:t xml:space="preserve"> </w:t>
      </w:r>
      <w:r w:rsidR="00C96B69">
        <w:t>Finally, our results indicate, c</w:t>
      </w:r>
      <w:r w:rsidR="001F1C49" w:rsidRPr="00AD56E9">
        <w:t xml:space="preserve">onsistent with the findings in the </w:t>
      </w:r>
      <w:proofErr w:type="gramStart"/>
      <w:r w:rsidR="001F1C49" w:rsidRPr="00AD56E9">
        <w:t>literature</w:t>
      </w:r>
      <w:r w:rsidR="00BD2DAF">
        <w:t>,</w:t>
      </w:r>
      <w:r w:rsidR="001F1C49" w:rsidRPr="00AD56E9">
        <w:t xml:space="preserve"> that</w:t>
      </w:r>
      <w:proofErr w:type="gramEnd"/>
      <w:r w:rsidR="001F1C49" w:rsidRPr="00AD56E9">
        <w:t xml:space="preserve"> </w:t>
      </w:r>
      <w:r w:rsidR="00C96B69">
        <w:t xml:space="preserve">households with a higher fraction of female adults </w:t>
      </w:r>
      <w:r w:rsidR="00BD2DAF">
        <w:t xml:space="preserve">(lower fraction of male adults) </w:t>
      </w:r>
      <w:r w:rsidR="00C96B69">
        <w:t xml:space="preserve">tend to </w:t>
      </w:r>
      <w:r w:rsidR="001F1C49" w:rsidRPr="00AD56E9">
        <w:t xml:space="preserve">exhibit </w:t>
      </w:r>
      <w:r w:rsidR="00BD2DAF">
        <w:t xml:space="preserve">a </w:t>
      </w:r>
      <w:r w:rsidR="001F1C49" w:rsidRPr="00AD56E9">
        <w:t xml:space="preserve">higher green lifestyle propensity </w:t>
      </w:r>
      <w:r w:rsidR="00BD2DAF">
        <w:t xml:space="preserve">relative to </w:t>
      </w:r>
      <w:r w:rsidR="00C96B69">
        <w:t>households with a lower fraction of female adults</w:t>
      </w:r>
      <w:r w:rsidR="00BD2DAF">
        <w:t xml:space="preserve"> (higher fraction of male adults)</w:t>
      </w:r>
      <w:r w:rsidR="00C96B69">
        <w:t>.</w:t>
      </w:r>
      <w:r w:rsidR="001F1C49" w:rsidRPr="00AD56E9">
        <w:t xml:space="preserve"> </w:t>
      </w:r>
      <w:r w:rsidR="00F93F19">
        <w:t>Social-</w:t>
      </w:r>
      <w:proofErr w:type="spellStart"/>
      <w:r w:rsidR="00F93F19">
        <w:t>pyschological</w:t>
      </w:r>
      <w:proofErr w:type="spellEnd"/>
      <w:r w:rsidR="00F93F19">
        <w:t xml:space="preserve"> studies attribute </w:t>
      </w:r>
      <w:r w:rsidR="003874DA">
        <w:t xml:space="preserve">this gender-based effect </w:t>
      </w:r>
      <w:r w:rsidR="00F93F19">
        <w:t xml:space="preserve">to </w:t>
      </w:r>
      <w:r w:rsidR="001F1C49" w:rsidRPr="00AD56E9">
        <w:t>socialization</w:t>
      </w:r>
      <w:r w:rsidR="00F93F19">
        <w:t xml:space="preserve"> norms</w:t>
      </w:r>
      <w:r w:rsidR="001F1C49" w:rsidRPr="00AD56E9">
        <w:t xml:space="preserve"> and </w:t>
      </w:r>
      <w:r w:rsidR="00F93F19">
        <w:t xml:space="preserve">relational value </w:t>
      </w:r>
      <w:r w:rsidR="001F1C49">
        <w:t>differences</w:t>
      </w:r>
      <w:r w:rsidR="00F93F19">
        <w:t xml:space="preserve"> among men and women </w:t>
      </w:r>
      <w:r w:rsidR="001F1C49" w:rsidRPr="00AD56E9">
        <w:t>(</w:t>
      </w:r>
      <w:r w:rsidR="00F93F19">
        <w:t xml:space="preserve">see, for example, </w:t>
      </w:r>
      <w:r w:rsidR="001F1C49" w:rsidRPr="00AD56E9">
        <w:t xml:space="preserve">Liu </w:t>
      </w:r>
      <w:r w:rsidR="001F1C49" w:rsidRPr="00AD56E9">
        <w:rPr>
          <w:i/>
        </w:rPr>
        <w:t>et al</w:t>
      </w:r>
      <w:r w:rsidR="001F1C49" w:rsidRPr="00AD56E9">
        <w:t>., 2014</w:t>
      </w:r>
      <w:r w:rsidR="00F93F19">
        <w:t xml:space="preserve"> and</w:t>
      </w:r>
      <w:r w:rsidR="001F1C49" w:rsidRPr="00AD56E9">
        <w:t xml:space="preserve"> Gifford and Nilsson, 2014). </w:t>
      </w:r>
      <w:r w:rsidR="00F93F19">
        <w:t xml:space="preserve">In particular, from a socialization norm perspective, </w:t>
      </w:r>
      <w:r w:rsidR="003874DA">
        <w:t xml:space="preserve">these </w:t>
      </w:r>
      <w:r w:rsidR="00F93F19">
        <w:t xml:space="preserve">earlier studies indicate that, </w:t>
      </w:r>
      <w:r w:rsidR="001F1C49" w:rsidRPr="00AD56E9">
        <w:t>across cultures</w:t>
      </w:r>
      <w:r w:rsidR="00F93F19">
        <w:t>, women</w:t>
      </w:r>
      <w:r w:rsidR="001F1C49" w:rsidRPr="00AD56E9">
        <w:t xml:space="preserve"> tend to </w:t>
      </w:r>
      <w:r w:rsidR="00F93F19">
        <w:t xml:space="preserve">be </w:t>
      </w:r>
      <w:r w:rsidR="001F1C49" w:rsidRPr="00AD56E9">
        <w:t>cooperative and interdependent in socialization</w:t>
      </w:r>
      <w:r w:rsidR="00F93F19">
        <w:t xml:space="preserve">, while men tend to be </w:t>
      </w:r>
      <w:r w:rsidR="001F1C49" w:rsidRPr="00AD56E9">
        <w:t xml:space="preserve">competitive </w:t>
      </w:r>
      <w:r w:rsidR="00F93F19">
        <w:t xml:space="preserve">and independent </w:t>
      </w:r>
      <w:r w:rsidR="001F1C49" w:rsidRPr="00AD56E9">
        <w:t xml:space="preserve">in socialization. </w:t>
      </w:r>
      <w:r w:rsidR="00F93F19">
        <w:t xml:space="preserve">From a relational value perspective, women tend to value the needs of others more so than men. In combination, the result is that women </w:t>
      </w:r>
      <w:r w:rsidR="004813C1">
        <w:t xml:space="preserve">typically </w:t>
      </w:r>
      <w:r w:rsidR="001F1C49" w:rsidRPr="00AD56E9">
        <w:t xml:space="preserve">exhibit a </w:t>
      </w:r>
      <w:r w:rsidR="004813C1">
        <w:t xml:space="preserve">more </w:t>
      </w:r>
      <w:r w:rsidR="001F1C49" w:rsidRPr="00AD56E9">
        <w:t xml:space="preserve">caring behavior and altruism </w:t>
      </w:r>
      <w:r w:rsidR="004813C1">
        <w:t xml:space="preserve">than men, which manifests itself in the form of </w:t>
      </w:r>
      <w:r w:rsidR="001F1C49" w:rsidRPr="00AD56E9">
        <w:t xml:space="preserve">a higher </w:t>
      </w:r>
      <w:r w:rsidR="004813C1">
        <w:t>environmental concern</w:t>
      </w:r>
      <w:r w:rsidR="001F1C49" w:rsidRPr="00AD56E9">
        <w:t xml:space="preserve"> (</w:t>
      </w:r>
      <w:r w:rsidR="004813C1">
        <w:t xml:space="preserve">that </w:t>
      </w:r>
      <w:r w:rsidR="004813C1">
        <w:lastRenderedPageBreak/>
        <w:t xml:space="preserve">is, the notion that the </w:t>
      </w:r>
      <w:r w:rsidR="001F1C49" w:rsidRPr="00AD56E9">
        <w:t xml:space="preserve">environment is </w:t>
      </w:r>
      <w:r w:rsidR="004813C1">
        <w:t xml:space="preserve">a </w:t>
      </w:r>
      <w:r w:rsidR="001F1C49" w:rsidRPr="00AD56E9">
        <w:t xml:space="preserve">shared </w:t>
      </w:r>
      <w:r w:rsidR="004813C1">
        <w:t xml:space="preserve">asset whose quality has to be preserved for the benefit of all through cooperative efforts and responsibility) and appropriate “green” actions to </w:t>
      </w:r>
      <w:r w:rsidR="003874DA">
        <w:t xml:space="preserve">minimize environmental harm. </w:t>
      </w:r>
    </w:p>
    <w:p w14:paraId="69255BF7" w14:textId="6AF31271" w:rsidR="00BD2DAF" w:rsidRDefault="00BD2DAF" w:rsidP="007A5CF0">
      <w:pPr>
        <w:ind w:firstLineChars="300" w:firstLine="720"/>
        <w:jc w:val="both"/>
      </w:pPr>
      <w:r>
        <w:t xml:space="preserve">Consistent with the recent study by Liu </w:t>
      </w:r>
      <w:r w:rsidRPr="00775BA5">
        <w:rPr>
          <w:i/>
        </w:rPr>
        <w:t>et al</w:t>
      </w:r>
      <w:r>
        <w:t>. (2014), our results did not find any statistical differences in environmental concern and expression (</w:t>
      </w:r>
      <w:r w:rsidRPr="00775BA5">
        <w:rPr>
          <w:i/>
        </w:rPr>
        <w:t>i.e.</w:t>
      </w:r>
      <w:r>
        <w:t xml:space="preserve">, green lifestyle living) based on other demographic factors such as household income and age of individuals in the household.  </w:t>
      </w:r>
    </w:p>
    <w:p w14:paraId="5328CC74" w14:textId="77777777" w:rsidR="003C3DC4" w:rsidRDefault="003C3DC4" w:rsidP="001135A3">
      <w:pPr>
        <w:tabs>
          <w:tab w:val="left" w:pos="3120"/>
        </w:tabs>
        <w:jc w:val="both"/>
      </w:pPr>
    </w:p>
    <w:p w14:paraId="5F38653E" w14:textId="77777777" w:rsidR="00D740EB" w:rsidRPr="001135A3" w:rsidRDefault="00F95969" w:rsidP="001135A3">
      <w:pPr>
        <w:tabs>
          <w:tab w:val="left" w:pos="0"/>
        </w:tabs>
        <w:jc w:val="both"/>
        <w:rPr>
          <w:b/>
          <w:u w:val="single"/>
        </w:rPr>
      </w:pPr>
      <w:r w:rsidRPr="001135A3">
        <w:rPr>
          <w:b/>
          <w:u w:val="single"/>
        </w:rPr>
        <w:t>Luxury Lifestyle Propensity</w:t>
      </w:r>
      <w:r w:rsidR="00D740EB" w:rsidRPr="001135A3">
        <w:rPr>
          <w:b/>
          <w:u w:val="single"/>
        </w:rPr>
        <w:t xml:space="preserve"> </w:t>
      </w:r>
    </w:p>
    <w:p w14:paraId="1190D2F8" w14:textId="34705CD9" w:rsidR="00790D20" w:rsidRDefault="006723A4" w:rsidP="00F65B91">
      <w:pPr>
        <w:tabs>
          <w:tab w:val="left" w:pos="3120"/>
        </w:tabs>
        <w:jc w:val="both"/>
      </w:pPr>
      <w:r>
        <w:t xml:space="preserve">There has been some limited research suggesting that the choice of a home is effectively the choice of a lifestyle (see, for example, Fleischer, 2007). Further, there has been quite extensive research on luxury consumption and its determinants in the context of </w:t>
      </w:r>
      <w:r w:rsidR="00390D5D">
        <w:t xml:space="preserve">non-housing related </w:t>
      </w:r>
      <w:r>
        <w:t xml:space="preserve">consumer goods (see, for example, </w:t>
      </w:r>
      <w:proofErr w:type="spellStart"/>
      <w:r>
        <w:t>Kastanakis</w:t>
      </w:r>
      <w:proofErr w:type="spellEnd"/>
      <w:r>
        <w:t xml:space="preserve"> and </w:t>
      </w:r>
      <w:proofErr w:type="spellStart"/>
      <w:r>
        <w:t>Balabanis</w:t>
      </w:r>
      <w:proofErr w:type="spellEnd"/>
      <w:r>
        <w:t xml:space="preserve">, 2014 and </w:t>
      </w:r>
      <w:proofErr w:type="spellStart"/>
      <w:r>
        <w:t>Nwankwo</w:t>
      </w:r>
      <w:proofErr w:type="spellEnd"/>
      <w:r>
        <w:t xml:space="preserve"> </w:t>
      </w:r>
      <w:r w:rsidRPr="001135A3">
        <w:rPr>
          <w:i/>
        </w:rPr>
        <w:t>et al</w:t>
      </w:r>
      <w:r>
        <w:t xml:space="preserve">., 2014). </w:t>
      </w:r>
      <w:r w:rsidR="00390D5D">
        <w:t xml:space="preserve">While the issues related to luxury consumption can vary based on the specific consumer good under study, there are some </w:t>
      </w:r>
      <w:r>
        <w:t>common theme</w:t>
      </w:r>
      <w:r w:rsidR="00390D5D">
        <w:t xml:space="preserve">s associated with the </w:t>
      </w:r>
      <w:r>
        <w:t xml:space="preserve">socio-cultural </w:t>
      </w:r>
      <w:r w:rsidR="00C900AF">
        <w:t>motivations for a luxury lifestyle</w:t>
      </w:r>
      <w:r w:rsidR="00790D20">
        <w:t>,</w:t>
      </w:r>
      <w:r w:rsidR="00C900AF">
        <w:t xml:space="preserve"> such as signaling wealth, power</w:t>
      </w:r>
      <w:r w:rsidR="00790D20">
        <w:t xml:space="preserve"> and status</w:t>
      </w:r>
      <w:r w:rsidR="00C900AF">
        <w:t>, privileged access to limited resources, and/or uniqueness in the consumer space</w:t>
      </w:r>
      <w:r w:rsidR="00C320E9">
        <w:t xml:space="preserve"> (see Chevalier and </w:t>
      </w:r>
      <w:proofErr w:type="spellStart"/>
      <w:r w:rsidR="00C320E9">
        <w:t>Gutsatz</w:t>
      </w:r>
      <w:proofErr w:type="spellEnd"/>
      <w:r w:rsidR="00C320E9">
        <w:t>, 2012)</w:t>
      </w:r>
      <w:r w:rsidR="00C900AF">
        <w:t>.</w:t>
      </w:r>
      <w:r w:rsidR="00790D20">
        <w:t xml:space="preserve"> This is the basis for our construction of the luxury lifestyle propensity as a latent construct in the current study.</w:t>
      </w:r>
    </w:p>
    <w:p w14:paraId="7BFA2698" w14:textId="46690E2B" w:rsidR="00C320E9" w:rsidRDefault="00980C1C" w:rsidP="001135A3">
      <w:pPr>
        <w:tabs>
          <w:tab w:val="left" w:pos="0"/>
        </w:tabs>
        <w:jc w:val="both"/>
      </w:pPr>
      <w:r>
        <w:tab/>
      </w:r>
      <w:r w:rsidR="00790D20">
        <w:t xml:space="preserve">Income has been well established as a dominant socio-economic factor that affects luxury lifestyles, simply because it provides the financial ability for individuals and households to better manage the social impression they want to project by consuming the goods (in terms of both quality and quantity) that are consistent with the intended signaling (see, for example, </w:t>
      </w:r>
      <w:proofErr w:type="spellStart"/>
      <w:r w:rsidR="00790D20">
        <w:t>Husic</w:t>
      </w:r>
      <w:proofErr w:type="spellEnd"/>
      <w:r w:rsidR="00790D20">
        <w:t xml:space="preserve"> and </w:t>
      </w:r>
      <w:proofErr w:type="spellStart"/>
      <w:r w:rsidR="00790D20">
        <w:t>Cicic</w:t>
      </w:r>
      <w:proofErr w:type="spellEnd"/>
      <w:r w:rsidR="00790D20">
        <w:t xml:space="preserve">, 2009). </w:t>
      </w:r>
      <w:r w:rsidR="00AF22EE">
        <w:t>The results in Table 2</w:t>
      </w:r>
      <w:r w:rsidR="00790D20">
        <w:t xml:space="preserve"> are consistent with this notion, and show that income has a clear and statistically significant effect on luxury lifestyle propensity</w:t>
      </w:r>
      <w:r w:rsidR="009450BB">
        <w:t xml:space="preserve">. </w:t>
      </w:r>
      <w:r w:rsidR="00B96E71">
        <w:t xml:space="preserve">Interestingly, after accommodating income effects, no other sociodemographic variable had any statistically significant effect on luxury lifestyle propensity. </w:t>
      </w:r>
    </w:p>
    <w:p w14:paraId="731032AD" w14:textId="77777777" w:rsidR="00C80614" w:rsidRDefault="002C4FC3" w:rsidP="001135A3">
      <w:pPr>
        <w:tabs>
          <w:tab w:val="left" w:pos="0"/>
        </w:tabs>
        <w:jc w:val="both"/>
      </w:pPr>
      <w:r>
        <w:tab/>
      </w:r>
    </w:p>
    <w:p w14:paraId="00D5D4FE" w14:textId="4F75140D" w:rsidR="00D740EB" w:rsidRPr="001135A3" w:rsidRDefault="00D740EB" w:rsidP="007D68AB">
      <w:pPr>
        <w:keepNext/>
        <w:keepLines/>
        <w:tabs>
          <w:tab w:val="left" w:pos="0"/>
        </w:tabs>
        <w:jc w:val="both"/>
        <w:rPr>
          <w:b/>
          <w:u w:val="single"/>
        </w:rPr>
      </w:pPr>
      <w:r w:rsidRPr="001135A3">
        <w:rPr>
          <w:b/>
          <w:u w:val="single"/>
        </w:rPr>
        <w:lastRenderedPageBreak/>
        <w:t>Correlation</w:t>
      </w:r>
    </w:p>
    <w:p w14:paraId="2658B9AA" w14:textId="6BE44F15" w:rsidR="00ED3B81" w:rsidRDefault="00D740EB" w:rsidP="007D68AB">
      <w:pPr>
        <w:keepNext/>
        <w:keepLines/>
        <w:autoSpaceDE w:val="0"/>
        <w:autoSpaceDN w:val="0"/>
        <w:adjustRightInd w:val="0"/>
        <w:jc w:val="both"/>
      </w:pPr>
      <w:r w:rsidRPr="00417C1C">
        <w:t xml:space="preserve">The </w:t>
      </w:r>
      <w:r w:rsidRPr="007D5BF9">
        <w:t>correlation coefficient between green lifestyle prop</w:t>
      </w:r>
      <w:r w:rsidR="00ED3B81">
        <w:t xml:space="preserve">ensity and luxury lifestyle propensity </w:t>
      </w:r>
      <w:r w:rsidRPr="007D5BF9">
        <w:t xml:space="preserve">is statistically significant </w:t>
      </w:r>
      <w:r w:rsidR="00B37F5C">
        <w:t xml:space="preserve">at any reasonable level of significance, </w:t>
      </w:r>
      <w:r w:rsidRPr="007D5BF9">
        <w:t xml:space="preserve">with a value of </w:t>
      </w:r>
      <w:r w:rsidR="00775BA5">
        <w:rPr>
          <w:rFonts w:eastAsia="Calibri"/>
          <w:color w:val="000000"/>
        </w:rPr>
        <w:t>–</w:t>
      </w:r>
      <w:r w:rsidR="00154378">
        <w:rPr>
          <w:rFonts w:eastAsia="Calibri"/>
          <w:color w:val="000000"/>
        </w:rPr>
        <w:t>0.621</w:t>
      </w:r>
      <w:r w:rsidR="00B37F5C">
        <w:rPr>
          <w:rFonts w:eastAsia="Calibri"/>
          <w:color w:val="000000"/>
        </w:rPr>
        <w:t xml:space="preserve"> and a t-statistic of</w:t>
      </w:r>
      <w:r w:rsidR="004A3562">
        <w:rPr>
          <w:rFonts w:eastAsia="Calibri"/>
          <w:color w:val="000000"/>
        </w:rPr>
        <w:t xml:space="preserve"> </w:t>
      </w:r>
      <w:r w:rsidR="00775BA5">
        <w:rPr>
          <w:rFonts w:eastAsia="Calibri"/>
          <w:color w:val="000000"/>
        </w:rPr>
        <w:t>–</w:t>
      </w:r>
      <w:r w:rsidR="001B6602">
        <w:rPr>
          <w:rFonts w:eastAsia="Calibri"/>
          <w:color w:val="000000"/>
        </w:rPr>
        <w:t>3.73</w:t>
      </w:r>
      <w:r>
        <w:t xml:space="preserve">. </w:t>
      </w:r>
      <w:r w:rsidR="00C320E9">
        <w:t xml:space="preserve">This </w:t>
      </w:r>
      <w:r w:rsidR="00B37F5C">
        <w:t xml:space="preserve">negative correlation </w:t>
      </w:r>
      <w:r w:rsidR="00C320E9">
        <w:t>is reasonable, since a green lifestyle</w:t>
      </w:r>
      <w:r w:rsidR="00980C1C">
        <w:t xml:space="preserve"> is associated with careful and conservative</w:t>
      </w:r>
      <w:r w:rsidR="00C320E9">
        <w:t xml:space="preserve"> consumption of resources, while a luxury lifestyle </w:t>
      </w:r>
      <w:r w:rsidR="00980C1C">
        <w:t xml:space="preserve">correlates with extravagant living </w:t>
      </w:r>
      <w:r w:rsidR="00ED3B81">
        <w:t>and indulgence beyond an indispensable minimum (</w:t>
      </w:r>
      <w:proofErr w:type="spellStart"/>
      <w:r w:rsidR="00065DA9" w:rsidRPr="00065DA9">
        <w:rPr>
          <w:shd w:val="clear" w:color="auto" w:fill="FFFFFF"/>
        </w:rPr>
        <w:t>Wiedmann</w:t>
      </w:r>
      <w:proofErr w:type="spellEnd"/>
      <w:r w:rsidR="00ED3B81" w:rsidRPr="00065DA9">
        <w:t xml:space="preserve"> </w:t>
      </w:r>
      <w:r w:rsidR="00ED3B81" w:rsidRPr="00065DA9">
        <w:rPr>
          <w:i/>
        </w:rPr>
        <w:t>et al</w:t>
      </w:r>
      <w:r w:rsidR="00ED3B81" w:rsidRPr="00065DA9">
        <w:t xml:space="preserve">., 2007). The correlation between green lifestyle propensity and luxury lifestyle propensity is not perfectly </w:t>
      </w:r>
      <w:r w:rsidR="00ED3B81">
        <w:t>negative because luxury lifestyle is not only about excess consumption, but also about consumption of high quality, unique products. At the same time, green lifestyle propensity may also imply some level of unique, expensive, and high quality product consumption (for example organic food consumption or solar-paneled house choice</w:t>
      </w:r>
      <w:r w:rsidR="00862D64">
        <w:t>s</w:t>
      </w:r>
      <w:r w:rsidR="00ED3B81">
        <w:t xml:space="preserve">). </w:t>
      </w:r>
    </w:p>
    <w:p w14:paraId="34D77ABD" w14:textId="77777777" w:rsidR="00ED3B81" w:rsidRDefault="00ED3B81" w:rsidP="001135A3">
      <w:pPr>
        <w:autoSpaceDE w:val="0"/>
        <w:autoSpaceDN w:val="0"/>
        <w:adjustRightInd w:val="0"/>
        <w:spacing w:line="240" w:lineRule="auto"/>
      </w:pPr>
    </w:p>
    <w:p w14:paraId="498C6AAE" w14:textId="77777777" w:rsidR="00D740EB" w:rsidRPr="00F65B91" w:rsidRDefault="00D740EB" w:rsidP="001135A3">
      <w:pPr>
        <w:pStyle w:val="Heading2"/>
        <w:keepLines/>
        <w:numPr>
          <w:ilvl w:val="1"/>
          <w:numId w:val="37"/>
        </w:numPr>
        <w:spacing w:before="120" w:after="0"/>
        <w:ind w:left="0" w:firstLine="0"/>
        <w:rPr>
          <w:rFonts w:ascii="Times New Roman" w:hAnsi="Times New Roman"/>
          <w:i w:val="0"/>
          <w:sz w:val="24"/>
          <w:szCs w:val="24"/>
        </w:rPr>
      </w:pPr>
      <w:r w:rsidRPr="00F65B91">
        <w:rPr>
          <w:rFonts w:ascii="Times New Roman" w:hAnsi="Times New Roman" w:hint="eastAsia"/>
          <w:i w:val="0"/>
          <w:sz w:val="24"/>
          <w:szCs w:val="24"/>
        </w:rPr>
        <w:t xml:space="preserve">Measurement Equation </w:t>
      </w:r>
      <w:r w:rsidRPr="00F65B91">
        <w:rPr>
          <w:rFonts w:ascii="Times New Roman" w:hAnsi="Times New Roman"/>
          <w:i w:val="0"/>
          <w:sz w:val="24"/>
          <w:szCs w:val="24"/>
        </w:rPr>
        <w:t>Model Components</w:t>
      </w:r>
      <w:r w:rsidRPr="00F65B91">
        <w:rPr>
          <w:rFonts w:ascii="Times New Roman" w:hAnsi="Times New Roman" w:hint="eastAsia"/>
          <w:i w:val="0"/>
          <w:sz w:val="24"/>
          <w:szCs w:val="24"/>
        </w:rPr>
        <w:t xml:space="preserve"> </w:t>
      </w:r>
    </w:p>
    <w:p w14:paraId="2AE57861" w14:textId="019C63B5" w:rsidR="00B0464B" w:rsidRDefault="00E154D0" w:rsidP="00F65B91">
      <w:pPr>
        <w:jc w:val="both"/>
      </w:pPr>
      <w:r>
        <w:t>T</w:t>
      </w:r>
      <w:r w:rsidR="00354C9F">
        <w:t xml:space="preserve">ables </w:t>
      </w:r>
      <w:r w:rsidR="00AF22EE">
        <w:t>3</w:t>
      </w:r>
      <w:r w:rsidR="00354C9F">
        <w:t xml:space="preserve"> and </w:t>
      </w:r>
      <w:r w:rsidR="00AF22EE">
        <w:t>4</w:t>
      </w:r>
      <w:r>
        <w:t xml:space="preserve"> provide </w:t>
      </w:r>
      <w:r w:rsidR="00D740EB" w:rsidRPr="00417C1C">
        <w:t xml:space="preserve">the results for </w:t>
      </w:r>
      <w:r>
        <w:t xml:space="preserve">the </w:t>
      </w:r>
      <w:r w:rsidR="00D740EB" w:rsidRPr="00417C1C">
        <w:t xml:space="preserve">latent variable measurement equation model components. </w:t>
      </w:r>
      <w:r w:rsidR="0073549F">
        <w:t xml:space="preserve">The </w:t>
      </w:r>
      <w:r w:rsidR="00346569">
        <w:t xml:space="preserve">dependent outcomes are arranged row-wise </w:t>
      </w:r>
      <w:r w:rsidR="0073549F">
        <w:t xml:space="preserve">in the </w:t>
      </w:r>
      <w:r>
        <w:t xml:space="preserve">recursive sequence </w:t>
      </w:r>
      <w:r w:rsidR="00CE62B2">
        <w:t>presented in Section 3</w:t>
      </w:r>
      <w:r w:rsidR="0073549F">
        <w:t xml:space="preserve">.4 and Figure 1. </w:t>
      </w:r>
      <w:r w:rsidR="00346569">
        <w:t xml:space="preserve">The exogenous variables </w:t>
      </w:r>
      <w:r w:rsidR="001657DB">
        <w:t xml:space="preserve">and the latent constructs </w:t>
      </w:r>
      <w:r w:rsidR="00346569">
        <w:t>are arranged column-wise</w:t>
      </w:r>
      <w:r w:rsidR="00354C9F">
        <w:t xml:space="preserve"> in Table </w:t>
      </w:r>
      <w:r w:rsidR="00AF22EE">
        <w:t>3</w:t>
      </w:r>
      <w:r w:rsidR="00354C9F">
        <w:t>, while the endogenous variables that affect other endogenous variables in a recursive fashion ar</w:t>
      </w:r>
      <w:r w:rsidR="00AF22EE">
        <w:t xml:space="preserve">e arranged </w:t>
      </w:r>
      <w:proofErr w:type="spellStart"/>
      <w:r w:rsidR="00AF22EE">
        <w:t>columnwise</w:t>
      </w:r>
      <w:proofErr w:type="spellEnd"/>
      <w:r w:rsidR="00AF22EE">
        <w:t xml:space="preserve"> in Table 4</w:t>
      </w:r>
      <w:r w:rsidR="00346569">
        <w:t xml:space="preserve">. </w:t>
      </w:r>
    </w:p>
    <w:p w14:paraId="0FB4774C" w14:textId="146F8BE5" w:rsidR="00FF40FE" w:rsidRDefault="00B0464B">
      <w:pPr>
        <w:ind w:firstLine="720"/>
        <w:jc w:val="both"/>
      </w:pPr>
      <w:r>
        <w:t>F</w:t>
      </w:r>
      <w:r w:rsidR="00346569">
        <w:t>or the binary and nominal outcomes</w:t>
      </w:r>
      <w:r w:rsidR="009D01C9">
        <w:t xml:space="preserve"> (</w:t>
      </w:r>
      <w:r w:rsidR="002C4FC3" w:rsidRPr="001D4822">
        <w:t xml:space="preserve">housing type, </w:t>
      </w:r>
      <w:r w:rsidR="00BC743F">
        <w:t xml:space="preserve">density of </w:t>
      </w:r>
      <w:r w:rsidR="002C4FC3" w:rsidRPr="001D4822">
        <w:t>residential location</w:t>
      </w:r>
      <w:r w:rsidR="00BC743F">
        <w:t xml:space="preserve">, tenure type, and </w:t>
      </w:r>
      <w:proofErr w:type="spellStart"/>
      <w:r w:rsidR="00BC743F">
        <w:t>storey</w:t>
      </w:r>
      <w:proofErr w:type="spellEnd"/>
      <w:r w:rsidR="00BC743F">
        <w:t xml:space="preserve"> type</w:t>
      </w:r>
      <w:r w:rsidR="009D01C9">
        <w:t>)</w:t>
      </w:r>
      <w:r w:rsidR="00346569">
        <w:t xml:space="preserve">, </w:t>
      </w:r>
      <w:r w:rsidR="009D01C9">
        <w:t>one of the alternatives is used as the “base alternative”</w:t>
      </w:r>
      <w:r w:rsidR="00BC743F">
        <w:t xml:space="preserve"> (see Section </w:t>
      </w:r>
      <w:r w:rsidR="00CE62B2">
        <w:t>3</w:t>
      </w:r>
      <w:r w:rsidR="0039772B">
        <w:t>.2</w:t>
      </w:r>
      <w:r w:rsidR="00BC743F">
        <w:t xml:space="preserve"> for the identification of the base alternative for each dimension, which is also listed in Tables 3 and 4)</w:t>
      </w:r>
      <w:r w:rsidR="009D01C9">
        <w:t xml:space="preserve">. The coefficients </w:t>
      </w:r>
      <w:r w:rsidR="00AF22EE">
        <w:t>in Table 3</w:t>
      </w:r>
      <w:r>
        <w:t xml:space="preserve"> </w:t>
      </w:r>
      <w:r w:rsidR="009D01C9">
        <w:t>represent the impact</w:t>
      </w:r>
      <w:r w:rsidR="001657DB">
        <w:t>s</w:t>
      </w:r>
      <w:r w:rsidR="009D01C9">
        <w:t xml:space="preserve"> of </w:t>
      </w:r>
      <w:r w:rsidR="001657DB">
        <w:t xml:space="preserve">the column </w:t>
      </w:r>
      <w:r w:rsidR="009D01C9">
        <w:t xml:space="preserve">exogenous variables </w:t>
      </w:r>
      <w:r w:rsidR="001657DB">
        <w:t>(corresponding to the</w:t>
      </w:r>
      <w:r w:rsidR="00B00013">
        <w:t xml:space="preserve"> </w:t>
      </w:r>
      <w:r w:rsidR="00B00013" w:rsidRPr="00B00013">
        <w:rPr>
          <w:b/>
          <w:i/>
        </w:rPr>
        <w:t>b</w:t>
      </w:r>
      <w:r w:rsidR="001657DB">
        <w:t xml:space="preserve"> matrix in Equation (</w:t>
      </w:r>
      <w:r w:rsidR="002C4FC3">
        <w:t>10</w:t>
      </w:r>
      <w:r w:rsidR="001657DB">
        <w:t>)) and the column latent c</w:t>
      </w:r>
      <w:r w:rsidR="001B6602">
        <w:t xml:space="preserve">onstructs (corresponding to the </w:t>
      </w:r>
      <w:r w:rsidR="001B6602" w:rsidRPr="00F95001">
        <w:rPr>
          <w:position w:val="-12"/>
        </w:rPr>
        <w:object w:dxaOrig="400" w:dyaOrig="360" w14:anchorId="4F53CC71">
          <v:shape id="_x0000_i1226" type="#_x0000_t75" style="width:19.25pt;height:18.4pt" o:ole="">
            <v:imagedata r:id="rId407" o:title=""/>
          </v:shape>
          <o:OLEObject Type="Embed" ProgID="Equation.3" ShapeID="_x0000_i1226" DrawAspect="Content" ObjectID="_1493479692" r:id="rId408"/>
        </w:object>
      </w:r>
      <w:r w:rsidR="00065DA9">
        <w:t xml:space="preserve"> </w:t>
      </w:r>
      <w:r w:rsidR="001657DB">
        <w:t xml:space="preserve">matrix embedded in the </w:t>
      </w:r>
      <w:r w:rsidR="001B6602" w:rsidRPr="001B6602">
        <w:rPr>
          <w:position w:val="-6"/>
        </w:rPr>
        <w:object w:dxaOrig="260" w:dyaOrig="220" w14:anchorId="3E10584A">
          <v:shape id="_x0000_i1227" type="#_x0000_t75" style="width:12.55pt;height:11.7pt" o:ole="">
            <v:imagedata r:id="rId409" o:title=""/>
          </v:shape>
          <o:OLEObject Type="Embed" ProgID="Equation.3" ShapeID="_x0000_i1227" DrawAspect="Content" ObjectID="_1493479693" r:id="rId410"/>
        </w:object>
      </w:r>
      <w:r w:rsidR="001B6602">
        <w:t xml:space="preserve"> </w:t>
      </w:r>
      <w:r w:rsidR="001B6602" w:rsidRPr="00CF0952">
        <w:t>matrix</w:t>
      </w:r>
      <w:r w:rsidR="001657DB">
        <w:t xml:space="preserve"> of Equation (</w:t>
      </w:r>
      <w:r w:rsidR="002C4FC3">
        <w:t>10</w:t>
      </w:r>
      <w:r w:rsidR="001657DB">
        <w:t xml:space="preserve">)) </w:t>
      </w:r>
      <w:r w:rsidR="009D01C9">
        <w:t>on the utilities of the non-base alternatives</w:t>
      </w:r>
      <w:r w:rsidR="001657DB">
        <w:t xml:space="preserve"> relative to the base alternative. </w:t>
      </w:r>
      <w:r w:rsidR="009D01C9">
        <w:t xml:space="preserve">A </w:t>
      </w:r>
      <w:r w:rsidR="0073549F">
        <w:t xml:space="preserve">‘-’ </w:t>
      </w:r>
      <w:r w:rsidR="009D01C9">
        <w:t xml:space="preserve">corresponding to an exogenous variable </w:t>
      </w:r>
      <w:r w:rsidR="001657DB">
        <w:t xml:space="preserve">or a latent construct </w:t>
      </w:r>
      <w:r w:rsidR="009D01C9">
        <w:t xml:space="preserve">for a non-base alternative indicates that the corresponding column variable </w:t>
      </w:r>
      <w:r w:rsidR="001657DB">
        <w:t xml:space="preserve">or latent construct </w:t>
      </w:r>
      <w:r w:rsidR="0073549F">
        <w:t xml:space="preserve">has no differential effect on the utilities of the </w:t>
      </w:r>
      <w:r w:rsidR="009D01C9">
        <w:t>base alternative and the non-base alternative</w:t>
      </w:r>
      <w:r w:rsidR="0073549F">
        <w:t xml:space="preserve">. </w:t>
      </w:r>
      <w:r>
        <w:t xml:space="preserve">Also, </w:t>
      </w:r>
      <w:r w:rsidRPr="00344B45">
        <w:t>t</w:t>
      </w:r>
      <w:r w:rsidRPr="000C2A50">
        <w:t xml:space="preserve">here is no intuitive interpretation of the constants </w:t>
      </w:r>
      <w:r>
        <w:t xml:space="preserve">in these models </w:t>
      </w:r>
      <w:r w:rsidRPr="000C2A50">
        <w:t xml:space="preserve">because of the presence of </w:t>
      </w:r>
      <w:r>
        <w:t xml:space="preserve">count exogenous </w:t>
      </w:r>
      <w:r w:rsidRPr="000C2A50">
        <w:t>variables in the model.</w:t>
      </w:r>
      <w:r>
        <w:t xml:space="preserve"> </w:t>
      </w:r>
      <w:r w:rsidR="004C64E9" w:rsidRPr="001D4822">
        <w:t>The constant (t-stat</w:t>
      </w:r>
      <w:r w:rsidR="004C64E9">
        <w:t>istic</w:t>
      </w:r>
      <w:r w:rsidR="004C64E9" w:rsidRPr="001D4822">
        <w:t>) corresponding to apartment</w:t>
      </w:r>
      <w:r w:rsidR="004C64E9">
        <w:t xml:space="preserve"> (for housing type) is</w:t>
      </w:r>
      <w:r w:rsidR="004A3562">
        <w:t xml:space="preserve"> </w:t>
      </w:r>
      <w:r w:rsidR="00775BA5">
        <w:t>–</w:t>
      </w:r>
      <w:r w:rsidR="001B6602">
        <w:t>0.269 (</w:t>
      </w:r>
      <w:r w:rsidR="00775BA5">
        <w:t>–</w:t>
      </w:r>
      <w:r w:rsidR="001B6602">
        <w:t>6.55</w:t>
      </w:r>
      <w:r w:rsidR="00154378">
        <w:t>)</w:t>
      </w:r>
      <w:r w:rsidR="004C64E9">
        <w:t xml:space="preserve">, for secondary and primary city (for density of residential location) are </w:t>
      </w:r>
      <w:r w:rsidR="00775BA5">
        <w:t>–</w:t>
      </w:r>
      <w:r w:rsidR="001B6602">
        <w:t>0.796 (</w:t>
      </w:r>
      <w:r w:rsidR="00775BA5">
        <w:t>–</w:t>
      </w:r>
      <w:r w:rsidR="001B6602">
        <w:t>15.32</w:t>
      </w:r>
      <w:r w:rsidR="00154378">
        <w:t>)</w:t>
      </w:r>
      <w:r w:rsidR="004C64E9">
        <w:t xml:space="preserve"> and</w:t>
      </w:r>
      <w:r w:rsidR="004A3562">
        <w:t xml:space="preserve"> </w:t>
      </w:r>
      <w:r w:rsidR="00775BA5">
        <w:t>–</w:t>
      </w:r>
      <w:r w:rsidR="001B6602">
        <w:t>2.447 (</w:t>
      </w:r>
      <w:r w:rsidR="00775BA5">
        <w:t>–</w:t>
      </w:r>
      <w:r w:rsidR="001B6602">
        <w:t>2.47</w:t>
      </w:r>
      <w:r w:rsidR="00154378">
        <w:t>)</w:t>
      </w:r>
      <w:r w:rsidR="004C64E9">
        <w:t xml:space="preserve">, respectively, rented dwelling (for </w:t>
      </w:r>
      <w:r w:rsidR="004C64E9">
        <w:lastRenderedPageBreak/>
        <w:t>tenure type) is</w:t>
      </w:r>
      <w:r w:rsidR="004A3562">
        <w:t xml:space="preserve"> </w:t>
      </w:r>
      <w:r w:rsidR="00775BA5">
        <w:t>–</w:t>
      </w:r>
      <w:r w:rsidR="001B6602">
        <w:t>0.329 (</w:t>
      </w:r>
      <w:r w:rsidR="00775BA5">
        <w:t>–</w:t>
      </w:r>
      <w:r w:rsidR="001B6602">
        <w:t>8.74</w:t>
      </w:r>
      <w:r w:rsidR="00154378">
        <w:t>)</w:t>
      </w:r>
      <w:r w:rsidR="004C64E9">
        <w:t>, and</w:t>
      </w:r>
      <w:r w:rsidR="004C64E9" w:rsidRPr="001D4822">
        <w:t xml:space="preserve"> single-</w:t>
      </w:r>
      <w:proofErr w:type="spellStart"/>
      <w:r w:rsidR="004C64E9" w:rsidRPr="001D4822">
        <w:t>storey</w:t>
      </w:r>
      <w:proofErr w:type="spellEnd"/>
      <w:r w:rsidR="004C64E9">
        <w:t xml:space="preserve"> (for </w:t>
      </w:r>
      <w:proofErr w:type="spellStart"/>
      <w:r w:rsidR="004C64E9">
        <w:t>storey</w:t>
      </w:r>
      <w:proofErr w:type="spellEnd"/>
      <w:r w:rsidR="004C64E9">
        <w:t xml:space="preserve"> type) is </w:t>
      </w:r>
      <w:r w:rsidR="001B6602">
        <w:t>0.861 (15.43</w:t>
      </w:r>
      <w:r w:rsidR="00154378">
        <w:t>)</w:t>
      </w:r>
      <w:r w:rsidR="004C64E9" w:rsidRPr="001D4822">
        <w:t>.</w:t>
      </w:r>
      <w:r w:rsidR="004A3562">
        <w:t xml:space="preserve"> </w:t>
      </w:r>
      <w:r>
        <w:t xml:space="preserve">The coefficients in Table </w:t>
      </w:r>
      <w:r w:rsidR="00AF22EE">
        <w:t>4</w:t>
      </w:r>
      <w:r>
        <w:t xml:space="preserve"> represent the recursive endogenous impacts, also embedded in the </w:t>
      </w:r>
      <w:proofErr w:type="gramStart"/>
      <w:r w:rsidR="00B00013" w:rsidRPr="00B00013">
        <w:rPr>
          <w:b/>
          <w:i/>
        </w:rPr>
        <w:t>b</w:t>
      </w:r>
      <w:r w:rsidR="00B00013">
        <w:t xml:space="preserve">  </w:t>
      </w:r>
      <w:r>
        <w:t>matrix</w:t>
      </w:r>
      <w:proofErr w:type="gramEnd"/>
      <w:r>
        <w:t xml:space="preserve"> in Equation (</w:t>
      </w:r>
      <w:r w:rsidR="002C4FC3">
        <w:t>12</w:t>
      </w:r>
      <w:r>
        <w:t>).</w:t>
      </w:r>
      <w:r w:rsidR="00E162A6">
        <w:t xml:space="preserve"> </w:t>
      </w:r>
    </w:p>
    <w:p w14:paraId="44F0BBFF" w14:textId="5722C148" w:rsidR="00D310A6" w:rsidRDefault="009D01C9">
      <w:pPr>
        <w:ind w:firstLine="720"/>
        <w:jc w:val="both"/>
      </w:pPr>
      <w:r>
        <w:t xml:space="preserve">For the grouped </w:t>
      </w:r>
      <w:r w:rsidR="008E5C76">
        <w:t>outcomes</w:t>
      </w:r>
      <w:r>
        <w:t xml:space="preserve"> (housing cost, square footage, lot size, and commute distance), the coefficients </w:t>
      </w:r>
      <w:r w:rsidR="00AF22EE">
        <w:t>in Table 3</w:t>
      </w:r>
      <w:r w:rsidR="00B0464B">
        <w:t xml:space="preserve"> </w:t>
      </w:r>
      <w:r>
        <w:t xml:space="preserve">represent the effects of </w:t>
      </w:r>
      <w:r w:rsidR="008E5C76">
        <w:t xml:space="preserve">the </w:t>
      </w:r>
      <w:r>
        <w:t xml:space="preserve">column exogenous variables </w:t>
      </w:r>
      <w:r w:rsidR="008E5C76">
        <w:t xml:space="preserve">(corresponding to the </w:t>
      </w:r>
      <w:r w:rsidR="008E5C76" w:rsidRPr="00BE3663">
        <w:rPr>
          <w:position w:val="-10"/>
        </w:rPr>
        <w:object w:dxaOrig="220" w:dyaOrig="320" w14:anchorId="35B01610">
          <v:shape id="_x0000_i1228" type="#_x0000_t75" style="width:9.2pt;height:15.9pt" o:ole="">
            <v:imagedata r:id="rId411" o:title=""/>
          </v:shape>
          <o:OLEObject Type="Embed" ProgID="Equation.3" ShapeID="_x0000_i1228" DrawAspect="Content" ObjectID="_1493479694" r:id="rId412"/>
        </w:object>
      </w:r>
      <w:r w:rsidR="00F65B91">
        <w:t xml:space="preserve"> </w:t>
      </w:r>
      <w:r w:rsidR="008E5C76">
        <w:t>matrix  in Equation (</w:t>
      </w:r>
      <w:r w:rsidR="00FF40FE">
        <w:t>5</w:t>
      </w:r>
      <w:r w:rsidR="008E5C76">
        <w:t xml:space="preserve">)) and the column latent constructs (corresponding to the </w:t>
      </w:r>
      <w:r w:rsidR="008E5C76" w:rsidRPr="00BE3663">
        <w:rPr>
          <w:position w:val="-6"/>
        </w:rPr>
        <w:object w:dxaOrig="240" w:dyaOrig="340" w14:anchorId="3F4B212E">
          <v:shape id="_x0000_i1229" type="#_x0000_t75" style="width:11.7pt;height:16.75pt" o:ole="">
            <v:imagedata r:id="rId413" o:title=""/>
          </v:shape>
          <o:OLEObject Type="Embed" ProgID="Equation.3" ShapeID="_x0000_i1229" DrawAspect="Content" ObjectID="_1493479695" r:id="rId414"/>
        </w:object>
      </w:r>
      <w:r w:rsidR="008E5C76">
        <w:t xml:space="preserve"> matrix in Equation (</w:t>
      </w:r>
      <w:r w:rsidR="00FF40FE">
        <w:t>5</w:t>
      </w:r>
      <w:r w:rsidR="008E5C76">
        <w:t xml:space="preserve">)) </w:t>
      </w:r>
      <w:r>
        <w:t xml:space="preserve">on the underlying </w:t>
      </w:r>
      <w:r w:rsidR="00EC2562">
        <w:t xml:space="preserve">latent continuous variable that represents the logarithm of the </w:t>
      </w:r>
      <w:r w:rsidR="00285D2B">
        <w:t>corresponding dimension. T</w:t>
      </w:r>
      <w:r w:rsidR="00EC2562">
        <w:t xml:space="preserve">hus, for </w:t>
      </w:r>
      <w:r w:rsidR="00285D2B">
        <w:t xml:space="preserve">example, in the case of </w:t>
      </w:r>
      <w:r w:rsidR="00EC2562">
        <w:t xml:space="preserve">housing cost, the underlying latent variable is the continuous natural logarithm of housing cost, with the thresholds </w:t>
      </w:r>
      <w:r w:rsidR="00285D2B">
        <w:t xml:space="preserve">demarcating the six grouped categories (see Section </w:t>
      </w:r>
      <w:r w:rsidR="00CE62B2">
        <w:t>3</w:t>
      </w:r>
      <w:r w:rsidR="00F97D0D">
        <w:t>.2</w:t>
      </w:r>
      <w:r w:rsidR="00285D2B">
        <w:t xml:space="preserve">) </w:t>
      </w:r>
      <w:r w:rsidR="00EC2562">
        <w:t xml:space="preserve">corresponding to </w:t>
      </w:r>
      <w:proofErr w:type="gramStart"/>
      <w:r w:rsidR="00EC2562" w:rsidRPr="004A3562">
        <w:t>ln</w:t>
      </w:r>
      <w:r w:rsidR="00EC2562">
        <w:t>(</w:t>
      </w:r>
      <w:proofErr w:type="gramEnd"/>
      <w:r w:rsidR="00EC2562">
        <w:t xml:space="preserve">1000), ln(1500), ln(2000), ln(2500), and ln(3000). </w:t>
      </w:r>
      <w:r w:rsidR="008E5C76">
        <w:t>Again, similar to a linear regression, the constants in the grouped outcome regressions do not have any tangible</w:t>
      </w:r>
      <w:r w:rsidR="001657DB">
        <w:t xml:space="preserve"> interpretation, because of the</w:t>
      </w:r>
      <w:r w:rsidR="008E5C76">
        <w:t xml:space="preserve"> presence of count explanatory variables. </w:t>
      </w:r>
      <w:r w:rsidR="00FF40FE" w:rsidRPr="001D4822">
        <w:t>Similarly, the variance</w:t>
      </w:r>
      <w:r w:rsidR="00285D2B">
        <w:t>s</w:t>
      </w:r>
      <w:r w:rsidR="00FF40FE" w:rsidRPr="001D4822">
        <w:t xml:space="preserve"> as such do not have any tangible meaning</w:t>
      </w:r>
      <w:r w:rsidR="004C64E9">
        <w:t xml:space="preserve"> other than to provide a sense of the level of stochasticity in the underlying latent variable conditi</w:t>
      </w:r>
      <w:r w:rsidR="00285D2B">
        <w:t>onal on the exogenous variables</w:t>
      </w:r>
      <w:r w:rsidR="00FF40FE" w:rsidRPr="001D4822">
        <w:t>.</w:t>
      </w:r>
      <w:r w:rsidR="00FF40FE">
        <w:t xml:space="preserve"> </w:t>
      </w:r>
      <w:r w:rsidR="004C64E9" w:rsidRPr="001D4822">
        <w:t>The constant</w:t>
      </w:r>
      <w:r w:rsidR="00EC2562">
        <w:t>s</w:t>
      </w:r>
      <w:r w:rsidR="004C64E9" w:rsidRPr="001D4822">
        <w:t xml:space="preserve"> (t-stat</w:t>
      </w:r>
      <w:r w:rsidR="004C64E9">
        <w:t>istic</w:t>
      </w:r>
      <w:r w:rsidR="004C64E9" w:rsidRPr="001D4822">
        <w:t xml:space="preserve">) </w:t>
      </w:r>
      <w:r w:rsidR="00285D2B">
        <w:t xml:space="preserve">in the equations </w:t>
      </w:r>
      <w:r w:rsidR="004C64E9" w:rsidRPr="001D4822">
        <w:t xml:space="preserve">corresponding to </w:t>
      </w:r>
      <w:r w:rsidR="00285D2B">
        <w:t xml:space="preserve">the natural logarithm of </w:t>
      </w:r>
      <w:r w:rsidR="004C64E9" w:rsidRPr="001D4822">
        <w:t>housing cost, square footage, lot size, and household</w:t>
      </w:r>
      <w:r w:rsidR="00EC2562">
        <w:t xml:space="preserve"> </w:t>
      </w:r>
      <w:r w:rsidR="004C64E9" w:rsidRPr="001D4822">
        <w:t>commute dist</w:t>
      </w:r>
      <w:r w:rsidR="004C64E9">
        <w:t xml:space="preserve">ance </w:t>
      </w:r>
      <w:r w:rsidR="00EC2562">
        <w:t>are</w:t>
      </w:r>
      <w:r w:rsidR="004C64E9">
        <w:t xml:space="preserve"> </w:t>
      </w:r>
      <w:r w:rsidR="00775BA5">
        <w:t>–</w:t>
      </w:r>
      <w:r w:rsidR="004C64E9">
        <w:t>0.138</w:t>
      </w:r>
      <w:r w:rsidR="004A3562">
        <w:t xml:space="preserve"> </w:t>
      </w:r>
      <w:r w:rsidR="001B6602">
        <w:t>(</w:t>
      </w:r>
      <w:r w:rsidR="00775BA5">
        <w:t>–</w:t>
      </w:r>
      <w:r w:rsidR="001B6602">
        <w:t>8.80</w:t>
      </w:r>
      <w:r w:rsidR="00154378">
        <w:t>)</w:t>
      </w:r>
      <w:r w:rsidR="004C64E9">
        <w:t xml:space="preserve">, </w:t>
      </w:r>
      <w:r w:rsidR="00775BA5">
        <w:t>–</w:t>
      </w:r>
      <w:r w:rsidR="001B6602">
        <w:t>0.057 (</w:t>
      </w:r>
      <w:r w:rsidR="00775BA5">
        <w:t>–</w:t>
      </w:r>
      <w:r w:rsidR="001B6602">
        <w:t>3.69</w:t>
      </w:r>
      <w:r w:rsidR="00154378">
        <w:t>)</w:t>
      </w:r>
      <w:r w:rsidR="004C64E9">
        <w:t xml:space="preserve">, </w:t>
      </w:r>
      <w:r w:rsidR="001B6602">
        <w:t>1.707 (138.96</w:t>
      </w:r>
      <w:r w:rsidR="00154378">
        <w:t>)</w:t>
      </w:r>
      <w:r w:rsidR="004A3562">
        <w:t xml:space="preserve"> </w:t>
      </w:r>
      <w:r w:rsidR="004C64E9">
        <w:t>and</w:t>
      </w:r>
      <w:r w:rsidR="004A3562">
        <w:t xml:space="preserve"> </w:t>
      </w:r>
      <w:r w:rsidR="00154378">
        <w:t>1.3</w:t>
      </w:r>
      <w:r w:rsidR="001B6602">
        <w:t>45 (48.93</w:t>
      </w:r>
      <w:r w:rsidR="00154378">
        <w:t>)</w:t>
      </w:r>
      <w:r w:rsidR="00EC2562">
        <w:t>,</w:t>
      </w:r>
      <w:r w:rsidR="004C64E9" w:rsidRPr="001D4822">
        <w:t xml:space="preserve"> respectively. </w:t>
      </w:r>
      <w:r w:rsidR="00EC2562">
        <w:t>T</w:t>
      </w:r>
      <w:r w:rsidR="004C64E9" w:rsidRPr="001D4822">
        <w:t>he variance</w:t>
      </w:r>
      <w:r w:rsidR="00EC2562">
        <w:t>s</w:t>
      </w:r>
      <w:r w:rsidR="004C64E9" w:rsidRPr="001D4822">
        <w:t xml:space="preserve"> (t-stat</w:t>
      </w:r>
      <w:r w:rsidR="004C64E9">
        <w:t>istic</w:t>
      </w:r>
      <w:r w:rsidR="004C64E9" w:rsidRPr="001D4822">
        <w:t xml:space="preserve">) corresponding to </w:t>
      </w:r>
      <w:r w:rsidR="00285D2B">
        <w:t xml:space="preserve">the natural logarithm of </w:t>
      </w:r>
      <w:r w:rsidR="004C64E9" w:rsidRPr="001D4822">
        <w:t xml:space="preserve">housing cost, square footage, lot size, and household average commute distance </w:t>
      </w:r>
      <w:r w:rsidR="00EC2562">
        <w:t>are</w:t>
      </w:r>
      <w:r w:rsidR="004A3562">
        <w:t xml:space="preserve"> 0.280 </w:t>
      </w:r>
      <w:r w:rsidR="001B6602">
        <w:t>(30.75</w:t>
      </w:r>
      <w:r w:rsidR="00154378">
        <w:t>)</w:t>
      </w:r>
      <w:r w:rsidR="004C64E9">
        <w:t>, 0.171</w:t>
      </w:r>
      <w:r w:rsidR="004A3562">
        <w:t xml:space="preserve"> </w:t>
      </w:r>
      <w:r w:rsidR="001B6602">
        <w:t>(41.81</w:t>
      </w:r>
      <w:r w:rsidR="00154378">
        <w:t>)</w:t>
      </w:r>
      <w:r w:rsidR="004C64E9">
        <w:t>, 0.593</w:t>
      </w:r>
      <w:r w:rsidR="004A3562">
        <w:t xml:space="preserve"> </w:t>
      </w:r>
      <w:r w:rsidR="001B6602">
        <w:t>(43.48</w:t>
      </w:r>
      <w:r w:rsidR="00154378">
        <w:t>)</w:t>
      </w:r>
      <w:r w:rsidR="004C64E9">
        <w:t>, and</w:t>
      </w:r>
      <w:r w:rsidR="004A3562">
        <w:t xml:space="preserve"> </w:t>
      </w:r>
      <w:r w:rsidR="001B6602">
        <w:t>1.119 (38.10</w:t>
      </w:r>
      <w:r w:rsidR="00154378">
        <w:t>)</w:t>
      </w:r>
      <w:r w:rsidR="00EC2562">
        <w:t>,</w:t>
      </w:r>
      <w:r w:rsidR="004C64E9" w:rsidRPr="001D4822">
        <w:t xml:space="preserve"> respectively.</w:t>
      </w:r>
      <w:r w:rsidR="00285D2B">
        <w:t xml:space="preserve"> </w:t>
      </w:r>
      <w:r w:rsidR="00AF22EE">
        <w:t>The coefficients in Table 4</w:t>
      </w:r>
      <w:r w:rsidR="00B0464B">
        <w:t xml:space="preserve"> for these grouped outcomes capture any endogenous recursive effects, also embedded as elements of the </w:t>
      </w:r>
      <w:r w:rsidR="00B0464B" w:rsidRPr="00BE3663">
        <w:rPr>
          <w:position w:val="-10"/>
        </w:rPr>
        <w:object w:dxaOrig="220" w:dyaOrig="320" w14:anchorId="4044B27C">
          <v:shape id="_x0000_i1230" type="#_x0000_t75" style="width:9.2pt;height:15.9pt" o:ole="">
            <v:imagedata r:id="rId411" o:title=""/>
          </v:shape>
          <o:OLEObject Type="Embed" ProgID="Equation.3" ShapeID="_x0000_i1230" DrawAspect="Content" ObjectID="_1493479696" r:id="rId415"/>
        </w:object>
      </w:r>
      <w:r w:rsidR="005E1FBA">
        <w:t xml:space="preserve"> </w:t>
      </w:r>
      <w:r w:rsidR="00B0464B">
        <w:t>matrix in Equation (</w:t>
      </w:r>
      <w:r w:rsidR="00FF40FE">
        <w:t>5</w:t>
      </w:r>
      <w:r w:rsidR="00B0464B">
        <w:t xml:space="preserve">). </w:t>
      </w:r>
    </w:p>
    <w:p w14:paraId="52D5A7C9" w14:textId="2661C00B" w:rsidR="001B6602" w:rsidRDefault="008E5C76" w:rsidP="001B6602">
      <w:pPr>
        <w:ind w:firstLine="720"/>
        <w:jc w:val="both"/>
      </w:pPr>
      <w:r>
        <w:t xml:space="preserve">For </w:t>
      </w:r>
      <w:r w:rsidR="0073549F">
        <w:t xml:space="preserve">the count </w:t>
      </w:r>
      <w:r>
        <w:t>outcomes (</w:t>
      </w:r>
      <w:r w:rsidR="00B34416">
        <w:t xml:space="preserve">the </w:t>
      </w:r>
      <w:r>
        <w:t xml:space="preserve">number of bathrooms and </w:t>
      </w:r>
      <w:r w:rsidR="00B34416">
        <w:t xml:space="preserve">the </w:t>
      </w:r>
      <w:r>
        <w:t>number of bedrooms)</w:t>
      </w:r>
      <w:proofErr w:type="gramStart"/>
      <w:r>
        <w:t xml:space="preserve">, </w:t>
      </w:r>
      <w:r w:rsidR="00065651">
        <w:t xml:space="preserve"> </w:t>
      </w:r>
      <w:r w:rsidR="004C64E9">
        <w:t>the</w:t>
      </w:r>
      <w:proofErr w:type="gramEnd"/>
      <w:r w:rsidR="004C64E9">
        <w:t xml:space="preserve"> </w:t>
      </w:r>
      <w:r w:rsidR="00B0464B">
        <w:t xml:space="preserve">Table </w:t>
      </w:r>
      <w:r w:rsidR="00AF22EE">
        <w:t>3</w:t>
      </w:r>
      <w:r w:rsidR="00D208B6">
        <w:t xml:space="preserve"> </w:t>
      </w:r>
      <w:r w:rsidR="001657DB">
        <w:t xml:space="preserve">coefficients </w:t>
      </w:r>
      <w:r w:rsidR="001F20BA">
        <w:t xml:space="preserve">represent the effects of the column exogenous variables </w:t>
      </w:r>
      <w:r w:rsidR="001657DB">
        <w:t xml:space="preserve">on the </w:t>
      </w:r>
      <w:r w:rsidR="001F20BA">
        <w:t xml:space="preserve">thresholds (corresponding to elements of the </w:t>
      </w:r>
      <w:r w:rsidR="001F20BA" w:rsidRPr="00BE3663">
        <w:rPr>
          <w:position w:val="-10"/>
        </w:rPr>
        <w:object w:dxaOrig="200" w:dyaOrig="320" w14:anchorId="2680118B">
          <v:shape id="_x0000_i1231" type="#_x0000_t75" style="width:9.2pt;height:15.9pt" o:ole="">
            <v:imagedata r:id="rId416" o:title=""/>
          </v:shape>
          <o:OLEObject Type="Embed" ProgID="Equation.3" ShapeID="_x0000_i1231" DrawAspect="Content" ObjectID="_1493479697" r:id="rId417"/>
        </w:object>
      </w:r>
      <w:r w:rsidR="00F65B91">
        <w:t xml:space="preserve"> </w:t>
      </w:r>
      <w:r w:rsidR="001F20BA">
        <w:t>matrix in Equation (</w:t>
      </w:r>
      <w:r w:rsidR="00FF40FE">
        <w:t>7</w:t>
      </w:r>
      <w:r w:rsidR="001F20BA">
        <w:t>))</w:t>
      </w:r>
      <w:r w:rsidR="00354C9F">
        <w:t xml:space="preserve"> and the effects of the column latent constructs on the underlying latent propensity for the count variable (corresponding to the elements of the </w:t>
      </w:r>
      <w:r w:rsidR="00354C9F" w:rsidRPr="00BE3663">
        <w:rPr>
          <w:position w:val="-6"/>
        </w:rPr>
        <w:object w:dxaOrig="220" w:dyaOrig="320" w14:anchorId="1A2DDAD0">
          <v:shape id="_x0000_i1232" type="#_x0000_t75" style="width:9.2pt;height:15.9pt" o:ole="">
            <v:imagedata r:id="rId418" o:title=""/>
          </v:shape>
          <o:OLEObject Type="Embed" ProgID="Equation.3" ShapeID="_x0000_i1232" DrawAspect="Content" ObjectID="_1493479698" r:id="rId419"/>
        </w:object>
      </w:r>
      <w:r w:rsidR="00354C9F">
        <w:t xml:space="preserve"> matrix in Equation (</w:t>
      </w:r>
      <w:r w:rsidR="001B6602">
        <w:t>8</w:t>
      </w:r>
      <w:r w:rsidR="00354C9F">
        <w:t>)).</w:t>
      </w:r>
      <w:r w:rsidR="00B0464B">
        <w:t xml:space="preserve"> </w:t>
      </w:r>
      <w:r w:rsidR="00354C9F">
        <w:t>The constant coefficient</w:t>
      </w:r>
      <w:r w:rsidR="00B0464B">
        <w:t>s</w:t>
      </w:r>
      <w:r w:rsidR="00354C9F">
        <w:t xml:space="preserve"> in the </w:t>
      </w:r>
      <w:r w:rsidR="00B0464B" w:rsidRPr="00BE3663">
        <w:rPr>
          <w:position w:val="-10"/>
        </w:rPr>
        <w:object w:dxaOrig="200" w:dyaOrig="320" w14:anchorId="6C3024D1">
          <v:shape id="_x0000_i1233" type="#_x0000_t75" style="width:9.2pt;height:15.9pt" o:ole="">
            <v:imagedata r:id="rId416" o:title=""/>
          </v:shape>
          <o:OLEObject Type="Embed" ProgID="Equation.3" ShapeID="_x0000_i1233" DrawAspect="Content" ObjectID="_1493479699" r:id="rId420"/>
        </w:object>
      </w:r>
      <w:r w:rsidR="00354C9F">
        <w:t xml:space="preserve"> </w:t>
      </w:r>
      <w:r w:rsidR="00B0464B">
        <w:t>matrix do</w:t>
      </w:r>
      <w:r w:rsidR="00354C9F">
        <w:t xml:space="preserve"> not have any substantive interpretation. </w:t>
      </w:r>
      <w:r w:rsidR="00354C9F" w:rsidRPr="00F60BB6">
        <w:t>For the other va</w:t>
      </w:r>
      <w:r w:rsidR="00354C9F">
        <w:t xml:space="preserve">riables, a positive coefficient in the </w:t>
      </w:r>
      <w:r w:rsidR="00B0464B" w:rsidRPr="00BE3663">
        <w:rPr>
          <w:position w:val="-10"/>
        </w:rPr>
        <w:object w:dxaOrig="200" w:dyaOrig="320" w14:anchorId="0E015C2A">
          <v:shape id="_x0000_i1234" type="#_x0000_t75" style="width:9.2pt;height:15.9pt" o:ole="">
            <v:imagedata r:id="rId416" o:title=""/>
          </v:shape>
          <o:OLEObject Type="Embed" ProgID="Equation.3" ShapeID="_x0000_i1234" DrawAspect="Content" ObjectID="_1493479700" r:id="rId421"/>
        </w:object>
      </w:r>
      <w:r w:rsidR="005E1FBA">
        <w:t xml:space="preserve"> </w:t>
      </w:r>
      <w:r w:rsidR="00354C9F">
        <w:t xml:space="preserve">vector </w:t>
      </w:r>
      <w:r w:rsidR="00354C9F" w:rsidRPr="00F60BB6">
        <w:t>shifts all the threshol</w:t>
      </w:r>
      <w:r w:rsidR="00354C9F">
        <w:t xml:space="preserve">ds toward the </w:t>
      </w:r>
      <w:r w:rsidR="00E162A6">
        <w:t>right</w:t>
      </w:r>
      <w:r w:rsidR="002B3582">
        <w:t xml:space="preserve"> </w:t>
      </w:r>
      <w:r w:rsidR="00354C9F">
        <w:t xml:space="preserve">of the count </w:t>
      </w:r>
      <w:r w:rsidR="00354C9F" w:rsidRPr="00F60BB6">
        <w:t>propensity scale, which has the effect of reducing</w:t>
      </w:r>
      <w:r w:rsidR="00354C9F">
        <w:t xml:space="preserve"> the probability of </w:t>
      </w:r>
      <w:r w:rsidR="002B3582">
        <w:t xml:space="preserve">the </w:t>
      </w:r>
      <w:r w:rsidR="00354C9F">
        <w:t>zero count</w:t>
      </w:r>
      <w:r w:rsidR="00B0464B">
        <w:t xml:space="preserve"> (see CPB</w:t>
      </w:r>
      <w:r w:rsidR="00E162A6">
        <w:t>, 2012</w:t>
      </w:r>
      <w:r w:rsidR="00354C9F" w:rsidRPr="00F60BB6">
        <w:t>). On the other hand, a negative coefficient shifts all the threshold</w:t>
      </w:r>
      <w:r w:rsidR="00354C9F">
        <w:t xml:space="preserve">s to the </w:t>
      </w:r>
      <w:r w:rsidR="00E162A6">
        <w:t>left</w:t>
      </w:r>
      <w:r w:rsidR="00354C9F">
        <w:t xml:space="preserve"> of the count </w:t>
      </w:r>
      <w:r w:rsidR="00354C9F" w:rsidRPr="00F60BB6">
        <w:t>propensity scale, which has the effect of increasing</w:t>
      </w:r>
      <w:r w:rsidR="00354C9F">
        <w:t xml:space="preserve"> the </w:t>
      </w:r>
      <w:r w:rsidR="00354C9F">
        <w:lastRenderedPageBreak/>
        <w:t xml:space="preserve">probability of </w:t>
      </w:r>
      <w:r w:rsidR="002B3582">
        <w:t xml:space="preserve">the </w:t>
      </w:r>
      <w:r w:rsidR="00354C9F">
        <w:t>zero count</w:t>
      </w:r>
      <w:r w:rsidR="002B3582">
        <w:t>s</w:t>
      </w:r>
      <w:r w:rsidR="00354C9F" w:rsidRPr="00F60BB6">
        <w:t xml:space="preserve">. </w:t>
      </w:r>
      <w:r w:rsidR="00354C9F">
        <w:t xml:space="preserve"> </w:t>
      </w:r>
      <w:r w:rsidR="00D208B6">
        <w:t>The T</w:t>
      </w:r>
      <w:r w:rsidR="00AF22EE">
        <w:t>able 4</w:t>
      </w:r>
      <w:r w:rsidR="00D208B6">
        <w:t xml:space="preserve"> coefficients for the count outcomes correspond to endogenous recursive effects as embedded in the </w:t>
      </w:r>
      <w:r w:rsidR="00D208B6" w:rsidRPr="00BE3663">
        <w:rPr>
          <w:position w:val="-10"/>
        </w:rPr>
        <w:object w:dxaOrig="200" w:dyaOrig="320" w14:anchorId="65398302">
          <v:shape id="_x0000_i1235" type="#_x0000_t75" style="width:10.9pt;height:15.9pt" o:ole="">
            <v:imagedata r:id="rId416" o:title=""/>
          </v:shape>
          <o:OLEObject Type="Embed" ProgID="Equation.3" ShapeID="_x0000_i1235" DrawAspect="Content" ObjectID="_1493479701" r:id="rId422"/>
        </w:object>
      </w:r>
      <w:r w:rsidR="00F65B91">
        <w:t xml:space="preserve"> </w:t>
      </w:r>
      <w:r w:rsidR="00D208B6">
        <w:t xml:space="preserve">matrix within the threshold. In addition to the effects mentioned above, </w:t>
      </w:r>
      <w:r w:rsidR="00B34416">
        <w:t xml:space="preserve">for each count variable, we also have the </w:t>
      </w:r>
      <w:r w:rsidR="00B34416" w:rsidRPr="00417C1C">
        <w:t xml:space="preserve">dispersion parameter </w:t>
      </w:r>
      <w:r w:rsidR="00B34416" w:rsidRPr="00CF0952">
        <w:rPr>
          <w:position w:val="-12"/>
        </w:rPr>
        <w:object w:dxaOrig="260" w:dyaOrig="360" w14:anchorId="6A63D611">
          <v:shape id="_x0000_i1236" type="#_x0000_t75" style="width:11.7pt;height:18.4pt" o:ole="">
            <v:imagedata r:id="rId172" o:title=""/>
          </v:shape>
          <o:OLEObject Type="Embed" ProgID="Equation.3" ShapeID="_x0000_i1236" DrawAspect="Content" ObjectID="_1493479702" r:id="rId423"/>
        </w:object>
      </w:r>
      <w:r w:rsidR="00B34416" w:rsidRPr="00CF0952">
        <w:t xml:space="preserve"> </w:t>
      </w:r>
      <w:r w:rsidR="00B34416">
        <w:t xml:space="preserve">and </w:t>
      </w:r>
      <w:r w:rsidR="00B34416" w:rsidRPr="00CF0952">
        <w:t xml:space="preserve">the </w:t>
      </w:r>
      <w:r w:rsidR="005E1FBA" w:rsidRPr="00CF0952">
        <w:rPr>
          <w:position w:val="-12"/>
        </w:rPr>
        <w:object w:dxaOrig="300" w:dyaOrig="360" w14:anchorId="13182B10">
          <v:shape id="_x0000_i1237" type="#_x0000_t75" style="width:15.05pt;height:18.4pt" o:ole="" o:preferrelative="f">
            <v:imagedata r:id="rId186" o:title=""/>
            <o:lock v:ext="edit" aspectratio="f"/>
          </v:shape>
          <o:OLEObject Type="Embed" ProgID="Equation.3" ShapeID="_x0000_i1237" DrawAspect="Content" ObjectID="_1493479703" r:id="rId424"/>
        </w:object>
      </w:r>
      <w:r w:rsidR="00B34416" w:rsidRPr="00CF0952">
        <w:rPr>
          <w:position w:val="-14"/>
        </w:rPr>
        <w:t xml:space="preserve"> </w:t>
      </w:r>
      <w:r w:rsidR="00B34416">
        <w:t>vectors</w:t>
      </w:r>
      <w:r w:rsidR="00B34416" w:rsidRPr="00CF0952">
        <w:t xml:space="preserve"> in the thresholds </w:t>
      </w:r>
      <w:r w:rsidR="002B3582">
        <w:t>that provide</w:t>
      </w:r>
      <w:r w:rsidR="00B34416" w:rsidRPr="00CF0952">
        <w:t xml:space="preserve"> flexibility to accommodate high or low probability masses for specific count outcomes</w:t>
      </w:r>
      <w:r w:rsidR="00B34416">
        <w:t>. In our empirical analysis, th</w:t>
      </w:r>
      <w:r w:rsidR="00B34416" w:rsidRPr="009B5526">
        <w:t xml:space="preserve">e </w:t>
      </w:r>
      <w:r w:rsidR="00B34416">
        <w:t>final model specifications for the two count outcomes</w:t>
      </w:r>
      <w:r w:rsidR="00B34416" w:rsidRPr="009B5526">
        <w:t xml:space="preserve"> </w:t>
      </w:r>
      <w:r w:rsidR="00B34416">
        <w:t xml:space="preserve">(number of bathrooms and bedrooms) collapsed to </w:t>
      </w:r>
      <w:r w:rsidR="00B34416" w:rsidRPr="009B5526">
        <w:t>a Poisson generating process. In particular, the</w:t>
      </w:r>
      <w:r w:rsidR="00B34416" w:rsidRPr="009B5526">
        <w:rPr>
          <w:i/>
        </w:rPr>
        <w:t xml:space="preserve"> </w:t>
      </w:r>
      <w:r w:rsidR="007D68AB" w:rsidRPr="003B07B7">
        <w:rPr>
          <w:position w:val="-12"/>
        </w:rPr>
        <w:object w:dxaOrig="260" w:dyaOrig="360" w14:anchorId="2138B2F8">
          <v:shape id="_x0000_i1238" type="#_x0000_t75" style="width:12.55pt;height:18.4pt" o:ole="" o:preferrelative="f">
            <v:imagedata r:id="rId425" o:title=""/>
            <o:lock v:ext="edit" aspectratio="f"/>
          </v:shape>
          <o:OLEObject Type="Embed" ProgID="Equation.3" ShapeID="_x0000_i1238" DrawAspect="Content" ObjectID="_1493479704" r:id="rId426"/>
        </w:object>
      </w:r>
      <w:r w:rsidR="00B34416">
        <w:t xml:space="preserve"> </w:t>
      </w:r>
      <w:r w:rsidR="00B34416" w:rsidRPr="009B5526">
        <w:t>parameter</w:t>
      </w:r>
      <w:r w:rsidR="00B34416">
        <w:t>s</w:t>
      </w:r>
      <w:r w:rsidR="00B34416" w:rsidRPr="009B5526">
        <w:t xml:space="preserve"> </w:t>
      </w:r>
      <w:r w:rsidR="00B34416">
        <w:t>for these two count variables (</w:t>
      </w:r>
      <w:r w:rsidR="00B34416">
        <w:rPr>
          <w:i/>
        </w:rPr>
        <w:t>c</w:t>
      </w:r>
      <w:r w:rsidR="00B34416">
        <w:t>=1</w:t>
      </w:r>
      <w:proofErr w:type="gramStart"/>
      <w:r w:rsidR="00B34416">
        <w:t>,2</w:t>
      </w:r>
      <w:proofErr w:type="gramEnd"/>
      <w:r w:rsidR="00B34416">
        <w:t xml:space="preserve">) </w:t>
      </w:r>
      <w:r w:rsidR="00B34416" w:rsidRPr="009B5526">
        <w:t>became quite large in the estimations</w:t>
      </w:r>
      <w:r w:rsidR="001B6602">
        <w:t xml:space="preserve"> </w:t>
      </w:r>
      <w:r w:rsidR="007D68AB" w:rsidRPr="003B07B7">
        <w:rPr>
          <w:position w:val="-12"/>
        </w:rPr>
        <w:object w:dxaOrig="1020" w:dyaOrig="360" w14:anchorId="78DEF9FB">
          <v:shape id="_x0000_i1239" type="#_x0000_t75" style="width:51.05pt;height:18.4pt" o:ole="" o:preferrelative="f">
            <v:imagedata r:id="rId427" o:title=""/>
            <o:lock v:ext="edit" aspectratio="f"/>
          </v:shape>
          <o:OLEObject Type="Embed" ProgID="Equation.3" ShapeID="_x0000_i1239" DrawAspect="Content" ObjectID="_1493479705" r:id="rId428"/>
        </w:object>
      </w:r>
      <w:r w:rsidR="00B34416" w:rsidRPr="009B5526">
        <w:t xml:space="preserve"> </w:t>
      </w:r>
      <w:r w:rsidR="00B34416">
        <w:t xml:space="preserve">and the resulting specifications could not be distinguished from corresponding </w:t>
      </w:r>
      <w:r w:rsidR="00B34416" w:rsidRPr="009B5526">
        <w:t>Poisson-based latent variable specification</w:t>
      </w:r>
      <w:r w:rsidR="00B34416">
        <w:t xml:space="preserve">s. </w:t>
      </w:r>
      <w:r w:rsidR="00B34416" w:rsidRPr="00CF0952">
        <w:t xml:space="preserve"> </w:t>
      </w:r>
      <w:r w:rsidR="00B34416" w:rsidRPr="00417C1C">
        <w:t xml:space="preserve">In </w:t>
      </w:r>
      <w:r w:rsidR="00B34416">
        <w:t xml:space="preserve">terms of the </w:t>
      </w:r>
      <w:r w:rsidR="00E162A6" w:rsidRPr="00CF0952">
        <w:rPr>
          <w:position w:val="-12"/>
        </w:rPr>
        <w:object w:dxaOrig="279" w:dyaOrig="360" w14:anchorId="1736A9BD">
          <v:shape id="_x0000_i1240" type="#_x0000_t75" style="width:14.25pt;height:18.4pt" o:ole="">
            <v:imagedata r:id="rId429" o:title=""/>
          </v:shape>
          <o:OLEObject Type="Embed" ProgID="Equation.3" ShapeID="_x0000_i1240" DrawAspect="Content" ObjectID="_1493479706" r:id="rId430"/>
        </w:object>
      </w:r>
      <w:r w:rsidR="00754FB3">
        <w:t xml:space="preserve"> vectors, we needed three flexibility terms for the </w:t>
      </w:r>
      <w:r w:rsidR="002B3582">
        <w:t>“</w:t>
      </w:r>
      <w:r w:rsidR="00754FB3">
        <w:t>number of bedroom</w:t>
      </w:r>
      <w:r w:rsidR="002B3582">
        <w:t>s”</w:t>
      </w:r>
      <w:r w:rsidR="00754FB3">
        <w:t xml:space="preserve"> dependent </w:t>
      </w:r>
      <w:proofErr w:type="gramStart"/>
      <w:r w:rsidR="00754FB3">
        <w:t xml:space="preserve">outcome </w:t>
      </w:r>
      <w:r w:rsidR="005B3DD4">
        <w:t xml:space="preserve"> </w:t>
      </w:r>
      <w:r w:rsidR="00754FB3">
        <w:t>(</w:t>
      </w:r>
      <w:proofErr w:type="gramEnd"/>
      <w:r w:rsidR="007D68AB" w:rsidRPr="0015281F">
        <w:rPr>
          <w:position w:val="-14"/>
        </w:rPr>
        <w:object w:dxaOrig="1160" w:dyaOrig="380" w14:anchorId="271A82BD">
          <v:shape id="_x0000_i1241" type="#_x0000_t75" style="width:58.6pt;height:18.4pt" o:ole="" o:preferrelative="f">
            <v:imagedata r:id="rId431" o:title=""/>
            <o:lock v:ext="edit" aspectratio="f"/>
          </v:shape>
          <o:OLEObject Type="Embed" ProgID="Equation.3" ShapeID="_x0000_i1241" DrawAspect="Content" ObjectID="_1493479707" r:id="rId432"/>
        </w:object>
      </w:r>
      <w:r w:rsidR="00754FB3">
        <w:t xml:space="preserve"> with a t-statistic of</w:t>
      </w:r>
      <w:r w:rsidR="007328DB">
        <w:t xml:space="preserve"> </w:t>
      </w:r>
      <w:r w:rsidR="001B6602">
        <w:t>7.06</w:t>
      </w:r>
      <w:r w:rsidR="00F65B91">
        <w:t>,</w:t>
      </w:r>
      <w:r w:rsidR="007D68AB" w:rsidRPr="0015281F">
        <w:rPr>
          <w:position w:val="-14"/>
        </w:rPr>
        <w:object w:dxaOrig="1320" w:dyaOrig="380" w14:anchorId="3F1666A6">
          <v:shape id="_x0000_i1242" type="#_x0000_t75" style="width:66.15pt;height:18.4pt" o:ole="" o:preferrelative="f">
            <v:imagedata r:id="rId433" o:title=""/>
            <o:lock v:ext="edit" aspectratio="f"/>
          </v:shape>
          <o:OLEObject Type="Embed" ProgID="Equation.3" ShapeID="_x0000_i1242" DrawAspect="Content" ObjectID="_1493479708" r:id="rId434"/>
        </w:object>
      </w:r>
      <w:r w:rsidR="00754FB3">
        <w:t xml:space="preserve"> with a t-statistic of</w:t>
      </w:r>
      <w:r w:rsidR="007328DB">
        <w:t xml:space="preserve"> </w:t>
      </w:r>
      <w:r w:rsidR="001B6602">
        <w:t>12.43</w:t>
      </w:r>
      <w:r w:rsidR="00754FB3">
        <w:t xml:space="preserve">, and </w:t>
      </w:r>
      <w:r w:rsidR="007D68AB" w:rsidRPr="00754FB3">
        <w:rPr>
          <w:position w:val="-14"/>
        </w:rPr>
        <w:object w:dxaOrig="1140" w:dyaOrig="380" w14:anchorId="596CCDE9">
          <v:shape id="_x0000_i1243" type="#_x0000_t75" style="width:56.95pt;height:18.4pt" o:ole="" o:preferrelative="f">
            <v:imagedata r:id="rId435" o:title=""/>
            <o:lock v:ext="edit" aspectratio="f"/>
          </v:shape>
          <o:OLEObject Type="Embed" ProgID="Equation.3" ShapeID="_x0000_i1243" DrawAspect="Content" ObjectID="_1493479709" r:id="rId436"/>
        </w:object>
      </w:r>
      <w:r w:rsidR="00754FB3">
        <w:t xml:space="preserve"> with a t-statistic of</w:t>
      </w:r>
      <w:r w:rsidR="00CD28FB">
        <w:t xml:space="preserve"> </w:t>
      </w:r>
      <w:r w:rsidR="001B6602">
        <w:t>32.13</w:t>
      </w:r>
      <w:r w:rsidR="00754FB3">
        <w:t xml:space="preserve">). There was no need for any flexibility terms for the number of bathrooms. </w:t>
      </w:r>
      <w:r w:rsidR="00E162A6">
        <w:t>The constant</w:t>
      </w:r>
      <w:r w:rsidR="00285D2B">
        <w:t>s</w:t>
      </w:r>
      <w:r w:rsidR="00E162A6">
        <w:t xml:space="preserve"> </w:t>
      </w:r>
      <w:r w:rsidR="00E162A6" w:rsidRPr="001D4822">
        <w:t>(t-stat</w:t>
      </w:r>
      <w:r w:rsidR="00E162A6">
        <w:t xml:space="preserve">istics) corresponding to </w:t>
      </w:r>
      <w:r w:rsidR="001B6602">
        <w:t xml:space="preserve">the </w:t>
      </w:r>
      <w:r w:rsidR="00E162A6">
        <w:t>number of</w:t>
      </w:r>
      <w:r w:rsidR="007328DB">
        <w:t xml:space="preserve"> bedrooms and bathrooms </w:t>
      </w:r>
      <w:r w:rsidR="00E01894">
        <w:t>we</w:t>
      </w:r>
      <w:r w:rsidR="00285D2B">
        <w:t>re</w:t>
      </w:r>
      <w:r w:rsidR="007328DB">
        <w:t xml:space="preserve"> 0.233 </w:t>
      </w:r>
      <w:r w:rsidR="001B6602">
        <w:t>(8.1</w:t>
      </w:r>
      <w:r w:rsidR="00A701FF">
        <w:t>0)</w:t>
      </w:r>
      <w:r w:rsidR="007328DB">
        <w:t xml:space="preserve"> and</w:t>
      </w:r>
      <w:r w:rsidR="004A3562">
        <w:t xml:space="preserve"> </w:t>
      </w:r>
      <w:r w:rsidR="00775BA5">
        <w:t>–</w:t>
      </w:r>
      <w:r w:rsidR="001B6602">
        <w:t>0.525 (</w:t>
      </w:r>
      <w:r w:rsidR="00775BA5">
        <w:t>–</w:t>
      </w:r>
      <w:r w:rsidR="001B6602">
        <w:t>17.29</w:t>
      </w:r>
      <w:r w:rsidR="00A701FF">
        <w:t>)</w:t>
      </w:r>
      <w:r w:rsidR="00285D2B">
        <w:t xml:space="preserve">, </w:t>
      </w:r>
      <w:r w:rsidR="00E162A6">
        <w:t xml:space="preserve">respectively.  </w:t>
      </w:r>
    </w:p>
    <w:p w14:paraId="40B24314" w14:textId="77777777" w:rsidR="00B800FC" w:rsidRDefault="00FD1CCA" w:rsidP="00B800FC">
      <w:pPr>
        <w:ind w:firstLine="720"/>
        <w:jc w:val="both"/>
      </w:pPr>
      <w:r w:rsidRPr="00866989">
        <w:t>The final model specification was obtained after a</w:t>
      </w:r>
      <w:r w:rsidR="007F539A">
        <w:t xml:space="preserve"> comprehensive</w:t>
      </w:r>
      <w:r w:rsidRPr="00866989">
        <w:t xml:space="preserve"> iterative process in which </w:t>
      </w:r>
      <w:r w:rsidR="007F539A">
        <w:t>different functional forms for variables (such as a continuous</w:t>
      </w:r>
      <w:r w:rsidR="002B3582">
        <w:t xml:space="preserve"> linear form</w:t>
      </w:r>
      <w:r w:rsidR="007F539A">
        <w:t>, piecewise-linear forms, logarithmic form, and discrete categories) and different ways of including demographic variables (such as presence of children and marital status o</w:t>
      </w:r>
      <w:r w:rsidR="002B3582">
        <w:t>f adults separately versus a si</w:t>
      </w:r>
      <w:r w:rsidR="007F539A">
        <w:t>n</w:t>
      </w:r>
      <w:r w:rsidR="002B3582">
        <w:t>g</w:t>
      </w:r>
      <w:r w:rsidR="007F539A">
        <w:t xml:space="preserve">le combined family structure variable) were considered. Also, </w:t>
      </w:r>
      <w:r w:rsidRPr="00866989">
        <w:t>model coefficients were examined with respect to their intuitive behavioral interpretation</w:t>
      </w:r>
      <w:r w:rsidR="007F539A">
        <w:t xml:space="preserve">s </w:t>
      </w:r>
      <w:r>
        <w:t>and statistical significance</w:t>
      </w:r>
      <w:r w:rsidR="007F539A">
        <w:t xml:space="preserve"> levels</w:t>
      </w:r>
      <w:r>
        <w:t>.</w:t>
      </w:r>
      <w:r w:rsidRPr="002F4F29">
        <w:t xml:space="preserve"> </w:t>
      </w:r>
      <w:r w:rsidR="007F539A">
        <w:t xml:space="preserve">All of these issues, along with data fit, were considered in developing the final variable specification. </w:t>
      </w:r>
      <w:r w:rsidRPr="002F4F29">
        <w:t>In the next section, we discuss the effect</w:t>
      </w:r>
      <w:r w:rsidR="007F539A">
        <w:t>s</w:t>
      </w:r>
      <w:r w:rsidRPr="002F4F29">
        <w:t xml:space="preserve"> of exogenous variables and latent constructs on all the dependent variables (characteristics of dwelling unit)</w:t>
      </w:r>
      <w:r w:rsidR="002B3582">
        <w:t>,</w:t>
      </w:r>
      <w:r w:rsidRPr="002F4F29">
        <w:t xml:space="preserve"> followed by </w:t>
      </w:r>
      <w:r w:rsidR="007F539A">
        <w:t xml:space="preserve">the effects of </w:t>
      </w:r>
      <w:r w:rsidRPr="002F4F29">
        <w:t>endogenous effects.</w:t>
      </w:r>
      <w:r>
        <w:t xml:space="preserve">  </w:t>
      </w:r>
    </w:p>
    <w:p w14:paraId="30BAF35C" w14:textId="77777777" w:rsidR="00B800FC" w:rsidRDefault="00B800FC" w:rsidP="00B800FC">
      <w:pPr>
        <w:ind w:firstLine="720"/>
        <w:jc w:val="both"/>
      </w:pPr>
    </w:p>
    <w:p w14:paraId="790F8D15" w14:textId="77777777" w:rsidR="00B800FC" w:rsidRPr="00B800FC" w:rsidRDefault="00CE62B2" w:rsidP="00B800FC">
      <w:pPr>
        <w:jc w:val="both"/>
        <w:rPr>
          <w:i/>
        </w:rPr>
      </w:pPr>
      <w:r w:rsidRPr="00B800FC">
        <w:rPr>
          <w:i/>
        </w:rPr>
        <w:t>3</w:t>
      </w:r>
      <w:r w:rsidR="00FD1CCA" w:rsidRPr="00B800FC">
        <w:rPr>
          <w:i/>
        </w:rPr>
        <w:t xml:space="preserve">.6.1 Effects of </w:t>
      </w:r>
      <w:r w:rsidR="00F65B91" w:rsidRPr="00B800FC">
        <w:rPr>
          <w:i/>
        </w:rPr>
        <w:t>Explanatory V</w:t>
      </w:r>
      <w:r w:rsidR="00FD1CCA" w:rsidRPr="00B800FC">
        <w:rPr>
          <w:i/>
        </w:rPr>
        <w:t>ariables</w:t>
      </w:r>
    </w:p>
    <w:p w14:paraId="109AD91E" w14:textId="64A46247" w:rsidR="00B05931" w:rsidRDefault="002C2F24" w:rsidP="00B800FC">
      <w:pPr>
        <w:jc w:val="both"/>
      </w:pPr>
      <w:r w:rsidRPr="00AD56E9">
        <w:t xml:space="preserve">The family structure of the household is </w:t>
      </w:r>
      <w:r w:rsidR="007F539A">
        <w:t>the first variable in Table 3, and is introduced in the form of a set of categories (with married couples with no children</w:t>
      </w:r>
      <w:r w:rsidR="00B24E55">
        <w:t>, or simply couple family, forming the base category): (a) s</w:t>
      </w:r>
      <w:r w:rsidR="007F539A">
        <w:t xml:space="preserve">ingle </w:t>
      </w:r>
      <w:r w:rsidR="00B05931">
        <w:t>person (never married) household</w:t>
      </w:r>
      <w:r w:rsidR="007F539A">
        <w:t xml:space="preserve"> </w:t>
      </w:r>
      <w:r w:rsidR="00B24E55">
        <w:t xml:space="preserve">(from </w:t>
      </w:r>
      <w:proofErr w:type="spellStart"/>
      <w:r w:rsidR="00B24E55">
        <w:t>hereon</w:t>
      </w:r>
      <w:proofErr w:type="spellEnd"/>
      <w:r w:rsidR="00B24E55">
        <w:t xml:space="preserve"> referred to as </w:t>
      </w:r>
      <w:r w:rsidR="00B05931">
        <w:t xml:space="preserve">a </w:t>
      </w:r>
      <w:r w:rsidR="00B24E55">
        <w:t xml:space="preserve">single person </w:t>
      </w:r>
      <w:r w:rsidR="00B05931">
        <w:t xml:space="preserve">NM </w:t>
      </w:r>
      <w:r w:rsidR="00B24E55">
        <w:t>household), (b) single person (</w:t>
      </w:r>
      <w:r w:rsidR="00B24E55" w:rsidRPr="002F4F29">
        <w:t>separated/divorced</w:t>
      </w:r>
      <w:r w:rsidR="00B24E55">
        <w:t>)</w:t>
      </w:r>
      <w:r w:rsidR="00B24E55" w:rsidRPr="002F4F29">
        <w:t xml:space="preserve"> household</w:t>
      </w:r>
      <w:r w:rsidR="00B24E55">
        <w:t xml:space="preserve"> (or single </w:t>
      </w:r>
      <w:r w:rsidR="00B24E55">
        <w:lastRenderedPageBreak/>
        <w:t xml:space="preserve">person S/D household), (c) nuclear </w:t>
      </w:r>
      <w:r>
        <w:t>family</w:t>
      </w:r>
      <w:r w:rsidR="00B24E55">
        <w:t xml:space="preserve"> household</w:t>
      </w:r>
      <w:r>
        <w:t xml:space="preserve"> (</w:t>
      </w:r>
      <w:r w:rsidRPr="002F4F29">
        <w:t xml:space="preserve">married couple </w:t>
      </w:r>
      <w:r>
        <w:t>with one or more children)</w:t>
      </w:r>
      <w:r w:rsidRPr="002F4F29">
        <w:t>,</w:t>
      </w:r>
      <w:r w:rsidR="00B24E55">
        <w:t xml:space="preserve"> </w:t>
      </w:r>
      <w:r w:rsidR="00E4221C">
        <w:t>and</w:t>
      </w:r>
      <w:r w:rsidR="00A91E18">
        <w:t xml:space="preserve"> (d) </w:t>
      </w:r>
      <w:r>
        <w:t>other household</w:t>
      </w:r>
      <w:r w:rsidR="00A91E18">
        <w:t>s</w:t>
      </w:r>
      <w:r>
        <w:t xml:space="preserve"> (such as </w:t>
      </w:r>
      <w:r w:rsidR="00E4221C">
        <w:t xml:space="preserve">single parent households, </w:t>
      </w:r>
      <w:r>
        <w:t xml:space="preserve">presence of a widow </w:t>
      </w:r>
      <w:r w:rsidR="00E4221C">
        <w:t xml:space="preserve">with other adults </w:t>
      </w:r>
      <w:r>
        <w:t>in the household, roommates</w:t>
      </w:r>
      <w:r w:rsidR="00A91E18">
        <w:t>,</w:t>
      </w:r>
      <w:r>
        <w:t xml:space="preserve"> and joint families </w:t>
      </w:r>
      <w:r w:rsidR="00A91E18">
        <w:t>with two or more adults</w:t>
      </w:r>
      <w:r>
        <w:t>)</w:t>
      </w:r>
      <w:r w:rsidR="00E4221C">
        <w:t xml:space="preserve">. The last category of “other” households comprised less than 9.5% of all households, with very few households in any single sub-category in this broad “other” category to meaningfully differentiate between. </w:t>
      </w:r>
      <w:r w:rsidRPr="00AD56E9">
        <w:t xml:space="preserve">The results in Table 3 indicate that </w:t>
      </w:r>
      <w:r w:rsidR="00D82D99">
        <w:t xml:space="preserve">single person </w:t>
      </w:r>
      <w:r w:rsidR="00B05931">
        <w:t xml:space="preserve">NM </w:t>
      </w:r>
      <w:r w:rsidR="00BF1F4B">
        <w:t xml:space="preserve">households and single person S/D households are more likely </w:t>
      </w:r>
      <w:r w:rsidR="00B05931">
        <w:t xml:space="preserve">(than couple and nuclear families) </w:t>
      </w:r>
      <w:r w:rsidR="00BF1F4B">
        <w:t xml:space="preserve">to live in rented apartments rather than owned single family homes, perhaps as a way of increasing social interaction </w:t>
      </w:r>
      <w:r w:rsidR="00B05931">
        <w:t xml:space="preserve">and activity participation </w:t>
      </w:r>
      <w:r w:rsidR="00BF1F4B">
        <w:t xml:space="preserve">opportunities. </w:t>
      </w:r>
      <w:r w:rsidR="00721354">
        <w:t>This is reinfor</w:t>
      </w:r>
      <w:r w:rsidR="00582E27">
        <w:t xml:space="preserve">ced, in particular, for single person NM households who are more likely to live in high density secondary and primary cities rather than in the suburbs. Our finding is consistent with that of </w:t>
      </w:r>
      <w:r w:rsidR="00065DA9" w:rsidRPr="00065DA9">
        <w:rPr>
          <w:shd w:val="clear" w:color="auto" w:fill="FFFFFF"/>
        </w:rPr>
        <w:t>Boehm</w:t>
      </w:r>
      <w:r w:rsidR="00582E27" w:rsidRPr="00065DA9">
        <w:t xml:space="preserve"> </w:t>
      </w:r>
      <w:r w:rsidR="00065DA9" w:rsidRPr="00065DA9">
        <w:t xml:space="preserve">and </w:t>
      </w:r>
      <w:proofErr w:type="spellStart"/>
      <w:r w:rsidR="00065DA9" w:rsidRPr="00065DA9">
        <w:rPr>
          <w:shd w:val="clear" w:color="auto" w:fill="FFFFFF"/>
        </w:rPr>
        <w:t>Schlottmann</w:t>
      </w:r>
      <w:proofErr w:type="spellEnd"/>
      <w:r w:rsidR="00065DA9" w:rsidRPr="00065DA9">
        <w:t xml:space="preserve"> </w:t>
      </w:r>
      <w:r w:rsidR="00582E27" w:rsidRPr="00065DA9">
        <w:t xml:space="preserve">(2014) </w:t>
      </w:r>
      <w:r w:rsidR="00582E27">
        <w:t>who note that “In particular, single males, single females, and those homeowners recently experiencing a change in marital status (</w:t>
      </w:r>
      <w:r w:rsidR="00582E27" w:rsidRPr="00775BA5">
        <w:rPr>
          <w:i/>
        </w:rPr>
        <w:t>e.g.</w:t>
      </w:r>
      <w:r w:rsidR="00582E27">
        <w:t xml:space="preserve">, divorce, death of a </w:t>
      </w:r>
      <w:r w:rsidR="002B3582">
        <w:t>s</w:t>
      </w:r>
      <w:r w:rsidR="00582E27">
        <w:t xml:space="preserve">pouse, </w:t>
      </w:r>
      <w:r w:rsidR="00582E27" w:rsidRPr="006A06F2">
        <w:rPr>
          <w:i/>
        </w:rPr>
        <w:t>etc</w:t>
      </w:r>
      <w:r w:rsidR="00582E27">
        <w:t xml:space="preserve">.) would be more likely to transition back to rental tenure”. </w:t>
      </w:r>
      <w:r w:rsidR="002B3582">
        <w:t>S</w:t>
      </w:r>
      <w:r w:rsidR="00582E27">
        <w:t xml:space="preserve">ingle person </w:t>
      </w:r>
      <w:r w:rsidR="002B3582">
        <w:t xml:space="preserve">NM </w:t>
      </w:r>
      <w:r w:rsidR="00B05931">
        <w:t>households also appear to prefer single-</w:t>
      </w:r>
      <w:proofErr w:type="spellStart"/>
      <w:r w:rsidR="00B05931">
        <w:t>storey</w:t>
      </w:r>
      <w:proofErr w:type="spellEnd"/>
      <w:r w:rsidR="00B05931">
        <w:t xml:space="preserve"> units to multi-</w:t>
      </w:r>
      <w:proofErr w:type="spellStart"/>
      <w:r w:rsidR="00B05931">
        <w:t>storey</w:t>
      </w:r>
      <w:proofErr w:type="spellEnd"/>
      <w:r w:rsidR="00B05931">
        <w:t xml:space="preserve"> uni</w:t>
      </w:r>
      <w:r w:rsidR="003107FC">
        <w:t>ts. In contrast, nuclear famil</w:t>
      </w:r>
      <w:r w:rsidR="00B05931">
        <w:t>ies have the highest preference of all family types to live in a single family dwelling unit, perhaps because of a perception that such dwelling units provide more security and a better quality of living space for the children (</w:t>
      </w:r>
      <w:r w:rsidR="00657F55">
        <w:t xml:space="preserve">see </w:t>
      </w:r>
      <w:r w:rsidR="005A439B">
        <w:t xml:space="preserve">Mulder and </w:t>
      </w:r>
      <w:proofErr w:type="spellStart"/>
      <w:r w:rsidR="005A439B">
        <w:t>Lauster</w:t>
      </w:r>
      <w:proofErr w:type="spellEnd"/>
      <w:r w:rsidR="005A439B">
        <w:t>, 2010</w:t>
      </w:r>
      <w:r w:rsidR="00657F55">
        <w:t>). Finally, in the category of family structure variables,</w:t>
      </w:r>
      <w:r w:rsidR="002B3582">
        <w:t xml:space="preserve"> relative to couple family househ</w:t>
      </w:r>
      <w:r w:rsidR="00657F55">
        <w:t xml:space="preserve">olds, </w:t>
      </w:r>
      <w:r w:rsidR="00B05931">
        <w:t>“other” households prefer rented single-</w:t>
      </w:r>
      <w:proofErr w:type="spellStart"/>
      <w:r w:rsidR="00B05931">
        <w:t>storey</w:t>
      </w:r>
      <w:proofErr w:type="spellEnd"/>
      <w:r w:rsidR="00B05931">
        <w:t xml:space="preserve"> apa</w:t>
      </w:r>
      <w:r w:rsidR="00657F55">
        <w:t>rtments.</w:t>
      </w:r>
    </w:p>
    <w:p w14:paraId="24C01DA1" w14:textId="2DA47FA3" w:rsidR="00F56098" w:rsidRPr="00186F23" w:rsidRDefault="00A50A80" w:rsidP="0070380B">
      <w:pPr>
        <w:autoSpaceDE w:val="0"/>
        <w:autoSpaceDN w:val="0"/>
        <w:adjustRightInd w:val="0"/>
        <w:ind w:firstLine="720"/>
        <w:jc w:val="both"/>
        <w:rPr>
          <w:rFonts w:eastAsiaTheme="minorHAnsi"/>
        </w:rPr>
      </w:pPr>
      <w:r w:rsidRPr="00186F23">
        <w:t>Interestingly, t</w:t>
      </w:r>
      <w:r w:rsidR="00A72766" w:rsidRPr="00186F23">
        <w:t xml:space="preserve">he family structure variables discussed above </w:t>
      </w:r>
      <w:r w:rsidRPr="00186F23">
        <w:t xml:space="preserve">that represent the make-up of a household (the relationship among individuals residing within a dwelling unit) directly </w:t>
      </w:r>
      <w:r w:rsidR="00A72766" w:rsidRPr="00186F23">
        <w:t xml:space="preserve">influence </w:t>
      </w:r>
      <w:r w:rsidRPr="00186F23">
        <w:t xml:space="preserve">the non-size attributes of dwelling unit choice, but do not directly influence the size-related attributes of dwelling unit choice (note, however, that because of the structural </w:t>
      </w:r>
      <w:r w:rsidR="0090456B" w:rsidRPr="00186F23">
        <w:t xml:space="preserve">(endogenous) </w:t>
      </w:r>
      <w:r w:rsidRPr="00186F23">
        <w:t xml:space="preserve">effect of housing type on other housing dimensions, there is an indirect influence of family structure on size-related attributes; for example, single person households prefer apartment living, which, in a recursive manner, implies a smaller square footage of the dwelling unit). On the other hand, the number of children and number of </w:t>
      </w:r>
      <w:proofErr w:type="gramStart"/>
      <w:r w:rsidRPr="00186F23">
        <w:t>adults</w:t>
      </w:r>
      <w:proofErr w:type="gramEnd"/>
      <w:r w:rsidRPr="00186F23">
        <w:t xml:space="preserve"> variables in Table 3 represent the effect of household size in non-single person households</w:t>
      </w:r>
      <w:r w:rsidR="008246DE">
        <w:t xml:space="preserve"> and directly impact the size-related attributes</w:t>
      </w:r>
      <w:r w:rsidRPr="00186F23">
        <w:t xml:space="preserve">. </w:t>
      </w:r>
      <w:r w:rsidR="008246DE">
        <w:t>In particular, and a</w:t>
      </w:r>
      <w:r w:rsidRPr="00186F23">
        <w:t xml:space="preserve">s expected, as the number of children or the number of adults increase, so does the preference for </w:t>
      </w:r>
      <w:r w:rsidR="00FD7E2A" w:rsidRPr="00186F23">
        <w:t xml:space="preserve">a higher square footage of the dwelling unit and the number of bedrooms in the unit, with this positive effect being stronger for older children </w:t>
      </w:r>
      <w:r w:rsidR="00FD7E2A" w:rsidRPr="00186F23">
        <w:lastRenderedPageBreak/>
        <w:t>relative to younger children and for adults relative to children (</w:t>
      </w:r>
      <w:r w:rsidR="00E01894">
        <w:t xml:space="preserve">see </w:t>
      </w:r>
      <w:proofErr w:type="spellStart"/>
      <w:r w:rsidR="005A439B" w:rsidRPr="00186F23">
        <w:t>Frenkel</w:t>
      </w:r>
      <w:proofErr w:type="spellEnd"/>
      <w:r w:rsidR="005A439B" w:rsidRPr="00186F23">
        <w:t xml:space="preserve"> and Kaplan, 2014</w:t>
      </w:r>
      <w:r w:rsidR="00E01894">
        <w:t xml:space="preserve"> for a similar result</w:t>
      </w:r>
      <w:r w:rsidR="00FD7E2A" w:rsidRPr="00186F23">
        <w:t>). But, while the number of children</w:t>
      </w:r>
      <w:r w:rsidR="00DC6ECF" w:rsidRPr="00186F23">
        <w:t xml:space="preserve"> also</w:t>
      </w:r>
      <w:r w:rsidR="00FD7E2A" w:rsidRPr="00186F23">
        <w:t xml:space="preserve"> has a positive impact on lot size and number of bathrooms (with this effect not being different across age groups within children), the number of adults does not have a</w:t>
      </w:r>
      <w:r w:rsidR="0090456B" w:rsidRPr="00186F23">
        <w:t xml:space="preserve">n impact on lot size and only an indirect effect on the number of bathrooms (this latter effect is because of a structural or endogenous effect of square footage on the number of bathrooms, as discussed in the next section). </w:t>
      </w:r>
      <w:r w:rsidR="0085210A" w:rsidRPr="00186F23">
        <w:t xml:space="preserve">The implication is that lot size and </w:t>
      </w:r>
      <w:proofErr w:type="gramStart"/>
      <w:r w:rsidR="0085210A" w:rsidRPr="00186F23">
        <w:t>number of bathrooms are</w:t>
      </w:r>
      <w:proofErr w:type="gramEnd"/>
      <w:r w:rsidR="0085210A" w:rsidRPr="00186F23">
        <w:t xml:space="preserve"> much more tied with the number of children than with the number of adults. This is reasonable, because dwelling units with a large lot size provide outdoor play space for children, while more bathrooms may be preferred to accommodate the biological needs of children</w:t>
      </w:r>
      <w:r w:rsidR="0086785A" w:rsidRPr="00186F23">
        <w:t>. Another explanation related to the effect of children on lot size and number of bathrooms (as well on square footage and number of bedrooms) m</w:t>
      </w:r>
      <w:r w:rsidR="00CE545C">
        <w:t xml:space="preserve">ay be derived from </w:t>
      </w:r>
      <w:r w:rsidR="00C036DC" w:rsidRPr="00186F23">
        <w:rPr>
          <w:rFonts w:eastAsiaTheme="minorHAnsi"/>
        </w:rPr>
        <w:t xml:space="preserve">Mulder and </w:t>
      </w:r>
      <w:proofErr w:type="spellStart"/>
      <w:r w:rsidR="00CE545C">
        <w:t>Lauster’s</w:t>
      </w:r>
      <w:proofErr w:type="spellEnd"/>
      <w:r w:rsidR="00CE545C">
        <w:t xml:space="preserve"> (2010)</w:t>
      </w:r>
      <w:r w:rsidR="0086785A" w:rsidRPr="00186F23">
        <w:t xml:space="preserve"> dramaturgical framework </w:t>
      </w:r>
      <w:r w:rsidR="00186F23" w:rsidRPr="00186F23">
        <w:t>of housin</w:t>
      </w:r>
      <w:r w:rsidR="00CE545C">
        <w:t>g and motherhood</w:t>
      </w:r>
      <w:r w:rsidR="0086785A" w:rsidRPr="00186F23">
        <w:t xml:space="preserve">. In this framework, </w:t>
      </w:r>
      <w:r w:rsidR="00E128EB" w:rsidRPr="00186F23">
        <w:rPr>
          <w:rFonts w:eastAsiaTheme="minorHAnsi"/>
        </w:rPr>
        <w:t xml:space="preserve">Mulder and </w:t>
      </w:r>
      <w:proofErr w:type="spellStart"/>
      <w:r w:rsidR="00E128EB">
        <w:t>Lauster</w:t>
      </w:r>
      <w:proofErr w:type="spellEnd"/>
      <w:r w:rsidR="00E128EB">
        <w:t xml:space="preserve"> propose</w:t>
      </w:r>
      <w:r w:rsidR="0086785A" w:rsidRPr="00186F23">
        <w:t xml:space="preserve"> that housing serves as </w:t>
      </w:r>
      <w:r w:rsidR="009D2B6B" w:rsidRPr="00186F23">
        <w:t xml:space="preserve">both staging matter </w:t>
      </w:r>
      <w:r w:rsidR="0086785A" w:rsidRPr="00186F23">
        <w:t xml:space="preserve">used by actors (the </w:t>
      </w:r>
      <w:r w:rsidR="009D2B6B" w:rsidRPr="00186F23">
        <w:t>main actor</w:t>
      </w:r>
      <w:r w:rsidR="0086785A" w:rsidRPr="00186F23">
        <w:t xml:space="preserve"> here being </w:t>
      </w:r>
      <w:r w:rsidR="009D2B6B" w:rsidRPr="00186F23">
        <w:t xml:space="preserve">the mother, along with other </w:t>
      </w:r>
      <w:r w:rsidR="0086785A" w:rsidRPr="00186F23">
        <w:t>clo</w:t>
      </w:r>
      <w:r w:rsidR="009D2B6B" w:rsidRPr="00186F23">
        <w:t xml:space="preserve">se family members) to set up the </w:t>
      </w:r>
      <w:r w:rsidR="00CE545C">
        <w:t xml:space="preserve">stage </w:t>
      </w:r>
      <w:r w:rsidR="0086785A" w:rsidRPr="00186F23">
        <w:t xml:space="preserve">performance </w:t>
      </w:r>
      <w:r w:rsidR="009D2B6B" w:rsidRPr="00186F23">
        <w:t>of motherhood</w:t>
      </w:r>
      <w:r w:rsidR="00F56098" w:rsidRPr="00186F23">
        <w:t>/</w:t>
      </w:r>
      <w:r w:rsidR="009D2B6B" w:rsidRPr="00186F23">
        <w:t xml:space="preserve">proper family </w:t>
      </w:r>
      <w:proofErr w:type="gramStart"/>
      <w:r w:rsidR="009D2B6B" w:rsidRPr="00186F23">
        <w:t>life  presented</w:t>
      </w:r>
      <w:proofErr w:type="gramEnd"/>
      <w:r w:rsidR="009D2B6B" w:rsidRPr="00186F23">
        <w:t xml:space="preserve"> </w:t>
      </w:r>
      <w:r w:rsidR="0086785A" w:rsidRPr="00186F23">
        <w:t>to the</w:t>
      </w:r>
      <w:r w:rsidR="009D2B6B" w:rsidRPr="00186F23">
        <w:t xml:space="preserve"> wider social world</w:t>
      </w:r>
      <w:r w:rsidR="002A7F5D" w:rsidRPr="00186F23">
        <w:t>,</w:t>
      </w:r>
      <w:r w:rsidR="009D2B6B" w:rsidRPr="00186F23">
        <w:t xml:space="preserve"> as well as staging matter that partitions “the performance space within the family</w:t>
      </w:r>
      <w:r w:rsidR="002A7F5D" w:rsidRPr="00186F23">
        <w:t xml:space="preserve"> </w:t>
      </w:r>
      <w:r w:rsidR="002A7F5D" w:rsidRPr="00186F23">
        <w:rPr>
          <w:rFonts w:eastAsiaTheme="minorHAnsi"/>
        </w:rPr>
        <w:t xml:space="preserve">into </w:t>
      </w:r>
      <w:r w:rsidR="009D2B6B" w:rsidRPr="00186F23">
        <w:rPr>
          <w:rFonts w:eastAsiaTheme="minorHAnsi"/>
        </w:rPr>
        <w:t>adequate</w:t>
      </w:r>
      <w:r w:rsidR="00CE545C">
        <w:rPr>
          <w:rFonts w:eastAsiaTheme="minorHAnsi"/>
        </w:rPr>
        <w:t xml:space="preserve"> </w:t>
      </w:r>
      <w:proofErr w:type="spellStart"/>
      <w:r w:rsidR="00CE545C">
        <w:rPr>
          <w:rFonts w:eastAsiaTheme="minorHAnsi"/>
        </w:rPr>
        <w:t>front</w:t>
      </w:r>
      <w:r w:rsidR="00F56098" w:rsidRPr="00186F23">
        <w:rPr>
          <w:rFonts w:eastAsiaTheme="minorHAnsi"/>
        </w:rPr>
        <w:t>stage</w:t>
      </w:r>
      <w:proofErr w:type="spellEnd"/>
      <w:r w:rsidR="00F56098" w:rsidRPr="00186F23">
        <w:rPr>
          <w:rFonts w:eastAsiaTheme="minorHAnsi"/>
        </w:rPr>
        <w:t xml:space="preserve"> and backstage </w:t>
      </w:r>
      <w:r w:rsidR="002A7F5D" w:rsidRPr="00186F23">
        <w:t>performance space</w:t>
      </w:r>
      <w:r w:rsidR="009D2B6B" w:rsidRPr="00186F23">
        <w:t>.</w:t>
      </w:r>
      <w:r w:rsidR="002A7F5D" w:rsidRPr="00186F23">
        <w:t xml:space="preserve">” </w:t>
      </w:r>
      <w:r w:rsidR="00F56098" w:rsidRPr="00186F23">
        <w:t xml:space="preserve">In particular, </w:t>
      </w:r>
      <w:r w:rsidR="00E128EB" w:rsidRPr="00186F23">
        <w:rPr>
          <w:rFonts w:eastAsiaTheme="minorHAnsi"/>
        </w:rPr>
        <w:t xml:space="preserve">Mulder and </w:t>
      </w:r>
      <w:proofErr w:type="spellStart"/>
      <w:r w:rsidR="00E128EB">
        <w:t>Lauster</w:t>
      </w:r>
      <w:proofErr w:type="spellEnd"/>
      <w:r w:rsidR="00E128EB">
        <w:t xml:space="preserve"> test and show</w:t>
      </w:r>
      <w:r w:rsidR="00F56098" w:rsidRPr="00186F23">
        <w:t xml:space="preserve"> that a higher number of bathrooms and a roomy dwelling unit are representative stage elements to set up as well partition performance space to present </w:t>
      </w:r>
      <w:r w:rsidR="00186F23" w:rsidRPr="00186F23">
        <w:t xml:space="preserve">what society has come to expect and appreciate as </w:t>
      </w:r>
      <w:r w:rsidR="00186F23" w:rsidRPr="00186F23">
        <w:rPr>
          <w:rFonts w:eastAsiaTheme="minorHAnsi"/>
        </w:rPr>
        <w:t xml:space="preserve">a good </w:t>
      </w:r>
      <w:r w:rsidR="00F56098" w:rsidRPr="00186F23">
        <w:rPr>
          <w:rFonts w:eastAsiaTheme="minorHAnsi"/>
        </w:rPr>
        <w:t>performance of privileged motherhood</w:t>
      </w:r>
      <w:r w:rsidR="00186F23" w:rsidRPr="00186F23">
        <w:rPr>
          <w:rFonts w:eastAsiaTheme="minorHAnsi"/>
        </w:rPr>
        <w:t xml:space="preserve">. </w:t>
      </w:r>
      <w:r w:rsidR="00F56098" w:rsidRPr="00186F23">
        <w:rPr>
          <w:rFonts w:eastAsiaTheme="minorHAnsi"/>
        </w:rPr>
        <w:t xml:space="preserve"> </w:t>
      </w:r>
      <w:r w:rsidR="00186F23" w:rsidRPr="00186F23">
        <w:rPr>
          <w:rFonts w:eastAsiaTheme="minorHAnsi"/>
        </w:rPr>
        <w:t xml:space="preserve">Mulder and </w:t>
      </w:r>
      <w:proofErr w:type="spellStart"/>
      <w:r w:rsidR="00186F23" w:rsidRPr="00186F23">
        <w:rPr>
          <w:rFonts w:eastAsiaTheme="minorHAnsi"/>
        </w:rPr>
        <w:t>Lauster</w:t>
      </w:r>
      <w:proofErr w:type="spellEnd"/>
      <w:r w:rsidR="00186F23" w:rsidRPr="00186F23">
        <w:rPr>
          <w:rFonts w:eastAsiaTheme="minorHAnsi"/>
        </w:rPr>
        <w:t xml:space="preserve"> (2010) also discuss this two-way interaction between housing and motherhood, and conclude that “family is as much a context for understanding housing needs and residential outcomes as housing is a context for understanding family events”.</w:t>
      </w:r>
      <w:r w:rsidR="00CE545C">
        <w:rPr>
          <w:rFonts w:eastAsiaTheme="minorHAnsi"/>
        </w:rPr>
        <w:t xml:space="preserve"> </w:t>
      </w:r>
      <w:proofErr w:type="spellStart"/>
      <w:r w:rsidR="00065DA9" w:rsidRPr="00065DA9">
        <w:rPr>
          <w:shd w:val="clear" w:color="auto" w:fill="FFFFFF"/>
        </w:rPr>
        <w:t>Ström</w:t>
      </w:r>
      <w:proofErr w:type="spellEnd"/>
      <w:r w:rsidR="00CE545C" w:rsidRPr="00065DA9">
        <w:rPr>
          <w:rFonts w:eastAsiaTheme="minorHAnsi"/>
        </w:rPr>
        <w:t xml:space="preserve"> </w:t>
      </w:r>
      <w:r w:rsidR="00CE545C">
        <w:rPr>
          <w:rFonts w:eastAsiaTheme="minorHAnsi"/>
        </w:rPr>
        <w:t xml:space="preserve">(2010) similarly finds a strong inter-relationship between dwelling unit size attributes and childbearing. </w:t>
      </w:r>
    </w:p>
    <w:p w14:paraId="04141A8A" w14:textId="0D17F5BA" w:rsidR="008246DE" w:rsidRDefault="003100BE" w:rsidP="003100BE">
      <w:pPr>
        <w:ind w:firstLine="720"/>
        <w:jc w:val="both"/>
      </w:pPr>
      <w:r>
        <w:t>H</w:t>
      </w:r>
      <w:r w:rsidRPr="00AD56E9">
        <w:t xml:space="preserve">ouseholds with </w:t>
      </w:r>
      <w:r w:rsidR="001D613E">
        <w:t xml:space="preserve">senior members (65 years or over) </w:t>
      </w:r>
      <w:r w:rsidRPr="00AD56E9">
        <w:t xml:space="preserve">seem to favor </w:t>
      </w:r>
      <w:r w:rsidR="001D613E">
        <w:t xml:space="preserve">dwelling units with large square footage located in </w:t>
      </w:r>
      <w:r w:rsidR="008246DE">
        <w:t xml:space="preserve">primary and </w:t>
      </w:r>
      <w:r w:rsidRPr="00AD56E9">
        <w:t>se</w:t>
      </w:r>
      <w:r w:rsidR="008246DE">
        <w:t xml:space="preserve">condary </w:t>
      </w:r>
      <w:r w:rsidRPr="00AD56E9">
        <w:t>cities</w:t>
      </w:r>
      <w:r w:rsidR="001D613E">
        <w:t xml:space="preserve"> (rather than located in the suburbs)</w:t>
      </w:r>
      <w:r w:rsidRPr="00AD56E9">
        <w:t xml:space="preserve">, </w:t>
      </w:r>
      <w:r w:rsidR="001D613E">
        <w:t>and are predisposed to owning multi-</w:t>
      </w:r>
      <w:proofErr w:type="spellStart"/>
      <w:r w:rsidR="001D613E">
        <w:t>storey</w:t>
      </w:r>
      <w:proofErr w:type="spellEnd"/>
      <w:r w:rsidR="001D613E">
        <w:t xml:space="preserve"> units with large lot sizes. The preference for large square footage and large lot sizes may be attributed to older members spending more of their time within their dwelling units and their lots</w:t>
      </w:r>
      <w:r w:rsidR="009F5155">
        <w:t xml:space="preserve"> (see </w:t>
      </w:r>
      <w:proofErr w:type="spellStart"/>
      <w:r w:rsidR="003F39E3">
        <w:t>Andersson</w:t>
      </w:r>
      <w:proofErr w:type="spellEnd"/>
      <w:r w:rsidR="003F39E3">
        <w:t xml:space="preserve"> and </w:t>
      </w:r>
      <w:proofErr w:type="spellStart"/>
      <w:r w:rsidR="003F39E3">
        <w:t>Abramsson</w:t>
      </w:r>
      <w:proofErr w:type="spellEnd"/>
      <w:r w:rsidR="003F39E3">
        <w:t>, 2012</w:t>
      </w:r>
      <w:r w:rsidR="009F5155">
        <w:t>)</w:t>
      </w:r>
      <w:r w:rsidR="001D613E">
        <w:t xml:space="preserve">, and so desiring to increase that activity space. </w:t>
      </w:r>
      <w:r w:rsidR="00D860F8">
        <w:t xml:space="preserve">The preference for locating in primary and secondary cities (rather than in the suburbs) </w:t>
      </w:r>
      <w:r w:rsidR="00F474C1">
        <w:t xml:space="preserve">is presumably </w:t>
      </w:r>
      <w:r w:rsidR="009F5155">
        <w:t xml:space="preserve">at least </w:t>
      </w:r>
      <w:r w:rsidR="00F474C1">
        <w:t xml:space="preserve">a </w:t>
      </w:r>
      <w:r w:rsidR="009F5155">
        <w:t xml:space="preserve">partial </w:t>
      </w:r>
      <w:r w:rsidR="00F474C1">
        <w:t xml:space="preserve">reflection of </w:t>
      </w:r>
      <w:r w:rsidR="009F5155">
        <w:t xml:space="preserve">the </w:t>
      </w:r>
      <w:r w:rsidR="00F474C1">
        <w:t xml:space="preserve">“empty-nesters </w:t>
      </w:r>
      <w:r w:rsidR="00F474C1">
        <w:lastRenderedPageBreak/>
        <w:t>flocking back to the downtown areas”</w:t>
      </w:r>
      <w:r w:rsidR="009F5155">
        <w:t xml:space="preserve"> effect that provides better</w:t>
      </w:r>
      <w:r w:rsidR="00F474C1">
        <w:t xml:space="preserve"> accessibility to activity centers such as </w:t>
      </w:r>
      <w:r w:rsidRPr="00AD56E9">
        <w:t xml:space="preserve">parks, supermarkets, </w:t>
      </w:r>
      <w:r w:rsidR="00F474C1">
        <w:t>entertainment centers, restaurants, and</w:t>
      </w:r>
      <w:r w:rsidRPr="00AD56E9">
        <w:t xml:space="preserve"> hospitals</w:t>
      </w:r>
      <w:r w:rsidR="009F5155">
        <w:t xml:space="preserve"> (see, for example, </w:t>
      </w:r>
      <w:proofErr w:type="spellStart"/>
      <w:r w:rsidR="00A77B9F">
        <w:t>Litman</w:t>
      </w:r>
      <w:proofErr w:type="spellEnd"/>
      <w:r w:rsidR="00A77B9F">
        <w:t>, 2009</w:t>
      </w:r>
      <w:r w:rsidR="009F5155">
        <w:t>)</w:t>
      </w:r>
      <w:r w:rsidR="00F474C1">
        <w:t xml:space="preserve">. </w:t>
      </w:r>
      <w:r w:rsidR="008246DE">
        <w:t>The preference for residing in owned multi</w:t>
      </w:r>
      <w:r w:rsidR="00E01894">
        <w:t>-</w:t>
      </w:r>
      <w:proofErr w:type="spellStart"/>
      <w:r w:rsidR="00E01894">
        <w:t>storey</w:t>
      </w:r>
      <w:proofErr w:type="spellEnd"/>
      <w:r w:rsidR="00E01894">
        <w:t xml:space="preserve"> units among households </w:t>
      </w:r>
      <w:r w:rsidRPr="00AD56E9">
        <w:t xml:space="preserve">with older </w:t>
      </w:r>
      <w:r w:rsidR="008246DE">
        <w:t xml:space="preserve">individuals has </w:t>
      </w:r>
      <w:r w:rsidR="009F5155">
        <w:t xml:space="preserve">also </w:t>
      </w:r>
      <w:r w:rsidR="008246DE">
        <w:t>been found in Carter (2011)</w:t>
      </w:r>
      <w:r w:rsidR="00BF1F4B">
        <w:t xml:space="preserve">. </w:t>
      </w:r>
    </w:p>
    <w:p w14:paraId="383C202C" w14:textId="79ED8DC1" w:rsidR="003100BE" w:rsidRDefault="00BA6577" w:rsidP="003100BE">
      <w:pPr>
        <w:ind w:firstLine="720"/>
        <w:jc w:val="both"/>
      </w:pPr>
      <w:r>
        <w:t xml:space="preserve">Households that have an individual with some form of physical disability are more likely to reside in either the primary city or the suburbs (relative to the moderate density locations in the secondary city), and rent rather than own. The higher likelihood to reside in the primary city for such households may be </w:t>
      </w:r>
      <w:r w:rsidR="00E01894">
        <w:t xml:space="preserve">attributed to the need for </w:t>
      </w:r>
      <w:r>
        <w:t xml:space="preserve">easier access to destinations and opportunities (including medical care). A similar result was found in Bhat </w:t>
      </w:r>
      <w:r w:rsidRPr="00423E53">
        <w:rPr>
          <w:i/>
        </w:rPr>
        <w:t>et al</w:t>
      </w:r>
      <w:r w:rsidR="00423E53">
        <w:t>. (2014</w:t>
      </w:r>
      <w:r>
        <w:t xml:space="preserve">) for households with individuals with a prolonged medical condition. </w:t>
      </w:r>
      <w:r w:rsidR="0023205A">
        <w:t>The higher likelihood to rent rather than own among households with disabled individuals may reflect a disadvantage such households continue to have in the owned housing market, despite the institution of policies such as the 1990 Americans with Disabilities Act (ADA)</w:t>
      </w:r>
      <w:r w:rsidR="00B86306">
        <w:t xml:space="preserve"> and the 1991 Fair Housing Act Accessibility Guidelines. </w:t>
      </w:r>
    </w:p>
    <w:p w14:paraId="3CDAFD81" w14:textId="10995267" w:rsidR="003100BE" w:rsidRDefault="00914049" w:rsidP="004A3562">
      <w:pPr>
        <w:jc w:val="both"/>
      </w:pPr>
      <w:r>
        <w:tab/>
      </w:r>
      <w:r w:rsidR="003100BE" w:rsidRPr="00AB0455">
        <w:t xml:space="preserve">The number of full time workers </w:t>
      </w:r>
      <w:r w:rsidR="00734798" w:rsidRPr="00AB0455">
        <w:t xml:space="preserve">and the number of workers </w:t>
      </w:r>
      <w:r w:rsidR="00676EEB" w:rsidRPr="00AB0455">
        <w:t xml:space="preserve">with the option to work from home both </w:t>
      </w:r>
      <w:r w:rsidR="00734798" w:rsidRPr="00AB0455">
        <w:t>increase the propensity to reside in single family dwe</w:t>
      </w:r>
      <w:r w:rsidRPr="00AB0455">
        <w:t>lling units in the primary city. The preference to live in the primary city may be a reflection of the benefits of knowledge spillovers (through formal and informal personal interactions) that occur in dense urban regions, and that provide and allow workers to retain (and enhance) their competitive edge in the market place</w:t>
      </w:r>
      <w:r w:rsidR="002754A5">
        <w:t xml:space="preserve"> (see </w:t>
      </w:r>
      <w:proofErr w:type="spellStart"/>
      <w:r w:rsidR="00A77B9F">
        <w:t>Autant</w:t>
      </w:r>
      <w:proofErr w:type="spellEnd"/>
      <w:r w:rsidR="00A77B9F">
        <w:t>-Bernard</w:t>
      </w:r>
      <w:r w:rsidR="002754A5">
        <w:t xml:space="preserve"> and </w:t>
      </w:r>
      <w:proofErr w:type="spellStart"/>
      <w:r w:rsidR="002754A5">
        <w:t>LeSage</w:t>
      </w:r>
      <w:proofErr w:type="spellEnd"/>
      <w:r w:rsidR="002754A5">
        <w:t xml:space="preserve">, </w:t>
      </w:r>
      <w:r w:rsidR="00A77B9F">
        <w:t>2011</w:t>
      </w:r>
      <w:r w:rsidR="002754A5">
        <w:t>)</w:t>
      </w:r>
      <w:r w:rsidRPr="00AB0455">
        <w:t xml:space="preserve">. As indicated by </w:t>
      </w:r>
      <w:proofErr w:type="spellStart"/>
      <w:r w:rsidRPr="00AB0455">
        <w:t>Boterman</w:t>
      </w:r>
      <w:proofErr w:type="spellEnd"/>
      <w:r w:rsidRPr="00AB0455">
        <w:t xml:space="preserve"> and </w:t>
      </w:r>
      <w:proofErr w:type="spellStart"/>
      <w:r w:rsidRPr="00AB0455">
        <w:t>Sleutjes</w:t>
      </w:r>
      <w:proofErr w:type="spellEnd"/>
      <w:r w:rsidRPr="00AB0455">
        <w:t xml:space="preserve"> (2014), this i</w:t>
      </w:r>
      <w:r w:rsidR="008246DE">
        <w:t xml:space="preserve">s true even for workers who have the option to </w:t>
      </w:r>
      <w:r w:rsidRPr="00AB0455">
        <w:t>work from home because “</w:t>
      </w:r>
      <w:r w:rsidRPr="004A3562">
        <w:t>E-mail and mobile telecommunication c</w:t>
      </w:r>
      <w:r w:rsidR="00831F09">
        <w:t>omplement, rather than replace,</w:t>
      </w:r>
      <w:r w:rsidRPr="004A3562">
        <w:t xml:space="preserve"> face-to-face contacts.” Additionally, the results reveal that the number of workers </w:t>
      </w:r>
      <w:r w:rsidR="00AB0455" w:rsidRPr="004A3562">
        <w:t>with the option to work from home has a positive impact on dwelling unit square footage and lot size. These effects are intuitive because of the need for additional office space.</w:t>
      </w:r>
      <w:r w:rsidR="00B3252F">
        <w:t xml:space="preserve"> Overall, it appears that households with many workers (especially those working from home) prefer single family, large-sized units in the primary city that affords them social interaction opportunities and high accessibility </w:t>
      </w:r>
      <w:r w:rsidR="003100BE" w:rsidRPr="00EC6C00">
        <w:t xml:space="preserve">(see </w:t>
      </w:r>
      <w:r w:rsidR="00B3252F">
        <w:t xml:space="preserve">also </w:t>
      </w:r>
      <w:proofErr w:type="spellStart"/>
      <w:r w:rsidR="003100BE" w:rsidRPr="00B60EC7">
        <w:t>Kunzmann</w:t>
      </w:r>
      <w:proofErr w:type="spellEnd"/>
      <w:r w:rsidR="003100BE" w:rsidRPr="00B60EC7">
        <w:t>, 2009</w:t>
      </w:r>
      <w:r w:rsidR="00775BA5">
        <w:t>,</w:t>
      </w:r>
      <w:r w:rsidR="003100BE" w:rsidRPr="00B60EC7">
        <w:t xml:space="preserve"> </w:t>
      </w:r>
      <w:proofErr w:type="spellStart"/>
      <w:r w:rsidR="003100BE" w:rsidRPr="00B60EC7">
        <w:t>Yigitcanlar</w:t>
      </w:r>
      <w:proofErr w:type="spellEnd"/>
      <w:r w:rsidR="003100BE" w:rsidRPr="00B60EC7">
        <w:t xml:space="preserve"> </w:t>
      </w:r>
      <w:r w:rsidR="003100BE" w:rsidRPr="00B60EC7">
        <w:rPr>
          <w:i/>
        </w:rPr>
        <w:t>et al</w:t>
      </w:r>
      <w:r w:rsidR="003100BE" w:rsidRPr="00B60EC7">
        <w:t>., 2008</w:t>
      </w:r>
      <w:r w:rsidR="00775BA5">
        <w:t>,</w:t>
      </w:r>
      <w:r w:rsidR="003100BE" w:rsidRPr="00B60EC7">
        <w:t xml:space="preserve"> </w:t>
      </w:r>
      <w:proofErr w:type="spellStart"/>
      <w:r w:rsidR="003100BE" w:rsidRPr="00B60EC7">
        <w:t>Yigitcanlar</w:t>
      </w:r>
      <w:proofErr w:type="spellEnd"/>
      <w:r w:rsidR="003100BE" w:rsidRPr="00B60EC7">
        <w:t>, 2010</w:t>
      </w:r>
      <w:r w:rsidR="00B3252F">
        <w:t xml:space="preserve">, and </w:t>
      </w:r>
      <w:proofErr w:type="spellStart"/>
      <w:r w:rsidR="003100BE" w:rsidRPr="00AD56E9">
        <w:t>Frenkel</w:t>
      </w:r>
      <w:proofErr w:type="spellEnd"/>
      <w:r w:rsidR="003100BE" w:rsidRPr="00AD56E9">
        <w:t xml:space="preserve"> </w:t>
      </w:r>
      <w:r w:rsidR="003100BE" w:rsidRPr="00AD56E9">
        <w:rPr>
          <w:i/>
        </w:rPr>
        <w:t>et al</w:t>
      </w:r>
      <w:r w:rsidR="003100BE" w:rsidRPr="00AD56E9">
        <w:t xml:space="preserve">., </w:t>
      </w:r>
      <w:r w:rsidR="003100BE" w:rsidRPr="00B60EC7">
        <w:t>2013</w:t>
      </w:r>
      <w:r w:rsidR="003100BE">
        <w:t xml:space="preserve"> for similar result</w:t>
      </w:r>
      <w:r w:rsidR="008246DE">
        <w:t>s</w:t>
      </w:r>
      <w:r w:rsidR="003100BE" w:rsidRPr="00EC6C00">
        <w:t>)</w:t>
      </w:r>
      <w:r w:rsidR="00B3252F">
        <w:t>. Interestingly, while primary cities are typically associated on the supply side with rental apartment units, i</w:t>
      </w:r>
      <w:r w:rsidR="003100BE" w:rsidRPr="00EC6C00">
        <w:t>n the last decade, there has been a dra</w:t>
      </w:r>
      <w:r w:rsidR="00B3252F">
        <w:t>matic</w:t>
      </w:r>
      <w:r w:rsidR="003100BE" w:rsidRPr="00EC6C00">
        <w:t xml:space="preserve"> increase in the </w:t>
      </w:r>
      <w:r w:rsidR="00B3252F">
        <w:t xml:space="preserve">supply of the </w:t>
      </w:r>
      <w:r w:rsidR="003100BE" w:rsidRPr="00EC6C00">
        <w:t xml:space="preserve">number of </w:t>
      </w:r>
      <w:r w:rsidR="00B3252F">
        <w:t>single family homes in dense primary cities</w:t>
      </w:r>
      <w:r w:rsidR="003100BE" w:rsidRPr="00EC6C00">
        <w:t xml:space="preserve">. </w:t>
      </w:r>
      <w:r w:rsidR="00B3252F">
        <w:t>In particular, b</w:t>
      </w:r>
      <w:r w:rsidR="003100BE" w:rsidRPr="00EC6C00">
        <w:t xml:space="preserve">etween 2000 and 2010, a </w:t>
      </w:r>
      <w:r w:rsidR="003100BE" w:rsidRPr="00EC6C00">
        <w:lastRenderedPageBreak/>
        <w:t>total of</w:t>
      </w:r>
      <w:r w:rsidR="00B3252F">
        <w:t xml:space="preserve"> over</w:t>
      </w:r>
      <w:r w:rsidR="003100BE" w:rsidRPr="00EC6C00">
        <w:t xml:space="preserve"> 4</w:t>
      </w:r>
      <w:r w:rsidR="00B3252F">
        <w:t>.5</w:t>
      </w:r>
      <w:r w:rsidR="00E01894">
        <w:t xml:space="preserve"> million </w:t>
      </w:r>
      <w:r w:rsidR="00B3252F">
        <w:t>single family</w:t>
      </w:r>
      <w:r w:rsidR="003100BE" w:rsidRPr="00EC6C00">
        <w:t xml:space="preserve"> </w:t>
      </w:r>
      <w:r w:rsidR="00B3252F">
        <w:t>units</w:t>
      </w:r>
      <w:r w:rsidR="003100BE" w:rsidRPr="00EC6C00">
        <w:t xml:space="preserve"> were newly built in the large metropolitan areas, while the corresponding figure</w:t>
      </w:r>
      <w:r w:rsidR="00B3252F">
        <w:t xml:space="preserve"> for </w:t>
      </w:r>
      <w:r w:rsidR="003100BE" w:rsidRPr="00EC6C00">
        <w:t>apartment</w:t>
      </w:r>
      <w:r w:rsidR="00B3252F">
        <w:t xml:space="preserve"> units</w:t>
      </w:r>
      <w:r w:rsidR="003100BE" w:rsidRPr="00EC6C00">
        <w:t xml:space="preserve"> </w:t>
      </w:r>
      <w:r w:rsidR="00B3252F">
        <w:t>was only</w:t>
      </w:r>
      <w:r w:rsidR="003100BE" w:rsidRPr="00EC6C00">
        <w:t xml:space="preserve"> 5</w:t>
      </w:r>
      <w:r w:rsidR="00B3252F">
        <w:t>9</w:t>
      </w:r>
      <w:r w:rsidR="00E01894">
        <w:t xml:space="preserve">0,000 </w:t>
      </w:r>
      <w:r w:rsidR="003100BE" w:rsidRPr="00EC6C00">
        <w:t xml:space="preserve">(see </w:t>
      </w:r>
      <w:r w:rsidR="003100BE">
        <w:t>Cox</w:t>
      </w:r>
      <w:r w:rsidR="003100BE" w:rsidRPr="00EC6C00">
        <w:t>, 2011). For the Seattle region, the distribution of</w:t>
      </w:r>
      <w:r w:rsidR="00EE0849">
        <w:t xml:space="preserve"> single family versus </w:t>
      </w:r>
      <w:r w:rsidR="003100BE" w:rsidRPr="00EC6C00">
        <w:t xml:space="preserve">apartment </w:t>
      </w:r>
      <w:r w:rsidR="00EE0849">
        <w:t xml:space="preserve">units in the primary city was about 60% to 40% according to the 2010 American Community Survey, a distribution also reflected in the sample used in the current paper. </w:t>
      </w:r>
      <w:r w:rsidR="002E3FC8">
        <w:t>This</w:t>
      </w:r>
      <w:r w:rsidR="00EE0849">
        <w:t xml:space="preserve"> supply of single family units </w:t>
      </w:r>
      <w:r w:rsidR="002E3FC8">
        <w:t xml:space="preserve">should </w:t>
      </w:r>
      <w:proofErr w:type="spellStart"/>
      <w:r w:rsidR="002E3FC8">
        <w:t>facilitiate</w:t>
      </w:r>
      <w:proofErr w:type="spellEnd"/>
      <w:r w:rsidR="002E3FC8">
        <w:t xml:space="preserve"> the fulfillment of the demand for such units in the primary city (of course, it is still true that more single family units are located in the suburbs; for the Seattle region, the overall distribution of single family units in the primary city, secondary city, and suburb</w:t>
      </w:r>
      <w:r w:rsidR="00EE0849">
        <w:t xml:space="preserve"> </w:t>
      </w:r>
      <w:r w:rsidR="002E3FC8">
        <w:t>locations is 20%, 10%, and 70%, respectively</w:t>
      </w:r>
      <w:r w:rsidR="00640B19">
        <w:t>)</w:t>
      </w:r>
      <w:r w:rsidR="002E3FC8">
        <w:t xml:space="preserve">. </w:t>
      </w:r>
    </w:p>
    <w:p w14:paraId="5BAF05CA" w14:textId="46C38D74" w:rsidR="00390536" w:rsidRDefault="00D82D99" w:rsidP="0062659A">
      <w:pPr>
        <w:ind w:firstLine="720"/>
        <w:jc w:val="both"/>
      </w:pPr>
      <w:r>
        <w:t>The effect of immigrant status indicates that immigrant households and combination households are more likely to reside in rented apartment complexes than non-imm</w:t>
      </w:r>
      <w:r w:rsidR="003100BE">
        <w:t>i</w:t>
      </w:r>
      <w:r>
        <w:t xml:space="preserve">grant households (there was no difference between immigrant and combination households for each of the housing type and tenure type effects).  </w:t>
      </w:r>
      <w:r w:rsidR="00B6130E">
        <w:t>This is not inconsistent with the notion of the “American dream” being tied to owning a single-family home (</w:t>
      </w:r>
      <w:r w:rsidR="00733EBE">
        <w:t>see, for example, Carter, 2011</w:t>
      </w:r>
      <w:r w:rsidR="00B6130E">
        <w:t xml:space="preserve">). Also, immigrants </w:t>
      </w:r>
      <w:r w:rsidR="0062659A">
        <w:t xml:space="preserve">may prefer rented apartment living because of lower access to </w:t>
      </w:r>
      <w:r w:rsidR="00B6130E" w:rsidRPr="00273E79">
        <w:t xml:space="preserve">mainstream sources of financing because of </w:t>
      </w:r>
      <w:r w:rsidR="0062659A">
        <w:t>the absence of a credit history</w:t>
      </w:r>
      <w:r w:rsidR="00B6130E" w:rsidRPr="00273E79">
        <w:t xml:space="preserve">, </w:t>
      </w:r>
      <w:r w:rsidR="0062659A">
        <w:t xml:space="preserve">or because of </w:t>
      </w:r>
      <w:r w:rsidR="0062659A" w:rsidRPr="00273E79">
        <w:t xml:space="preserve">past </w:t>
      </w:r>
      <w:r w:rsidR="0062659A">
        <w:t xml:space="preserve">living behaviors with multiple families living in a single housing complex in their originating countries, or due to </w:t>
      </w:r>
      <w:r w:rsidR="0062659A" w:rsidRPr="00273E79">
        <w:t xml:space="preserve">self-preservation and identity considerations </w:t>
      </w:r>
      <w:r w:rsidR="00C43CB7">
        <w:t xml:space="preserve">that encourage them to share multi-unit quarters with </w:t>
      </w:r>
      <w:r w:rsidR="0062659A" w:rsidRPr="00273E79">
        <w:t>other people of their own culture to feel a sense of closeness/belonging, as well as retaining a sense of security and place</w:t>
      </w:r>
      <w:r w:rsidR="00C43CB7">
        <w:t xml:space="preserve"> in a foreign land</w:t>
      </w:r>
      <w:r w:rsidR="0062659A" w:rsidRPr="00273E79">
        <w:t>.</w:t>
      </w:r>
      <w:r w:rsidR="00C43CB7">
        <w:t xml:space="preserve"> Interestingly, o</w:t>
      </w:r>
      <w:r w:rsidR="00390536">
        <w:t xml:space="preserve">ur results show that, while </w:t>
      </w:r>
      <w:r w:rsidR="00C43CB7">
        <w:t xml:space="preserve">housing </w:t>
      </w:r>
      <w:r w:rsidR="00390536">
        <w:t xml:space="preserve">unit and location </w:t>
      </w:r>
      <w:r w:rsidR="00C43CB7">
        <w:t xml:space="preserve">decisions are made jointly (due to the presence of latent variables affecting multiple housing dimensions), the structural effect of immigrant status on the density of residential location manifests itself indirectly through housing type choice rather than a direct structural effect (note that there is no effect of immigrant/combination households on the density of residential location in Table 3). Many earlier studies, on the other hand, consider the immigrant status effect directly on the density of residential location choice </w:t>
      </w:r>
      <w:r w:rsidR="00390536">
        <w:t xml:space="preserve">(see, for </w:t>
      </w:r>
      <w:r w:rsidR="00065DA9">
        <w:t>example, Wilson and Singer, 2011</w:t>
      </w:r>
      <w:r w:rsidR="00390536">
        <w:t xml:space="preserve">, Logan </w:t>
      </w:r>
      <w:r w:rsidR="00390536" w:rsidRPr="00FE541B">
        <w:rPr>
          <w:i/>
        </w:rPr>
        <w:t xml:space="preserve">et </w:t>
      </w:r>
      <w:r w:rsidR="00733EBE" w:rsidRPr="00FE541B">
        <w:rPr>
          <w:i/>
        </w:rPr>
        <w:t>al</w:t>
      </w:r>
      <w:r w:rsidR="00733EBE">
        <w:t xml:space="preserve">., 2011, and Bhat </w:t>
      </w:r>
      <w:r w:rsidR="00733EBE" w:rsidRPr="00FE541B">
        <w:rPr>
          <w:i/>
        </w:rPr>
        <w:t>et al</w:t>
      </w:r>
      <w:r w:rsidR="00733EBE">
        <w:t>., 2014</w:t>
      </w:r>
      <w:r w:rsidR="00390536">
        <w:t xml:space="preserve">). Overall, our results suggest that the reason for the preference for high density living among immigrants may be more tied to factors such as the absence of a credit history and self-preservation considerations (that is, preference for living in apartment units, which are more abundant in supply in high density areas) than a direct preference for high density living (though we have to emphasize that this is </w:t>
      </w:r>
      <w:r w:rsidR="00390536">
        <w:lastRenderedPageBreak/>
        <w:t xml:space="preserve">speaking to the strength of the direction of relationship among the many housing unit choices, </w:t>
      </w:r>
      <w:r w:rsidR="003026A9">
        <w:t xml:space="preserve">and not suggesting a hierarchical framework of housing unit-related choices, </w:t>
      </w:r>
      <w:r w:rsidR="00390536">
        <w:t>given th</w:t>
      </w:r>
      <w:r w:rsidR="003026A9">
        <w:t>at th</w:t>
      </w:r>
      <w:r w:rsidR="00390536">
        <w:t xml:space="preserve">e housing unit choices are being made jointly). </w:t>
      </w:r>
    </w:p>
    <w:p w14:paraId="6904554D" w14:textId="6773BB0D" w:rsidR="00C924F9" w:rsidRDefault="00C924F9" w:rsidP="004A3562">
      <w:pPr>
        <w:autoSpaceDE w:val="0"/>
        <w:autoSpaceDN w:val="0"/>
        <w:adjustRightInd w:val="0"/>
        <w:jc w:val="both"/>
        <w:rPr>
          <w:rFonts w:eastAsiaTheme="minorHAnsi"/>
        </w:rPr>
      </w:pPr>
      <w:r>
        <w:tab/>
      </w:r>
      <w:r w:rsidR="008246DE">
        <w:t xml:space="preserve">Finally, the household </w:t>
      </w:r>
      <w:r w:rsidR="002C2F24" w:rsidRPr="00C924F9">
        <w:t xml:space="preserve">commute distance increases with an increase in household income, </w:t>
      </w:r>
      <w:r w:rsidR="0018579A" w:rsidRPr="00C924F9">
        <w:t xml:space="preserve">a result found in many earlier studies too (see, for, example, </w:t>
      </w:r>
      <w:proofErr w:type="spellStart"/>
      <w:r w:rsidR="0018579A" w:rsidRPr="00C924F9">
        <w:t>Rashidi</w:t>
      </w:r>
      <w:proofErr w:type="spellEnd"/>
      <w:r w:rsidR="0018579A" w:rsidRPr="00C924F9">
        <w:t xml:space="preserve"> </w:t>
      </w:r>
      <w:r w:rsidR="00065DA9" w:rsidRPr="00065DA9">
        <w:rPr>
          <w:i/>
        </w:rPr>
        <w:t>et al</w:t>
      </w:r>
      <w:r w:rsidR="00065DA9">
        <w:t>.</w:t>
      </w:r>
      <w:r w:rsidR="0018579A" w:rsidRPr="00C924F9">
        <w:t xml:space="preserve">, 2012, Paleti </w:t>
      </w:r>
      <w:r w:rsidR="0018579A" w:rsidRPr="004A3562">
        <w:rPr>
          <w:i/>
        </w:rPr>
        <w:t>et al</w:t>
      </w:r>
      <w:r w:rsidR="0018579A" w:rsidRPr="00C924F9">
        <w:t xml:space="preserve">., 2013, and </w:t>
      </w:r>
      <w:proofErr w:type="spellStart"/>
      <w:r w:rsidR="0018579A" w:rsidRPr="004A3562">
        <w:t>Surprenant-Legault</w:t>
      </w:r>
      <w:proofErr w:type="spellEnd"/>
      <w:r w:rsidR="0018579A" w:rsidRPr="004A3562">
        <w:t xml:space="preserve"> </w:t>
      </w:r>
      <w:r w:rsidR="0018579A" w:rsidRPr="004A3562">
        <w:rPr>
          <w:i/>
        </w:rPr>
        <w:t>et al</w:t>
      </w:r>
      <w:r w:rsidR="0018579A" w:rsidRPr="004A3562">
        <w:t>., 2013</w:t>
      </w:r>
      <w:r w:rsidR="0018579A" w:rsidRPr="00C924F9">
        <w:t xml:space="preserve">). </w:t>
      </w:r>
      <w:r w:rsidR="00321552" w:rsidRPr="00C924F9">
        <w:t>An explanation for this effect is that individuals who are able to command higher wages in the market are willing to c</w:t>
      </w:r>
      <w:r w:rsidRPr="00C924F9">
        <w:t xml:space="preserve">ommute long distances </w:t>
      </w:r>
      <w:r w:rsidR="00321552" w:rsidRPr="00C924F9">
        <w:t>to improve their market potential, while commuting long distances is simply not worthwhile for those who command relatively low wages in the market place</w:t>
      </w:r>
      <w:r>
        <w:t xml:space="preserve"> (Madden, 1985)</w:t>
      </w:r>
      <w:r w:rsidRPr="00C924F9">
        <w:t xml:space="preserve">. Another explanation is related to occupation segregation; that is, occupations with relatively low wages, such as </w:t>
      </w:r>
      <w:r w:rsidRPr="004A3562">
        <w:rPr>
          <w:rFonts w:eastAsiaTheme="minorHAnsi"/>
        </w:rPr>
        <w:t xml:space="preserve">clerical, sales, and services positions, tend to be more localized geographically, engendering a positive relationship between income and commute distance (see Clark and Wang, 2005). </w:t>
      </w:r>
      <w:r w:rsidR="00503CDE">
        <w:rPr>
          <w:rFonts w:eastAsiaTheme="minorHAnsi"/>
        </w:rPr>
        <w:t xml:space="preserve">Note also that household income has an indirect impact on almost all dimensions of the dwelling, through its impact on the luxury propensity latent construct. In the next section, we briefly discuss these latent construct effects. </w:t>
      </w:r>
    </w:p>
    <w:p w14:paraId="3732AA38" w14:textId="4F424466" w:rsidR="002C2F24" w:rsidRPr="00C924F9" w:rsidRDefault="002C2F24" w:rsidP="004A3562">
      <w:pPr>
        <w:autoSpaceDE w:val="0"/>
        <w:autoSpaceDN w:val="0"/>
        <w:adjustRightInd w:val="0"/>
        <w:ind w:firstLine="425"/>
        <w:jc w:val="both"/>
      </w:pPr>
    </w:p>
    <w:p w14:paraId="5F97E176" w14:textId="0456E45B" w:rsidR="00FD1CCA" w:rsidRPr="00F65B91" w:rsidRDefault="00CE62B2" w:rsidP="00FD1CCA">
      <w:pPr>
        <w:pStyle w:val="Heading2"/>
        <w:keepLines/>
        <w:numPr>
          <w:ilvl w:val="0"/>
          <w:numId w:val="0"/>
        </w:numPr>
        <w:spacing w:before="120" w:after="0"/>
        <w:ind w:left="576" w:hanging="576"/>
        <w:rPr>
          <w:rFonts w:ascii="Times New Roman" w:hAnsi="Times New Roman"/>
          <w:b w:val="0"/>
          <w:sz w:val="24"/>
          <w:szCs w:val="24"/>
          <w:lang w:val="en-US"/>
        </w:rPr>
      </w:pPr>
      <w:r>
        <w:rPr>
          <w:rFonts w:ascii="Times New Roman" w:hAnsi="Times New Roman"/>
          <w:b w:val="0"/>
          <w:sz w:val="24"/>
          <w:szCs w:val="24"/>
          <w:lang w:val="en-US"/>
        </w:rPr>
        <w:t>3</w:t>
      </w:r>
      <w:r w:rsidR="00FD1CCA" w:rsidRPr="00F65B91">
        <w:rPr>
          <w:rFonts w:ascii="Times New Roman" w:hAnsi="Times New Roman"/>
          <w:b w:val="0"/>
          <w:sz w:val="24"/>
          <w:szCs w:val="24"/>
          <w:lang w:val="en-US"/>
        </w:rPr>
        <w:t xml:space="preserve">.6.2 Latent </w:t>
      </w:r>
      <w:r w:rsidR="00F65B91" w:rsidRPr="00F65B91">
        <w:rPr>
          <w:rFonts w:ascii="Times New Roman" w:hAnsi="Times New Roman"/>
          <w:b w:val="0"/>
          <w:sz w:val="24"/>
          <w:szCs w:val="24"/>
          <w:lang w:val="en-US"/>
        </w:rPr>
        <w:t>C</w:t>
      </w:r>
      <w:r w:rsidR="00FD1CCA" w:rsidRPr="00F65B91">
        <w:rPr>
          <w:rFonts w:ascii="Times New Roman" w:hAnsi="Times New Roman"/>
          <w:b w:val="0"/>
          <w:sz w:val="24"/>
          <w:szCs w:val="24"/>
          <w:lang w:val="en-US"/>
        </w:rPr>
        <w:t>onstruct</w:t>
      </w:r>
      <w:r w:rsidR="00503CDE" w:rsidRPr="00F65B91">
        <w:rPr>
          <w:rFonts w:ascii="Times New Roman" w:hAnsi="Times New Roman"/>
          <w:b w:val="0"/>
          <w:sz w:val="24"/>
          <w:szCs w:val="24"/>
          <w:lang w:val="en-US"/>
        </w:rPr>
        <w:t xml:space="preserve"> </w:t>
      </w:r>
      <w:r w:rsidR="00F65B91" w:rsidRPr="00F65B91">
        <w:rPr>
          <w:rFonts w:ascii="Times New Roman" w:hAnsi="Times New Roman"/>
          <w:b w:val="0"/>
          <w:sz w:val="24"/>
          <w:szCs w:val="24"/>
          <w:lang w:val="en-US"/>
        </w:rPr>
        <w:t>E</w:t>
      </w:r>
      <w:r w:rsidR="00503CDE" w:rsidRPr="00F65B91">
        <w:rPr>
          <w:rFonts w:ascii="Times New Roman" w:hAnsi="Times New Roman"/>
          <w:b w:val="0"/>
          <w:sz w:val="24"/>
          <w:szCs w:val="24"/>
          <w:lang w:val="en-US"/>
        </w:rPr>
        <w:t>ffects</w:t>
      </w:r>
    </w:p>
    <w:p w14:paraId="74871D59" w14:textId="21187112" w:rsidR="00622731" w:rsidRDefault="002C2F24" w:rsidP="00F65B91">
      <w:pPr>
        <w:jc w:val="both"/>
        <w:rPr>
          <w:lang w:eastAsia="ja-JP"/>
        </w:rPr>
      </w:pPr>
      <w:r w:rsidRPr="00AD56E9">
        <w:rPr>
          <w:lang w:eastAsia="ja-JP"/>
        </w:rPr>
        <w:t xml:space="preserve">The </w:t>
      </w:r>
      <w:r w:rsidR="00503CDE">
        <w:rPr>
          <w:lang w:eastAsia="ja-JP"/>
        </w:rPr>
        <w:t xml:space="preserve">latent construct effects are quite consistent with </w:t>
      </w:r>
      <w:r w:rsidR="00CE62B2">
        <w:rPr>
          <w:lang w:eastAsia="ja-JP"/>
        </w:rPr>
        <w:t>our hypotheses in Section 3</w:t>
      </w:r>
      <w:r w:rsidR="007A79A1">
        <w:rPr>
          <w:lang w:eastAsia="ja-JP"/>
        </w:rPr>
        <w:t xml:space="preserve">.3. Specifically, </w:t>
      </w:r>
      <w:r w:rsidR="00622731">
        <w:rPr>
          <w:lang w:eastAsia="ja-JP"/>
        </w:rPr>
        <w:t xml:space="preserve">according to the results in Table </w:t>
      </w:r>
      <w:r w:rsidR="00A77B9F">
        <w:rPr>
          <w:lang w:eastAsia="ja-JP"/>
        </w:rPr>
        <w:t>3</w:t>
      </w:r>
      <w:r w:rsidR="00622731">
        <w:rPr>
          <w:lang w:eastAsia="ja-JP"/>
        </w:rPr>
        <w:t xml:space="preserve">, </w:t>
      </w:r>
      <w:r w:rsidR="00A7492A">
        <w:rPr>
          <w:lang w:eastAsia="ja-JP"/>
        </w:rPr>
        <w:t xml:space="preserve">households with a high green lifestyle propensity </w:t>
      </w:r>
      <w:r w:rsidR="00622731">
        <w:rPr>
          <w:lang w:eastAsia="ja-JP"/>
        </w:rPr>
        <w:t>generally have a preference for owned, multiple-</w:t>
      </w:r>
      <w:proofErr w:type="spellStart"/>
      <w:r w:rsidR="00622731">
        <w:rPr>
          <w:lang w:eastAsia="ja-JP"/>
        </w:rPr>
        <w:t>storey</w:t>
      </w:r>
      <w:proofErr w:type="spellEnd"/>
      <w:r w:rsidR="00622731">
        <w:rPr>
          <w:lang w:eastAsia="ja-JP"/>
        </w:rPr>
        <w:t xml:space="preserve"> units on a compact lot in high</w:t>
      </w:r>
      <w:r w:rsidR="00D80735">
        <w:rPr>
          <w:lang w:eastAsia="ja-JP"/>
        </w:rPr>
        <w:t>er</w:t>
      </w:r>
      <w:r w:rsidR="00622731">
        <w:rPr>
          <w:lang w:eastAsia="ja-JP"/>
        </w:rPr>
        <w:t xml:space="preserve"> density neighborhoods with a short commute distance, while households with a high luxury lifestyle propensity are inclined toward owning high-priced large multi-</w:t>
      </w:r>
      <w:proofErr w:type="spellStart"/>
      <w:r w:rsidR="00622731">
        <w:rPr>
          <w:lang w:eastAsia="ja-JP"/>
        </w:rPr>
        <w:t>storey</w:t>
      </w:r>
      <w:proofErr w:type="spellEnd"/>
      <w:r w:rsidR="00622731">
        <w:rPr>
          <w:lang w:eastAsia="ja-JP"/>
        </w:rPr>
        <w:t xml:space="preserve"> single family homes in </w:t>
      </w:r>
      <w:r w:rsidR="00D80735">
        <w:rPr>
          <w:lang w:eastAsia="ja-JP"/>
        </w:rPr>
        <w:t xml:space="preserve">sparsely dense (suburb) or </w:t>
      </w:r>
      <w:r w:rsidR="00622731">
        <w:rPr>
          <w:lang w:eastAsia="ja-JP"/>
        </w:rPr>
        <w:t xml:space="preserve">dense </w:t>
      </w:r>
      <w:r w:rsidR="00D80735">
        <w:rPr>
          <w:lang w:eastAsia="ja-JP"/>
        </w:rPr>
        <w:t xml:space="preserve">(primary city) </w:t>
      </w:r>
      <w:r w:rsidR="00622731">
        <w:rPr>
          <w:lang w:eastAsia="ja-JP"/>
        </w:rPr>
        <w:t>neighborhoods</w:t>
      </w:r>
      <w:r w:rsidR="00D80735">
        <w:rPr>
          <w:lang w:eastAsia="ja-JP"/>
        </w:rPr>
        <w:t xml:space="preserve"> (and not in moderately dense neighborhoods in the secondary city)</w:t>
      </w:r>
      <w:r w:rsidR="00622731">
        <w:rPr>
          <w:lang w:eastAsia="ja-JP"/>
        </w:rPr>
        <w:t>.</w:t>
      </w:r>
    </w:p>
    <w:p w14:paraId="500037B4" w14:textId="71A3B769" w:rsidR="009322EF" w:rsidRPr="00273551" w:rsidRDefault="009322EF">
      <w:pPr>
        <w:ind w:firstLine="720"/>
        <w:jc w:val="both"/>
      </w:pPr>
      <w:r w:rsidRPr="00273551">
        <w:t xml:space="preserve"> </w:t>
      </w:r>
    </w:p>
    <w:p w14:paraId="48EF28D0" w14:textId="473F23C9" w:rsidR="00FD1CCA" w:rsidRPr="00F65B91" w:rsidRDefault="00CE62B2" w:rsidP="00FD1CCA">
      <w:pPr>
        <w:pStyle w:val="Heading2"/>
        <w:keepLines/>
        <w:numPr>
          <w:ilvl w:val="0"/>
          <w:numId w:val="0"/>
        </w:numPr>
        <w:spacing w:before="120" w:after="0"/>
        <w:rPr>
          <w:rFonts w:ascii="Times New Roman" w:hAnsi="Times New Roman"/>
          <w:b w:val="0"/>
          <w:sz w:val="24"/>
          <w:szCs w:val="24"/>
          <w:lang w:val="en-US"/>
        </w:rPr>
      </w:pPr>
      <w:r>
        <w:rPr>
          <w:rFonts w:ascii="Times New Roman" w:hAnsi="Times New Roman"/>
          <w:b w:val="0"/>
          <w:sz w:val="24"/>
          <w:szCs w:val="24"/>
          <w:lang w:val="en-US"/>
        </w:rPr>
        <w:t>3</w:t>
      </w:r>
      <w:r w:rsidR="00FD1CCA" w:rsidRPr="00F65B91">
        <w:rPr>
          <w:rFonts w:ascii="Times New Roman" w:hAnsi="Times New Roman"/>
          <w:b w:val="0"/>
          <w:sz w:val="24"/>
          <w:szCs w:val="24"/>
          <w:lang w:val="en-US"/>
        </w:rPr>
        <w:t xml:space="preserve">.6.3 Endogenous </w:t>
      </w:r>
      <w:r w:rsidR="00F65B91" w:rsidRPr="00F65B91">
        <w:rPr>
          <w:rFonts w:ascii="Times New Roman" w:hAnsi="Times New Roman"/>
          <w:b w:val="0"/>
          <w:sz w:val="24"/>
          <w:szCs w:val="24"/>
          <w:lang w:val="en-US"/>
        </w:rPr>
        <w:t>E</w:t>
      </w:r>
      <w:r w:rsidR="00FD1CCA" w:rsidRPr="00F65B91">
        <w:rPr>
          <w:rFonts w:ascii="Times New Roman" w:hAnsi="Times New Roman"/>
          <w:b w:val="0"/>
          <w:sz w:val="24"/>
          <w:szCs w:val="24"/>
          <w:lang w:val="en-US"/>
        </w:rPr>
        <w:t>ffects</w:t>
      </w:r>
    </w:p>
    <w:p w14:paraId="3641ACCB" w14:textId="61FD8EF2" w:rsidR="00CF5600" w:rsidRDefault="00CE62B2" w:rsidP="00F65B91">
      <w:pPr>
        <w:jc w:val="both"/>
        <w:rPr>
          <w:lang w:eastAsia="ja-JP"/>
        </w:rPr>
      </w:pPr>
      <w:r>
        <w:rPr>
          <w:lang w:eastAsia="ja-JP"/>
        </w:rPr>
        <w:t>As discussed in Section 3</w:t>
      </w:r>
      <w:r w:rsidR="00B800FC">
        <w:rPr>
          <w:lang w:eastAsia="ja-JP"/>
        </w:rPr>
        <w:t>.4 and presented in Figure 2</w:t>
      </w:r>
      <w:r w:rsidR="00AE0D5E" w:rsidRPr="00AD56E9">
        <w:rPr>
          <w:lang w:eastAsia="ja-JP"/>
        </w:rPr>
        <w:t xml:space="preserve">, there are </w:t>
      </w:r>
      <w:r w:rsidR="00195D3B">
        <w:rPr>
          <w:lang w:eastAsia="ja-JP"/>
        </w:rPr>
        <w:t xml:space="preserve">a </w:t>
      </w:r>
      <w:r w:rsidR="00AE0D5E" w:rsidRPr="00AD56E9">
        <w:rPr>
          <w:lang w:eastAsia="ja-JP"/>
        </w:rPr>
        <w:t xml:space="preserve">number of endogenous effects in the choice of dwelling characteristics. </w:t>
      </w:r>
      <w:r w:rsidR="00195D3B">
        <w:rPr>
          <w:lang w:eastAsia="ja-JP"/>
        </w:rPr>
        <w:t xml:space="preserve">The reader will note that these are endogenous effects because error correlations across the many dimensions (engendered by the latent effects) are explicitly accommodated for. In contrast, many earlier studies that focus on limited dimensions of the dwelling unit assume one or more </w:t>
      </w:r>
      <w:proofErr w:type="spellStart"/>
      <w:r w:rsidR="00195D3B">
        <w:rPr>
          <w:lang w:eastAsia="ja-JP"/>
        </w:rPr>
        <w:t>unmodeled</w:t>
      </w:r>
      <w:proofErr w:type="spellEnd"/>
      <w:r w:rsidR="00195D3B">
        <w:rPr>
          <w:lang w:eastAsia="ja-JP"/>
        </w:rPr>
        <w:t xml:space="preserve"> dimensions to be exogenous. </w:t>
      </w:r>
      <w:r w:rsidR="00AE656D">
        <w:rPr>
          <w:lang w:eastAsia="ja-JP"/>
        </w:rPr>
        <w:t xml:space="preserve">For example, it </w:t>
      </w:r>
      <w:r w:rsidR="00AE656D">
        <w:rPr>
          <w:lang w:eastAsia="ja-JP"/>
        </w:rPr>
        <w:lastRenderedPageBreak/>
        <w:t xml:space="preserve">is quite typical to consider housing costs </w:t>
      </w:r>
      <w:r w:rsidR="006B7650">
        <w:rPr>
          <w:lang w:eastAsia="ja-JP"/>
        </w:rPr>
        <w:t xml:space="preserve">and/or density of residential neighborhood (for instance, urban versus suburban neighborhood) </w:t>
      </w:r>
      <w:r w:rsidR="00AE656D">
        <w:rPr>
          <w:lang w:eastAsia="ja-JP"/>
        </w:rPr>
        <w:t xml:space="preserve">as an explanatory variable in tenure/housing type </w:t>
      </w:r>
      <w:r w:rsidR="008246DE">
        <w:rPr>
          <w:lang w:eastAsia="ja-JP"/>
        </w:rPr>
        <w:t xml:space="preserve">and housing size </w:t>
      </w:r>
      <w:r w:rsidR="00AE656D">
        <w:rPr>
          <w:lang w:eastAsia="ja-JP"/>
        </w:rPr>
        <w:t>decisions (see, for example,</w:t>
      </w:r>
      <w:r w:rsidR="00AE656D" w:rsidRPr="009F55E5">
        <w:rPr>
          <w:lang w:eastAsia="ja-JP"/>
        </w:rPr>
        <w:t xml:space="preserve"> </w:t>
      </w:r>
      <w:r w:rsidR="001840A4">
        <w:rPr>
          <w:rFonts w:eastAsiaTheme="minorHAnsi"/>
        </w:rPr>
        <w:t>Barrios-García and Rodríguez-</w:t>
      </w:r>
      <w:r w:rsidR="00AE656D" w:rsidRPr="009F55E5">
        <w:rPr>
          <w:rFonts w:eastAsiaTheme="minorHAnsi"/>
        </w:rPr>
        <w:t>Hernández, 2008</w:t>
      </w:r>
      <w:r w:rsidR="008246DE">
        <w:rPr>
          <w:rFonts w:eastAsiaTheme="minorHAnsi"/>
        </w:rPr>
        <w:t xml:space="preserve"> and</w:t>
      </w:r>
      <w:r w:rsidR="006B7650" w:rsidRPr="009F55E5">
        <w:rPr>
          <w:rFonts w:eastAsiaTheme="minorHAnsi"/>
        </w:rPr>
        <w:t xml:space="preserve"> Carter, 2011</w:t>
      </w:r>
      <w:r w:rsidR="00AE656D" w:rsidRPr="009F55E5">
        <w:rPr>
          <w:rFonts w:eastAsiaTheme="minorHAnsi"/>
        </w:rPr>
        <w:t>)</w:t>
      </w:r>
      <w:r w:rsidR="008246DE">
        <w:rPr>
          <w:rFonts w:eastAsiaTheme="minorHAnsi"/>
        </w:rPr>
        <w:t xml:space="preserve">. </w:t>
      </w:r>
      <w:r w:rsidR="006B7650">
        <w:rPr>
          <w:lang w:eastAsia="ja-JP"/>
        </w:rPr>
        <w:t xml:space="preserve">But, as our results indicate, households who are luxury-oriented because of various unobserved attributes </w:t>
      </w:r>
      <w:r w:rsidR="00DD4857">
        <w:rPr>
          <w:lang w:eastAsia="ja-JP"/>
        </w:rPr>
        <w:t xml:space="preserve">(such as a higher need to signal wealth or power than their observationally </w:t>
      </w:r>
      <w:proofErr w:type="spellStart"/>
      <w:r w:rsidR="00DD4857">
        <w:rPr>
          <w:lang w:eastAsia="ja-JP"/>
        </w:rPr>
        <w:t>equiavelent</w:t>
      </w:r>
      <w:proofErr w:type="spellEnd"/>
      <w:r w:rsidR="00DD4857">
        <w:rPr>
          <w:lang w:eastAsia="ja-JP"/>
        </w:rPr>
        <w:t xml:space="preserve"> peer group) </w:t>
      </w:r>
      <w:r w:rsidR="006B7650">
        <w:rPr>
          <w:lang w:eastAsia="ja-JP"/>
        </w:rPr>
        <w:t xml:space="preserve">are likely to be drawn toward </w:t>
      </w:r>
      <w:r w:rsidR="00DD4857">
        <w:rPr>
          <w:lang w:eastAsia="ja-JP"/>
        </w:rPr>
        <w:t xml:space="preserve">owning high-priced </w:t>
      </w:r>
      <w:r w:rsidR="006B7650">
        <w:rPr>
          <w:lang w:eastAsia="ja-JP"/>
        </w:rPr>
        <w:t xml:space="preserve">single family homes in </w:t>
      </w:r>
      <w:r w:rsidR="00B474FE">
        <w:rPr>
          <w:lang w:eastAsia="ja-JP"/>
        </w:rPr>
        <w:t xml:space="preserve">non-moderately </w:t>
      </w:r>
      <w:r w:rsidR="006B7650">
        <w:rPr>
          <w:lang w:eastAsia="ja-JP"/>
        </w:rPr>
        <w:t xml:space="preserve">dense </w:t>
      </w:r>
      <w:r w:rsidR="00B474FE">
        <w:rPr>
          <w:lang w:eastAsia="ja-JP"/>
        </w:rPr>
        <w:t xml:space="preserve">(that is, either high density or low density) </w:t>
      </w:r>
      <w:r w:rsidR="006B7650">
        <w:rPr>
          <w:lang w:eastAsia="ja-JP"/>
        </w:rPr>
        <w:t>neighborhoods.</w:t>
      </w:r>
      <w:r w:rsidR="00DD4857">
        <w:rPr>
          <w:lang w:eastAsia="ja-JP"/>
        </w:rPr>
        <w:t xml:space="preserve"> </w:t>
      </w:r>
      <w:r w:rsidR="001D6D52">
        <w:rPr>
          <w:lang w:eastAsia="ja-JP"/>
        </w:rPr>
        <w:t xml:space="preserve">After </w:t>
      </w:r>
      <w:r w:rsidR="001D6D52" w:rsidRPr="009F55E5">
        <w:rPr>
          <w:u w:val="single"/>
          <w:lang w:eastAsia="ja-JP"/>
        </w:rPr>
        <w:t xml:space="preserve">accounting </w:t>
      </w:r>
      <w:r w:rsidR="001D6D52">
        <w:rPr>
          <w:lang w:eastAsia="ja-JP"/>
        </w:rPr>
        <w:t>for the resulting correlation effects among housing cost, density of residential neighborhood, tenure, and housing type choices, our results do not show any remaining structural (causal) effect of housing cost on</w:t>
      </w:r>
      <w:r w:rsidR="00CF5600">
        <w:rPr>
          <w:lang w:eastAsia="ja-JP"/>
        </w:rPr>
        <w:t xml:space="preserve"> housing tenure decisions (see Table </w:t>
      </w:r>
      <w:r w:rsidR="00A77B9F">
        <w:rPr>
          <w:lang w:eastAsia="ja-JP"/>
        </w:rPr>
        <w:t>4</w:t>
      </w:r>
      <w:r w:rsidR="00CF5600">
        <w:rPr>
          <w:lang w:eastAsia="ja-JP"/>
        </w:rPr>
        <w:t xml:space="preserve">). The results also reveal </w:t>
      </w:r>
      <w:r w:rsidR="001D6D52">
        <w:rPr>
          <w:lang w:eastAsia="ja-JP"/>
        </w:rPr>
        <w:t>th</w:t>
      </w:r>
      <w:r w:rsidR="00E01894">
        <w:rPr>
          <w:lang w:eastAsia="ja-JP"/>
        </w:rPr>
        <w:t xml:space="preserve">at the housing type decision affects </w:t>
      </w:r>
      <w:r w:rsidR="001D6D52">
        <w:rPr>
          <w:lang w:eastAsia="ja-JP"/>
        </w:rPr>
        <w:t xml:space="preserve">housing cost decisions, </w:t>
      </w:r>
      <w:r w:rsidR="00E01894">
        <w:rPr>
          <w:lang w:eastAsia="ja-JP"/>
        </w:rPr>
        <w:t>and both these decisions affect</w:t>
      </w:r>
      <w:r w:rsidR="001D6D52">
        <w:rPr>
          <w:lang w:eastAsia="ja-JP"/>
        </w:rPr>
        <w:t xml:space="preserve"> residential location and tenure decisions</w:t>
      </w:r>
      <w:r w:rsidR="00CF5600">
        <w:rPr>
          <w:lang w:eastAsia="ja-JP"/>
        </w:rPr>
        <w:t xml:space="preserve"> in a recursive fashion (though the model is a joint model because of the explicit incorporation of the stochastic latent constructs). More generally, the takeaway is that ignoring the package nature of the many housing dimensions can lead to incorrect inferences regarding structural (causal) effects among the dimensions. Table </w:t>
      </w:r>
      <w:r w:rsidR="00A77B9F">
        <w:rPr>
          <w:lang w:eastAsia="ja-JP"/>
        </w:rPr>
        <w:t>4</w:t>
      </w:r>
      <w:r w:rsidR="00CF5600">
        <w:rPr>
          <w:lang w:eastAsia="ja-JP"/>
        </w:rPr>
        <w:t xml:space="preserve"> provides the coefficient estimates of these endogenous effects, which are self-explanatory (and have already been diagrammatically illustrated in </w:t>
      </w:r>
      <w:r w:rsidR="008246DE">
        <w:rPr>
          <w:lang w:eastAsia="ja-JP"/>
        </w:rPr>
        <w:t>F</w:t>
      </w:r>
      <w:r w:rsidR="00B800FC">
        <w:rPr>
          <w:lang w:eastAsia="ja-JP"/>
        </w:rPr>
        <w:t>igure 2</w:t>
      </w:r>
      <w:r>
        <w:rPr>
          <w:lang w:eastAsia="ja-JP"/>
        </w:rPr>
        <w:t xml:space="preserve">, and discussed in </w:t>
      </w:r>
      <w:proofErr w:type="gramStart"/>
      <w:r>
        <w:rPr>
          <w:lang w:eastAsia="ja-JP"/>
        </w:rPr>
        <w:t>Section  3</w:t>
      </w:r>
      <w:r w:rsidR="008246DE">
        <w:rPr>
          <w:lang w:eastAsia="ja-JP"/>
        </w:rPr>
        <w:t>.4</w:t>
      </w:r>
      <w:proofErr w:type="gramEnd"/>
      <w:r w:rsidR="0070380B">
        <w:rPr>
          <w:lang w:eastAsia="ja-JP"/>
        </w:rPr>
        <w:t xml:space="preserve">). </w:t>
      </w:r>
    </w:p>
    <w:p w14:paraId="2457A886" w14:textId="77777777" w:rsidR="00F65B91" w:rsidRDefault="00F65B91" w:rsidP="00F65B91">
      <w:pPr>
        <w:jc w:val="both"/>
        <w:rPr>
          <w:lang w:eastAsia="ja-JP"/>
        </w:rPr>
      </w:pPr>
    </w:p>
    <w:p w14:paraId="601E65C8" w14:textId="0981BEBC" w:rsidR="00E162A6" w:rsidRPr="00F65B91" w:rsidRDefault="00CE62B2" w:rsidP="00F65B91">
      <w:pPr>
        <w:pStyle w:val="Heading2"/>
        <w:keepLines/>
        <w:numPr>
          <w:ilvl w:val="0"/>
          <w:numId w:val="0"/>
        </w:numPr>
        <w:spacing w:before="0" w:after="0"/>
        <w:ind w:left="576" w:hanging="576"/>
        <w:rPr>
          <w:rFonts w:ascii="Times New Roman" w:hAnsi="Times New Roman"/>
          <w:b w:val="0"/>
          <w:sz w:val="24"/>
          <w:szCs w:val="24"/>
          <w:lang w:val="en-US"/>
        </w:rPr>
      </w:pPr>
      <w:r>
        <w:rPr>
          <w:rFonts w:ascii="Times New Roman" w:hAnsi="Times New Roman"/>
          <w:b w:val="0"/>
          <w:sz w:val="24"/>
          <w:szCs w:val="24"/>
          <w:lang w:val="en-US"/>
        </w:rPr>
        <w:t>3</w:t>
      </w:r>
      <w:r w:rsidR="002246DF" w:rsidRPr="00F65B91">
        <w:rPr>
          <w:rFonts w:ascii="Times New Roman" w:hAnsi="Times New Roman"/>
          <w:b w:val="0"/>
          <w:sz w:val="24"/>
          <w:szCs w:val="24"/>
          <w:lang w:val="en-US"/>
        </w:rPr>
        <w:t xml:space="preserve">.6.4 </w:t>
      </w:r>
      <w:r w:rsidR="00E162A6" w:rsidRPr="00F65B91">
        <w:rPr>
          <w:rFonts w:ascii="Times New Roman" w:hAnsi="Times New Roman"/>
          <w:b w:val="0"/>
          <w:sz w:val="24"/>
          <w:szCs w:val="24"/>
          <w:lang w:val="en-US"/>
        </w:rPr>
        <w:t>Variance-Covariance Parameters</w:t>
      </w:r>
    </w:p>
    <w:p w14:paraId="25A73296" w14:textId="1A64DF65" w:rsidR="00B8106E" w:rsidRDefault="00D80735" w:rsidP="00F65B91">
      <w:pPr>
        <w:jc w:val="both"/>
      </w:pPr>
      <w:r>
        <w:t>In addition to the correlations across dimensions engendered by the latent constructs, we also allowed a general covariance structure for the utility differences (taken with respect to the base alternative of the suburb) of the three alternatives for the density of residential neighborhood. But</w:t>
      </w:r>
      <w:r w:rsidR="00D8662F">
        <w:t xml:space="preserve"> the resulting 2</w:t>
      </w:r>
      <w:r w:rsidR="00775BA5">
        <w:t>×</w:t>
      </w:r>
      <w:r w:rsidR="00D8662F">
        <w:t>2 covariance matrix provided estimates that could not be statistically distinguished from a matrix with the value of 1.0 on the diagonal and the value of 0.5 on the off-diagonal. Thus, we fixed the 2</w:t>
      </w:r>
      <w:r w:rsidR="00775BA5">
        <w:t>×</w:t>
      </w:r>
      <w:r w:rsidR="00D8662F">
        <w:t xml:space="preserve">2 covariance matrix with 1.0 on the diagonals and 0.5 on the off-diagonal. This is </w:t>
      </w:r>
      <w:proofErr w:type="spellStart"/>
      <w:r w:rsidR="00D8662F">
        <w:t>equivelent</w:t>
      </w:r>
      <w:proofErr w:type="spellEnd"/>
      <w:r w:rsidR="00D8662F">
        <w:t xml:space="preserve">, of course, to an IID error structure for the original three alternatives with a variance of 0.5 for each alternative. That is, after accommodating for the error </w:t>
      </w:r>
      <w:proofErr w:type="spellStart"/>
      <w:r w:rsidR="00D8662F">
        <w:t>heteroscdeasticity</w:t>
      </w:r>
      <w:proofErr w:type="spellEnd"/>
      <w:r w:rsidR="00D8662F">
        <w:t xml:space="preserve"> and correlation in the utilities of the location alternatives due to the stochastic latent constructs</w:t>
      </w:r>
      <w:r>
        <w:t xml:space="preserve">, </w:t>
      </w:r>
      <w:r w:rsidR="00D8662F">
        <w:t xml:space="preserve">there is no remaining </w:t>
      </w:r>
      <w:proofErr w:type="spellStart"/>
      <w:r w:rsidR="00D8662F">
        <w:t>heteroscdeasticity</w:t>
      </w:r>
      <w:proofErr w:type="spellEnd"/>
      <w:r w:rsidR="00D8662F">
        <w:t xml:space="preserve"> and correlation in the location utilities. </w:t>
      </w:r>
    </w:p>
    <w:p w14:paraId="323656BD" w14:textId="77777777" w:rsidR="00D8662F" w:rsidRPr="00417C1C" w:rsidRDefault="00D8662F" w:rsidP="00F65B91">
      <w:pPr>
        <w:ind w:firstLine="630"/>
        <w:jc w:val="both"/>
      </w:pPr>
    </w:p>
    <w:p w14:paraId="1A4C7425" w14:textId="0D10A54B" w:rsidR="00B8106E" w:rsidRPr="00F65B91" w:rsidRDefault="00CE62B2" w:rsidP="00F65B91">
      <w:pPr>
        <w:pStyle w:val="Heading2"/>
        <w:numPr>
          <w:ilvl w:val="0"/>
          <w:numId w:val="0"/>
        </w:numPr>
        <w:spacing w:before="0" w:after="0"/>
        <w:rPr>
          <w:rFonts w:ascii="Times New Roman" w:hAnsi="Times New Roman"/>
          <w:b w:val="0"/>
          <w:sz w:val="24"/>
          <w:szCs w:val="24"/>
          <w:lang w:val="en-US"/>
        </w:rPr>
      </w:pPr>
      <w:r>
        <w:rPr>
          <w:rFonts w:ascii="Times New Roman" w:hAnsi="Times New Roman"/>
          <w:b w:val="0"/>
          <w:sz w:val="24"/>
          <w:szCs w:val="24"/>
          <w:lang w:val="en-US"/>
        </w:rPr>
        <w:lastRenderedPageBreak/>
        <w:t>3</w:t>
      </w:r>
      <w:r w:rsidR="00B8106E" w:rsidRPr="00F65B91">
        <w:rPr>
          <w:rFonts w:ascii="Times New Roman" w:hAnsi="Times New Roman"/>
          <w:b w:val="0"/>
          <w:sz w:val="24"/>
          <w:szCs w:val="24"/>
        </w:rPr>
        <w:t>.</w:t>
      </w:r>
      <w:r w:rsidR="002246DF" w:rsidRPr="00F65B91">
        <w:rPr>
          <w:rFonts w:ascii="Times New Roman" w:hAnsi="Times New Roman"/>
          <w:b w:val="0"/>
          <w:sz w:val="24"/>
          <w:szCs w:val="24"/>
          <w:lang w:val="en-US"/>
        </w:rPr>
        <w:t>6</w:t>
      </w:r>
      <w:r w:rsidR="00B8106E" w:rsidRPr="00F65B91">
        <w:rPr>
          <w:rFonts w:ascii="Times New Roman" w:hAnsi="Times New Roman"/>
          <w:b w:val="0"/>
          <w:sz w:val="24"/>
          <w:szCs w:val="24"/>
        </w:rPr>
        <w:t>.5.</w:t>
      </w:r>
      <w:r w:rsidR="00B8106E" w:rsidRPr="00F65B91">
        <w:rPr>
          <w:rFonts w:ascii="Times New Roman" w:hAnsi="Times New Roman"/>
          <w:b w:val="0"/>
          <w:sz w:val="24"/>
          <w:szCs w:val="24"/>
          <w:lang w:val="en-US"/>
        </w:rPr>
        <w:t xml:space="preserve"> </w:t>
      </w:r>
      <w:r w:rsidR="00AD072E" w:rsidRPr="00F65B91">
        <w:rPr>
          <w:rFonts w:ascii="Times New Roman" w:hAnsi="Times New Roman"/>
          <w:b w:val="0"/>
          <w:sz w:val="24"/>
          <w:szCs w:val="24"/>
          <w:lang w:val="en-US"/>
        </w:rPr>
        <w:t>Data Fit</w:t>
      </w:r>
    </w:p>
    <w:p w14:paraId="2EA370A4" w14:textId="6E6AFFBE" w:rsidR="00F618F4" w:rsidRPr="009D2650" w:rsidRDefault="00B8106E" w:rsidP="00065DA9">
      <w:pPr>
        <w:jc w:val="both"/>
      </w:pPr>
      <w:r w:rsidRPr="008C34DC">
        <w:t>The performance of the GHDM structure used here may be compared to the one that does not consider latent constructs</w:t>
      </w:r>
      <w:r w:rsidR="0084294D">
        <w:t>, maintaining the same specification otherwise as in the final GHDM model. However, this would not constitute a good “</w:t>
      </w:r>
      <w:proofErr w:type="spellStart"/>
      <w:r w:rsidR="0084294D">
        <w:t>strawman</w:t>
      </w:r>
      <w:proofErr w:type="spellEnd"/>
      <w:r w:rsidR="0084294D">
        <w:t xml:space="preserve">” specification to test the GHDM model with. Instead, we estimate a model </w:t>
      </w:r>
      <w:r w:rsidR="00DB3A38">
        <w:t xml:space="preserve">including the determinants of the latent </w:t>
      </w:r>
      <w:proofErr w:type="gramStart"/>
      <w:r w:rsidR="00DB3A38">
        <w:t xml:space="preserve">constructs </w:t>
      </w:r>
      <w:r w:rsidRPr="008C34DC">
        <w:t xml:space="preserve"> </w:t>
      </w:r>
      <w:r w:rsidR="00DB3A38">
        <w:t>as</w:t>
      </w:r>
      <w:proofErr w:type="gramEnd"/>
      <w:r w:rsidR="00DB3A38">
        <w:t xml:space="preserve"> explanatory variables, while maintaining the </w:t>
      </w:r>
      <w:proofErr w:type="spellStart"/>
      <w:r w:rsidR="00DB3A38">
        <w:t>recursivitiy</w:t>
      </w:r>
      <w:proofErr w:type="spellEnd"/>
      <w:r w:rsidR="00DB3A38">
        <w:t xml:space="preserve"> in the dimensions as obtained from our final GHDM model. Essentially, this is an independent model in that the error term correlations across the dimensions are ignored, but the best specification of the explanatory variables </w:t>
      </w:r>
      <w:r w:rsidR="00F618F4">
        <w:t xml:space="preserve">(including those used in the GHDM model in the structural equation system to explain the latent constructs) </w:t>
      </w:r>
      <w:r w:rsidR="00DB3A38">
        <w:t>is considered to explain the dwel</w:t>
      </w:r>
      <w:r w:rsidR="008246DE">
        <w:t>l</w:t>
      </w:r>
      <w:r w:rsidR="00DB3A38">
        <w:t xml:space="preserve">ing unit dimensions. We will refer to this as the independent heterogeneous data model (or IHDM model). </w:t>
      </w:r>
      <w:r w:rsidR="00F618F4">
        <w:t xml:space="preserve">The GHDM and the IHDM models are not nested, but they may be compared using </w:t>
      </w:r>
      <w:r w:rsidR="00F618F4" w:rsidRPr="009D2650">
        <w:t xml:space="preserve">the composite likelihood information criterion (CLIC) introduced by </w:t>
      </w:r>
      <w:proofErr w:type="spellStart"/>
      <w:r w:rsidR="00F618F4" w:rsidRPr="009D2650">
        <w:t>Var</w:t>
      </w:r>
      <w:r w:rsidR="00F618F4">
        <w:t>in</w:t>
      </w:r>
      <w:proofErr w:type="spellEnd"/>
      <w:r w:rsidR="00F618F4">
        <w:t xml:space="preserve"> and </w:t>
      </w:r>
      <w:proofErr w:type="spellStart"/>
      <w:r w:rsidR="00F618F4">
        <w:t>Vidoni</w:t>
      </w:r>
      <w:proofErr w:type="spellEnd"/>
      <w:r w:rsidR="00F618F4">
        <w:t xml:space="preserve"> (2005)</w:t>
      </w:r>
      <w:r w:rsidR="00F618F4" w:rsidRPr="009D2650">
        <w:t>. The CLIC takes the following form:</w:t>
      </w:r>
    </w:p>
    <w:p w14:paraId="4F24FF72" w14:textId="0DCA9D40" w:rsidR="00F618F4" w:rsidRPr="009D2650" w:rsidRDefault="007D68AB" w:rsidP="00065DA9">
      <w:pPr>
        <w:tabs>
          <w:tab w:val="right" w:pos="9360"/>
        </w:tabs>
        <w:jc w:val="both"/>
      </w:pPr>
      <w:r w:rsidRPr="009D2650">
        <w:rPr>
          <w:position w:val="-12"/>
        </w:rPr>
        <w:object w:dxaOrig="4280" w:dyaOrig="440" w14:anchorId="47CD6B8A">
          <v:shape id="_x0000_i1244" type="#_x0000_t75" style="width:213.5pt;height:22.6pt" o:ole="" o:preferrelative="f">
            <v:imagedata r:id="rId437" o:title=""/>
            <o:lock v:ext="edit" aspectratio="f"/>
          </v:shape>
          <o:OLEObject Type="Embed" ProgID="Equation.3" ShapeID="_x0000_i1244" DrawAspect="Content" ObjectID="_1493479710" r:id="rId438"/>
        </w:object>
      </w:r>
      <w:r w:rsidR="009F55E5">
        <w:tab/>
        <w:t>(</w:t>
      </w:r>
      <w:r>
        <w:t>12</w:t>
      </w:r>
      <w:r w:rsidR="00F618F4" w:rsidRPr="009D2650">
        <w:t>)</w:t>
      </w:r>
    </w:p>
    <w:p w14:paraId="080A26DD" w14:textId="001C59E6" w:rsidR="00930494" w:rsidRPr="00C84020" w:rsidRDefault="00F618F4" w:rsidP="00065DA9">
      <w:pPr>
        <w:jc w:val="both"/>
      </w:pPr>
      <w:r w:rsidRPr="009D2650">
        <w:t>The model that provides a higher value of CLIC is preferred.</w:t>
      </w:r>
      <w:r w:rsidR="00B8106E" w:rsidRPr="008C34DC">
        <w:t xml:space="preserve"> </w:t>
      </w:r>
      <w:r w:rsidR="00381E0A">
        <w:t xml:space="preserve">Another way to examine the performance of the two models is to compute the equivalent </w:t>
      </w:r>
      <w:r w:rsidR="00C4737A">
        <w:t xml:space="preserve">GHDM </w:t>
      </w:r>
      <w:r w:rsidR="00381E0A">
        <w:t>predictive</w:t>
      </w:r>
      <w:r w:rsidR="00C4737A">
        <w:t xml:space="preserve"> household-level </w:t>
      </w:r>
      <w:r w:rsidR="00381E0A">
        <w:t xml:space="preserve">likelihood value </w:t>
      </w:r>
      <w:r w:rsidR="00C4737A">
        <w:t xml:space="preserve">and computing the log-likelihood value across all households at </w:t>
      </w:r>
      <w:proofErr w:type="gramStart"/>
      <w:r w:rsidR="00C4737A">
        <w:t>convergence</w:t>
      </w:r>
      <w:r w:rsidR="00C4737A" w:rsidRPr="00C84020">
        <w:t xml:space="preserve"> </w:t>
      </w:r>
      <w:proofErr w:type="gramEnd"/>
      <w:r w:rsidR="00930494" w:rsidRPr="00C84020">
        <w:rPr>
          <w:position w:val="-10"/>
        </w:rPr>
        <w:object w:dxaOrig="680" w:dyaOrig="380" w14:anchorId="78C2BA9D">
          <v:shape id="_x0000_i1245" type="#_x0000_t75" style="width:33.5pt;height:18.4pt" o:ole="">
            <v:imagedata r:id="rId439" o:title=""/>
          </v:shape>
          <o:OLEObject Type="Embed" ProgID="Equation.3" ShapeID="_x0000_i1245" DrawAspect="Content" ObjectID="_1493479711" r:id="rId440"/>
        </w:object>
      </w:r>
      <w:r w:rsidR="00930494" w:rsidRPr="00C84020">
        <w:t xml:space="preserve">. </w:t>
      </w:r>
      <w:r w:rsidR="00C4737A">
        <w:t xml:space="preserve">The corresponding IHDM predictive log-likelihood value may also be computed. Then, </w:t>
      </w:r>
      <w:r w:rsidR="00930494" w:rsidRPr="00C84020">
        <w:t xml:space="preserve">one can compute the adjusted likelihood ratio index </w:t>
      </w:r>
      <w:r w:rsidR="00C4737A">
        <w:t xml:space="preserve">of each model </w:t>
      </w:r>
      <w:r w:rsidR="00930494" w:rsidRPr="00C84020">
        <w:t>with respect</w:t>
      </w:r>
      <w:r w:rsidR="00C4737A">
        <w:t xml:space="preserve"> to the log-likelihood with only the constants for each dimension in the IHDM model</w:t>
      </w:r>
      <w:r w:rsidR="00930494" w:rsidRPr="00C84020">
        <w:t>:</w:t>
      </w:r>
    </w:p>
    <w:p w14:paraId="0881B019" w14:textId="3F2031F8" w:rsidR="00930494" w:rsidRPr="00C84020" w:rsidRDefault="00930494" w:rsidP="00930494">
      <w:pPr>
        <w:jc w:val="both"/>
      </w:pPr>
      <w:r w:rsidRPr="00C84020">
        <w:rPr>
          <w:position w:val="-28"/>
        </w:rPr>
        <w:object w:dxaOrig="2040" w:dyaOrig="720" w14:anchorId="617E0441">
          <v:shape id="_x0000_i1246" type="#_x0000_t75" style="width:102.15pt;height:36.85pt" o:ole="">
            <v:imagedata r:id="rId441" o:title=""/>
          </v:shape>
          <o:OLEObject Type="Embed" ProgID="Equation.3" ShapeID="_x0000_i1246" DrawAspect="Content" ObjectID="_1493479712" r:id="rId442"/>
        </w:object>
      </w:r>
      <w:r w:rsidRPr="00C84020">
        <w:t>,</w:t>
      </w:r>
      <w:r w:rsidRPr="00C84020">
        <w:tab/>
      </w:r>
      <w:r w:rsidRPr="00C84020">
        <w:tab/>
      </w:r>
      <w:r w:rsidRPr="00C84020">
        <w:tab/>
      </w:r>
      <w:r w:rsidRPr="00C84020">
        <w:tab/>
      </w:r>
      <w:r w:rsidRPr="00C84020">
        <w:tab/>
      </w:r>
      <w:r w:rsidRPr="00C84020">
        <w:tab/>
      </w:r>
      <w:r w:rsidRPr="00C84020">
        <w:tab/>
      </w:r>
      <w:r w:rsidRPr="00C84020">
        <w:tab/>
      </w:r>
      <w:r w:rsidRPr="00C84020">
        <w:tab/>
        <w:t xml:space="preserve">             </w:t>
      </w:r>
      <w:r>
        <w:t xml:space="preserve">  </w:t>
      </w:r>
      <w:r w:rsidR="00861A22">
        <w:t xml:space="preserve"> </w:t>
      </w:r>
      <w:r w:rsidRPr="00C84020">
        <w:t>(</w:t>
      </w:r>
      <w:r w:rsidR="007D68AB">
        <w:t>13</w:t>
      </w:r>
      <w:r w:rsidRPr="00C84020">
        <w:t>)</w:t>
      </w:r>
    </w:p>
    <w:p w14:paraId="724D7151" w14:textId="0280D64E" w:rsidR="00930494" w:rsidRPr="00C84020" w:rsidRDefault="00930494" w:rsidP="00930494">
      <w:pPr>
        <w:autoSpaceDE w:val="0"/>
        <w:autoSpaceDN w:val="0"/>
        <w:adjustRightInd w:val="0"/>
        <w:jc w:val="both"/>
      </w:pPr>
      <w:proofErr w:type="gramStart"/>
      <w:r w:rsidRPr="00C84020">
        <w:t>where</w:t>
      </w:r>
      <w:proofErr w:type="gramEnd"/>
      <w:r w:rsidRPr="00C84020">
        <w:t xml:space="preserve"> </w:t>
      </w:r>
      <w:r w:rsidRPr="00C84020">
        <w:rPr>
          <w:position w:val="-10"/>
        </w:rPr>
        <w:object w:dxaOrig="680" w:dyaOrig="380" w14:anchorId="3A762F1E">
          <v:shape id="_x0000_i1247" type="#_x0000_t75" style="width:33.5pt;height:18.4pt" o:ole="">
            <v:imagedata r:id="rId443" o:title=""/>
          </v:shape>
          <o:OLEObject Type="Embed" ProgID="Equation.3" ShapeID="_x0000_i1247" DrawAspect="Content" ObjectID="_1493479713" r:id="rId444"/>
        </w:object>
      </w:r>
      <w:r w:rsidRPr="00C84020">
        <w:t xml:space="preserve"> and </w:t>
      </w:r>
      <w:r w:rsidRPr="00C84020">
        <w:rPr>
          <w:position w:val="-10"/>
        </w:rPr>
        <w:object w:dxaOrig="660" w:dyaOrig="320" w14:anchorId="62FA7540">
          <v:shape id="_x0000_i1248" type="#_x0000_t75" style="width:32.65pt;height:15.9pt" o:ole="">
            <v:imagedata r:id="rId445" o:title=""/>
          </v:shape>
          <o:OLEObject Type="Embed" ProgID="Equation.3" ShapeID="_x0000_i1248" DrawAspect="Content" ObjectID="_1493479714" r:id="rId446"/>
        </w:object>
      </w:r>
      <w:r>
        <w:t xml:space="preserve"> </w:t>
      </w:r>
      <w:r w:rsidRPr="00C84020">
        <w:t xml:space="preserve">are the log-likelihood functions at convergence and at </w:t>
      </w:r>
      <w:r w:rsidR="00C4737A">
        <w:t>constants</w:t>
      </w:r>
      <w:r w:rsidRPr="00C84020">
        <w:t xml:space="preserve">, respectively, and </w:t>
      </w:r>
      <w:r w:rsidRPr="00C84020">
        <w:rPr>
          <w:i/>
        </w:rPr>
        <w:t>M</w:t>
      </w:r>
      <w:r w:rsidRPr="00C84020">
        <w:t xml:space="preserve"> is the number of parameters </w:t>
      </w:r>
      <w:r w:rsidR="00C4737A">
        <w:t xml:space="preserve">(not including the constant(s) for each dimension) </w:t>
      </w:r>
      <w:r w:rsidRPr="00C84020">
        <w:t>estimated in the model. To test the performance of the two non-nested models (</w:t>
      </w:r>
      <w:r w:rsidRPr="00587F3D">
        <w:rPr>
          <w:i/>
        </w:rPr>
        <w:t>i.e.</w:t>
      </w:r>
      <w:r w:rsidR="00C4737A">
        <w:t xml:space="preserve"> the GHDM and IHDM</w:t>
      </w:r>
      <w:r w:rsidRPr="00C84020">
        <w:t xml:space="preserve"> models) statistically, the non-nested adjusted likelihood ratio test may be used</w:t>
      </w:r>
      <w:r w:rsidR="00837861">
        <w:t xml:space="preserve"> (see Ben-</w:t>
      </w:r>
      <w:proofErr w:type="spellStart"/>
      <w:r w:rsidR="00837861">
        <w:t>A</w:t>
      </w:r>
      <w:r w:rsidR="005B47E2">
        <w:t>kiva</w:t>
      </w:r>
      <w:proofErr w:type="spellEnd"/>
      <w:r w:rsidR="005B47E2">
        <w:t xml:space="preserve"> and </w:t>
      </w:r>
      <w:proofErr w:type="spellStart"/>
      <w:r w:rsidR="005B47E2">
        <w:t>Lerman</w:t>
      </w:r>
      <w:proofErr w:type="spellEnd"/>
      <w:r w:rsidR="005B47E2">
        <w:t>, 1985, page 172</w:t>
      </w:r>
      <w:r w:rsidR="00837861">
        <w:t>)</w:t>
      </w:r>
      <w:r w:rsidRPr="00C84020">
        <w:t xml:space="preserve">. This test determines if the adjusted likelihood ratio indices of two non-nested models are significantly different. In particular, if the difference in the indices </w:t>
      </w:r>
      <w:proofErr w:type="gramStart"/>
      <w:r w:rsidRPr="00C84020">
        <w:t xml:space="preserve">is </w:t>
      </w:r>
      <w:proofErr w:type="gramEnd"/>
      <w:r w:rsidRPr="00C84020">
        <w:rPr>
          <w:position w:val="-10"/>
        </w:rPr>
        <w:object w:dxaOrig="1359" w:dyaOrig="360" w14:anchorId="3D7112E8">
          <v:shape id="_x0000_i1249" type="#_x0000_t75" style="width:67.8pt;height:18.4pt" o:ole="">
            <v:imagedata r:id="rId447" o:title=""/>
          </v:shape>
          <o:OLEObject Type="Embed" ProgID="Equation.3" ShapeID="_x0000_i1249" DrawAspect="Content" ObjectID="_1493479715" r:id="rId448"/>
        </w:object>
      </w:r>
      <w:r w:rsidRPr="00C84020">
        <w:t xml:space="preserve">, then the probability that this difference could have occurred by chance is no larger than </w:t>
      </w:r>
      <w:r w:rsidR="007D68AB" w:rsidRPr="00C84020">
        <w:rPr>
          <w:position w:val="-10"/>
        </w:rPr>
        <w:object w:dxaOrig="3100" w:dyaOrig="360" w14:anchorId="35EF3562">
          <v:shape id="_x0000_i1250" type="#_x0000_t75" style="width:154.9pt;height:18.4pt" o:ole="" o:preferrelative="f">
            <v:imagedata r:id="rId449" o:title=""/>
            <o:lock v:ext="edit" aspectratio="f"/>
          </v:shape>
          <o:OLEObject Type="Embed" ProgID="Equation.3" ShapeID="_x0000_i1250" DrawAspect="Content" ObjectID="_1493479716" r:id="rId450"/>
        </w:object>
      </w:r>
      <w:r w:rsidR="00C01C04">
        <w:t xml:space="preserve"> </w:t>
      </w:r>
      <w:r w:rsidRPr="00C84020">
        <w:t xml:space="preserve">in the asymptotic limit. A </w:t>
      </w:r>
      <w:r w:rsidRPr="00C84020">
        <w:lastRenderedPageBreak/>
        <w:t>small value of the probability of chance occurrence indicates that the difference is statistically significant and that the model with the higher value of adjusted likelihood ratio index is to be preferred.</w:t>
      </w:r>
    </w:p>
    <w:p w14:paraId="0EB24F6E" w14:textId="6C8EF6D5" w:rsidR="003F585C" w:rsidRDefault="00930494" w:rsidP="003F585C">
      <w:pPr>
        <w:ind w:firstLine="720"/>
        <w:jc w:val="both"/>
      </w:pPr>
      <w:r w:rsidRPr="00C84020">
        <w:t>We also evalu</w:t>
      </w:r>
      <w:r w:rsidR="00C4737A">
        <w:t xml:space="preserve">ate the </w:t>
      </w:r>
      <w:r w:rsidR="004948E7">
        <w:t xml:space="preserve">data fit </w:t>
      </w:r>
      <w:r w:rsidR="00C4737A">
        <w:t>of the two</w:t>
      </w:r>
      <w:r w:rsidRPr="00C84020">
        <w:t xml:space="preserve"> models intuitively and informally </w:t>
      </w:r>
      <w:r w:rsidR="004948E7" w:rsidRPr="00C460D7">
        <w:t xml:space="preserve">at both </w:t>
      </w:r>
      <w:proofErr w:type="gramStart"/>
      <w:r w:rsidR="004948E7" w:rsidRPr="00C460D7">
        <w:t>the disaggregate</w:t>
      </w:r>
      <w:proofErr w:type="gramEnd"/>
      <w:r w:rsidR="004948E7" w:rsidRPr="00C460D7">
        <w:t xml:space="preserve"> and aggregate </w:t>
      </w:r>
      <w:r w:rsidR="004948E7">
        <w:t>levels</w:t>
      </w:r>
      <w:r w:rsidR="00B93756">
        <w:t xml:space="preserve">. To do so, we consider four specific dimensions (housing type, density of residential location, </w:t>
      </w:r>
      <w:proofErr w:type="spellStart"/>
      <w:r w:rsidR="00B93756">
        <w:t>storey</w:t>
      </w:r>
      <w:proofErr w:type="spellEnd"/>
      <w:r w:rsidR="00B93756">
        <w:t xml:space="preserve"> type, and tenure type) and compute </w:t>
      </w:r>
      <w:r w:rsidR="00F60D41">
        <w:t xml:space="preserve">marginal multivariate </w:t>
      </w:r>
      <w:r w:rsidR="004948E7">
        <w:t xml:space="preserve">predictions </w:t>
      </w:r>
      <w:r w:rsidR="00B93756">
        <w:t xml:space="preserve">for these four </w:t>
      </w:r>
      <w:r w:rsidR="00F60D41">
        <w:t>dwelling unit attributes jointly</w:t>
      </w:r>
      <w:r w:rsidR="004948E7" w:rsidRPr="00C460D7">
        <w:t xml:space="preserve">. At the </w:t>
      </w:r>
      <w:r w:rsidR="004948E7" w:rsidRPr="00B93756">
        <w:rPr>
          <w:u w:val="single"/>
        </w:rPr>
        <w:t>disaggregate level</w:t>
      </w:r>
      <w:r w:rsidR="004948E7" w:rsidRPr="00C460D7">
        <w:t xml:space="preserve">, </w:t>
      </w:r>
      <w:r w:rsidR="004948E7">
        <w:t xml:space="preserve">for the GHDM model, </w:t>
      </w:r>
      <w:r w:rsidR="004948E7" w:rsidRPr="00C460D7">
        <w:t xml:space="preserve">we estimate the probability of </w:t>
      </w:r>
      <w:r w:rsidR="004948E7">
        <w:t xml:space="preserve">the observed </w:t>
      </w:r>
      <w:r w:rsidR="00B93756">
        <w:t xml:space="preserve">marginal </w:t>
      </w:r>
      <w:r w:rsidR="004948E7">
        <w:t>multivariate outcome for each household</w:t>
      </w:r>
      <w:r w:rsidR="004948E7" w:rsidRPr="00C460D7">
        <w:t xml:space="preserve"> using </w:t>
      </w:r>
      <w:r w:rsidR="00F60D41">
        <w:t>Equation (4</w:t>
      </w:r>
      <w:r w:rsidR="004948E7">
        <w:t>)</w:t>
      </w:r>
      <w:r w:rsidR="00F60D41">
        <w:t xml:space="preserve"> in the supplementary note</w:t>
      </w:r>
      <w:r w:rsidR="00B93756">
        <w:t xml:space="preserve"> (essentially this entails a four dimensional rectangular integral computation after integrating out other housing dimensions)</w:t>
      </w:r>
      <w:r w:rsidR="004948E7">
        <w:t xml:space="preserve">, </w:t>
      </w:r>
      <w:r w:rsidR="004948E7" w:rsidRPr="00C460D7">
        <w:t xml:space="preserve">and compute an average </w:t>
      </w:r>
      <w:r w:rsidR="003D3F07">
        <w:t xml:space="preserve">(across households) </w:t>
      </w:r>
      <w:r w:rsidR="004948E7" w:rsidRPr="00C460D7">
        <w:t>probability of correct pre</w:t>
      </w:r>
      <w:r w:rsidR="004948E7">
        <w:t>diction</w:t>
      </w:r>
      <w:r w:rsidR="00B93756">
        <w:t xml:space="preserve"> at this four-</w:t>
      </w:r>
      <w:proofErr w:type="spellStart"/>
      <w:r w:rsidR="00B93756">
        <w:t>variate</w:t>
      </w:r>
      <w:proofErr w:type="spellEnd"/>
      <w:r w:rsidR="00B93756">
        <w:t xml:space="preserve"> level</w:t>
      </w:r>
      <w:r w:rsidR="004948E7">
        <w:t xml:space="preserve">. Similar disaggregate measures are computed for the IHDM model. </w:t>
      </w:r>
      <w:r w:rsidR="004948E7" w:rsidRPr="00C460D7">
        <w:t xml:space="preserve">At the aggregate level, we </w:t>
      </w:r>
      <w:r w:rsidR="004948E7">
        <w:t>design a heuristic diagnostic check of model fit by computing</w:t>
      </w:r>
      <w:r w:rsidR="004948E7" w:rsidRPr="00C460D7">
        <w:t xml:space="preserve"> the predicted aggregate share of individuals for </w:t>
      </w:r>
      <w:r w:rsidR="00B93756">
        <w:t xml:space="preserve">combinations of the four dimensions identified earlier that have an aggregate share of over 0.05. </w:t>
      </w:r>
      <w:r w:rsidR="00B97A1A">
        <w:t xml:space="preserve">The predicted shares at the multivariate outcome as well as the marginal outcome levels from the GHDM and the IHDM models are compared to the actual shares, and </w:t>
      </w:r>
      <w:r w:rsidR="00C139FB">
        <w:t xml:space="preserve">the </w:t>
      </w:r>
      <w:r w:rsidR="004948E7" w:rsidRPr="00C460D7">
        <w:t>absolute percentage error (APE) statistic</w:t>
      </w:r>
      <w:r w:rsidR="004948E7">
        <w:t xml:space="preserve"> </w:t>
      </w:r>
      <w:r w:rsidR="00B97A1A">
        <w:t xml:space="preserve">is computed. </w:t>
      </w:r>
    </w:p>
    <w:p w14:paraId="646CBEA7" w14:textId="749BEAF2" w:rsidR="0005173D" w:rsidRDefault="003F585C">
      <w:pPr>
        <w:ind w:firstLine="720"/>
        <w:jc w:val="both"/>
      </w:pPr>
      <w:r>
        <w:t xml:space="preserve">The results of our </w:t>
      </w:r>
      <w:r w:rsidR="007358C8">
        <w:t xml:space="preserve">disaggregate </w:t>
      </w:r>
      <w:r>
        <w:t xml:space="preserve">data fit evaluation are provided in </w:t>
      </w:r>
      <w:r w:rsidR="009B19A8">
        <w:t xml:space="preserve">Table </w:t>
      </w:r>
      <w:r w:rsidR="00D76194">
        <w:t>5</w:t>
      </w:r>
      <w:r w:rsidR="007358C8">
        <w:t>a</w:t>
      </w:r>
      <w:r w:rsidR="00637586">
        <w:t xml:space="preserve">. </w:t>
      </w:r>
      <w:r w:rsidR="00DB3A3C">
        <w:t xml:space="preserve">The CLIC values </w:t>
      </w:r>
      <w:r w:rsidR="009B19A8">
        <w:t xml:space="preserve">in Table </w:t>
      </w:r>
      <w:r w:rsidR="00D76194">
        <w:t>5</w:t>
      </w:r>
      <w:r w:rsidR="009B19A8">
        <w:t xml:space="preserve"> </w:t>
      </w:r>
      <w:r w:rsidR="007358C8">
        <w:t>clearly favor the GH</w:t>
      </w:r>
      <w:r w:rsidR="00DB3A3C">
        <w:t>D</w:t>
      </w:r>
      <w:r w:rsidR="007358C8">
        <w:t>M model over the IH</w:t>
      </w:r>
      <w:r w:rsidR="00DB3A3C">
        <w:t>D</w:t>
      </w:r>
      <w:r w:rsidR="007358C8">
        <w:t>M</w:t>
      </w:r>
      <w:r w:rsidR="00DB3A3C">
        <w:t xml:space="preserve"> model. </w:t>
      </w:r>
      <w:r w:rsidR="00DB3A3C" w:rsidRPr="00C84020">
        <w:t xml:space="preserve">The same result is obtained </w:t>
      </w:r>
      <w:r w:rsidR="005079CB">
        <w:t>when comparing</w:t>
      </w:r>
      <w:r w:rsidR="00DB3A3C">
        <w:t xml:space="preserve"> the predictive likelihood values</w:t>
      </w:r>
      <w:r w:rsidR="005079CB">
        <w:t>, the predictive adjusted likelihood ratio indices,</w:t>
      </w:r>
      <w:r w:rsidR="00DB3A3C">
        <w:t xml:space="preserve"> and computing the non-nested likelihood ratio statistic</w:t>
      </w:r>
      <w:r w:rsidR="00DB3A3C" w:rsidRPr="00C84020">
        <w:t>; the probability that the adjusted likelihood ratio index</w:t>
      </w:r>
      <w:r w:rsidR="007358C8">
        <w:t xml:space="preserve"> difference between the GH</w:t>
      </w:r>
      <w:r w:rsidR="00DB3A3C">
        <w:t>D</w:t>
      </w:r>
      <w:r w:rsidR="007358C8">
        <w:t>M</w:t>
      </w:r>
      <w:r w:rsidR="00DB3A3C">
        <w:t xml:space="preserve"> </w:t>
      </w:r>
      <w:r w:rsidR="00DB3A3C" w:rsidRPr="00C84020">
        <w:t xml:space="preserve">and </w:t>
      </w:r>
      <w:r w:rsidR="007358C8">
        <w:t>the IH</w:t>
      </w:r>
      <w:r w:rsidR="00DB3A3C">
        <w:t>D</w:t>
      </w:r>
      <w:r w:rsidR="007358C8">
        <w:t>M</w:t>
      </w:r>
      <w:r w:rsidR="00DB3A3C">
        <w:t xml:space="preserve"> </w:t>
      </w:r>
      <w:r w:rsidR="00DB3A3C" w:rsidRPr="00C84020">
        <w:t>models could have occurred by chance is literally zero</w:t>
      </w:r>
      <w:r w:rsidR="00DB3A3C">
        <w:t xml:space="preserve">. </w:t>
      </w:r>
      <w:r w:rsidR="007358C8">
        <w:t>The average probability of correct prediction at the four-</w:t>
      </w:r>
      <w:proofErr w:type="spellStart"/>
      <w:r w:rsidR="007358C8">
        <w:t>variate</w:t>
      </w:r>
      <w:proofErr w:type="spellEnd"/>
      <w:r w:rsidR="007358C8">
        <w:t xml:space="preserve"> level of housing type, residential location density, </w:t>
      </w:r>
      <w:proofErr w:type="spellStart"/>
      <w:r w:rsidR="007358C8">
        <w:t>storey</w:t>
      </w:r>
      <w:proofErr w:type="spellEnd"/>
      <w:r w:rsidR="007358C8">
        <w:t xml:space="preserve"> type, and tenure type is 0.2235 for the GHDM model, and 0.2145 for the IHDM model. At the aggregate level, the five combinations at the four-</w:t>
      </w:r>
      <w:proofErr w:type="spellStart"/>
      <w:r w:rsidR="007358C8">
        <w:t>variate</w:t>
      </w:r>
      <w:proofErr w:type="spellEnd"/>
      <w:r w:rsidR="007358C8">
        <w:t xml:space="preserve"> level with a share of over 0.05 are identified in Table 5b. For each of these combinations, the shares predicted by the GHDM model are either superior to the IHDM model or about the same as the IHDM model. Across all five combinations, the average APE is 6.93% for the GHDM model compared to 21.17% for the IHDM. </w:t>
      </w:r>
      <w:r w:rsidR="009B19A8">
        <w:t xml:space="preserve">The aggregate fit measures in Table </w:t>
      </w:r>
      <w:r w:rsidR="00D76194">
        <w:t>5</w:t>
      </w:r>
      <w:r w:rsidR="007358C8">
        <w:t>b</w:t>
      </w:r>
      <w:r w:rsidR="000A7F82">
        <w:t xml:space="preserve"> reinforce </w:t>
      </w:r>
      <w:proofErr w:type="gramStart"/>
      <w:r w:rsidR="000A7F82">
        <w:t>the disaggregate</w:t>
      </w:r>
      <w:proofErr w:type="gramEnd"/>
      <w:r w:rsidR="000A7F82">
        <w:t xml:space="preserve"> level results</w:t>
      </w:r>
      <w:r w:rsidR="007358C8">
        <w:t xml:space="preserve"> in Table 5a.</w:t>
      </w:r>
    </w:p>
    <w:p w14:paraId="179B38EA" w14:textId="7EBE18FE" w:rsidR="00F07F5F" w:rsidRPr="00F65B91" w:rsidRDefault="0005173D" w:rsidP="00F65B91">
      <w:pPr>
        <w:ind w:firstLine="720"/>
        <w:jc w:val="both"/>
      </w:pPr>
      <w:r>
        <w:lastRenderedPageBreak/>
        <w:t xml:space="preserve">In summary, the </w:t>
      </w:r>
      <w:r w:rsidR="00930494" w:rsidRPr="00C460D7">
        <w:t>results cl</w:t>
      </w:r>
      <w:r w:rsidR="001B69D9">
        <w:t>early show that the GHDM</w:t>
      </w:r>
      <w:r>
        <w:t xml:space="preserve"> model </w:t>
      </w:r>
      <w:r w:rsidR="00930494" w:rsidRPr="00C460D7">
        <w:t>proposed here outpe</w:t>
      </w:r>
      <w:r w:rsidR="007358C8">
        <w:t>rforms the IH</w:t>
      </w:r>
      <w:r>
        <w:t>D</w:t>
      </w:r>
      <w:r w:rsidR="007358C8">
        <w:t>M</w:t>
      </w:r>
      <w:r>
        <w:t xml:space="preserve"> model </w:t>
      </w:r>
      <w:r w:rsidR="00930494">
        <w:t xml:space="preserve">in </w:t>
      </w:r>
      <w:proofErr w:type="gramStart"/>
      <w:r w:rsidR="00930494">
        <w:t xml:space="preserve">the </w:t>
      </w:r>
      <w:r w:rsidR="00930494" w:rsidRPr="00C460D7">
        <w:t>disaggregate</w:t>
      </w:r>
      <w:proofErr w:type="gramEnd"/>
      <w:r w:rsidR="00930494" w:rsidRPr="00C460D7">
        <w:t xml:space="preserve"> level and aggregate level comparisons.</w:t>
      </w:r>
      <w:r w:rsidR="00F07F5F">
        <w:t xml:space="preserve"> It is also interesting to compare the model with a model that ignores </w:t>
      </w:r>
      <w:r w:rsidR="00050C4E">
        <w:t xml:space="preserve">the first stage search process completely, and assumes that </w:t>
      </w:r>
      <w:r w:rsidR="00F07F5F">
        <w:t>households choose from</w:t>
      </w:r>
      <w:r w:rsidR="00050C4E">
        <w:t xml:space="preserve"> all possible dwelling units</w:t>
      </w:r>
      <w:r w:rsidR="00F07F5F">
        <w:t xml:space="preserve">. Such a model essentially assumes that, regardless of household demographics and attitudes, the probability of choice of each alternative along each dimension </w:t>
      </w:r>
      <w:r w:rsidR="00050C4E">
        <w:t xml:space="preserve">in the first stage process modeled here </w:t>
      </w:r>
      <w:r w:rsidR="00F07F5F">
        <w:t xml:space="preserve">is equal across alternatives in that dimension. Equivalently, each multivariate combination has the same probability of being included into the choice set of the household. </w:t>
      </w:r>
      <w:r w:rsidR="007358C8">
        <w:t>The log-likelihood (LL</w:t>
      </w:r>
      <w:r w:rsidR="00E473F4">
        <w:t xml:space="preserve">) value of the naïve model </w:t>
      </w:r>
      <w:proofErr w:type="gramStart"/>
      <w:r w:rsidR="00E473F4">
        <w:t>is  –</w:t>
      </w:r>
      <w:proofErr w:type="gramEnd"/>
      <w:r w:rsidR="007358C8">
        <w:t xml:space="preserve">20,161.00, which is much worse than that of the GHDM LL value of </w:t>
      </w:r>
      <w:r w:rsidR="00FC2CB9">
        <w:t xml:space="preserve">      </w:t>
      </w:r>
      <w:r w:rsidR="00E473F4">
        <w:t>–</w:t>
      </w:r>
      <w:r w:rsidR="007358C8">
        <w:t xml:space="preserve">10,726.72, and of the IHDM LL value of </w:t>
      </w:r>
      <w:r w:rsidR="00E473F4">
        <w:t>–</w:t>
      </w:r>
      <w:r w:rsidR="007358C8">
        <w:t xml:space="preserve">11,438.43. </w:t>
      </w:r>
      <w:r w:rsidR="00F07F5F">
        <w:t>The average probability of correct predi</w:t>
      </w:r>
      <w:r w:rsidR="00AE2B34">
        <w:t xml:space="preserve">ction of such a </w:t>
      </w:r>
      <w:r w:rsidR="00432B1B">
        <w:t xml:space="preserve">naïve </w:t>
      </w:r>
      <w:r w:rsidR="00AE2B34">
        <w:t xml:space="preserve">model </w:t>
      </w:r>
      <w:r w:rsidR="007358C8">
        <w:t>at the four-</w:t>
      </w:r>
      <w:proofErr w:type="spellStart"/>
      <w:r w:rsidR="007358C8">
        <w:t>variate</w:t>
      </w:r>
      <w:proofErr w:type="spellEnd"/>
      <w:r w:rsidR="007358C8">
        <w:t xml:space="preserve"> level identified above is 0.0420,</w:t>
      </w:r>
      <w:r w:rsidR="00F07F5F">
        <w:t xml:space="preserve"> which is </w:t>
      </w:r>
      <w:r w:rsidR="00F07F5F" w:rsidRPr="00F65B91">
        <w:t xml:space="preserve">much worse than the </w:t>
      </w:r>
      <w:r w:rsidR="005079CB" w:rsidRPr="00F65B91">
        <w:t xml:space="preserve">corresponding </w:t>
      </w:r>
      <w:r w:rsidR="00F07F5F" w:rsidRPr="00F65B91">
        <w:t xml:space="preserve">GHDM </w:t>
      </w:r>
      <w:r w:rsidR="007358C8" w:rsidRPr="00F65B91">
        <w:t>value (of 0.2235)</w:t>
      </w:r>
      <w:r w:rsidR="005079CB" w:rsidRPr="00F65B91">
        <w:t xml:space="preserve"> or the IHDM value </w:t>
      </w:r>
      <w:r w:rsidR="007358C8" w:rsidRPr="00F65B91">
        <w:t>(of 0.2145</w:t>
      </w:r>
      <w:r w:rsidR="005079CB" w:rsidRPr="00F65B91">
        <w:t>)</w:t>
      </w:r>
      <w:r w:rsidR="00F07F5F" w:rsidRPr="00F65B91">
        <w:t xml:space="preserve">. </w:t>
      </w:r>
      <w:r w:rsidR="00432B1B" w:rsidRPr="00F65B91">
        <w:t>Overall</w:t>
      </w:r>
      <w:r w:rsidR="00F07F5F" w:rsidRPr="00F65B91">
        <w:t xml:space="preserve">, the GHDM model, which has the best data fit, is the one that provides the most accurate </w:t>
      </w:r>
      <w:r w:rsidR="00050C4E">
        <w:t>set of alternatives for the subsequent second stage fine-level determination of housing choices at the parcel level</w:t>
      </w:r>
      <w:r w:rsidR="00F07F5F" w:rsidRPr="00F65B91">
        <w:t xml:space="preserve">.  </w:t>
      </w:r>
    </w:p>
    <w:p w14:paraId="74BF2E61" w14:textId="77777777" w:rsidR="00930494" w:rsidRPr="00F65B91" w:rsidRDefault="00930494" w:rsidP="00F65B91">
      <w:pPr>
        <w:jc w:val="both"/>
      </w:pPr>
    </w:p>
    <w:p w14:paraId="00CE84FE" w14:textId="28D2F711" w:rsidR="00D740EB" w:rsidRPr="00F65B91" w:rsidRDefault="00CE62B2" w:rsidP="00F65B91">
      <w:pPr>
        <w:pStyle w:val="Heading1"/>
        <w:keepLines/>
        <w:numPr>
          <w:ilvl w:val="0"/>
          <w:numId w:val="0"/>
        </w:numPr>
        <w:spacing w:before="0" w:after="0"/>
        <w:ind w:left="360" w:hanging="360"/>
        <w:rPr>
          <w:rFonts w:ascii="Times New Roman" w:hAnsi="Times New Roman"/>
          <w:sz w:val="24"/>
          <w:szCs w:val="24"/>
        </w:rPr>
      </w:pPr>
      <w:r>
        <w:rPr>
          <w:rFonts w:ascii="Times New Roman" w:hAnsi="Times New Roman"/>
          <w:sz w:val="24"/>
          <w:szCs w:val="24"/>
        </w:rPr>
        <w:t>4</w:t>
      </w:r>
      <w:r w:rsidR="00F65B91">
        <w:rPr>
          <w:rFonts w:ascii="Times New Roman" w:hAnsi="Times New Roman"/>
          <w:sz w:val="24"/>
          <w:szCs w:val="24"/>
        </w:rPr>
        <w:t>.</w:t>
      </w:r>
      <w:r w:rsidR="00EB2265" w:rsidRPr="00F65B91">
        <w:rPr>
          <w:rFonts w:ascii="Times New Roman" w:hAnsi="Times New Roman"/>
          <w:sz w:val="24"/>
          <w:szCs w:val="24"/>
        </w:rPr>
        <w:t xml:space="preserve"> </w:t>
      </w:r>
      <w:r w:rsidR="00D740EB" w:rsidRPr="00F65B91">
        <w:rPr>
          <w:rFonts w:ascii="Times New Roman" w:hAnsi="Times New Roman"/>
          <w:caps/>
          <w:sz w:val="24"/>
          <w:szCs w:val="24"/>
        </w:rPr>
        <w:t>Conclusions</w:t>
      </w:r>
      <w:r w:rsidR="00D740EB" w:rsidRPr="00F65B91">
        <w:rPr>
          <w:rFonts w:ascii="Times New Roman" w:hAnsi="Times New Roman"/>
          <w:sz w:val="24"/>
          <w:szCs w:val="24"/>
        </w:rPr>
        <w:t xml:space="preserve"> </w:t>
      </w:r>
    </w:p>
    <w:p w14:paraId="19B7F71F" w14:textId="7F25B971" w:rsidR="0013447A" w:rsidRPr="00307CB0" w:rsidRDefault="0013447A" w:rsidP="00F65B91">
      <w:pPr>
        <w:autoSpaceDE w:val="0"/>
        <w:autoSpaceDN w:val="0"/>
        <w:adjustRightInd w:val="0"/>
        <w:jc w:val="both"/>
        <w:rPr>
          <w:b/>
        </w:rPr>
      </w:pPr>
      <w:r w:rsidRPr="00F65B91">
        <w:t xml:space="preserve">A majority of residential location choice models are based on traffic analysis zones or similar aggregate spatial regions as the analysis unit. However, because of several limitations of such zone-based models, some recent studies have </w:t>
      </w:r>
      <w:r w:rsidR="00373ED0" w:rsidRPr="00F65B91">
        <w:t xml:space="preserve">started using parcels as the analysis unit. However, like the zone-based models, parcel-based models also do not consider dwelling unit attribute choices </w:t>
      </w:r>
      <w:r w:rsidRPr="00F65B91">
        <w:t>that are made jointly with the physical location of the residence. A</w:t>
      </w:r>
      <w:r w:rsidR="00373ED0" w:rsidRPr="00F65B91">
        <w:t xml:space="preserve">nother </w:t>
      </w:r>
      <w:r w:rsidRPr="00F65B91">
        <w:t>unit of analysis is that of the</w:t>
      </w:r>
      <w:r w:rsidRPr="00C771EE">
        <w:t xml:space="preserve"> dwelling unit</w:t>
      </w:r>
      <w:r w:rsidR="00637586">
        <w:t>. The advantage of this analysis unit</w:t>
      </w:r>
      <w:r w:rsidRPr="00C771EE">
        <w:t xml:space="preserve"> is that it can accommodate dw</w:t>
      </w:r>
      <w:r w:rsidR="002D4663">
        <w:t xml:space="preserve">elling unit attributes, but a problem is that </w:t>
      </w:r>
      <w:r w:rsidRPr="00C771EE">
        <w:t>the universal choice set explodes in size very quickly (particularly with a parcel-based spatial resolution)</w:t>
      </w:r>
      <w:r>
        <w:t>.</w:t>
      </w:r>
      <w:r w:rsidR="002D4663">
        <w:t xml:space="preserve"> </w:t>
      </w:r>
      <w:r w:rsidR="002445EC">
        <w:rPr>
          <w:rFonts w:eastAsiaTheme="minorHAnsi"/>
          <w:color w:val="000000"/>
        </w:rPr>
        <w:t>The typical approach to handle such a sit</w:t>
      </w:r>
      <w:r w:rsidR="00637586">
        <w:rPr>
          <w:rFonts w:eastAsiaTheme="minorHAnsi"/>
          <w:color w:val="000000"/>
        </w:rPr>
        <w:t xml:space="preserve">uation has been to use a </w:t>
      </w:r>
      <w:r w:rsidR="002445EC">
        <w:rPr>
          <w:rFonts w:eastAsiaTheme="minorHAnsi"/>
          <w:color w:val="000000"/>
        </w:rPr>
        <w:t xml:space="preserve">sampling approach to sample a subset of the universal choice set of alternatives, and use correction terms that can provide consistent and asymptotically normal estimates for most discrete choice models. But this works only if </w:t>
      </w:r>
      <w:r w:rsidR="00A350DD">
        <w:rPr>
          <w:rFonts w:eastAsiaTheme="minorHAnsi"/>
          <w:color w:val="000000"/>
        </w:rPr>
        <w:t xml:space="preserve">households do choose from the universal choice set, which is not the case. It fundamentally ignores the presence of any search behavior process heuristics and pruning tactics.  </w:t>
      </w:r>
    </w:p>
    <w:p w14:paraId="224B6677" w14:textId="0DDE24E4" w:rsidR="00E81EF8" w:rsidRPr="00691D95" w:rsidRDefault="0013447A" w:rsidP="0066109F">
      <w:pPr>
        <w:pStyle w:val="Default"/>
        <w:spacing w:line="360" w:lineRule="auto"/>
        <w:ind w:firstLine="720"/>
        <w:jc w:val="both"/>
        <w:rPr>
          <w:rFonts w:ascii="Times New Roman" w:hAnsi="Times New Roman" w:cs="Times New Roman"/>
        </w:rPr>
      </w:pPr>
      <w:r w:rsidRPr="00691D95">
        <w:rPr>
          <w:rFonts w:ascii="Times New Roman" w:hAnsi="Times New Roman" w:cs="Times New Roman"/>
        </w:rPr>
        <w:lastRenderedPageBreak/>
        <w:t xml:space="preserve">In the current study, we adopt a dwelling unit level of analysis and consider a probabilistic choice set generation approach for residential choice modeling. Our representation of the search process is consistent with a combination of supply constraint-based, area-based, or anchor </w:t>
      </w:r>
      <w:r w:rsidR="00EB5163" w:rsidRPr="00691D95">
        <w:rPr>
          <w:rFonts w:ascii="Times New Roman" w:hAnsi="Times New Roman" w:cs="Times New Roman"/>
        </w:rPr>
        <w:t>points-based search strategies. The</w:t>
      </w:r>
      <w:r w:rsidRPr="00691D95">
        <w:rPr>
          <w:rFonts w:ascii="Times New Roman" w:hAnsi="Times New Roman" w:cs="Times New Roman"/>
        </w:rPr>
        <w:t xml:space="preserve"> study accommodates the fact that housing choices involve both characteristics of the</w:t>
      </w:r>
      <w:r w:rsidR="00A350DD" w:rsidRPr="00691D95">
        <w:rPr>
          <w:rFonts w:ascii="Times New Roman" w:hAnsi="Times New Roman" w:cs="Times New Roman"/>
        </w:rPr>
        <w:t xml:space="preserve"> dwelling unit and its location,</w:t>
      </w:r>
      <w:r w:rsidRPr="00691D95">
        <w:rPr>
          <w:rFonts w:ascii="Times New Roman" w:hAnsi="Times New Roman" w:cs="Times New Roman"/>
        </w:rPr>
        <w:t xml:space="preserve"> while also mimicking the search process that underlies housing decisions. </w:t>
      </w:r>
      <w:r w:rsidR="0066109F" w:rsidRPr="00691D95">
        <w:rPr>
          <w:rFonts w:ascii="Times New Roman" w:hAnsi="Times New Roman" w:cs="Times New Roman"/>
        </w:rPr>
        <w:t>A</w:t>
      </w:r>
      <w:r w:rsidRPr="00691D95">
        <w:rPr>
          <w:rFonts w:ascii="Times New Roman" w:hAnsi="Times New Roman" w:cs="Times New Roman"/>
        </w:rPr>
        <w:t xml:space="preserve"> complete range of dwelling unit choices </w:t>
      </w:r>
      <w:r w:rsidR="0066109F" w:rsidRPr="00691D95">
        <w:rPr>
          <w:rFonts w:ascii="Times New Roman" w:hAnsi="Times New Roman" w:cs="Times New Roman"/>
        </w:rPr>
        <w:t>are considered in the first consideration stage, including</w:t>
      </w:r>
      <w:r w:rsidRPr="00691D95">
        <w:rPr>
          <w:rFonts w:ascii="Times New Roman" w:hAnsi="Times New Roman" w:cs="Times New Roman"/>
        </w:rPr>
        <w:t xml:space="preserve"> tenure type, housin</w:t>
      </w:r>
      <w:r w:rsidR="0066109F" w:rsidRPr="00691D95">
        <w:rPr>
          <w:rFonts w:ascii="Times New Roman" w:hAnsi="Times New Roman" w:cs="Times New Roman"/>
        </w:rPr>
        <w:t>g type</w:t>
      </w:r>
      <w:r w:rsidRPr="00691D95">
        <w:rPr>
          <w:rFonts w:ascii="Times New Roman" w:hAnsi="Times New Roman" w:cs="Times New Roman"/>
        </w:rPr>
        <w:t xml:space="preserve">, number of bedrooms, number of bathrooms, number of </w:t>
      </w:r>
      <w:proofErr w:type="spellStart"/>
      <w:r w:rsidRPr="00691D95">
        <w:rPr>
          <w:rFonts w:ascii="Times New Roman" w:hAnsi="Times New Roman" w:cs="Times New Roman"/>
        </w:rPr>
        <w:t>storeys</w:t>
      </w:r>
      <w:proofErr w:type="spellEnd"/>
      <w:r w:rsidRPr="00691D95">
        <w:rPr>
          <w:rFonts w:ascii="Times New Roman" w:hAnsi="Times New Roman" w:cs="Times New Roman"/>
        </w:rPr>
        <w:t xml:space="preserve"> (one or two), square footage of the house, lot size, housing costs, density of residential neighborhood, and </w:t>
      </w:r>
      <w:r w:rsidR="0066109F" w:rsidRPr="00691D95">
        <w:rPr>
          <w:rFonts w:ascii="Times New Roman" w:hAnsi="Times New Roman" w:cs="Times New Roman"/>
        </w:rPr>
        <w:t>household</w:t>
      </w:r>
      <w:r w:rsidRPr="00691D95">
        <w:rPr>
          <w:rFonts w:ascii="Times New Roman" w:hAnsi="Times New Roman" w:cs="Times New Roman"/>
        </w:rPr>
        <w:t xml:space="preserve"> commute distance.</w:t>
      </w:r>
      <w:r w:rsidR="0066109F" w:rsidRPr="00691D95">
        <w:rPr>
          <w:rFonts w:ascii="Times New Roman" w:hAnsi="Times New Roman" w:cs="Times New Roman"/>
        </w:rPr>
        <w:t xml:space="preserve"> We </w:t>
      </w:r>
      <w:r w:rsidRPr="00691D95">
        <w:rPr>
          <w:rFonts w:ascii="Times New Roman" w:hAnsi="Times New Roman" w:cs="Times New Roman"/>
        </w:rPr>
        <w:t>exploit the idea that the final dwelling unit choice provides an indication of the broader preferences at the first consideration stage</w:t>
      </w:r>
      <w:r w:rsidR="0066109F" w:rsidRPr="00691D95">
        <w:rPr>
          <w:rFonts w:ascii="Times New Roman" w:hAnsi="Times New Roman" w:cs="Times New Roman"/>
        </w:rPr>
        <w:t>, and focus on this consideration stage in this paper</w:t>
      </w:r>
      <w:r w:rsidRPr="00691D95">
        <w:rPr>
          <w:rFonts w:ascii="Times New Roman" w:hAnsi="Times New Roman" w:cs="Times New Roman"/>
        </w:rPr>
        <w:t xml:space="preserve">. </w:t>
      </w:r>
      <w:r w:rsidR="0066109F" w:rsidRPr="00691D95">
        <w:rPr>
          <w:rFonts w:ascii="Times New Roman" w:hAnsi="Times New Roman" w:cs="Times New Roman"/>
        </w:rPr>
        <w:t xml:space="preserve">The many housing choices associated with the consideration stage are estimated </w:t>
      </w:r>
      <w:r w:rsidRPr="00691D95">
        <w:rPr>
          <w:rFonts w:ascii="Times New Roman" w:hAnsi="Times New Roman" w:cs="Times New Roman"/>
        </w:rPr>
        <w:t xml:space="preserve">by introducing latent psychological constructs that influence multiple housing choice outcomes in a measurement equation, engendering a parsimonious covariance structure across the many outcomes because the latent constructs themselves are specified in a structural system to be a function of exogenous variables and correlated random error terms. </w:t>
      </w:r>
      <w:r w:rsidR="00E81EF8" w:rsidRPr="00691D95">
        <w:rPr>
          <w:rFonts w:ascii="Times New Roman" w:hAnsi="Times New Roman" w:cs="Times New Roman"/>
        </w:rPr>
        <w:t>The model system is estimated on a Seattle sub</w:t>
      </w:r>
      <w:r w:rsidR="0066109F" w:rsidRPr="00691D95">
        <w:rPr>
          <w:rFonts w:ascii="Times New Roman" w:hAnsi="Times New Roman" w:cs="Times New Roman"/>
        </w:rPr>
        <w:t xml:space="preserve">sample </w:t>
      </w:r>
      <w:r w:rsidR="00E81EF8" w:rsidRPr="00691D95">
        <w:rPr>
          <w:rFonts w:ascii="Times New Roman" w:hAnsi="Times New Roman" w:cs="Times New Roman"/>
        </w:rPr>
        <w:t>drawn from the 2009 American Housing Survey.</w:t>
      </w:r>
    </w:p>
    <w:p w14:paraId="3285662C" w14:textId="266AA4F2" w:rsidR="00E81EF8" w:rsidRPr="00691D95" w:rsidRDefault="00E81EF8" w:rsidP="00691D95">
      <w:pPr>
        <w:ind w:firstLine="720"/>
        <w:jc w:val="both"/>
      </w:pPr>
      <w:r w:rsidRPr="00691D95">
        <w:t>Several important co</w:t>
      </w:r>
      <w:r w:rsidR="00CC49BA" w:rsidRPr="00691D95">
        <w:t xml:space="preserve">nclusions may be drawn from </w:t>
      </w:r>
      <w:r w:rsidRPr="00691D95">
        <w:t>the estimation results. First</w:t>
      </w:r>
      <w:r w:rsidR="00721354" w:rsidRPr="00691D95">
        <w:t>, housing choices are determined by many household socio-demographic variables, including family structure, number of children, number of adults, presence of senior adults and physically challenged individuals, number of workers, immigrant status, and household income.</w:t>
      </w:r>
      <w:r w:rsidRPr="00691D95">
        <w:t xml:space="preserve"> </w:t>
      </w:r>
      <w:r w:rsidR="00426162" w:rsidRPr="00691D95">
        <w:t>Second, housing choices are clearly made jointly, unlike the typical study that separates location considerations from</w:t>
      </w:r>
      <w:r w:rsidR="00011D27" w:rsidRPr="00691D95">
        <w:t xml:space="preserve"> dwelling unit characteristics. That is, residential models that consider only physical location-related attributes miss out on important behavioral elements that drive housing choices. </w:t>
      </w:r>
      <w:r w:rsidR="00426162" w:rsidRPr="00691D95">
        <w:t xml:space="preserve">Further, our study shows that housing studies that focus on only a limited set of housing dimensions, while considering other housing dimensions as being exogenous, run the risk of endogeneity bias because of the package nature of housing choices. Third, the gamut of housing choices are inter-related because of both common observed variables </w:t>
      </w:r>
      <w:r w:rsidR="002C4442" w:rsidRPr="00691D95">
        <w:t xml:space="preserve">directly </w:t>
      </w:r>
      <w:r w:rsidR="00426162" w:rsidRPr="00691D95">
        <w:t xml:space="preserve">impacting the many dimensions of choice, as well as because of the effects of stochastic latent variables associated with green </w:t>
      </w:r>
      <w:proofErr w:type="spellStart"/>
      <w:r w:rsidR="00426162" w:rsidRPr="00691D95">
        <w:t>lifestype</w:t>
      </w:r>
      <w:proofErr w:type="spellEnd"/>
      <w:r w:rsidR="00426162" w:rsidRPr="00691D95">
        <w:t xml:space="preserve"> propensity and luxury lifestyle propensity. Because these latent constructs </w:t>
      </w:r>
      <w:r w:rsidR="002C4442" w:rsidRPr="00691D95">
        <w:t xml:space="preserve">are themselves a function of socio-demographics such as education level, income, </w:t>
      </w:r>
      <w:r w:rsidR="002C4442" w:rsidRPr="00691D95">
        <w:lastRenderedPageBreak/>
        <w:t>race, and gender, the many housing choices are indirectly a function of these socio-demographic variables too. Also, the presence of unobserved factors impacting the latent constructs immediately implies that the many housing choices are correlated because of the unobserved factors. In addition, after controlling for these unobserved correlation effects, our results show a recursive pattern of endogenous effects within the housing choices. Fourth, t</w:t>
      </w:r>
      <w:r w:rsidRPr="00691D95">
        <w:t xml:space="preserve">he two latent variables provide important insights into </w:t>
      </w:r>
      <w:r w:rsidR="002C4442" w:rsidRPr="00691D95">
        <w:t xml:space="preserve">housing choices, and reinforce the notion that </w:t>
      </w:r>
      <w:r w:rsidR="00A6168F" w:rsidRPr="00691D95">
        <w:t xml:space="preserve">dwelling unit choice involves an affective dimension and constitutes a lifestyle choice. </w:t>
      </w:r>
      <w:r w:rsidR="00011D27" w:rsidRPr="00691D95">
        <w:t>Fifth, our results clearly show the superior data fit</w:t>
      </w:r>
      <w:r w:rsidR="001B69D9">
        <w:t xml:space="preserve"> of the proposed GHDM</w:t>
      </w:r>
      <w:r w:rsidR="00011D27" w:rsidRPr="00691D95">
        <w:t xml:space="preserve"> model relative to a model that ignores the package nature of the housing decisions. Importantly, the proposed model </w:t>
      </w:r>
      <w:r w:rsidR="00A6168F" w:rsidRPr="00691D95">
        <w:t>is vastly superior to the commonly used residential location</w:t>
      </w:r>
      <w:r w:rsidR="00011D27" w:rsidRPr="00691D95">
        <w:t xml:space="preserve"> model that ignores </w:t>
      </w:r>
      <w:r w:rsidR="00A6168F" w:rsidRPr="00691D95">
        <w:t>all dwelling type attributes</w:t>
      </w:r>
      <w:r w:rsidR="00011D27" w:rsidRPr="00691D95">
        <w:t xml:space="preserve">, and </w:t>
      </w:r>
      <w:r w:rsidR="00A6168F" w:rsidRPr="00691D95">
        <w:t xml:space="preserve">that </w:t>
      </w:r>
      <w:r w:rsidR="00011D27" w:rsidRPr="00691D95">
        <w:t>assumes that households choose from a</w:t>
      </w:r>
      <w:r w:rsidR="00A6168F" w:rsidRPr="00691D95">
        <w:t xml:space="preserve">ll possible parcels (or zones). </w:t>
      </w:r>
    </w:p>
    <w:p w14:paraId="5BF29F55" w14:textId="4A6E5A8F" w:rsidR="00597306" w:rsidRPr="00691D95" w:rsidRDefault="00E81EF8" w:rsidP="00691D95">
      <w:pPr>
        <w:ind w:firstLine="720"/>
        <w:jc w:val="both"/>
      </w:pPr>
      <w:r w:rsidRPr="00691D95">
        <w:t xml:space="preserve">In conclusion, </w:t>
      </w:r>
      <w:r w:rsidR="009F3B5D">
        <w:t>this paper underscores the</w:t>
      </w:r>
      <w:r w:rsidR="00691D95" w:rsidRPr="00691D95">
        <w:t xml:space="preserve"> need to examine all aspects (locational and non-locational) of dwelling unit choice jointly, which, in turn, indicates a need to collect dwelling unit </w:t>
      </w:r>
      <w:proofErr w:type="spellStart"/>
      <w:r w:rsidR="00691D95" w:rsidRPr="00691D95">
        <w:t>attibutes</w:t>
      </w:r>
      <w:proofErr w:type="spellEnd"/>
      <w:r w:rsidR="00691D95" w:rsidRPr="00691D95">
        <w:t xml:space="preserve"> in activity-travel surveys. One important extension of the current paper is to include the mobility decision when modeling dwelling unit attributes. While doing so is methodologically straightforward in our proposed analytic framework, the data used in the empirical analysis of this paper did not have adequate information on mobility decisions. </w:t>
      </w:r>
    </w:p>
    <w:p w14:paraId="05D75E4B" w14:textId="77777777" w:rsidR="00597306" w:rsidRDefault="00597306" w:rsidP="00D740EB">
      <w:pPr>
        <w:jc w:val="both"/>
      </w:pPr>
    </w:p>
    <w:p w14:paraId="6404B0B7" w14:textId="77777777" w:rsidR="00F11144" w:rsidRPr="00050A27" w:rsidRDefault="00F11144" w:rsidP="00F11144">
      <w:pPr>
        <w:pStyle w:val="FootnoteText"/>
        <w:spacing w:line="360" w:lineRule="auto"/>
        <w:jc w:val="both"/>
        <w:rPr>
          <w:b/>
          <w:caps/>
          <w:sz w:val="24"/>
          <w:szCs w:val="24"/>
        </w:rPr>
      </w:pPr>
      <w:r w:rsidRPr="00050A27">
        <w:rPr>
          <w:b/>
          <w:caps/>
          <w:sz w:val="24"/>
          <w:szCs w:val="24"/>
        </w:rPr>
        <w:t>Acknowledgements</w:t>
      </w:r>
    </w:p>
    <w:p w14:paraId="1DC95A57" w14:textId="4810476B" w:rsidR="009F3B5D" w:rsidRPr="00065DA9" w:rsidRDefault="00FC2CB9" w:rsidP="00065DA9">
      <w:pPr>
        <w:jc w:val="both"/>
      </w:pPr>
      <w:r>
        <w:t xml:space="preserve">This research was partially supported by the U.S. Department of Transportation through the Data-Supported Transportation Operations and Planning (D-STOP) Tier 1 University Transportation Center. </w:t>
      </w:r>
      <w:r w:rsidR="00F11144">
        <w:t>The author would like to acknowledge support from a Humboldt Research Award from the Alexander von Humboldt Foundation, Germany. The author is grateful to Lisa Macias for her help in formatting this document, and to Subodh Dubey for help with coding and running specifications</w:t>
      </w:r>
      <w:r w:rsidR="00F11144" w:rsidRPr="00050A27">
        <w:rPr>
          <w:color w:val="000000"/>
        </w:rPr>
        <w:t>.</w:t>
      </w:r>
      <w:r>
        <w:rPr>
          <w:color w:val="000000"/>
        </w:rPr>
        <w:t xml:space="preserve"> Three anonymous reviewers provided useful comments on an earlier version of this paper.</w:t>
      </w:r>
      <w:r w:rsidR="009F3B5D">
        <w:rPr>
          <w:b/>
        </w:rPr>
        <w:br w:type="page"/>
      </w:r>
    </w:p>
    <w:p w14:paraId="31D86E9C" w14:textId="509B797F" w:rsidR="00D740EB" w:rsidRPr="00124A20" w:rsidRDefault="00D740EB" w:rsidP="00D740EB">
      <w:pPr>
        <w:jc w:val="both"/>
        <w:rPr>
          <w:b/>
        </w:rPr>
      </w:pPr>
      <w:r w:rsidRPr="00124A20">
        <w:rPr>
          <w:b/>
        </w:rPr>
        <w:lastRenderedPageBreak/>
        <w:t>Reference</w:t>
      </w:r>
      <w:r w:rsidR="009F3B5D">
        <w:rPr>
          <w:b/>
        </w:rPr>
        <w:t>s</w:t>
      </w:r>
    </w:p>
    <w:p w14:paraId="3215CC55" w14:textId="0D171D3A" w:rsidR="00FE541B" w:rsidRPr="00E6307F" w:rsidRDefault="00D740EB" w:rsidP="00C008AD">
      <w:pPr>
        <w:spacing w:line="240" w:lineRule="auto"/>
        <w:ind w:left="360" w:hanging="360"/>
        <w:jc w:val="both"/>
        <w:rPr>
          <w:noProof/>
        </w:rPr>
      </w:pPr>
      <w:r w:rsidRPr="00E6307F">
        <w:fldChar w:fldCharType="begin"/>
      </w:r>
      <w:r w:rsidRPr="00E6307F">
        <w:instrText xml:space="preserve"> ADDIN EN.REFLIST </w:instrText>
      </w:r>
      <w:r w:rsidRPr="00E6307F">
        <w:fldChar w:fldCharType="separate"/>
      </w:r>
      <w:bookmarkStart w:id="0" w:name="_ENREF_102"/>
      <w:r w:rsidR="001C6706">
        <w:rPr>
          <w:noProof/>
        </w:rPr>
        <w:t>Alonso, W., 1960</w:t>
      </w:r>
      <w:r w:rsidR="00FE541B" w:rsidRPr="00E6307F">
        <w:rPr>
          <w:noProof/>
        </w:rPr>
        <w:t xml:space="preserve">. A theory of the urban land market. </w:t>
      </w:r>
      <w:r w:rsidR="00FE541B" w:rsidRPr="00E6307F">
        <w:rPr>
          <w:i/>
          <w:noProof/>
        </w:rPr>
        <w:t>Papers in Regional Science</w:t>
      </w:r>
      <w:r w:rsidR="00FE541B" w:rsidRPr="00E6307F">
        <w:rPr>
          <w:noProof/>
        </w:rPr>
        <w:t xml:space="preserve">, 6(1), 149-157. </w:t>
      </w:r>
    </w:p>
    <w:p w14:paraId="094CAE90" w14:textId="56C2565F" w:rsidR="00FE541B" w:rsidRPr="00E6307F" w:rsidRDefault="00FE541B" w:rsidP="00C008AD">
      <w:pPr>
        <w:spacing w:line="240" w:lineRule="auto"/>
        <w:ind w:left="360" w:hanging="360"/>
        <w:jc w:val="both"/>
        <w:rPr>
          <w:noProof/>
        </w:rPr>
      </w:pPr>
      <w:r w:rsidRPr="00E6307F">
        <w:rPr>
          <w:noProof/>
        </w:rPr>
        <w:t xml:space="preserve">Andersson, E., </w:t>
      </w:r>
      <w:r w:rsidR="001C6706">
        <w:rPr>
          <w:noProof/>
        </w:rPr>
        <w:t>Abramsson, M., 2012</w:t>
      </w:r>
      <w:r w:rsidRPr="00E6307F">
        <w:rPr>
          <w:noProof/>
        </w:rPr>
        <w:t>. Changing residential mobility rates of older people in Sweden. </w:t>
      </w:r>
      <w:r w:rsidRPr="00E6307F">
        <w:rPr>
          <w:i/>
          <w:noProof/>
        </w:rPr>
        <w:t>Ageing and Society</w:t>
      </w:r>
      <w:r w:rsidRPr="00E6307F">
        <w:rPr>
          <w:noProof/>
        </w:rPr>
        <w:t>, 32(06), 963-982.</w:t>
      </w:r>
    </w:p>
    <w:p w14:paraId="5DD16EB0" w14:textId="3EAB5795" w:rsidR="00FE541B" w:rsidRPr="00E6307F" w:rsidRDefault="00FE541B" w:rsidP="00C008AD">
      <w:pPr>
        <w:spacing w:line="240" w:lineRule="auto"/>
        <w:ind w:left="360" w:hanging="360"/>
        <w:jc w:val="both"/>
        <w:rPr>
          <w:noProof/>
        </w:rPr>
      </w:pPr>
      <w:r w:rsidRPr="00E6307F">
        <w:rPr>
          <w:noProof/>
        </w:rPr>
        <w:t>Autant</w:t>
      </w:r>
      <w:r w:rsidRPr="00E6307F">
        <w:rPr>
          <w:rFonts w:ascii="Cambria Math" w:hAnsi="Cambria Math" w:cs="Cambria Math"/>
          <w:noProof/>
        </w:rPr>
        <w:t>‐</w:t>
      </w:r>
      <w:r w:rsidR="001C6706">
        <w:rPr>
          <w:noProof/>
        </w:rPr>
        <w:t>Bernard, C., LeSage, J.P., 2011</w:t>
      </w:r>
      <w:r w:rsidRPr="00E6307F">
        <w:rPr>
          <w:noProof/>
        </w:rPr>
        <w:t>. Quantifying knowledge spillovers using spatial econometric models. </w:t>
      </w:r>
      <w:r w:rsidRPr="00E6307F">
        <w:rPr>
          <w:i/>
          <w:noProof/>
        </w:rPr>
        <w:t>Journal of Regional Science</w:t>
      </w:r>
      <w:r w:rsidRPr="00E6307F">
        <w:rPr>
          <w:noProof/>
        </w:rPr>
        <w:t>, 51(3), 471-496.</w:t>
      </w:r>
    </w:p>
    <w:p w14:paraId="2278CFA0" w14:textId="1B33CD57" w:rsidR="00FE541B" w:rsidRPr="00E6307F" w:rsidRDefault="001C6706" w:rsidP="00C008AD">
      <w:pPr>
        <w:spacing w:line="240" w:lineRule="auto"/>
        <w:ind w:left="360" w:hanging="360"/>
        <w:jc w:val="both"/>
        <w:rPr>
          <w:noProof/>
        </w:rPr>
      </w:pPr>
      <w:r>
        <w:rPr>
          <w:noProof/>
        </w:rPr>
        <w:t>Barrios García, J.</w:t>
      </w:r>
      <w:r w:rsidR="00FE541B" w:rsidRPr="00E6307F">
        <w:rPr>
          <w:noProof/>
        </w:rPr>
        <w:t xml:space="preserve">A., </w:t>
      </w:r>
      <w:r>
        <w:rPr>
          <w:noProof/>
        </w:rPr>
        <w:t>Rodríguez Hernández, J.E., 2008</w:t>
      </w:r>
      <w:r w:rsidR="00FE541B" w:rsidRPr="00E6307F">
        <w:rPr>
          <w:noProof/>
        </w:rPr>
        <w:t>. Housing demand in Spain according to dwelling type: Microeconometric evidence. </w:t>
      </w:r>
      <w:r w:rsidR="00FE541B" w:rsidRPr="00E6307F">
        <w:rPr>
          <w:i/>
          <w:noProof/>
        </w:rPr>
        <w:t>Regional Science and Urban Economics</w:t>
      </w:r>
      <w:r w:rsidR="00FE541B" w:rsidRPr="00E6307F">
        <w:rPr>
          <w:noProof/>
        </w:rPr>
        <w:t>, 38(4), 363-377.</w:t>
      </w:r>
    </w:p>
    <w:p w14:paraId="03BA54F7" w14:textId="2EDAB206" w:rsidR="00AD6281" w:rsidRPr="00E6307F" w:rsidRDefault="00AD6281" w:rsidP="00C008AD">
      <w:pPr>
        <w:spacing w:line="240" w:lineRule="auto"/>
        <w:ind w:left="360" w:hanging="360"/>
        <w:jc w:val="both"/>
        <w:rPr>
          <w:noProof/>
        </w:rPr>
      </w:pPr>
      <w:r w:rsidRPr="00E6307F">
        <w:rPr>
          <w:noProof/>
        </w:rPr>
        <w:t>Bas</w:t>
      </w:r>
      <w:r w:rsidR="001C6706">
        <w:rPr>
          <w:noProof/>
        </w:rPr>
        <w:t>ar, G., Bhat, C.R., 2004</w:t>
      </w:r>
      <w:r w:rsidRPr="00E6307F">
        <w:rPr>
          <w:noProof/>
        </w:rPr>
        <w:t xml:space="preserve">. A parameterized consideration set model for airport choice: </w:t>
      </w:r>
      <w:r w:rsidR="001C6706">
        <w:rPr>
          <w:noProof/>
        </w:rPr>
        <w:t>A</w:t>
      </w:r>
      <w:r w:rsidRPr="00E6307F">
        <w:rPr>
          <w:noProof/>
        </w:rPr>
        <w:t xml:space="preserve">n application to the San Francisco Bay area. </w:t>
      </w:r>
      <w:r w:rsidRPr="00E6307F">
        <w:rPr>
          <w:i/>
          <w:noProof/>
        </w:rPr>
        <w:t>Transportation Research Part B</w:t>
      </w:r>
      <w:r w:rsidRPr="00E6307F">
        <w:rPr>
          <w:noProof/>
        </w:rPr>
        <w:t xml:space="preserve">, 38(10), 889-904. </w:t>
      </w:r>
    </w:p>
    <w:p w14:paraId="0FC1F6B5" w14:textId="1BF23EF4" w:rsidR="00FE541B" w:rsidRPr="00E6307F" w:rsidRDefault="00FE541B" w:rsidP="00C008AD">
      <w:pPr>
        <w:spacing w:line="240" w:lineRule="auto"/>
        <w:ind w:left="360" w:hanging="360"/>
        <w:jc w:val="both"/>
        <w:rPr>
          <w:noProof/>
        </w:rPr>
      </w:pPr>
      <w:r w:rsidRPr="00E6307F">
        <w:rPr>
          <w:noProof/>
        </w:rPr>
        <w:t xml:space="preserve">Bayer, P., McMillan, R., </w:t>
      </w:r>
      <w:r w:rsidR="001C6706">
        <w:rPr>
          <w:noProof/>
        </w:rPr>
        <w:t>Rueben, K., 2005</w:t>
      </w:r>
      <w:r w:rsidRPr="00E6307F">
        <w:rPr>
          <w:noProof/>
        </w:rPr>
        <w:t>. Residential seg</w:t>
      </w:r>
      <w:r w:rsidR="001C6706">
        <w:rPr>
          <w:noProof/>
        </w:rPr>
        <w:t xml:space="preserve">regation in general equilibrium. </w:t>
      </w:r>
      <w:r w:rsidR="001C6706" w:rsidRPr="001C6706">
        <w:rPr>
          <w:bCs/>
        </w:rPr>
        <w:t>NBER Working Paper No. 11095,</w:t>
      </w:r>
      <w:r w:rsidRPr="001C6706">
        <w:rPr>
          <w:noProof/>
        </w:rPr>
        <w:t xml:space="preserve"> </w:t>
      </w:r>
      <w:r w:rsidRPr="00E6307F">
        <w:rPr>
          <w:noProof/>
        </w:rPr>
        <w:t>National Bureau of Economic Research.</w:t>
      </w:r>
    </w:p>
    <w:p w14:paraId="1F223F78" w14:textId="502B132F" w:rsidR="00FE541B" w:rsidRPr="00E6307F" w:rsidRDefault="001C6706" w:rsidP="00C008AD">
      <w:pPr>
        <w:spacing w:line="240" w:lineRule="auto"/>
        <w:ind w:left="360" w:hanging="360"/>
        <w:jc w:val="both"/>
        <w:rPr>
          <w:noProof/>
        </w:rPr>
      </w:pPr>
      <w:r>
        <w:rPr>
          <w:noProof/>
        </w:rPr>
        <w:t>Bell, C.A., 2009</w:t>
      </w:r>
      <w:r w:rsidR="00FE541B" w:rsidRPr="00E6307F">
        <w:rPr>
          <w:noProof/>
        </w:rPr>
        <w:t xml:space="preserve">. All choices created equal? The role of choice sets in the selection of schools. </w:t>
      </w:r>
      <w:r w:rsidR="00FE541B" w:rsidRPr="00E6307F">
        <w:rPr>
          <w:i/>
          <w:noProof/>
        </w:rPr>
        <w:t>Peabody Journal of Education</w:t>
      </w:r>
      <w:r w:rsidR="00FE541B" w:rsidRPr="00E6307F">
        <w:rPr>
          <w:noProof/>
        </w:rPr>
        <w:t xml:space="preserve">, 84(2), 191-208. </w:t>
      </w:r>
    </w:p>
    <w:p w14:paraId="52BDF746" w14:textId="77777777" w:rsidR="00D66DB6" w:rsidRDefault="001C6706" w:rsidP="00D66DB6">
      <w:pPr>
        <w:spacing w:line="240" w:lineRule="auto"/>
        <w:ind w:left="360" w:hanging="360"/>
        <w:jc w:val="both"/>
        <w:rPr>
          <w:noProof/>
        </w:rPr>
      </w:pPr>
      <w:r>
        <w:rPr>
          <w:noProof/>
        </w:rPr>
        <w:t>Bell, M.G., 2007</w:t>
      </w:r>
      <w:r w:rsidR="00FE541B" w:rsidRPr="00E6307F">
        <w:rPr>
          <w:noProof/>
        </w:rPr>
        <w:t xml:space="preserve">. Mixed routing strategies for hazardous materials: </w:t>
      </w:r>
      <w:r>
        <w:rPr>
          <w:noProof/>
        </w:rPr>
        <w:t>D</w:t>
      </w:r>
      <w:r w:rsidR="00FE541B" w:rsidRPr="00E6307F">
        <w:rPr>
          <w:noProof/>
        </w:rPr>
        <w:t xml:space="preserve">ecision-making under complete uncertainty. </w:t>
      </w:r>
      <w:r w:rsidR="00FE541B" w:rsidRPr="00E6307F">
        <w:rPr>
          <w:i/>
          <w:noProof/>
        </w:rPr>
        <w:t>International Journal of Sustainable Transportation</w:t>
      </w:r>
      <w:r w:rsidR="00FE541B" w:rsidRPr="00E6307F">
        <w:rPr>
          <w:noProof/>
        </w:rPr>
        <w:t>, 1(</w:t>
      </w:r>
      <w:r w:rsidR="00D66DB6">
        <w:rPr>
          <w:noProof/>
        </w:rPr>
        <w:t>2), 133-142.</w:t>
      </w:r>
    </w:p>
    <w:p w14:paraId="26B6E292" w14:textId="72239B96" w:rsidR="00E128EB" w:rsidRDefault="00E128EB" w:rsidP="00C008AD">
      <w:pPr>
        <w:spacing w:line="240" w:lineRule="auto"/>
        <w:ind w:left="360" w:hanging="360"/>
        <w:jc w:val="both"/>
        <w:rPr>
          <w:noProof/>
        </w:rPr>
      </w:pPr>
      <w:r>
        <w:t>Ben-Akiva, M., Lerman,</w:t>
      </w:r>
      <w:r w:rsidRPr="00E128EB">
        <w:t xml:space="preserve"> </w:t>
      </w:r>
      <w:r>
        <w:t xml:space="preserve">S.R., 1985. </w:t>
      </w:r>
      <w:r w:rsidRPr="00E128EB">
        <w:rPr>
          <w:i/>
        </w:rPr>
        <w:t>Discrete Choice Analysis: Theory and Application to Travel Demand</w:t>
      </w:r>
      <w:r>
        <w:t>, The MIT Press, Cambridge, Massachusetts.</w:t>
      </w:r>
    </w:p>
    <w:p w14:paraId="3D59E99F" w14:textId="0C280D1A" w:rsidR="00827DCC" w:rsidRPr="00E6307F" w:rsidRDefault="001C6706" w:rsidP="00C008AD">
      <w:pPr>
        <w:spacing w:line="240" w:lineRule="auto"/>
        <w:ind w:left="360" w:hanging="360"/>
        <w:jc w:val="both"/>
        <w:rPr>
          <w:noProof/>
        </w:rPr>
      </w:pPr>
      <w:r>
        <w:rPr>
          <w:noProof/>
        </w:rPr>
        <w:t>Bhat, C.R., 1994</w:t>
      </w:r>
      <w:r w:rsidR="00827DCC" w:rsidRPr="00E6307F">
        <w:rPr>
          <w:noProof/>
        </w:rPr>
        <w:t xml:space="preserve">. Imputing a continuous income variable from grouped and missing income observations. </w:t>
      </w:r>
      <w:r w:rsidR="00970913" w:rsidRPr="00E6307F">
        <w:rPr>
          <w:i/>
          <w:noProof/>
        </w:rPr>
        <w:t>Economics L</w:t>
      </w:r>
      <w:r w:rsidR="00827DCC" w:rsidRPr="00E6307F">
        <w:rPr>
          <w:i/>
          <w:noProof/>
        </w:rPr>
        <w:t>etters</w:t>
      </w:r>
      <w:r w:rsidR="00827DCC" w:rsidRPr="00E6307F">
        <w:rPr>
          <w:noProof/>
        </w:rPr>
        <w:t>, 46(4), 311-319.</w:t>
      </w:r>
    </w:p>
    <w:p w14:paraId="404D5A6D" w14:textId="2002AC7E" w:rsidR="00FE541B" w:rsidRPr="00E6307F" w:rsidRDefault="001C6706" w:rsidP="00C008AD">
      <w:pPr>
        <w:spacing w:line="240" w:lineRule="auto"/>
        <w:ind w:left="360" w:hanging="360"/>
        <w:jc w:val="both"/>
        <w:rPr>
          <w:noProof/>
        </w:rPr>
      </w:pPr>
      <w:r>
        <w:rPr>
          <w:noProof/>
        </w:rPr>
        <w:t>Bhat, C.R., 1999</w:t>
      </w:r>
      <w:r w:rsidR="00FE541B" w:rsidRPr="00E6307F">
        <w:rPr>
          <w:noProof/>
        </w:rPr>
        <w:t xml:space="preserve">. An analysis of evening commute stop-making behavior using repeated choice observations from a multi-day survey. </w:t>
      </w:r>
      <w:r w:rsidR="008F07E2" w:rsidRPr="00E6307F">
        <w:rPr>
          <w:i/>
          <w:noProof/>
        </w:rPr>
        <w:t>Transportation Research Part B</w:t>
      </w:r>
      <w:r w:rsidR="00FE541B" w:rsidRPr="00E6307F">
        <w:rPr>
          <w:noProof/>
        </w:rPr>
        <w:t xml:space="preserve">, 33(7), 495-510. </w:t>
      </w:r>
    </w:p>
    <w:p w14:paraId="7466FAD2" w14:textId="0D09AEDC" w:rsidR="005B47E2" w:rsidRPr="005B47E2" w:rsidRDefault="005B47E2" w:rsidP="005B47E2">
      <w:pPr>
        <w:spacing w:line="240" w:lineRule="auto"/>
        <w:ind w:left="360" w:hanging="360"/>
        <w:jc w:val="both"/>
        <w:rPr>
          <w:noProof/>
        </w:rPr>
      </w:pPr>
      <w:r w:rsidRPr="005B47E2">
        <w:rPr>
          <w:noProof/>
        </w:rPr>
        <w:t xml:space="preserve">Bhat, C.R., 2000. </w:t>
      </w:r>
      <w:r w:rsidRPr="005B47E2">
        <w:rPr>
          <w:rFonts w:eastAsia="MS Mincho"/>
        </w:rPr>
        <w:t>A multi-level cross-classified model for discrete response variables</w:t>
      </w:r>
      <w:r>
        <w:t>.</w:t>
      </w:r>
      <w:r w:rsidRPr="005B47E2">
        <w:t xml:space="preserve"> </w:t>
      </w:r>
      <w:r w:rsidRPr="005B47E2">
        <w:rPr>
          <w:i/>
          <w:iCs/>
        </w:rPr>
        <w:t>Transportation Research Part B</w:t>
      </w:r>
      <w:r w:rsidRPr="005B47E2">
        <w:t>, 34(7), 567-582.</w:t>
      </w:r>
    </w:p>
    <w:p w14:paraId="7292D05A" w14:textId="326B8A25" w:rsidR="00FE541B" w:rsidRPr="00E6307F" w:rsidRDefault="001C6706" w:rsidP="00C008AD">
      <w:pPr>
        <w:spacing w:line="240" w:lineRule="auto"/>
        <w:ind w:left="360" w:hanging="360"/>
        <w:jc w:val="both"/>
        <w:rPr>
          <w:noProof/>
        </w:rPr>
      </w:pPr>
      <w:r>
        <w:rPr>
          <w:noProof/>
        </w:rPr>
        <w:t>Bhat, C.R., 2014</w:t>
      </w:r>
      <w:r w:rsidR="008F07E2" w:rsidRPr="00E6307F">
        <w:rPr>
          <w:noProof/>
        </w:rPr>
        <w:t>. A n</w:t>
      </w:r>
      <w:r w:rsidR="00FE541B" w:rsidRPr="00E6307F">
        <w:rPr>
          <w:noProof/>
        </w:rPr>
        <w:t xml:space="preserve">ew </w:t>
      </w:r>
      <w:r w:rsidR="008F07E2" w:rsidRPr="00E6307F">
        <w:rPr>
          <w:noProof/>
        </w:rPr>
        <w:t>g</w:t>
      </w:r>
      <w:r w:rsidR="00FE541B" w:rsidRPr="00E6307F">
        <w:rPr>
          <w:noProof/>
        </w:rPr>
        <w:t xml:space="preserve">eneralized </w:t>
      </w:r>
      <w:r w:rsidR="008F07E2" w:rsidRPr="00E6307F">
        <w:rPr>
          <w:noProof/>
        </w:rPr>
        <w:t>h</w:t>
      </w:r>
      <w:r w:rsidR="00FE541B" w:rsidRPr="00E6307F">
        <w:rPr>
          <w:noProof/>
        </w:rPr>
        <w:t xml:space="preserve">eterogeneous </w:t>
      </w:r>
      <w:r w:rsidR="008F07E2" w:rsidRPr="00E6307F">
        <w:rPr>
          <w:noProof/>
        </w:rPr>
        <w:t>d</w:t>
      </w:r>
      <w:r w:rsidR="00FE541B" w:rsidRPr="00E6307F">
        <w:rPr>
          <w:noProof/>
        </w:rPr>
        <w:t xml:space="preserve">ata </w:t>
      </w:r>
      <w:r w:rsidR="008F07E2" w:rsidRPr="00E6307F">
        <w:rPr>
          <w:noProof/>
        </w:rPr>
        <w:t>m</w:t>
      </w:r>
      <w:r w:rsidR="00FE541B" w:rsidRPr="00E6307F">
        <w:rPr>
          <w:noProof/>
        </w:rPr>
        <w:t xml:space="preserve">odel (GHDM) to </w:t>
      </w:r>
      <w:r w:rsidR="008F07E2" w:rsidRPr="00E6307F">
        <w:rPr>
          <w:noProof/>
        </w:rPr>
        <w:t>j</w:t>
      </w:r>
      <w:r w:rsidR="00FE541B" w:rsidRPr="00E6307F">
        <w:rPr>
          <w:noProof/>
        </w:rPr>
        <w:t xml:space="preserve">ointly </w:t>
      </w:r>
      <w:r w:rsidR="008F07E2" w:rsidRPr="00E6307F">
        <w:rPr>
          <w:noProof/>
        </w:rPr>
        <w:t>m</w:t>
      </w:r>
      <w:r w:rsidR="00FE541B" w:rsidRPr="00E6307F">
        <w:rPr>
          <w:noProof/>
        </w:rPr>
        <w:t xml:space="preserve">odel </w:t>
      </w:r>
      <w:r w:rsidR="008F07E2" w:rsidRPr="00E6307F">
        <w:rPr>
          <w:noProof/>
        </w:rPr>
        <w:t>m</w:t>
      </w:r>
      <w:r w:rsidR="00FE541B" w:rsidRPr="00E6307F">
        <w:rPr>
          <w:noProof/>
        </w:rPr>
        <w:t xml:space="preserve">ixed </w:t>
      </w:r>
      <w:r w:rsidR="008F07E2" w:rsidRPr="00E6307F">
        <w:rPr>
          <w:noProof/>
        </w:rPr>
        <w:t>t</w:t>
      </w:r>
      <w:r w:rsidR="00FE541B" w:rsidRPr="00E6307F">
        <w:rPr>
          <w:noProof/>
        </w:rPr>
        <w:t xml:space="preserve">ypes of </w:t>
      </w:r>
      <w:r w:rsidR="008F07E2" w:rsidRPr="00E6307F">
        <w:rPr>
          <w:noProof/>
        </w:rPr>
        <w:t>d</w:t>
      </w:r>
      <w:r w:rsidR="00FE541B" w:rsidRPr="00E6307F">
        <w:rPr>
          <w:noProof/>
        </w:rPr>
        <w:t xml:space="preserve">ependent </w:t>
      </w:r>
      <w:r w:rsidR="008F07E2" w:rsidRPr="00E6307F">
        <w:rPr>
          <w:noProof/>
        </w:rPr>
        <w:t>v</w:t>
      </w:r>
      <w:r w:rsidR="00FE541B" w:rsidRPr="00E6307F">
        <w:rPr>
          <w:noProof/>
        </w:rPr>
        <w:t>ariables. Technical paper, Department of Civil, Architectural and Environmental Engineering, The University of Texas at Austin.</w:t>
      </w:r>
    </w:p>
    <w:p w14:paraId="0289F382" w14:textId="4517B464" w:rsidR="00FE541B" w:rsidRPr="00E6307F" w:rsidRDefault="001C6706" w:rsidP="00C008AD">
      <w:pPr>
        <w:spacing w:line="240" w:lineRule="auto"/>
        <w:ind w:left="360" w:hanging="360"/>
        <w:jc w:val="both"/>
        <w:rPr>
          <w:noProof/>
        </w:rPr>
      </w:pPr>
      <w:r>
        <w:rPr>
          <w:noProof/>
        </w:rPr>
        <w:t>Bhat, C.</w:t>
      </w:r>
      <w:r w:rsidR="00FE541B" w:rsidRPr="00E6307F">
        <w:rPr>
          <w:noProof/>
        </w:rPr>
        <w:t xml:space="preserve">R., </w:t>
      </w:r>
      <w:r>
        <w:rPr>
          <w:noProof/>
        </w:rPr>
        <w:t>Dubey, S.K., 2014</w:t>
      </w:r>
      <w:r w:rsidR="00FE541B" w:rsidRPr="00E6307F">
        <w:rPr>
          <w:noProof/>
        </w:rPr>
        <w:t xml:space="preserve">. A </w:t>
      </w:r>
      <w:r w:rsidR="008F07E2" w:rsidRPr="00E6307F">
        <w:rPr>
          <w:noProof/>
        </w:rPr>
        <w:t>n</w:t>
      </w:r>
      <w:r w:rsidR="00FE541B" w:rsidRPr="00E6307F">
        <w:rPr>
          <w:noProof/>
        </w:rPr>
        <w:t xml:space="preserve">ew </w:t>
      </w:r>
      <w:r w:rsidR="008F07E2" w:rsidRPr="00E6307F">
        <w:rPr>
          <w:noProof/>
        </w:rPr>
        <w:t>e</w:t>
      </w:r>
      <w:r w:rsidR="00FE541B" w:rsidRPr="00E6307F">
        <w:rPr>
          <w:noProof/>
        </w:rPr>
        <w:t xml:space="preserve">stimation </w:t>
      </w:r>
      <w:r w:rsidR="008F07E2" w:rsidRPr="00E6307F">
        <w:rPr>
          <w:noProof/>
        </w:rPr>
        <w:t>a</w:t>
      </w:r>
      <w:r w:rsidR="00FE541B" w:rsidRPr="00E6307F">
        <w:rPr>
          <w:noProof/>
        </w:rPr>
        <w:t xml:space="preserve">pproach to </w:t>
      </w:r>
      <w:r w:rsidR="008F07E2" w:rsidRPr="00E6307F">
        <w:rPr>
          <w:noProof/>
        </w:rPr>
        <w:t>i</w:t>
      </w:r>
      <w:r w:rsidR="00FE541B" w:rsidRPr="00E6307F">
        <w:rPr>
          <w:noProof/>
        </w:rPr>
        <w:t xml:space="preserve">ntegrate </w:t>
      </w:r>
      <w:r w:rsidR="008F07E2" w:rsidRPr="00E6307F">
        <w:rPr>
          <w:noProof/>
        </w:rPr>
        <w:t>l</w:t>
      </w:r>
      <w:r w:rsidR="00FE541B" w:rsidRPr="00E6307F">
        <w:rPr>
          <w:noProof/>
        </w:rPr>
        <w:t xml:space="preserve">atent </w:t>
      </w:r>
      <w:r w:rsidR="008F07E2" w:rsidRPr="00E6307F">
        <w:rPr>
          <w:noProof/>
        </w:rPr>
        <w:t>p</w:t>
      </w:r>
      <w:r w:rsidR="00FE541B" w:rsidRPr="00E6307F">
        <w:rPr>
          <w:noProof/>
        </w:rPr>
        <w:t xml:space="preserve">sychological </w:t>
      </w:r>
      <w:r w:rsidR="008F07E2" w:rsidRPr="00E6307F">
        <w:rPr>
          <w:noProof/>
        </w:rPr>
        <w:t>c</w:t>
      </w:r>
      <w:r w:rsidR="00FE541B" w:rsidRPr="00E6307F">
        <w:rPr>
          <w:noProof/>
        </w:rPr>
        <w:t xml:space="preserve">onstructs in </w:t>
      </w:r>
      <w:r w:rsidR="008F07E2" w:rsidRPr="00E6307F">
        <w:rPr>
          <w:noProof/>
        </w:rPr>
        <w:t>c</w:t>
      </w:r>
      <w:r w:rsidR="00FE541B" w:rsidRPr="00E6307F">
        <w:rPr>
          <w:noProof/>
        </w:rPr>
        <w:t xml:space="preserve">hoice </w:t>
      </w:r>
      <w:r w:rsidR="008F07E2" w:rsidRPr="00E6307F">
        <w:rPr>
          <w:noProof/>
        </w:rPr>
        <w:t>m</w:t>
      </w:r>
      <w:r w:rsidR="00FE541B" w:rsidRPr="00E6307F">
        <w:rPr>
          <w:noProof/>
        </w:rPr>
        <w:t xml:space="preserve">odeling. </w:t>
      </w:r>
      <w:r w:rsidR="00970913" w:rsidRPr="00E6307F">
        <w:rPr>
          <w:i/>
          <w:iCs/>
        </w:rPr>
        <w:t>Transportation Research Part B</w:t>
      </w:r>
      <w:r w:rsidR="00970913" w:rsidRPr="00E6307F">
        <w:t>, 67, 68-85</w:t>
      </w:r>
      <w:r w:rsidR="005263F3" w:rsidRPr="00E6307F">
        <w:t>.</w:t>
      </w:r>
    </w:p>
    <w:p w14:paraId="014F7794" w14:textId="77B56BFC" w:rsidR="00FE541B" w:rsidRPr="00E6307F" w:rsidRDefault="001C6706" w:rsidP="00C008AD">
      <w:pPr>
        <w:spacing w:line="240" w:lineRule="auto"/>
        <w:ind w:left="360" w:hanging="360"/>
        <w:jc w:val="both"/>
        <w:rPr>
          <w:noProof/>
        </w:rPr>
      </w:pPr>
      <w:r>
        <w:rPr>
          <w:noProof/>
        </w:rPr>
        <w:t>Bhat, C.R., Guo, J.Y., 2004</w:t>
      </w:r>
      <w:r w:rsidR="00FE541B" w:rsidRPr="00E6307F">
        <w:rPr>
          <w:noProof/>
        </w:rPr>
        <w:t xml:space="preserve">. A mixed spatially correlated logit model: </w:t>
      </w:r>
      <w:r>
        <w:rPr>
          <w:noProof/>
        </w:rPr>
        <w:t>F</w:t>
      </w:r>
      <w:r w:rsidR="00FE541B" w:rsidRPr="00E6307F">
        <w:rPr>
          <w:noProof/>
        </w:rPr>
        <w:t xml:space="preserve">ormulation and application to residential choice modeling. </w:t>
      </w:r>
      <w:r w:rsidR="008F07E2" w:rsidRPr="00E6307F">
        <w:rPr>
          <w:i/>
          <w:noProof/>
        </w:rPr>
        <w:t>Transportation Research Part B</w:t>
      </w:r>
      <w:r w:rsidR="00FE541B" w:rsidRPr="00E6307F">
        <w:rPr>
          <w:noProof/>
        </w:rPr>
        <w:t xml:space="preserve">, 38(2), 147-168. </w:t>
      </w:r>
    </w:p>
    <w:p w14:paraId="60AB28D4" w14:textId="049DA972" w:rsidR="00FE541B" w:rsidRPr="00E6307F" w:rsidRDefault="001C6706" w:rsidP="00C008AD">
      <w:pPr>
        <w:spacing w:line="240" w:lineRule="auto"/>
        <w:ind w:left="360" w:hanging="360"/>
        <w:jc w:val="both"/>
        <w:rPr>
          <w:noProof/>
        </w:rPr>
      </w:pPr>
      <w:r>
        <w:rPr>
          <w:noProof/>
        </w:rPr>
        <w:t>Bhat, C.</w:t>
      </w:r>
      <w:r w:rsidR="00FE541B" w:rsidRPr="00E6307F">
        <w:rPr>
          <w:noProof/>
        </w:rPr>
        <w:t>R., Gu</w:t>
      </w:r>
      <w:r>
        <w:rPr>
          <w:noProof/>
        </w:rPr>
        <w:t>o, J.Y., 2007</w:t>
      </w:r>
      <w:r w:rsidR="00FE541B" w:rsidRPr="00E6307F">
        <w:rPr>
          <w:noProof/>
        </w:rPr>
        <w:t xml:space="preserve">. A comprehensive analysis of built environment characteristics on household residential choice and auto ownership levels. </w:t>
      </w:r>
      <w:r w:rsidR="008F07E2" w:rsidRPr="00E6307F">
        <w:rPr>
          <w:i/>
          <w:noProof/>
        </w:rPr>
        <w:t>Transportation Research Part B</w:t>
      </w:r>
      <w:r w:rsidR="00FE541B" w:rsidRPr="00E6307F">
        <w:rPr>
          <w:noProof/>
        </w:rPr>
        <w:t xml:space="preserve">, 41(5), 506-526. </w:t>
      </w:r>
    </w:p>
    <w:p w14:paraId="2B786E3F" w14:textId="5E8AB833" w:rsidR="00DF63A2" w:rsidRDefault="00DF63A2" w:rsidP="00DF63A2">
      <w:pPr>
        <w:spacing w:line="240" w:lineRule="auto"/>
        <w:ind w:left="360" w:hanging="360"/>
        <w:jc w:val="both"/>
        <w:rPr>
          <w:noProof/>
        </w:rPr>
      </w:pPr>
      <w:r>
        <w:t xml:space="preserve">Bhat, C.R, Koppelman, F.S., 1993. A conceptual framework of individual activity program generation. </w:t>
      </w:r>
      <w:r w:rsidRPr="00DF63A2">
        <w:rPr>
          <w:i/>
        </w:rPr>
        <w:t>Transportation Research Part A</w:t>
      </w:r>
      <w:r>
        <w:t xml:space="preserve">, 27(6), 433-446.  </w:t>
      </w:r>
    </w:p>
    <w:p w14:paraId="62F5F660" w14:textId="04A3E1E7" w:rsidR="00970913" w:rsidRPr="00E6307F" w:rsidRDefault="00970913" w:rsidP="00C008AD">
      <w:pPr>
        <w:spacing w:line="240" w:lineRule="auto"/>
        <w:ind w:left="360" w:hanging="360"/>
        <w:jc w:val="both"/>
        <w:rPr>
          <w:noProof/>
        </w:rPr>
      </w:pPr>
      <w:r w:rsidRPr="00E6307F">
        <w:rPr>
          <w:noProof/>
        </w:rPr>
        <w:t>Bhat, C.</w:t>
      </w:r>
      <w:r w:rsidR="001C6706">
        <w:rPr>
          <w:noProof/>
        </w:rPr>
        <w:t>R.</w:t>
      </w:r>
      <w:r w:rsidRPr="00E6307F">
        <w:rPr>
          <w:noProof/>
        </w:rPr>
        <w:t xml:space="preserve">, </w:t>
      </w:r>
      <w:r w:rsidR="001C6706">
        <w:rPr>
          <w:noProof/>
        </w:rPr>
        <w:t>Zhao, H., 2002</w:t>
      </w:r>
      <w:r w:rsidRPr="00E6307F">
        <w:rPr>
          <w:noProof/>
        </w:rPr>
        <w:t xml:space="preserve">. The spatial analysis of activity stop generation. </w:t>
      </w:r>
      <w:r w:rsidRPr="00E6307F">
        <w:rPr>
          <w:i/>
          <w:noProof/>
        </w:rPr>
        <w:t>Transportation Research Part B</w:t>
      </w:r>
      <w:r w:rsidRPr="00E6307F">
        <w:rPr>
          <w:noProof/>
        </w:rPr>
        <w:t xml:space="preserve">, 36(6), 557-575. </w:t>
      </w:r>
    </w:p>
    <w:p w14:paraId="214A4978" w14:textId="43CEC84B" w:rsidR="00FE541B" w:rsidRPr="00E6307F" w:rsidRDefault="001C6706" w:rsidP="00C008AD">
      <w:pPr>
        <w:spacing w:line="240" w:lineRule="auto"/>
        <w:ind w:left="360" w:hanging="360"/>
        <w:jc w:val="both"/>
        <w:rPr>
          <w:noProof/>
        </w:rPr>
      </w:pPr>
      <w:r>
        <w:rPr>
          <w:noProof/>
        </w:rPr>
        <w:t>Bhat, C.</w:t>
      </w:r>
      <w:r w:rsidR="00FE541B" w:rsidRPr="00E6307F">
        <w:rPr>
          <w:noProof/>
        </w:rPr>
        <w:t xml:space="preserve">R., Paleti, R., </w:t>
      </w:r>
      <w:r>
        <w:rPr>
          <w:noProof/>
        </w:rPr>
        <w:t>Castro, M., 201</w:t>
      </w:r>
      <w:r w:rsidR="00655432">
        <w:rPr>
          <w:noProof/>
        </w:rPr>
        <w:t>5</w:t>
      </w:r>
      <w:r w:rsidR="00FE541B" w:rsidRPr="00E6307F">
        <w:rPr>
          <w:noProof/>
        </w:rPr>
        <w:t xml:space="preserve">. A </w:t>
      </w:r>
      <w:r w:rsidR="008F07E2" w:rsidRPr="00E6307F">
        <w:rPr>
          <w:noProof/>
        </w:rPr>
        <w:t>n</w:t>
      </w:r>
      <w:r w:rsidR="00FE541B" w:rsidRPr="00E6307F">
        <w:rPr>
          <w:noProof/>
        </w:rPr>
        <w:t xml:space="preserve">ew </w:t>
      </w:r>
      <w:r w:rsidR="005263F3" w:rsidRPr="00E6307F">
        <w:rPr>
          <w:noProof/>
        </w:rPr>
        <w:t xml:space="preserve">utility-consistent </w:t>
      </w:r>
      <w:r w:rsidR="008F07E2" w:rsidRPr="00E6307F">
        <w:rPr>
          <w:noProof/>
        </w:rPr>
        <w:t>e</w:t>
      </w:r>
      <w:r w:rsidR="00FE541B" w:rsidRPr="00E6307F">
        <w:rPr>
          <w:noProof/>
        </w:rPr>
        <w:t xml:space="preserve">conometric </w:t>
      </w:r>
      <w:r w:rsidR="008F07E2" w:rsidRPr="00E6307F">
        <w:rPr>
          <w:noProof/>
        </w:rPr>
        <w:t>a</w:t>
      </w:r>
      <w:r w:rsidR="00FE541B" w:rsidRPr="00E6307F">
        <w:rPr>
          <w:noProof/>
        </w:rPr>
        <w:t xml:space="preserve">pproach to </w:t>
      </w:r>
      <w:r w:rsidR="008F07E2" w:rsidRPr="00E6307F">
        <w:rPr>
          <w:noProof/>
        </w:rPr>
        <w:t>m</w:t>
      </w:r>
      <w:r w:rsidR="00FE541B" w:rsidRPr="00E6307F">
        <w:rPr>
          <w:noProof/>
        </w:rPr>
        <w:t xml:space="preserve">ultivariate </w:t>
      </w:r>
      <w:r w:rsidR="008F07E2" w:rsidRPr="00E6307F">
        <w:rPr>
          <w:noProof/>
        </w:rPr>
        <w:t>c</w:t>
      </w:r>
      <w:r w:rsidR="00FE541B" w:rsidRPr="00E6307F">
        <w:rPr>
          <w:noProof/>
        </w:rPr>
        <w:t xml:space="preserve">ount </w:t>
      </w:r>
      <w:r w:rsidR="008F07E2" w:rsidRPr="00E6307F">
        <w:rPr>
          <w:noProof/>
        </w:rPr>
        <w:t>data m</w:t>
      </w:r>
      <w:r w:rsidR="00FE541B" w:rsidRPr="00E6307F">
        <w:rPr>
          <w:noProof/>
        </w:rPr>
        <w:t xml:space="preserve">odeling. </w:t>
      </w:r>
      <w:r w:rsidR="005263F3" w:rsidRPr="001C6706">
        <w:rPr>
          <w:i/>
          <w:iCs/>
        </w:rPr>
        <w:t>Journal of Applied Econometrics</w:t>
      </w:r>
      <w:r w:rsidR="005263F3" w:rsidRPr="00E6307F">
        <w:rPr>
          <w:iCs/>
        </w:rPr>
        <w:t>, forthcoming.</w:t>
      </w:r>
    </w:p>
    <w:p w14:paraId="4E763E5A" w14:textId="5E0B44C2" w:rsidR="00AD6281" w:rsidRPr="00E6307F" w:rsidRDefault="001C6706" w:rsidP="00C008AD">
      <w:pPr>
        <w:spacing w:line="240" w:lineRule="auto"/>
        <w:ind w:left="360" w:hanging="360"/>
        <w:jc w:val="both"/>
        <w:rPr>
          <w:noProof/>
        </w:rPr>
      </w:pPr>
      <w:r>
        <w:rPr>
          <w:noProof/>
        </w:rPr>
        <w:t>Bhat, C.</w:t>
      </w:r>
      <w:r w:rsidR="00AD6281" w:rsidRPr="00E6307F">
        <w:rPr>
          <w:noProof/>
        </w:rPr>
        <w:t>R., Astroza, S., Sidharthan, R., Jobair Bin Al</w:t>
      </w:r>
      <w:r>
        <w:rPr>
          <w:noProof/>
        </w:rPr>
        <w:t>am, M., Khushefati, W.H., 2014</w:t>
      </w:r>
      <w:r w:rsidR="00AD6281" w:rsidRPr="00E6307F">
        <w:rPr>
          <w:noProof/>
        </w:rPr>
        <w:t xml:space="preserve">. A joint count-continuous model of travel behavior with selection based on a multinomial probit residential density choice model. </w:t>
      </w:r>
      <w:r w:rsidR="00AD6281" w:rsidRPr="00E6307F">
        <w:rPr>
          <w:i/>
          <w:iCs/>
        </w:rPr>
        <w:t>Transportation Research Part B</w:t>
      </w:r>
      <w:r w:rsidR="00AD6281" w:rsidRPr="00E6307F">
        <w:t>, 68, 31-51.</w:t>
      </w:r>
    </w:p>
    <w:p w14:paraId="0DF3FFD1" w14:textId="6F79E3CA" w:rsidR="00292000" w:rsidRPr="00292000" w:rsidRDefault="00292000" w:rsidP="00C008AD">
      <w:pPr>
        <w:spacing w:line="240" w:lineRule="auto"/>
        <w:ind w:left="360" w:hanging="360"/>
        <w:jc w:val="both"/>
        <w:rPr>
          <w:lang w:val="en"/>
        </w:rPr>
      </w:pPr>
      <w:r w:rsidRPr="00292000">
        <w:rPr>
          <w:shd w:val="clear" w:color="auto" w:fill="FFFFFF"/>
        </w:rPr>
        <w:lastRenderedPageBreak/>
        <w:t xml:space="preserve">Bierlaire, M., Hurtubia, R., </w:t>
      </w:r>
      <w:hyperlink r:id="rId451" w:history="1">
        <w:r w:rsidRPr="00292000">
          <w:rPr>
            <w:rStyle w:val="Hyperlink"/>
            <w:color w:val="auto"/>
            <w:u w:val="none"/>
            <w:lang w:val="en"/>
          </w:rPr>
          <w:t>Flötteröd</w:t>
        </w:r>
      </w:hyperlink>
      <w:r w:rsidRPr="00292000">
        <w:rPr>
          <w:color w:val="666666"/>
          <w:lang w:val="en"/>
        </w:rPr>
        <w:t xml:space="preserve">, </w:t>
      </w:r>
      <w:r w:rsidRPr="00292000">
        <w:rPr>
          <w:lang w:val="en"/>
        </w:rPr>
        <w:t>G., 2010</w:t>
      </w:r>
      <w:r w:rsidRPr="00292000">
        <w:rPr>
          <w:color w:val="666666"/>
          <w:lang w:val="en"/>
        </w:rPr>
        <w:t>. A</w:t>
      </w:r>
      <w:r w:rsidRPr="00292000">
        <w:rPr>
          <w:lang w:val="en"/>
        </w:rPr>
        <w:t xml:space="preserve">nalysis of implicit choice set generation using the </w:t>
      </w:r>
      <w:r w:rsidR="00DF63A2">
        <w:rPr>
          <w:lang w:val="en"/>
        </w:rPr>
        <w:t>c</w:t>
      </w:r>
      <w:r w:rsidRPr="00292000">
        <w:rPr>
          <w:lang w:val="en"/>
        </w:rPr>
        <w:t xml:space="preserve">onstrained </w:t>
      </w:r>
      <w:r w:rsidR="00DF63A2">
        <w:rPr>
          <w:lang w:val="en"/>
        </w:rPr>
        <w:t>m</w:t>
      </w:r>
      <w:r w:rsidRPr="00292000">
        <w:rPr>
          <w:lang w:val="en"/>
        </w:rPr>
        <w:t xml:space="preserve">ultinomial </w:t>
      </w:r>
      <w:r w:rsidR="00DF63A2">
        <w:rPr>
          <w:lang w:val="en"/>
        </w:rPr>
        <w:t xml:space="preserve">logit. </w:t>
      </w:r>
      <w:r w:rsidR="00DF63A2" w:rsidRPr="00DF63A2">
        <w:rPr>
          <w:i/>
          <w:lang w:val="en"/>
        </w:rPr>
        <w:t>Transportation Research Record:</w:t>
      </w:r>
      <w:r w:rsidRPr="00DF63A2">
        <w:rPr>
          <w:i/>
          <w:lang w:val="en"/>
        </w:rPr>
        <w:t xml:space="preserve"> Journal of the Transportation Research Board</w:t>
      </w:r>
      <w:r w:rsidRPr="00292000">
        <w:rPr>
          <w:lang w:val="en"/>
        </w:rPr>
        <w:t xml:space="preserve">, 2175, 92-97. </w:t>
      </w:r>
    </w:p>
    <w:p w14:paraId="330CFC04" w14:textId="64A9B9DC" w:rsidR="00065DA9" w:rsidRPr="00E6307F" w:rsidRDefault="001C6706" w:rsidP="00C008AD">
      <w:pPr>
        <w:spacing w:line="240" w:lineRule="auto"/>
        <w:ind w:left="360" w:hanging="360"/>
        <w:jc w:val="both"/>
        <w:rPr>
          <w:noProof/>
        </w:rPr>
      </w:pPr>
      <w:r>
        <w:rPr>
          <w:shd w:val="clear" w:color="auto" w:fill="FFFFFF"/>
        </w:rPr>
        <w:t>Boehm, T.P., Schlottmann, A.M., 2014</w:t>
      </w:r>
      <w:r w:rsidR="00065DA9" w:rsidRPr="00E6307F">
        <w:rPr>
          <w:shd w:val="clear" w:color="auto" w:fill="FFFFFF"/>
        </w:rPr>
        <w:t>. The dynamics of housing tenure choice: Lessons from Germany and the United States.</w:t>
      </w:r>
      <w:r w:rsidR="00065DA9" w:rsidRPr="00E6307F">
        <w:rPr>
          <w:rStyle w:val="apple-converted-space"/>
          <w:shd w:val="clear" w:color="auto" w:fill="FFFFFF"/>
        </w:rPr>
        <w:t> </w:t>
      </w:r>
      <w:r w:rsidR="00065DA9" w:rsidRPr="00E6307F">
        <w:rPr>
          <w:i/>
          <w:iCs/>
          <w:shd w:val="clear" w:color="auto" w:fill="FFFFFF"/>
        </w:rPr>
        <w:t>Journal of Housing Economics</w:t>
      </w:r>
      <w:r w:rsidR="00065DA9" w:rsidRPr="00E6307F">
        <w:rPr>
          <w:shd w:val="clear" w:color="auto" w:fill="FFFFFF"/>
        </w:rPr>
        <w:t>,</w:t>
      </w:r>
      <w:r w:rsidR="00065DA9" w:rsidRPr="00E6307F">
        <w:rPr>
          <w:rStyle w:val="apple-converted-space"/>
          <w:shd w:val="clear" w:color="auto" w:fill="FFFFFF"/>
        </w:rPr>
        <w:t> </w:t>
      </w:r>
      <w:r w:rsidR="00065DA9" w:rsidRPr="00655432">
        <w:rPr>
          <w:iCs/>
          <w:shd w:val="clear" w:color="auto" w:fill="FFFFFF"/>
        </w:rPr>
        <w:t>25</w:t>
      </w:r>
      <w:r w:rsidR="00065DA9" w:rsidRPr="00655432">
        <w:rPr>
          <w:shd w:val="clear" w:color="auto" w:fill="FFFFFF"/>
        </w:rPr>
        <w:t>,</w:t>
      </w:r>
      <w:r w:rsidR="00065DA9" w:rsidRPr="00E6307F">
        <w:rPr>
          <w:shd w:val="clear" w:color="auto" w:fill="FFFFFF"/>
        </w:rPr>
        <w:t xml:space="preserve"> 1-19.</w:t>
      </w:r>
    </w:p>
    <w:p w14:paraId="09008586" w14:textId="40D6E7D5" w:rsidR="00FE541B" w:rsidRPr="00E6307F" w:rsidRDefault="00FE541B" w:rsidP="00C008AD">
      <w:pPr>
        <w:spacing w:line="240" w:lineRule="auto"/>
        <w:ind w:left="360" w:hanging="360"/>
        <w:jc w:val="both"/>
        <w:rPr>
          <w:noProof/>
        </w:rPr>
      </w:pPr>
      <w:r w:rsidRPr="00E6307F">
        <w:rPr>
          <w:noProof/>
        </w:rPr>
        <w:t xml:space="preserve">Böheim, R., </w:t>
      </w:r>
      <w:r w:rsidR="001C6706">
        <w:rPr>
          <w:noProof/>
        </w:rPr>
        <w:t>Taylor, M., 1999</w:t>
      </w:r>
      <w:r w:rsidRPr="00E6307F">
        <w:rPr>
          <w:noProof/>
        </w:rPr>
        <w:t>. Residential mobility, housing tenure and the labour market in Britain. Institute for Social and Economic Research, University of Essex.</w:t>
      </w:r>
    </w:p>
    <w:p w14:paraId="4F4DD97F" w14:textId="7679CA2E" w:rsidR="00433953" w:rsidRPr="00E6307F" w:rsidRDefault="00433953" w:rsidP="00C008AD">
      <w:pPr>
        <w:spacing w:line="240" w:lineRule="auto"/>
        <w:ind w:left="360" w:hangingChars="150" w:hanging="360"/>
        <w:jc w:val="both"/>
        <w:rPr>
          <w:rFonts w:eastAsia="Calibri"/>
        </w:rPr>
      </w:pPr>
      <w:r w:rsidRPr="00E6307F">
        <w:rPr>
          <w:rFonts w:eastAsia="Calibri"/>
        </w:rPr>
        <w:t xml:space="preserve">Bohte, W., Maat, K., van Wee, B., 2009. Measuring attitudes in research on residential self-selection and travel behavior: A review of theories and empirical research. </w:t>
      </w:r>
      <w:r w:rsidRPr="00E6307F">
        <w:rPr>
          <w:rFonts w:eastAsia="Calibri"/>
          <w:i/>
        </w:rPr>
        <w:t>Transport Reviews</w:t>
      </w:r>
      <w:r w:rsidR="001C6706">
        <w:rPr>
          <w:rFonts w:eastAsia="Calibri"/>
        </w:rPr>
        <w:t xml:space="preserve">, </w:t>
      </w:r>
      <w:r w:rsidRPr="00E6307F">
        <w:rPr>
          <w:rFonts w:eastAsia="Calibri"/>
        </w:rPr>
        <w:t>29(3), 325-357.</w:t>
      </w:r>
    </w:p>
    <w:p w14:paraId="02C07FA5" w14:textId="2F96FEC1" w:rsidR="00FE541B" w:rsidRPr="00E6307F" w:rsidRDefault="00FE541B" w:rsidP="00C008AD">
      <w:pPr>
        <w:spacing w:line="240" w:lineRule="auto"/>
        <w:ind w:left="360" w:hanging="360"/>
        <w:jc w:val="both"/>
        <w:rPr>
          <w:noProof/>
        </w:rPr>
      </w:pPr>
      <w:r w:rsidRPr="00E6307F">
        <w:rPr>
          <w:noProof/>
        </w:rPr>
        <w:t xml:space="preserve">Botti, S., </w:t>
      </w:r>
      <w:r w:rsidR="00615C87">
        <w:rPr>
          <w:noProof/>
        </w:rPr>
        <w:t>Hsee, C.</w:t>
      </w:r>
      <w:r w:rsidRPr="00E6307F">
        <w:rPr>
          <w:noProof/>
        </w:rPr>
        <w:t>K</w:t>
      </w:r>
      <w:r w:rsidR="00615C87">
        <w:rPr>
          <w:noProof/>
        </w:rPr>
        <w:t>., 2010</w:t>
      </w:r>
      <w:r w:rsidRPr="00E6307F">
        <w:rPr>
          <w:noProof/>
        </w:rPr>
        <w:t xml:space="preserve">. Dazed and confused by choice: How the temporal costs of choice freedom lead to undesirable outcomes. </w:t>
      </w:r>
      <w:r w:rsidRPr="00E6307F">
        <w:rPr>
          <w:i/>
          <w:noProof/>
        </w:rPr>
        <w:t>Organizational Behavior and Human Decision Processes</w:t>
      </w:r>
      <w:r w:rsidRPr="00E6307F">
        <w:rPr>
          <w:noProof/>
        </w:rPr>
        <w:t xml:space="preserve">, 112(2), 161-171. </w:t>
      </w:r>
    </w:p>
    <w:p w14:paraId="2DED9EA8" w14:textId="7A8D8594" w:rsidR="00FE541B" w:rsidRPr="00E6307F" w:rsidRDefault="00615C87" w:rsidP="00C008AD">
      <w:pPr>
        <w:spacing w:line="240" w:lineRule="auto"/>
        <w:ind w:left="360" w:hanging="360"/>
        <w:jc w:val="both"/>
        <w:rPr>
          <w:noProof/>
        </w:rPr>
      </w:pPr>
      <w:r>
        <w:rPr>
          <w:noProof/>
        </w:rPr>
        <w:t>Boterman, W.</w:t>
      </w:r>
      <w:r w:rsidR="00FE541B" w:rsidRPr="00E6307F">
        <w:rPr>
          <w:noProof/>
        </w:rPr>
        <w:t xml:space="preserve">R., </w:t>
      </w:r>
      <w:r>
        <w:rPr>
          <w:noProof/>
        </w:rPr>
        <w:t>Sleutjes, B., 2014</w:t>
      </w:r>
      <w:r w:rsidR="008E0FB6">
        <w:rPr>
          <w:noProof/>
        </w:rPr>
        <w:t>. Stated residential preferences of higher educated w</w:t>
      </w:r>
      <w:r w:rsidR="00FE541B" w:rsidRPr="00E6307F">
        <w:rPr>
          <w:noProof/>
        </w:rPr>
        <w:t>orkers in Amsterdam and Eindhoven. HELP Report, 2.</w:t>
      </w:r>
    </w:p>
    <w:p w14:paraId="78119E1D" w14:textId="799B52FE" w:rsidR="00FE541B" w:rsidRPr="00E6307F" w:rsidRDefault="00615C87" w:rsidP="00C008AD">
      <w:pPr>
        <w:spacing w:line="240" w:lineRule="auto"/>
        <w:ind w:left="360" w:hanging="360"/>
        <w:jc w:val="both"/>
        <w:rPr>
          <w:noProof/>
        </w:rPr>
      </w:pPr>
      <w:r>
        <w:rPr>
          <w:noProof/>
        </w:rPr>
        <w:t>Bovy, P.H., 2009</w:t>
      </w:r>
      <w:r w:rsidR="00FE541B" w:rsidRPr="00E6307F">
        <w:rPr>
          <w:noProof/>
        </w:rPr>
        <w:t xml:space="preserve">. On modelling route choice sets in transportation networks: a synthesis. </w:t>
      </w:r>
      <w:r w:rsidR="00FE541B" w:rsidRPr="00E6307F">
        <w:rPr>
          <w:i/>
          <w:noProof/>
        </w:rPr>
        <w:t>Transport Reviews</w:t>
      </w:r>
      <w:r w:rsidR="00FE541B" w:rsidRPr="00E6307F">
        <w:rPr>
          <w:noProof/>
        </w:rPr>
        <w:t xml:space="preserve">, 29(1), 43-68. </w:t>
      </w:r>
    </w:p>
    <w:p w14:paraId="56EBA483" w14:textId="47BA55F1" w:rsidR="00FE541B" w:rsidRPr="00E6307F" w:rsidRDefault="00FE541B" w:rsidP="00C008AD">
      <w:pPr>
        <w:spacing w:line="240" w:lineRule="auto"/>
        <w:ind w:left="360" w:hanging="360"/>
        <w:jc w:val="both"/>
        <w:rPr>
          <w:noProof/>
        </w:rPr>
      </w:pPr>
      <w:r w:rsidRPr="00E6307F">
        <w:rPr>
          <w:noProof/>
        </w:rPr>
        <w:t xml:space="preserve">Brownstone, D., </w:t>
      </w:r>
      <w:r w:rsidR="00615C87">
        <w:rPr>
          <w:noProof/>
        </w:rPr>
        <w:t>Fang, H.A., 2010</w:t>
      </w:r>
      <w:r w:rsidR="008E0FB6">
        <w:rPr>
          <w:noProof/>
        </w:rPr>
        <w:t>. A vehicle ownership and utilization choice model with endogenous residential d</w:t>
      </w:r>
      <w:r w:rsidRPr="00E6307F">
        <w:rPr>
          <w:noProof/>
        </w:rPr>
        <w:t xml:space="preserve">ensity. </w:t>
      </w:r>
      <w:r w:rsidRPr="00E6307F">
        <w:rPr>
          <w:i/>
          <w:noProof/>
        </w:rPr>
        <w:t>University of California Transportation Center</w:t>
      </w:r>
      <w:r w:rsidRPr="00E6307F">
        <w:rPr>
          <w:noProof/>
        </w:rPr>
        <w:t xml:space="preserve">. </w:t>
      </w:r>
    </w:p>
    <w:p w14:paraId="291317AC" w14:textId="7FF8E6FC" w:rsidR="00FE541B" w:rsidRPr="00E6307F" w:rsidRDefault="00FE541B" w:rsidP="00C008AD">
      <w:pPr>
        <w:spacing w:line="240" w:lineRule="auto"/>
        <w:ind w:left="360" w:hanging="360"/>
        <w:jc w:val="both"/>
        <w:rPr>
          <w:noProof/>
        </w:rPr>
      </w:pPr>
      <w:r w:rsidRPr="00E6307F">
        <w:rPr>
          <w:noProof/>
        </w:rPr>
        <w:t xml:space="preserve">Brownstone, D., </w:t>
      </w:r>
      <w:r w:rsidR="00615C87">
        <w:rPr>
          <w:noProof/>
        </w:rPr>
        <w:t>Golob, T.</w:t>
      </w:r>
      <w:r w:rsidRPr="00E6307F">
        <w:rPr>
          <w:noProof/>
        </w:rPr>
        <w:t>F</w:t>
      </w:r>
      <w:r w:rsidR="00615C87">
        <w:rPr>
          <w:noProof/>
        </w:rPr>
        <w:t>., 2009</w:t>
      </w:r>
      <w:r w:rsidRPr="00E6307F">
        <w:rPr>
          <w:noProof/>
        </w:rPr>
        <w:t xml:space="preserve">. The impact of residential density on vehicle usage and energy consumption. </w:t>
      </w:r>
      <w:r w:rsidRPr="00E6307F">
        <w:rPr>
          <w:i/>
          <w:noProof/>
        </w:rPr>
        <w:t>Journal of Urban Economics</w:t>
      </w:r>
      <w:r w:rsidRPr="00E6307F">
        <w:rPr>
          <w:noProof/>
        </w:rPr>
        <w:t xml:space="preserve">, 65(1), 91-98. </w:t>
      </w:r>
    </w:p>
    <w:p w14:paraId="5C7FF268" w14:textId="52A44B4D" w:rsidR="00FE541B" w:rsidRPr="00E6307F" w:rsidRDefault="00FE541B" w:rsidP="00C008AD">
      <w:pPr>
        <w:spacing w:line="240" w:lineRule="auto"/>
        <w:ind w:left="360" w:hanging="360"/>
        <w:jc w:val="both"/>
        <w:rPr>
          <w:noProof/>
        </w:rPr>
      </w:pPr>
      <w:r w:rsidRPr="00E6307F">
        <w:rPr>
          <w:noProof/>
        </w:rPr>
        <w:t xml:space="preserve">Carmon, Z., Wertenbroch, K., </w:t>
      </w:r>
      <w:r w:rsidR="00615C87">
        <w:rPr>
          <w:noProof/>
        </w:rPr>
        <w:t>Zeelenberg, M., 2003</w:t>
      </w:r>
      <w:r w:rsidRPr="00E6307F">
        <w:rPr>
          <w:noProof/>
        </w:rPr>
        <w:t xml:space="preserve">. Option attachment: When deliberating makes choosing feel like losing. </w:t>
      </w:r>
      <w:r w:rsidRPr="00E6307F">
        <w:rPr>
          <w:i/>
          <w:noProof/>
        </w:rPr>
        <w:t>Journal of Consumer Research</w:t>
      </w:r>
      <w:r w:rsidRPr="00E6307F">
        <w:rPr>
          <w:noProof/>
        </w:rPr>
        <w:t xml:space="preserve">, 30(1), 15-29. </w:t>
      </w:r>
    </w:p>
    <w:p w14:paraId="282A87CE" w14:textId="77777777" w:rsidR="008E0FB6" w:rsidRDefault="00615C87" w:rsidP="008E0FB6">
      <w:pPr>
        <w:spacing w:line="240" w:lineRule="auto"/>
        <w:ind w:left="360" w:hanging="360"/>
        <w:jc w:val="both"/>
        <w:rPr>
          <w:noProof/>
        </w:rPr>
      </w:pPr>
      <w:r>
        <w:rPr>
          <w:noProof/>
        </w:rPr>
        <w:t>Carter, S., 2011</w:t>
      </w:r>
      <w:r w:rsidR="00FE541B" w:rsidRPr="00E6307F">
        <w:rPr>
          <w:noProof/>
        </w:rPr>
        <w:t xml:space="preserve">. Housing tenure choice and the dual income household. </w:t>
      </w:r>
      <w:r w:rsidR="00FE541B" w:rsidRPr="00E6307F">
        <w:rPr>
          <w:i/>
          <w:noProof/>
        </w:rPr>
        <w:t>Journal of Housing Economics</w:t>
      </w:r>
      <w:r w:rsidR="008E0FB6">
        <w:rPr>
          <w:noProof/>
        </w:rPr>
        <w:t>, 20(3), 159-170.</w:t>
      </w:r>
    </w:p>
    <w:p w14:paraId="1E2A17AF" w14:textId="577BA4A4" w:rsidR="008E0FB6" w:rsidRDefault="008E0FB6" w:rsidP="008E0FB6">
      <w:pPr>
        <w:spacing w:line="240" w:lineRule="auto"/>
        <w:ind w:left="360" w:hanging="360"/>
        <w:jc w:val="both"/>
        <w:rPr>
          <w:rFonts w:eastAsiaTheme="minorHAnsi"/>
        </w:rPr>
      </w:pPr>
      <w:r>
        <w:rPr>
          <w:rFonts w:eastAsiaTheme="minorHAnsi"/>
        </w:rPr>
        <w:t xml:space="preserve">Cascetta, E. and Papola, A., 2001. Random utility models with implicit availability/perception of choice alternatives for the simulation of travel demand. </w:t>
      </w:r>
      <w:r>
        <w:rPr>
          <w:rFonts w:eastAsiaTheme="minorHAnsi"/>
          <w:i/>
          <w:iCs/>
        </w:rPr>
        <w:t>Transportation Research Part C</w:t>
      </w:r>
      <w:r>
        <w:rPr>
          <w:rFonts w:eastAsiaTheme="minorHAnsi"/>
        </w:rPr>
        <w:t>,</w:t>
      </w:r>
      <w:r>
        <w:rPr>
          <w:noProof/>
        </w:rPr>
        <w:t xml:space="preserve"> </w:t>
      </w:r>
      <w:r w:rsidR="00655432">
        <w:rPr>
          <w:rFonts w:eastAsiaTheme="minorHAnsi"/>
        </w:rPr>
        <w:t>9, 249-</w:t>
      </w:r>
      <w:r>
        <w:rPr>
          <w:rFonts w:eastAsiaTheme="minorHAnsi"/>
        </w:rPr>
        <w:t>263.</w:t>
      </w:r>
    </w:p>
    <w:p w14:paraId="520EEF0D" w14:textId="4FDB645F" w:rsidR="00FE541B" w:rsidRPr="00E6307F" w:rsidRDefault="00FE541B" w:rsidP="008E0FB6">
      <w:pPr>
        <w:spacing w:line="240" w:lineRule="auto"/>
        <w:ind w:left="360" w:hanging="360"/>
        <w:jc w:val="both"/>
        <w:rPr>
          <w:noProof/>
        </w:rPr>
      </w:pPr>
      <w:r w:rsidRPr="00E6307F">
        <w:rPr>
          <w:noProof/>
        </w:rPr>
        <w:t xml:space="preserve">Castro, M., Paleti, R., </w:t>
      </w:r>
      <w:r w:rsidR="00615C87">
        <w:rPr>
          <w:noProof/>
        </w:rPr>
        <w:t>Bhat, C.R., 2012</w:t>
      </w:r>
      <w:r w:rsidRPr="00E6307F">
        <w:rPr>
          <w:noProof/>
        </w:rPr>
        <w:t xml:space="preserve">. A latent variable representation of count data models to accommodate spatial and temporal dependence: Application to predicting crash frequency at intersections. </w:t>
      </w:r>
      <w:r w:rsidR="008F07E2" w:rsidRPr="00E6307F">
        <w:rPr>
          <w:i/>
          <w:noProof/>
        </w:rPr>
        <w:t>Transportation Research Part B</w:t>
      </w:r>
      <w:r w:rsidRPr="00E6307F">
        <w:rPr>
          <w:noProof/>
        </w:rPr>
        <w:t xml:space="preserve">, 46(1), 253-272. </w:t>
      </w:r>
    </w:p>
    <w:p w14:paraId="304209AF" w14:textId="5FDCCA7F" w:rsidR="00FE541B" w:rsidRPr="00E6307F" w:rsidRDefault="00FE541B" w:rsidP="00C008AD">
      <w:pPr>
        <w:spacing w:line="240" w:lineRule="auto"/>
        <w:ind w:left="360" w:hanging="360"/>
        <w:jc w:val="both"/>
        <w:rPr>
          <w:noProof/>
        </w:rPr>
      </w:pPr>
      <w:r w:rsidRPr="00E6307F">
        <w:rPr>
          <w:noProof/>
        </w:rPr>
        <w:t>Chen, J., J</w:t>
      </w:r>
      <w:r w:rsidR="00615C87">
        <w:rPr>
          <w:noProof/>
        </w:rPr>
        <w:t>in, M., 2014</w:t>
      </w:r>
      <w:r w:rsidRPr="00E6307F">
        <w:rPr>
          <w:noProof/>
        </w:rPr>
        <w:t xml:space="preserve">. Income </w:t>
      </w:r>
      <w:r w:rsidR="004A2D15" w:rsidRPr="00E6307F">
        <w:rPr>
          <w:noProof/>
        </w:rPr>
        <w:t>e</w:t>
      </w:r>
      <w:r w:rsidRPr="00E6307F">
        <w:rPr>
          <w:noProof/>
        </w:rPr>
        <w:t xml:space="preserve">lasticity of </w:t>
      </w:r>
      <w:r w:rsidR="004A2D15" w:rsidRPr="00E6307F">
        <w:rPr>
          <w:noProof/>
        </w:rPr>
        <w:t>h</w:t>
      </w:r>
      <w:r w:rsidRPr="00E6307F">
        <w:rPr>
          <w:noProof/>
        </w:rPr>
        <w:t xml:space="preserve">ousing </w:t>
      </w:r>
      <w:r w:rsidR="004A2D15" w:rsidRPr="00E6307F">
        <w:rPr>
          <w:noProof/>
        </w:rPr>
        <w:t>d</w:t>
      </w:r>
      <w:r w:rsidRPr="00E6307F">
        <w:rPr>
          <w:noProof/>
        </w:rPr>
        <w:t>emand in China: micro-data evidence from Shanghai. </w:t>
      </w:r>
      <w:r w:rsidRPr="00E6307F">
        <w:rPr>
          <w:i/>
          <w:noProof/>
        </w:rPr>
        <w:t>Journal of Contemporary China</w:t>
      </w:r>
      <w:r w:rsidRPr="00E6307F">
        <w:rPr>
          <w:noProof/>
        </w:rPr>
        <w:t>, 23(85), 68-84.</w:t>
      </w:r>
    </w:p>
    <w:p w14:paraId="707A47A0" w14:textId="0E699A07" w:rsidR="00FE541B" w:rsidRPr="00E6307F" w:rsidRDefault="00FE541B" w:rsidP="00C008AD">
      <w:pPr>
        <w:spacing w:line="240" w:lineRule="auto"/>
        <w:ind w:left="360" w:hanging="360"/>
        <w:jc w:val="both"/>
        <w:rPr>
          <w:noProof/>
        </w:rPr>
      </w:pPr>
      <w:r w:rsidRPr="00E6307F">
        <w:rPr>
          <w:noProof/>
        </w:rPr>
        <w:t xml:space="preserve">Chen, C., Gong, H., </w:t>
      </w:r>
      <w:r w:rsidR="00615C87">
        <w:rPr>
          <w:noProof/>
        </w:rPr>
        <w:t>Paaswell, R., 2008</w:t>
      </w:r>
      <w:r w:rsidRPr="00E6307F">
        <w:rPr>
          <w:noProof/>
        </w:rPr>
        <w:t xml:space="preserve">. Role of the built environment on mode choice decisions: additional evidence on the impact of density. </w:t>
      </w:r>
      <w:r w:rsidRPr="00E6307F">
        <w:rPr>
          <w:i/>
          <w:noProof/>
        </w:rPr>
        <w:t>Transportation</w:t>
      </w:r>
      <w:r w:rsidRPr="00E6307F">
        <w:rPr>
          <w:noProof/>
        </w:rPr>
        <w:t xml:space="preserve">, 35(3), 285-299. </w:t>
      </w:r>
    </w:p>
    <w:p w14:paraId="124157FF" w14:textId="4595CFF2" w:rsidR="00FE541B" w:rsidRPr="00E6307F" w:rsidRDefault="00FE541B" w:rsidP="00C008AD">
      <w:pPr>
        <w:spacing w:line="240" w:lineRule="auto"/>
        <w:ind w:left="360" w:hanging="360"/>
        <w:jc w:val="both"/>
        <w:rPr>
          <w:noProof/>
        </w:rPr>
      </w:pPr>
      <w:r w:rsidRPr="00E6307F">
        <w:rPr>
          <w:noProof/>
        </w:rPr>
        <w:t>Chevalier, M., Gutsatz, M.,</w:t>
      </w:r>
      <w:r w:rsidR="00615C87">
        <w:rPr>
          <w:noProof/>
        </w:rPr>
        <w:t xml:space="preserve"> 2012</w:t>
      </w:r>
      <w:r w:rsidRPr="00E6307F">
        <w:rPr>
          <w:noProof/>
        </w:rPr>
        <w:t>. Luxury retail management: How the world's top brands provide quality product and service support. John Wiley &amp; Sons.</w:t>
      </w:r>
    </w:p>
    <w:p w14:paraId="06B7BC81" w14:textId="49EEA8A4" w:rsidR="00FE541B" w:rsidRPr="00E6307F" w:rsidRDefault="00615C87" w:rsidP="00C008AD">
      <w:pPr>
        <w:spacing w:line="240" w:lineRule="auto"/>
        <w:ind w:left="360" w:hanging="360"/>
        <w:jc w:val="both"/>
        <w:rPr>
          <w:noProof/>
        </w:rPr>
      </w:pPr>
      <w:r>
        <w:rPr>
          <w:noProof/>
        </w:rPr>
        <w:t>Clark, W.A.</w:t>
      </w:r>
      <w:r w:rsidR="00FE541B" w:rsidRPr="00E6307F">
        <w:rPr>
          <w:noProof/>
        </w:rPr>
        <w:t xml:space="preserve">V., </w:t>
      </w:r>
      <w:r>
        <w:rPr>
          <w:noProof/>
        </w:rPr>
        <w:t>Wang, W.F.W., 2005</w:t>
      </w:r>
      <w:r w:rsidR="00FE541B" w:rsidRPr="00E6307F">
        <w:rPr>
          <w:noProof/>
        </w:rPr>
        <w:t>. Job access and co</w:t>
      </w:r>
      <w:r w:rsidR="006E4DFD" w:rsidRPr="00E6307F">
        <w:rPr>
          <w:noProof/>
        </w:rPr>
        <w:t xml:space="preserve">mmute penalties: Balancing work </w:t>
      </w:r>
      <w:r w:rsidR="00FE541B" w:rsidRPr="00E6307F">
        <w:rPr>
          <w:noProof/>
        </w:rPr>
        <w:t xml:space="preserve">and residence in Los Angeles. </w:t>
      </w:r>
      <w:r w:rsidR="00FE541B" w:rsidRPr="00E6307F">
        <w:rPr>
          <w:i/>
          <w:noProof/>
        </w:rPr>
        <w:t>Urban Geography</w:t>
      </w:r>
      <w:r w:rsidR="00FE541B" w:rsidRPr="00E6307F">
        <w:rPr>
          <w:noProof/>
        </w:rPr>
        <w:t xml:space="preserve">, 26(7), 610-626. </w:t>
      </w:r>
    </w:p>
    <w:p w14:paraId="51C756BC" w14:textId="05BC9C2F" w:rsidR="00FE541B" w:rsidRPr="00E6307F" w:rsidRDefault="00615C87" w:rsidP="00C008AD">
      <w:pPr>
        <w:spacing w:line="240" w:lineRule="auto"/>
        <w:ind w:left="360" w:hanging="360"/>
        <w:jc w:val="both"/>
        <w:rPr>
          <w:noProof/>
        </w:rPr>
      </w:pPr>
      <w:r>
        <w:rPr>
          <w:noProof/>
        </w:rPr>
        <w:t>Cho, C.J., 1997</w:t>
      </w:r>
      <w:r w:rsidR="00FE541B" w:rsidRPr="00E6307F">
        <w:rPr>
          <w:noProof/>
        </w:rPr>
        <w:t>. Joint choice of tenure and dwelling type: a multinomial logit analysis for the city of Chongju. </w:t>
      </w:r>
      <w:r w:rsidR="00FE541B" w:rsidRPr="00E6307F">
        <w:rPr>
          <w:i/>
          <w:noProof/>
        </w:rPr>
        <w:t>Urban Studies</w:t>
      </w:r>
      <w:r w:rsidR="00FE541B" w:rsidRPr="00E6307F">
        <w:rPr>
          <w:noProof/>
        </w:rPr>
        <w:t>, 34(9), 1459-1473.</w:t>
      </w:r>
    </w:p>
    <w:p w14:paraId="67575B23" w14:textId="5758A2A7" w:rsidR="00FE541B" w:rsidRPr="00E6307F" w:rsidRDefault="00FE541B" w:rsidP="00C008AD">
      <w:pPr>
        <w:spacing w:line="240" w:lineRule="auto"/>
        <w:ind w:left="360" w:hanging="360"/>
        <w:jc w:val="both"/>
        <w:rPr>
          <w:noProof/>
        </w:rPr>
      </w:pPr>
      <w:r w:rsidRPr="00E6307F">
        <w:rPr>
          <w:noProof/>
        </w:rPr>
        <w:t>Coulombel, N</w:t>
      </w:r>
      <w:r w:rsidR="00615C87">
        <w:rPr>
          <w:noProof/>
        </w:rPr>
        <w:t>., 2010</w:t>
      </w:r>
      <w:r w:rsidRPr="00E6307F">
        <w:rPr>
          <w:noProof/>
        </w:rPr>
        <w:t>. Residential choice and ho</w:t>
      </w:r>
      <w:r w:rsidR="00050A44" w:rsidRPr="00E6307F">
        <w:rPr>
          <w:noProof/>
        </w:rPr>
        <w:t>usehold behavior: State of the a</w:t>
      </w:r>
      <w:r w:rsidRPr="00E6307F">
        <w:rPr>
          <w:noProof/>
        </w:rPr>
        <w:t>rt. SustainCity Working Paper, 2.2 a, ENS Cachan.</w:t>
      </w:r>
    </w:p>
    <w:p w14:paraId="2A34DFCA" w14:textId="5ED1EED3" w:rsidR="00FE541B" w:rsidRPr="00E6307F" w:rsidRDefault="00615C87" w:rsidP="00C008AD">
      <w:pPr>
        <w:spacing w:line="240" w:lineRule="auto"/>
        <w:ind w:left="360" w:hanging="360"/>
        <w:jc w:val="both"/>
        <w:rPr>
          <w:noProof/>
        </w:rPr>
      </w:pPr>
      <w:r>
        <w:rPr>
          <w:noProof/>
        </w:rPr>
        <w:t>Cox, W., 2011</w:t>
      </w:r>
      <w:r w:rsidR="00FE541B" w:rsidRPr="00E6307F">
        <w:rPr>
          <w:noProof/>
        </w:rPr>
        <w:t>. More Americans move to detached houses.</w:t>
      </w:r>
      <w:r w:rsidR="00AD6281" w:rsidRPr="00E6307F">
        <w:rPr>
          <w:noProof/>
        </w:rPr>
        <w:t xml:space="preserve"> Accessed on Sep 16, 2014</w:t>
      </w:r>
      <w:r w:rsidR="00FE541B" w:rsidRPr="00E6307F">
        <w:rPr>
          <w:noProof/>
        </w:rPr>
        <w:t xml:space="preserve"> </w:t>
      </w:r>
      <w:hyperlink r:id="rId452" w:history="1">
        <w:r w:rsidR="00FE541B" w:rsidRPr="00E6307F">
          <w:rPr>
            <w:rStyle w:val="Hyperlink"/>
            <w:rFonts w:eastAsia="MS Mincho"/>
            <w:noProof/>
            <w:color w:val="auto"/>
          </w:rPr>
          <w:t>http://www.newgeography.com/content/002506-more-americans-move-detached-houses</w:t>
        </w:r>
      </w:hyperlink>
      <w:r w:rsidR="00FE541B" w:rsidRPr="00E6307F">
        <w:rPr>
          <w:noProof/>
        </w:rPr>
        <w:t>.</w:t>
      </w:r>
    </w:p>
    <w:p w14:paraId="497A1688" w14:textId="3859D526" w:rsidR="00FE541B" w:rsidRPr="00E6307F" w:rsidRDefault="00615C87" w:rsidP="00C008AD">
      <w:pPr>
        <w:spacing w:line="240" w:lineRule="auto"/>
        <w:ind w:left="360" w:hanging="360"/>
        <w:jc w:val="both"/>
        <w:rPr>
          <w:noProof/>
        </w:rPr>
      </w:pPr>
      <w:r>
        <w:rPr>
          <w:noProof/>
        </w:rPr>
        <w:lastRenderedPageBreak/>
        <w:t>Davidoff, T., 2006</w:t>
      </w:r>
      <w:r w:rsidR="00FE541B" w:rsidRPr="00E6307F">
        <w:rPr>
          <w:noProof/>
        </w:rPr>
        <w:t xml:space="preserve">. Labor income, housing prices, and homeownership. </w:t>
      </w:r>
      <w:r w:rsidR="00FE541B" w:rsidRPr="00E6307F">
        <w:rPr>
          <w:i/>
          <w:noProof/>
        </w:rPr>
        <w:t>Journal of Urban Economics</w:t>
      </w:r>
      <w:r w:rsidR="00FE541B" w:rsidRPr="00E6307F">
        <w:rPr>
          <w:noProof/>
        </w:rPr>
        <w:t>, 59(2), 209-235.</w:t>
      </w:r>
    </w:p>
    <w:p w14:paraId="25645AB8" w14:textId="15F91911" w:rsidR="00433953" w:rsidRPr="00E6307F" w:rsidRDefault="00433953" w:rsidP="00C008AD">
      <w:pPr>
        <w:spacing w:line="240" w:lineRule="auto"/>
        <w:ind w:left="360" w:hanging="360"/>
        <w:jc w:val="both"/>
        <w:rPr>
          <w:noProof/>
        </w:rPr>
      </w:pPr>
      <w:r w:rsidRPr="00E6307F">
        <w:t xml:space="preserve">de Abreu e Silva, J., Morency, C., Goulias, K.G., 2012. Using structural equations modeling to unravel the influence of land use patterns on travel behavior of workers in Montreal. </w:t>
      </w:r>
      <w:r w:rsidRPr="00E6307F">
        <w:rPr>
          <w:i/>
        </w:rPr>
        <w:t>Transportation Research Part A</w:t>
      </w:r>
      <w:r w:rsidRPr="00E6307F">
        <w:t xml:space="preserve"> 46(8), </w:t>
      </w:r>
      <w:r w:rsidRPr="00E6307F">
        <w:rPr>
          <w:rStyle w:val="databold"/>
        </w:rPr>
        <w:t>1252-1264</w:t>
      </w:r>
      <w:r w:rsidRPr="00E6307F">
        <w:t>.</w:t>
      </w:r>
    </w:p>
    <w:p w14:paraId="6BBF4A8D" w14:textId="093EA2E7" w:rsidR="00FE541B" w:rsidRPr="00E6307F" w:rsidRDefault="005A0189" w:rsidP="00C008AD">
      <w:pPr>
        <w:spacing w:line="240" w:lineRule="auto"/>
        <w:ind w:left="360" w:hanging="360"/>
        <w:jc w:val="both"/>
        <w:rPr>
          <w:noProof/>
        </w:rPr>
      </w:pPr>
      <w:r w:rsidRPr="00E6307F">
        <w:rPr>
          <w:noProof/>
        </w:rPr>
        <w:t>d</w:t>
      </w:r>
      <w:r w:rsidR="00FE541B" w:rsidRPr="00E6307F">
        <w:rPr>
          <w:noProof/>
        </w:rPr>
        <w:t xml:space="preserve">e Palma, A., Picard, N., </w:t>
      </w:r>
      <w:r w:rsidR="00501E88">
        <w:rPr>
          <w:noProof/>
        </w:rPr>
        <w:t>Waddell, P., 2007</w:t>
      </w:r>
      <w:r w:rsidR="00FE541B" w:rsidRPr="00E6307F">
        <w:rPr>
          <w:noProof/>
        </w:rPr>
        <w:t xml:space="preserve">. Discrete choice models with capacity constraints: An empirical analysis of the housing market of the greater Paris region. </w:t>
      </w:r>
      <w:r w:rsidR="00FE541B" w:rsidRPr="00E6307F">
        <w:rPr>
          <w:i/>
          <w:noProof/>
        </w:rPr>
        <w:t>Journal of Urban Economics</w:t>
      </w:r>
      <w:r w:rsidR="00FE541B" w:rsidRPr="00E6307F">
        <w:rPr>
          <w:noProof/>
        </w:rPr>
        <w:t xml:space="preserve">, 62(2), 204-230. </w:t>
      </w:r>
    </w:p>
    <w:p w14:paraId="249BF9B0" w14:textId="58C17F17" w:rsidR="00FE541B" w:rsidRPr="00E6307F" w:rsidRDefault="00615C87" w:rsidP="00C008AD">
      <w:pPr>
        <w:spacing w:line="240" w:lineRule="auto"/>
        <w:ind w:left="360" w:hanging="360"/>
        <w:jc w:val="both"/>
        <w:rPr>
          <w:noProof/>
        </w:rPr>
      </w:pPr>
      <w:r>
        <w:rPr>
          <w:noProof/>
        </w:rPr>
        <w:t>Dubin, J.</w:t>
      </w:r>
      <w:r w:rsidR="00FE541B" w:rsidRPr="00E6307F">
        <w:rPr>
          <w:noProof/>
        </w:rPr>
        <w:t xml:space="preserve">A., </w:t>
      </w:r>
      <w:r>
        <w:rPr>
          <w:noProof/>
        </w:rPr>
        <w:t>McFadden, D.</w:t>
      </w:r>
      <w:r w:rsidR="00501E88">
        <w:rPr>
          <w:noProof/>
        </w:rPr>
        <w:t xml:space="preserve">L., </w:t>
      </w:r>
      <w:r w:rsidR="00FE541B" w:rsidRPr="00E6307F">
        <w:rPr>
          <w:noProof/>
        </w:rPr>
        <w:t>1984. An econometric analysis of residential electric appliance holdings and consumption. </w:t>
      </w:r>
      <w:r w:rsidR="00FE541B" w:rsidRPr="00E6307F">
        <w:rPr>
          <w:i/>
          <w:noProof/>
        </w:rPr>
        <w:t>Econometrica: Journal of the Econometric Society</w:t>
      </w:r>
      <w:r w:rsidR="00FE541B" w:rsidRPr="00E6307F">
        <w:rPr>
          <w:noProof/>
        </w:rPr>
        <w:t>, 52(2), 345-362.</w:t>
      </w:r>
    </w:p>
    <w:p w14:paraId="20432443" w14:textId="1E020F8A" w:rsidR="00FE541B" w:rsidRPr="00E6307F" w:rsidRDefault="00FE541B" w:rsidP="00C008AD">
      <w:pPr>
        <w:spacing w:line="240" w:lineRule="auto"/>
        <w:ind w:left="360" w:hanging="360"/>
        <w:jc w:val="both"/>
        <w:rPr>
          <w:noProof/>
        </w:rPr>
      </w:pPr>
      <w:r w:rsidRPr="00E6307F">
        <w:rPr>
          <w:noProof/>
        </w:rPr>
        <w:t xml:space="preserve">Elgar, I., Farooq, B., </w:t>
      </w:r>
      <w:r w:rsidR="00615C87">
        <w:rPr>
          <w:noProof/>
        </w:rPr>
        <w:t>Miller, E.</w:t>
      </w:r>
      <w:r w:rsidR="00501E88">
        <w:rPr>
          <w:noProof/>
        </w:rPr>
        <w:t xml:space="preserve">J., 2009. </w:t>
      </w:r>
      <w:r w:rsidRPr="00E6307F">
        <w:rPr>
          <w:noProof/>
        </w:rPr>
        <w:t xml:space="preserve">Modeling location decisions of office firms. </w:t>
      </w:r>
      <w:r w:rsidRPr="00E6307F">
        <w:rPr>
          <w:i/>
          <w:noProof/>
        </w:rPr>
        <w:t>Transportation Research Record: Journal of the Transportation Research Board</w:t>
      </w:r>
      <w:r w:rsidRPr="00501E88">
        <w:rPr>
          <w:noProof/>
        </w:rPr>
        <w:t xml:space="preserve">, </w:t>
      </w:r>
      <w:r w:rsidRPr="00E6307F">
        <w:rPr>
          <w:noProof/>
        </w:rPr>
        <w:t xml:space="preserve">2133, 56-63. </w:t>
      </w:r>
    </w:p>
    <w:p w14:paraId="4AD2E7FE" w14:textId="695E1FB2" w:rsidR="00FE541B" w:rsidRPr="00E6307F" w:rsidRDefault="00325EED" w:rsidP="00C008AD">
      <w:pPr>
        <w:spacing w:line="240" w:lineRule="auto"/>
        <w:ind w:left="360" w:hanging="360"/>
        <w:jc w:val="both"/>
        <w:rPr>
          <w:noProof/>
        </w:rPr>
      </w:pPr>
      <w:r>
        <w:rPr>
          <w:noProof/>
        </w:rPr>
        <w:t>Eliasson, J., 2010</w:t>
      </w:r>
      <w:r w:rsidR="00FE541B" w:rsidRPr="00E6307F">
        <w:rPr>
          <w:noProof/>
        </w:rPr>
        <w:t xml:space="preserve">. The influence of accessibility on residential location </w:t>
      </w:r>
      <w:r w:rsidR="00FE541B" w:rsidRPr="00E6307F">
        <w:rPr>
          <w:i/>
          <w:noProof/>
        </w:rPr>
        <w:t>Residential Location Choice</w:t>
      </w:r>
      <w:r w:rsidR="00FE541B" w:rsidRPr="00E6307F">
        <w:rPr>
          <w:noProof/>
        </w:rPr>
        <w:t xml:space="preserve"> (pp. 137-164): Springer.</w:t>
      </w:r>
    </w:p>
    <w:p w14:paraId="122D51D1" w14:textId="77777777" w:rsidR="008E0FB6" w:rsidRDefault="00325EED" w:rsidP="008E0FB6">
      <w:pPr>
        <w:spacing w:line="240" w:lineRule="auto"/>
        <w:ind w:left="360" w:hanging="360"/>
        <w:jc w:val="both"/>
        <w:rPr>
          <w:noProof/>
        </w:rPr>
      </w:pPr>
      <w:r>
        <w:rPr>
          <w:noProof/>
        </w:rPr>
        <w:t>Ellickson, B., 1981</w:t>
      </w:r>
      <w:r w:rsidR="00FE541B" w:rsidRPr="00E6307F">
        <w:rPr>
          <w:noProof/>
        </w:rPr>
        <w:t xml:space="preserve">. An alternative test of the hedonic theory of housing markets. </w:t>
      </w:r>
      <w:r w:rsidR="00FE541B" w:rsidRPr="00E6307F">
        <w:rPr>
          <w:i/>
          <w:noProof/>
        </w:rPr>
        <w:t>Journal of Urban Economics</w:t>
      </w:r>
      <w:r w:rsidR="008E0FB6">
        <w:rPr>
          <w:noProof/>
        </w:rPr>
        <w:t>, 9(1), 56-79.</w:t>
      </w:r>
    </w:p>
    <w:p w14:paraId="07C3E46A" w14:textId="3224A80E" w:rsidR="008E0FB6" w:rsidRPr="008E0FB6" w:rsidRDefault="008E0FB6" w:rsidP="008E0FB6">
      <w:pPr>
        <w:spacing w:line="240" w:lineRule="auto"/>
        <w:ind w:left="360" w:hanging="360"/>
        <w:jc w:val="both"/>
        <w:rPr>
          <w:noProof/>
        </w:rPr>
      </w:pPr>
      <w:r>
        <w:rPr>
          <w:rFonts w:eastAsiaTheme="minorHAnsi"/>
        </w:rPr>
        <w:t>Elrod, T., Johnson, R.D., White, J, 2004. A new integrated model of noncompensatory and</w:t>
      </w:r>
      <w:r>
        <w:rPr>
          <w:noProof/>
        </w:rPr>
        <w:t xml:space="preserve"> </w:t>
      </w:r>
      <w:r>
        <w:rPr>
          <w:rFonts w:eastAsiaTheme="minorHAnsi"/>
        </w:rPr>
        <w:t xml:space="preserve">compensatory decision strategies. </w:t>
      </w:r>
      <w:r>
        <w:rPr>
          <w:rFonts w:eastAsiaTheme="minorHAnsi"/>
          <w:i/>
          <w:iCs/>
        </w:rPr>
        <w:t>Organizational Behavior and Human Decision Processes</w:t>
      </w:r>
      <w:r>
        <w:rPr>
          <w:rFonts w:eastAsiaTheme="minorHAnsi"/>
        </w:rPr>
        <w:t>,</w:t>
      </w:r>
      <w:r>
        <w:rPr>
          <w:noProof/>
        </w:rPr>
        <w:t xml:space="preserve"> </w:t>
      </w:r>
      <w:r>
        <w:rPr>
          <w:rFonts w:eastAsiaTheme="minorHAnsi"/>
        </w:rPr>
        <w:t>95(1), 1-19.</w:t>
      </w:r>
    </w:p>
    <w:p w14:paraId="5B9C069B" w14:textId="3B9E7E7E" w:rsidR="00FE541B" w:rsidRPr="00E6307F" w:rsidRDefault="00325EED" w:rsidP="00C008AD">
      <w:pPr>
        <w:spacing w:line="240" w:lineRule="auto"/>
        <w:ind w:left="360" w:hanging="360"/>
        <w:jc w:val="both"/>
        <w:rPr>
          <w:noProof/>
        </w:rPr>
      </w:pPr>
      <w:r>
        <w:rPr>
          <w:noProof/>
        </w:rPr>
        <w:t>Eluru, N., Sener, I.</w:t>
      </w:r>
      <w:r w:rsidR="00FE541B" w:rsidRPr="00E6307F">
        <w:rPr>
          <w:noProof/>
        </w:rPr>
        <w:t xml:space="preserve">N., </w:t>
      </w:r>
      <w:r>
        <w:rPr>
          <w:noProof/>
        </w:rPr>
        <w:t>Bhat, C.R., Pendyala, R.M., Axhausen, K.W., 2009</w:t>
      </w:r>
      <w:r w:rsidR="00FE541B" w:rsidRPr="00E6307F">
        <w:rPr>
          <w:noProof/>
        </w:rPr>
        <w:t xml:space="preserve">. Understanding residential mobility. </w:t>
      </w:r>
      <w:r w:rsidR="00FE541B" w:rsidRPr="00E6307F">
        <w:rPr>
          <w:i/>
          <w:noProof/>
        </w:rPr>
        <w:t>Transportation Research Record: Journal of the Transportation Research Board</w:t>
      </w:r>
      <w:r w:rsidR="00FE541B" w:rsidRPr="00E6307F">
        <w:rPr>
          <w:noProof/>
        </w:rPr>
        <w:t xml:space="preserve">, 2133, 64-74. </w:t>
      </w:r>
    </w:p>
    <w:p w14:paraId="0BB658B4" w14:textId="2046FAA0" w:rsidR="00FE541B" w:rsidRPr="00E6307F" w:rsidRDefault="00325EED" w:rsidP="00C008AD">
      <w:pPr>
        <w:spacing w:line="240" w:lineRule="auto"/>
        <w:ind w:left="360" w:hanging="360"/>
        <w:jc w:val="both"/>
        <w:rPr>
          <w:noProof/>
        </w:rPr>
      </w:pPr>
      <w:r>
        <w:rPr>
          <w:noProof/>
        </w:rPr>
        <w:t>Ermisch, J.F., Findlay, J., Gibb, K., 1996</w:t>
      </w:r>
      <w:r w:rsidR="00FE541B" w:rsidRPr="00E6307F">
        <w:rPr>
          <w:noProof/>
        </w:rPr>
        <w:t>. The price elasticity of housing demand in Britain: issues of sample selection</w:t>
      </w:r>
      <w:r w:rsidR="00FE541B" w:rsidRPr="00E6307F">
        <w:rPr>
          <w:i/>
          <w:noProof/>
        </w:rPr>
        <w:t>. Journal of Housing Economics</w:t>
      </w:r>
      <w:r w:rsidR="00FE541B" w:rsidRPr="00E6307F">
        <w:rPr>
          <w:noProof/>
        </w:rPr>
        <w:t>, 5(1), 64-86</w:t>
      </w:r>
      <w:r w:rsidR="00FE541B" w:rsidRPr="00E6307F">
        <w:rPr>
          <w:shd w:val="clear" w:color="auto" w:fill="FFFFFF"/>
        </w:rPr>
        <w:t>.</w:t>
      </w:r>
      <w:r w:rsidR="00FE541B" w:rsidRPr="00E6307F">
        <w:rPr>
          <w:noProof/>
        </w:rPr>
        <w:t xml:space="preserve"> </w:t>
      </w:r>
    </w:p>
    <w:p w14:paraId="22768387" w14:textId="6F5BCCDE" w:rsidR="00FE541B" w:rsidRPr="00E6307F" w:rsidRDefault="00325EED" w:rsidP="00C008AD">
      <w:pPr>
        <w:spacing w:line="240" w:lineRule="auto"/>
        <w:ind w:left="360" w:hanging="360"/>
        <w:jc w:val="both"/>
        <w:rPr>
          <w:noProof/>
        </w:rPr>
      </w:pPr>
      <w:r>
        <w:rPr>
          <w:noProof/>
        </w:rPr>
        <w:t>Flavin, M., Nakagawa, S., 2008</w:t>
      </w:r>
      <w:r w:rsidR="00FE541B" w:rsidRPr="00E6307F">
        <w:rPr>
          <w:noProof/>
        </w:rPr>
        <w:t>. A model of housing in the presence of adjustment costs: A structural interpretation of habit persistence. </w:t>
      </w:r>
      <w:r w:rsidR="00FE541B" w:rsidRPr="00E6307F">
        <w:rPr>
          <w:i/>
          <w:noProof/>
        </w:rPr>
        <w:t xml:space="preserve">The American </w:t>
      </w:r>
      <w:r w:rsidR="008F07E2" w:rsidRPr="00E6307F">
        <w:rPr>
          <w:i/>
          <w:noProof/>
        </w:rPr>
        <w:t>Economic R</w:t>
      </w:r>
      <w:r w:rsidR="00FE541B" w:rsidRPr="00E6307F">
        <w:rPr>
          <w:i/>
          <w:noProof/>
        </w:rPr>
        <w:t>eview</w:t>
      </w:r>
      <w:r w:rsidR="00FE541B" w:rsidRPr="00E6307F">
        <w:rPr>
          <w:noProof/>
        </w:rPr>
        <w:t>, 98(1), 474-495.</w:t>
      </w:r>
    </w:p>
    <w:p w14:paraId="37A09388" w14:textId="6F3483A7" w:rsidR="00FE541B" w:rsidRPr="00E6307F" w:rsidRDefault="00FE541B" w:rsidP="00C008AD">
      <w:pPr>
        <w:spacing w:line="240" w:lineRule="auto"/>
        <w:ind w:left="360" w:hanging="360"/>
        <w:jc w:val="both"/>
        <w:rPr>
          <w:noProof/>
        </w:rPr>
      </w:pPr>
      <w:r w:rsidRPr="00E6307F">
        <w:rPr>
          <w:noProof/>
        </w:rPr>
        <w:t>Fleischer, F.,</w:t>
      </w:r>
      <w:r w:rsidR="00325EED">
        <w:rPr>
          <w:noProof/>
        </w:rPr>
        <w:t xml:space="preserve"> </w:t>
      </w:r>
      <w:r w:rsidR="00FC2CB9">
        <w:rPr>
          <w:noProof/>
        </w:rPr>
        <w:t xml:space="preserve">2007. </w:t>
      </w:r>
      <w:r w:rsidRPr="00E6307F">
        <w:rPr>
          <w:noProof/>
        </w:rPr>
        <w:t xml:space="preserve">To </w:t>
      </w:r>
      <w:r w:rsidR="00325EED">
        <w:rPr>
          <w:noProof/>
        </w:rPr>
        <w:t>c</w:t>
      </w:r>
      <w:r w:rsidRPr="00E6307F">
        <w:rPr>
          <w:noProof/>
        </w:rPr>
        <w:t xml:space="preserve">hoose a </w:t>
      </w:r>
      <w:r w:rsidR="00325EED">
        <w:rPr>
          <w:noProof/>
        </w:rPr>
        <w:t>h</w:t>
      </w:r>
      <w:r w:rsidRPr="00E6307F">
        <w:rPr>
          <w:noProof/>
        </w:rPr>
        <w:t xml:space="preserve">ouse </w:t>
      </w:r>
      <w:r w:rsidR="00325EED">
        <w:rPr>
          <w:noProof/>
        </w:rPr>
        <w:t>m</w:t>
      </w:r>
      <w:r w:rsidRPr="00E6307F">
        <w:rPr>
          <w:noProof/>
        </w:rPr>
        <w:t xml:space="preserve">eans to </w:t>
      </w:r>
      <w:r w:rsidR="00325EED">
        <w:rPr>
          <w:noProof/>
        </w:rPr>
        <w:t>c</w:t>
      </w:r>
      <w:r w:rsidRPr="00E6307F">
        <w:rPr>
          <w:noProof/>
        </w:rPr>
        <w:t xml:space="preserve">hoose a </w:t>
      </w:r>
      <w:r w:rsidR="00325EED">
        <w:rPr>
          <w:noProof/>
        </w:rPr>
        <w:t>l</w:t>
      </w:r>
      <w:r w:rsidR="00FC2CB9">
        <w:rPr>
          <w:noProof/>
        </w:rPr>
        <w:t>ifestyle.</w:t>
      </w:r>
      <w:r w:rsidRPr="00E6307F">
        <w:rPr>
          <w:noProof/>
        </w:rPr>
        <w:t xml:space="preserve"> The </w:t>
      </w:r>
      <w:r w:rsidR="00325EED">
        <w:rPr>
          <w:noProof/>
        </w:rPr>
        <w:t>c</w:t>
      </w:r>
      <w:r w:rsidRPr="00E6307F">
        <w:rPr>
          <w:noProof/>
        </w:rPr>
        <w:t xml:space="preserve">onsumption of </w:t>
      </w:r>
      <w:r w:rsidR="00325EED">
        <w:rPr>
          <w:noProof/>
        </w:rPr>
        <w:t>h</w:t>
      </w:r>
      <w:r w:rsidRPr="00E6307F">
        <w:rPr>
          <w:noProof/>
        </w:rPr>
        <w:t xml:space="preserve">ousing and </w:t>
      </w:r>
      <w:r w:rsidR="00325EED">
        <w:rPr>
          <w:noProof/>
        </w:rPr>
        <w:t>c</w:t>
      </w:r>
      <w:r w:rsidRPr="00E6307F">
        <w:rPr>
          <w:noProof/>
        </w:rPr>
        <w:t>lass</w:t>
      </w:r>
      <w:r w:rsidRPr="00E6307F">
        <w:rPr>
          <w:rFonts w:ascii="Cambria Math" w:hAnsi="Cambria Math" w:cs="Cambria Math"/>
          <w:noProof/>
        </w:rPr>
        <w:t>‐</w:t>
      </w:r>
      <w:r w:rsidR="00325EED">
        <w:rPr>
          <w:noProof/>
        </w:rPr>
        <w:t>s</w:t>
      </w:r>
      <w:r w:rsidRPr="00E6307F">
        <w:rPr>
          <w:noProof/>
        </w:rPr>
        <w:t xml:space="preserve">tructuration in </w:t>
      </w:r>
      <w:r w:rsidR="00325EED">
        <w:rPr>
          <w:noProof/>
        </w:rPr>
        <w:t>u</w:t>
      </w:r>
      <w:r w:rsidRPr="00E6307F">
        <w:rPr>
          <w:noProof/>
        </w:rPr>
        <w:t xml:space="preserve">rban China. </w:t>
      </w:r>
      <w:r w:rsidRPr="00E6307F">
        <w:rPr>
          <w:i/>
          <w:noProof/>
        </w:rPr>
        <w:t>City &amp; Society</w:t>
      </w:r>
      <w:r w:rsidR="008F07E2" w:rsidRPr="00E6307F">
        <w:rPr>
          <w:noProof/>
        </w:rPr>
        <w:t>,</w:t>
      </w:r>
      <w:r w:rsidRPr="00E6307F">
        <w:rPr>
          <w:noProof/>
        </w:rPr>
        <w:t xml:space="preserve"> 19(2), 287-311.</w:t>
      </w:r>
    </w:p>
    <w:p w14:paraId="264898CE" w14:textId="7DE658B3" w:rsidR="00FE541B" w:rsidRPr="00E6307F" w:rsidRDefault="00325EED" w:rsidP="00C008AD">
      <w:pPr>
        <w:spacing w:line="240" w:lineRule="auto"/>
        <w:ind w:left="360" w:hanging="360"/>
        <w:jc w:val="both"/>
        <w:rPr>
          <w:noProof/>
        </w:rPr>
      </w:pPr>
      <w:r>
        <w:rPr>
          <w:noProof/>
        </w:rPr>
        <w:t>Franzen, A., Vogl, D., 2013</w:t>
      </w:r>
      <w:r w:rsidR="00FE541B" w:rsidRPr="00E6307F">
        <w:rPr>
          <w:noProof/>
        </w:rPr>
        <w:t xml:space="preserve">. Two decades of measuring environmental attitudes: A comparative analysis of 33 countries. </w:t>
      </w:r>
      <w:r w:rsidR="00FE541B" w:rsidRPr="00E6307F">
        <w:rPr>
          <w:i/>
          <w:noProof/>
        </w:rPr>
        <w:t>Global Environmental Change</w:t>
      </w:r>
      <w:r w:rsidR="008F07E2" w:rsidRPr="00E6307F">
        <w:rPr>
          <w:noProof/>
        </w:rPr>
        <w:t>,</w:t>
      </w:r>
      <w:r w:rsidR="00FE541B" w:rsidRPr="00E6307F">
        <w:rPr>
          <w:noProof/>
        </w:rPr>
        <w:t xml:space="preserve"> 23(5), 1001-1008.</w:t>
      </w:r>
    </w:p>
    <w:p w14:paraId="0B63C3F5" w14:textId="77777777" w:rsidR="005F3824" w:rsidRPr="00E6307F" w:rsidRDefault="005F3824" w:rsidP="005F3824">
      <w:pPr>
        <w:spacing w:line="240" w:lineRule="auto"/>
        <w:ind w:left="360" w:hanging="360"/>
        <w:jc w:val="both"/>
        <w:rPr>
          <w:noProof/>
        </w:rPr>
      </w:pPr>
      <w:r>
        <w:rPr>
          <w:noProof/>
        </w:rPr>
        <w:t>Frenkel, A., Kaplan, S., 2014</w:t>
      </w:r>
      <w:r w:rsidRPr="00E6307F">
        <w:rPr>
          <w:noProof/>
        </w:rPr>
        <w:t>. The joint choice of tenure, dwelling type, size and location: the effect of home-oriented versus culture-oriented lifestyle. </w:t>
      </w:r>
      <w:r w:rsidRPr="00E6307F">
        <w:rPr>
          <w:i/>
          <w:noProof/>
        </w:rPr>
        <w:t>Letters in Spatial and Resource Sciences</w:t>
      </w:r>
      <w:r w:rsidRPr="00E6307F">
        <w:rPr>
          <w:noProof/>
        </w:rPr>
        <w:t>, 1-19.</w:t>
      </w:r>
    </w:p>
    <w:p w14:paraId="4A1AECDA" w14:textId="22B80AAD" w:rsidR="00FE541B" w:rsidRPr="00E6307F" w:rsidRDefault="00FE541B" w:rsidP="00C008AD">
      <w:pPr>
        <w:spacing w:line="240" w:lineRule="auto"/>
        <w:ind w:left="360" w:hanging="360"/>
        <w:jc w:val="both"/>
        <w:rPr>
          <w:noProof/>
        </w:rPr>
      </w:pPr>
      <w:r w:rsidRPr="00E6307F">
        <w:rPr>
          <w:noProof/>
        </w:rPr>
        <w:t>Frenkel, A., Bendit, E.,</w:t>
      </w:r>
      <w:r w:rsidR="00325EED">
        <w:rPr>
          <w:noProof/>
        </w:rPr>
        <w:t xml:space="preserve"> Kaplan, S., 2013</w:t>
      </w:r>
      <w:r w:rsidRPr="00E6307F">
        <w:rPr>
          <w:noProof/>
        </w:rPr>
        <w:t xml:space="preserve">. The linkage between the lifestyle of knowledge-workers and their intra-metropolitan residential choice: a clustering approach based on self-organizing maps. </w:t>
      </w:r>
      <w:r w:rsidRPr="00E6307F">
        <w:rPr>
          <w:i/>
          <w:noProof/>
        </w:rPr>
        <w:t>Comput Environ Urban</w:t>
      </w:r>
      <w:r w:rsidRPr="00E6307F">
        <w:rPr>
          <w:noProof/>
        </w:rPr>
        <w:t xml:space="preserve"> 39, 151-16.</w:t>
      </w:r>
    </w:p>
    <w:p w14:paraId="493D7F1E" w14:textId="7DA0D92F" w:rsidR="00FE541B" w:rsidRPr="00E6307F" w:rsidRDefault="00325EED" w:rsidP="00C008AD">
      <w:pPr>
        <w:spacing w:line="240" w:lineRule="auto"/>
        <w:ind w:left="360" w:hanging="360"/>
        <w:jc w:val="both"/>
        <w:rPr>
          <w:noProof/>
        </w:rPr>
      </w:pPr>
      <w:r>
        <w:rPr>
          <w:noProof/>
        </w:rPr>
        <w:t>Gifford, R., Nilsson, A., 2014</w:t>
      </w:r>
      <w:r w:rsidR="00FE541B" w:rsidRPr="00E6307F">
        <w:rPr>
          <w:noProof/>
        </w:rPr>
        <w:t>. Personal and social factors that influence pro</w:t>
      </w:r>
      <w:r w:rsidR="00FE541B" w:rsidRPr="00E6307F">
        <w:rPr>
          <w:rFonts w:ascii="Cambria Math" w:hAnsi="Cambria Math" w:cs="Cambria Math"/>
          <w:noProof/>
        </w:rPr>
        <w:t>‐</w:t>
      </w:r>
      <w:r w:rsidR="00FE541B" w:rsidRPr="00E6307F">
        <w:rPr>
          <w:noProof/>
        </w:rPr>
        <w:t xml:space="preserve">environmental concern and behaviour: A review. </w:t>
      </w:r>
      <w:r w:rsidR="00FE541B" w:rsidRPr="00E6307F">
        <w:rPr>
          <w:i/>
          <w:noProof/>
        </w:rPr>
        <w:t>International Journal of Psychology</w:t>
      </w:r>
      <w:r w:rsidR="008F07E2" w:rsidRPr="00E6307F">
        <w:rPr>
          <w:noProof/>
        </w:rPr>
        <w:t>,</w:t>
      </w:r>
      <w:r w:rsidR="00FE541B" w:rsidRPr="00E6307F">
        <w:rPr>
          <w:noProof/>
        </w:rPr>
        <w:t xml:space="preserve"> 49(3), 141-157.</w:t>
      </w:r>
    </w:p>
    <w:p w14:paraId="1591D4E8" w14:textId="1CE2CA05" w:rsidR="00FE541B" w:rsidRPr="00E6307F" w:rsidRDefault="00325EED" w:rsidP="00C008AD">
      <w:pPr>
        <w:spacing w:line="240" w:lineRule="auto"/>
        <w:ind w:left="360" w:hanging="360"/>
        <w:jc w:val="both"/>
        <w:rPr>
          <w:i/>
          <w:noProof/>
        </w:rPr>
      </w:pPr>
      <w:r>
        <w:rPr>
          <w:noProof/>
        </w:rPr>
        <w:t>Goodman, A.C., 2002</w:t>
      </w:r>
      <w:r w:rsidR="00FE541B" w:rsidRPr="00E6307F">
        <w:rPr>
          <w:noProof/>
        </w:rPr>
        <w:t>. Estimating equilibrium housing demand for ‘stayers’</w:t>
      </w:r>
      <w:r w:rsidR="006E4DFD" w:rsidRPr="00E6307F">
        <w:rPr>
          <w:i/>
          <w:noProof/>
        </w:rPr>
        <w:t xml:space="preserve">. Journal of Urban </w:t>
      </w:r>
      <w:r w:rsidR="00FE541B" w:rsidRPr="00E6307F">
        <w:rPr>
          <w:i/>
          <w:noProof/>
        </w:rPr>
        <w:t>Economics</w:t>
      </w:r>
      <w:r w:rsidR="008F07E2" w:rsidRPr="00E6307F">
        <w:rPr>
          <w:noProof/>
        </w:rPr>
        <w:t>, 51(1), 1-</w:t>
      </w:r>
      <w:r w:rsidR="00FE541B" w:rsidRPr="00E6307F">
        <w:rPr>
          <w:noProof/>
        </w:rPr>
        <w:t>24.</w:t>
      </w:r>
    </w:p>
    <w:p w14:paraId="16A17D7C" w14:textId="75850743" w:rsidR="00FE541B" w:rsidRPr="00E6307F" w:rsidRDefault="00325EED" w:rsidP="00C008AD">
      <w:pPr>
        <w:spacing w:line="240" w:lineRule="auto"/>
        <w:ind w:left="360" w:hanging="360"/>
        <w:jc w:val="both"/>
        <w:rPr>
          <w:noProof/>
        </w:rPr>
      </w:pPr>
      <w:r>
        <w:rPr>
          <w:noProof/>
        </w:rPr>
        <w:t>Guevara, C.A., 2010</w:t>
      </w:r>
      <w:r w:rsidR="00FE541B" w:rsidRPr="00E6307F">
        <w:rPr>
          <w:noProof/>
        </w:rPr>
        <w:t xml:space="preserve">. Endogeneity and sampling of alternatives in spatial choice models. </w:t>
      </w:r>
      <w:r w:rsidR="005263F3" w:rsidRPr="00E6307F">
        <w:rPr>
          <w:noProof/>
        </w:rPr>
        <w:t>Ph.</w:t>
      </w:r>
      <w:r w:rsidR="00FE541B" w:rsidRPr="00E6307F">
        <w:rPr>
          <w:noProof/>
        </w:rPr>
        <w:t xml:space="preserve">D. Thesis, Department of Civil and Environmental Engineering, Massachusetts Institute of Technology, Cambridge, MA.   </w:t>
      </w:r>
    </w:p>
    <w:p w14:paraId="4C57B02C" w14:textId="0A0D09D2" w:rsidR="00FE541B" w:rsidRPr="00E6307F" w:rsidRDefault="00325EED" w:rsidP="00C008AD">
      <w:pPr>
        <w:spacing w:line="240" w:lineRule="auto"/>
        <w:ind w:left="360" w:hanging="360"/>
        <w:jc w:val="both"/>
        <w:rPr>
          <w:noProof/>
        </w:rPr>
      </w:pPr>
      <w:r>
        <w:rPr>
          <w:noProof/>
        </w:rPr>
        <w:lastRenderedPageBreak/>
        <w:t>Guevara, C.A., Ben-Akiva, M.E., 2013a</w:t>
      </w:r>
      <w:r w:rsidR="00FE541B" w:rsidRPr="00E6307F">
        <w:rPr>
          <w:noProof/>
        </w:rPr>
        <w:t xml:space="preserve">. Sampling of alternatives in </w:t>
      </w:r>
      <w:r w:rsidR="00DF63A2">
        <w:rPr>
          <w:noProof/>
        </w:rPr>
        <w:t>l</w:t>
      </w:r>
      <w:r w:rsidR="00FE541B" w:rsidRPr="00E6307F">
        <w:rPr>
          <w:noProof/>
        </w:rPr>
        <w:t xml:space="preserve">ogit </w:t>
      </w:r>
      <w:r w:rsidR="00DF63A2">
        <w:rPr>
          <w:noProof/>
        </w:rPr>
        <w:t>m</w:t>
      </w:r>
      <w:r w:rsidR="00FE541B" w:rsidRPr="00E6307F">
        <w:rPr>
          <w:noProof/>
        </w:rPr>
        <w:t xml:space="preserve">ixture models. </w:t>
      </w:r>
      <w:r w:rsidR="007A5CF0" w:rsidRPr="00E6307F">
        <w:rPr>
          <w:i/>
          <w:noProof/>
        </w:rPr>
        <w:t>Transportation Research Part B</w:t>
      </w:r>
      <w:r w:rsidR="007A5CF0" w:rsidRPr="00E6307F">
        <w:rPr>
          <w:noProof/>
        </w:rPr>
        <w:t xml:space="preserve">, </w:t>
      </w:r>
      <w:r w:rsidR="00FE541B" w:rsidRPr="00DF63A2">
        <w:rPr>
          <w:noProof/>
        </w:rPr>
        <w:t>58</w:t>
      </w:r>
      <w:r w:rsidR="00FE541B" w:rsidRPr="00E6307F">
        <w:rPr>
          <w:noProof/>
        </w:rPr>
        <w:t xml:space="preserve">, 185-198. </w:t>
      </w:r>
    </w:p>
    <w:p w14:paraId="5B0E75AE" w14:textId="5B6F7931" w:rsidR="00FE541B" w:rsidRPr="00E6307F" w:rsidRDefault="00FE541B" w:rsidP="00C008AD">
      <w:pPr>
        <w:spacing w:line="240" w:lineRule="auto"/>
        <w:ind w:left="360" w:hanging="360"/>
        <w:jc w:val="both"/>
        <w:rPr>
          <w:noProof/>
        </w:rPr>
      </w:pPr>
      <w:r w:rsidRPr="00E6307F">
        <w:rPr>
          <w:noProof/>
        </w:rPr>
        <w:t>Guevara, C.</w:t>
      </w:r>
      <w:r w:rsidR="00325EED">
        <w:rPr>
          <w:noProof/>
        </w:rPr>
        <w:t>A., Ben-Akiva, M.E., 2013b</w:t>
      </w:r>
      <w:r w:rsidRPr="00E6307F">
        <w:rPr>
          <w:noProof/>
        </w:rPr>
        <w:t xml:space="preserve">. Sampling of alternatives in </w:t>
      </w:r>
      <w:r w:rsidR="00DF63A2">
        <w:rPr>
          <w:noProof/>
        </w:rPr>
        <w:t>m</w:t>
      </w:r>
      <w:r w:rsidRPr="00E6307F">
        <w:rPr>
          <w:noProof/>
        </w:rPr>
        <w:t xml:space="preserve">ultivariate </w:t>
      </w:r>
      <w:r w:rsidR="00DF63A2">
        <w:rPr>
          <w:noProof/>
        </w:rPr>
        <w:t>e</w:t>
      </w:r>
      <w:r w:rsidRPr="00E6307F">
        <w:rPr>
          <w:noProof/>
        </w:rPr>
        <w:t xml:space="preserve">xtreme </w:t>
      </w:r>
      <w:r w:rsidR="00DF63A2">
        <w:rPr>
          <w:noProof/>
        </w:rPr>
        <w:t>v</w:t>
      </w:r>
      <w:r w:rsidRPr="00E6307F">
        <w:rPr>
          <w:noProof/>
        </w:rPr>
        <w:t xml:space="preserve">alue (MEV) models. </w:t>
      </w:r>
      <w:r w:rsidRPr="00E6307F">
        <w:rPr>
          <w:i/>
          <w:noProof/>
        </w:rPr>
        <w:t>T</w:t>
      </w:r>
      <w:r w:rsidR="007A5CF0" w:rsidRPr="00E6307F">
        <w:rPr>
          <w:i/>
          <w:noProof/>
        </w:rPr>
        <w:t>ransportation Research Part B</w:t>
      </w:r>
      <w:r w:rsidRPr="00E6307F">
        <w:rPr>
          <w:noProof/>
        </w:rPr>
        <w:t xml:space="preserve">, 48, 31-52. </w:t>
      </w:r>
    </w:p>
    <w:p w14:paraId="54C56B0D" w14:textId="024A62FF" w:rsidR="00FE541B" w:rsidRPr="00E6307F" w:rsidRDefault="00325EED" w:rsidP="00C008AD">
      <w:pPr>
        <w:spacing w:line="240" w:lineRule="auto"/>
        <w:ind w:left="360" w:hanging="360"/>
        <w:jc w:val="both"/>
        <w:rPr>
          <w:noProof/>
        </w:rPr>
      </w:pPr>
      <w:r>
        <w:rPr>
          <w:noProof/>
        </w:rPr>
        <w:t>Guo, J.Y., Bhat, C.R., 2004</w:t>
      </w:r>
      <w:r w:rsidR="00FE541B" w:rsidRPr="00E6307F">
        <w:rPr>
          <w:noProof/>
        </w:rPr>
        <w:t xml:space="preserve">. Modifiable areal units: problem or perception in modeling of residential location choice? </w:t>
      </w:r>
      <w:r w:rsidR="00FE541B" w:rsidRPr="00E6307F">
        <w:rPr>
          <w:i/>
          <w:noProof/>
        </w:rPr>
        <w:t>Transportation Research Record: Journal of the Transportation Research Board</w:t>
      </w:r>
      <w:r w:rsidR="00FE541B" w:rsidRPr="00E6307F">
        <w:rPr>
          <w:noProof/>
        </w:rPr>
        <w:t xml:space="preserve">, 1898(1), 138-147. </w:t>
      </w:r>
    </w:p>
    <w:p w14:paraId="34A8BF92" w14:textId="1DF24051" w:rsidR="00FE541B" w:rsidRPr="00E6307F" w:rsidRDefault="00325EED" w:rsidP="00C008AD">
      <w:pPr>
        <w:spacing w:line="240" w:lineRule="auto"/>
        <w:ind w:left="360" w:hanging="360"/>
        <w:jc w:val="both"/>
        <w:rPr>
          <w:noProof/>
        </w:rPr>
      </w:pPr>
      <w:r>
        <w:rPr>
          <w:noProof/>
        </w:rPr>
        <w:t>Habib, M., Miller, E., 2007</w:t>
      </w:r>
      <w:r w:rsidR="00FE541B" w:rsidRPr="00E6307F">
        <w:rPr>
          <w:noProof/>
        </w:rPr>
        <w:t>. Modeling residential and spatial search behaviour: evidence from the greater Toronto area. Paper presented at the 6th Triennial Symposium on Transportation Analysis, Phuket Island, Thailand.</w:t>
      </w:r>
    </w:p>
    <w:p w14:paraId="48CA0274" w14:textId="71ACA0FA" w:rsidR="00FE541B" w:rsidRPr="00E6307F" w:rsidRDefault="00325EED" w:rsidP="00C008AD">
      <w:pPr>
        <w:spacing w:line="240" w:lineRule="auto"/>
        <w:ind w:left="360" w:hanging="360"/>
        <w:jc w:val="both"/>
        <w:rPr>
          <w:noProof/>
        </w:rPr>
      </w:pPr>
      <w:r>
        <w:rPr>
          <w:noProof/>
        </w:rPr>
        <w:t>Habib, M.A., Miller, E.J., 2009</w:t>
      </w:r>
      <w:r w:rsidR="00FE541B" w:rsidRPr="00E6307F">
        <w:rPr>
          <w:noProof/>
        </w:rPr>
        <w:t xml:space="preserve">. Reference-dependent residential location choice model within a relocation context. </w:t>
      </w:r>
      <w:r w:rsidR="00FE541B" w:rsidRPr="00E6307F">
        <w:rPr>
          <w:i/>
          <w:noProof/>
        </w:rPr>
        <w:t>Transportation Research Record: Journal of the Transportation Research Board</w:t>
      </w:r>
      <w:r w:rsidR="00FE541B" w:rsidRPr="00E6307F">
        <w:rPr>
          <w:noProof/>
        </w:rPr>
        <w:t xml:space="preserve">, 2133, 92-99. </w:t>
      </w:r>
    </w:p>
    <w:p w14:paraId="08CD01BF" w14:textId="0F2BC7A1" w:rsidR="00FE541B" w:rsidRPr="00E6307F" w:rsidRDefault="00325EED" w:rsidP="00C008AD">
      <w:pPr>
        <w:spacing w:line="240" w:lineRule="auto"/>
        <w:ind w:left="360" w:hanging="360"/>
        <w:jc w:val="both"/>
        <w:rPr>
          <w:noProof/>
        </w:rPr>
      </w:pPr>
      <w:r>
        <w:rPr>
          <w:noProof/>
        </w:rPr>
        <w:t>Heckman, J.J., Sedlacek, G., 1985</w:t>
      </w:r>
      <w:r w:rsidR="00FE541B" w:rsidRPr="00E6307F">
        <w:rPr>
          <w:noProof/>
        </w:rPr>
        <w:t xml:space="preserve">. Heterogeneity, aggregation, and market wage functions: an empirical model of self-selection in the labor market. </w:t>
      </w:r>
      <w:r w:rsidR="007A5CF0" w:rsidRPr="00E6307F">
        <w:rPr>
          <w:i/>
          <w:noProof/>
        </w:rPr>
        <w:t>The Journal of P</w:t>
      </w:r>
      <w:r w:rsidR="00FE541B" w:rsidRPr="00E6307F">
        <w:rPr>
          <w:i/>
          <w:noProof/>
        </w:rPr>
        <w:t>oliti</w:t>
      </w:r>
      <w:r w:rsidR="007A5CF0" w:rsidRPr="00E6307F">
        <w:rPr>
          <w:i/>
          <w:noProof/>
        </w:rPr>
        <w:t>cal E</w:t>
      </w:r>
      <w:r w:rsidR="00FE541B" w:rsidRPr="00E6307F">
        <w:rPr>
          <w:i/>
          <w:noProof/>
        </w:rPr>
        <w:t>conomy</w:t>
      </w:r>
      <w:r w:rsidR="00FE541B" w:rsidRPr="00E6307F">
        <w:rPr>
          <w:noProof/>
        </w:rPr>
        <w:t xml:space="preserve">, 1077-1125. </w:t>
      </w:r>
    </w:p>
    <w:p w14:paraId="3BC8BB8D" w14:textId="3CC07C0D" w:rsidR="00FE541B" w:rsidRPr="00E6307F" w:rsidRDefault="00325EED" w:rsidP="00C008AD">
      <w:pPr>
        <w:spacing w:line="240" w:lineRule="auto"/>
        <w:ind w:left="360" w:hanging="360"/>
        <w:jc w:val="both"/>
        <w:rPr>
          <w:noProof/>
        </w:rPr>
      </w:pPr>
      <w:r>
        <w:rPr>
          <w:noProof/>
        </w:rPr>
        <w:t xml:space="preserve">Henderson, J.V., </w:t>
      </w:r>
      <w:r w:rsidR="00FE541B" w:rsidRPr="00E6307F">
        <w:rPr>
          <w:noProof/>
        </w:rPr>
        <w:t>Ioa</w:t>
      </w:r>
      <w:r>
        <w:rPr>
          <w:noProof/>
        </w:rPr>
        <w:t>nnides, Y.M., 1983</w:t>
      </w:r>
      <w:r w:rsidR="00FE541B" w:rsidRPr="00E6307F">
        <w:rPr>
          <w:noProof/>
        </w:rPr>
        <w:t>. A model of housing tenure choice. </w:t>
      </w:r>
      <w:r w:rsidR="00FE541B" w:rsidRPr="00E6307F">
        <w:rPr>
          <w:i/>
          <w:noProof/>
        </w:rPr>
        <w:t>The American Economic Review</w:t>
      </w:r>
      <w:r w:rsidR="00FE541B" w:rsidRPr="00E6307F">
        <w:rPr>
          <w:noProof/>
        </w:rPr>
        <w:t>, 73(1), 98-113.</w:t>
      </w:r>
    </w:p>
    <w:p w14:paraId="1ECFEEC9" w14:textId="5EFD448C" w:rsidR="00FE541B" w:rsidRPr="00E6307F" w:rsidRDefault="00325EED" w:rsidP="00C008AD">
      <w:pPr>
        <w:spacing w:line="240" w:lineRule="auto"/>
        <w:ind w:left="360" w:hanging="360"/>
        <w:jc w:val="both"/>
        <w:rPr>
          <w:noProof/>
        </w:rPr>
      </w:pPr>
      <w:r>
        <w:rPr>
          <w:noProof/>
        </w:rPr>
        <w:t>Hilber, C.A., 2005</w:t>
      </w:r>
      <w:r w:rsidR="00FE541B" w:rsidRPr="00E6307F">
        <w:rPr>
          <w:noProof/>
        </w:rPr>
        <w:t xml:space="preserve">. Neighborhood externality risk </w:t>
      </w:r>
      <w:r w:rsidR="003B149F">
        <w:rPr>
          <w:noProof/>
        </w:rPr>
        <w:t xml:space="preserve">and the homeownership status of properties. </w:t>
      </w:r>
      <w:r w:rsidR="00FE541B" w:rsidRPr="00E6307F">
        <w:rPr>
          <w:i/>
          <w:noProof/>
        </w:rPr>
        <w:t>Journal of Urban Economics</w:t>
      </w:r>
      <w:r w:rsidR="00FE541B" w:rsidRPr="00E6307F">
        <w:rPr>
          <w:noProof/>
        </w:rPr>
        <w:t>, 57(2), 213-241.</w:t>
      </w:r>
    </w:p>
    <w:p w14:paraId="5A110AB0" w14:textId="23D60246" w:rsidR="00FE541B" w:rsidRPr="00E6307F" w:rsidRDefault="00325EED" w:rsidP="00C008AD">
      <w:pPr>
        <w:spacing w:line="240" w:lineRule="auto"/>
        <w:ind w:left="360" w:hanging="360"/>
        <w:jc w:val="both"/>
        <w:rPr>
          <w:i/>
          <w:noProof/>
        </w:rPr>
      </w:pPr>
      <w:r>
        <w:rPr>
          <w:noProof/>
        </w:rPr>
        <w:t>Husic, M., Cicic, M., 2009</w:t>
      </w:r>
      <w:r w:rsidR="00FE541B" w:rsidRPr="00E6307F">
        <w:rPr>
          <w:noProof/>
        </w:rPr>
        <w:t xml:space="preserve">. Luxury </w:t>
      </w:r>
      <w:r>
        <w:rPr>
          <w:noProof/>
        </w:rPr>
        <w:t>c</w:t>
      </w:r>
      <w:r w:rsidR="00FE541B" w:rsidRPr="00E6307F">
        <w:rPr>
          <w:noProof/>
        </w:rPr>
        <w:t xml:space="preserve">onsumption </w:t>
      </w:r>
      <w:r>
        <w:rPr>
          <w:noProof/>
        </w:rPr>
        <w:t>f</w:t>
      </w:r>
      <w:r w:rsidR="00FE541B" w:rsidRPr="00E6307F">
        <w:rPr>
          <w:noProof/>
        </w:rPr>
        <w:t>actors</w:t>
      </w:r>
      <w:r w:rsidR="00FE541B" w:rsidRPr="00E6307F">
        <w:rPr>
          <w:i/>
          <w:noProof/>
        </w:rPr>
        <w:t>. J</w:t>
      </w:r>
      <w:r w:rsidR="006E4DFD" w:rsidRPr="00E6307F">
        <w:rPr>
          <w:i/>
          <w:noProof/>
        </w:rPr>
        <w:t xml:space="preserve">ournal of Fashion Marketing and </w:t>
      </w:r>
      <w:r w:rsidR="00FE541B" w:rsidRPr="00E6307F">
        <w:rPr>
          <w:i/>
          <w:noProof/>
        </w:rPr>
        <w:t>Management</w:t>
      </w:r>
      <w:r>
        <w:rPr>
          <w:noProof/>
        </w:rPr>
        <w:t>, 13(2), 231-245</w:t>
      </w:r>
      <w:r w:rsidR="00FE541B" w:rsidRPr="00E6307F">
        <w:rPr>
          <w:noProof/>
        </w:rPr>
        <w:t>.</w:t>
      </w:r>
    </w:p>
    <w:p w14:paraId="5AD3D601" w14:textId="7172B8BF" w:rsidR="00FE541B" w:rsidRPr="00E6307F" w:rsidRDefault="00325EED" w:rsidP="00C008AD">
      <w:pPr>
        <w:spacing w:line="240" w:lineRule="auto"/>
        <w:ind w:left="360" w:hanging="360"/>
        <w:jc w:val="both"/>
        <w:rPr>
          <w:noProof/>
        </w:rPr>
      </w:pPr>
      <w:r>
        <w:rPr>
          <w:noProof/>
        </w:rPr>
        <w:t>Huff, J.O., 1986</w:t>
      </w:r>
      <w:r w:rsidR="00FE541B" w:rsidRPr="00E6307F">
        <w:rPr>
          <w:noProof/>
        </w:rPr>
        <w:t xml:space="preserve">. Geographic regularities in residential search behavior. </w:t>
      </w:r>
      <w:r w:rsidR="00FE541B" w:rsidRPr="00E6307F">
        <w:rPr>
          <w:i/>
          <w:noProof/>
        </w:rPr>
        <w:t>Annals of the Association of American Geographers</w:t>
      </w:r>
      <w:r w:rsidR="00FE541B" w:rsidRPr="00E6307F">
        <w:rPr>
          <w:noProof/>
        </w:rPr>
        <w:t xml:space="preserve">, 76(2), 208-227. </w:t>
      </w:r>
    </w:p>
    <w:p w14:paraId="40B92D8A" w14:textId="118B5A52" w:rsidR="00FE541B" w:rsidRPr="00E6307F" w:rsidRDefault="00325EED" w:rsidP="00C008AD">
      <w:pPr>
        <w:spacing w:line="240" w:lineRule="auto"/>
        <w:ind w:left="360" w:hanging="360"/>
        <w:jc w:val="both"/>
        <w:rPr>
          <w:noProof/>
        </w:rPr>
      </w:pPr>
      <w:r>
        <w:rPr>
          <w:noProof/>
        </w:rPr>
        <w:t>Hurtubia, R., Bierlaire, M., 2011</w:t>
      </w:r>
      <w:r w:rsidR="00FE541B" w:rsidRPr="00E6307F">
        <w:rPr>
          <w:noProof/>
        </w:rPr>
        <w:t xml:space="preserve">. Bid rent model for simultaneous determination of location and rent in land use microsimulations. </w:t>
      </w:r>
      <w:r w:rsidR="00B37F06" w:rsidRPr="00E6307F">
        <w:t>Proceedings of the Swiss Transport Research Conference. May 11-13</w:t>
      </w:r>
      <w:r w:rsidR="00FE541B" w:rsidRPr="00E6307F">
        <w:rPr>
          <w:noProof/>
        </w:rPr>
        <w:t>.</w:t>
      </w:r>
    </w:p>
    <w:p w14:paraId="1B14DEE0" w14:textId="3A5C3704" w:rsidR="00FE541B" w:rsidRPr="00E6307F" w:rsidRDefault="00325EED" w:rsidP="00C008AD">
      <w:pPr>
        <w:spacing w:line="240" w:lineRule="auto"/>
        <w:ind w:left="360" w:hanging="360"/>
        <w:jc w:val="both"/>
        <w:rPr>
          <w:noProof/>
        </w:rPr>
      </w:pPr>
      <w:r>
        <w:rPr>
          <w:noProof/>
        </w:rPr>
        <w:t>Jones, R.E., 1998</w:t>
      </w:r>
      <w:r w:rsidR="00FE541B" w:rsidRPr="00E6307F">
        <w:rPr>
          <w:noProof/>
        </w:rPr>
        <w:t xml:space="preserve">. Black concern for the environment: Myth versus reality. </w:t>
      </w:r>
      <w:r w:rsidR="00FE541B" w:rsidRPr="00E6307F">
        <w:rPr>
          <w:i/>
          <w:noProof/>
        </w:rPr>
        <w:t>Society &amp; Natural Resources</w:t>
      </w:r>
      <w:r w:rsidR="00FE541B" w:rsidRPr="00E6307F">
        <w:rPr>
          <w:noProof/>
        </w:rPr>
        <w:t>, 11(3), 209-228.</w:t>
      </w:r>
    </w:p>
    <w:p w14:paraId="0AB705C1" w14:textId="7EF6BECD" w:rsidR="00FE541B" w:rsidRPr="00E6307F" w:rsidRDefault="00325EED" w:rsidP="00C008AD">
      <w:pPr>
        <w:spacing w:line="240" w:lineRule="auto"/>
        <w:ind w:left="360" w:hanging="360"/>
        <w:jc w:val="both"/>
        <w:rPr>
          <w:shd w:val="clear" w:color="auto" w:fill="FFFFFF"/>
        </w:rPr>
      </w:pPr>
      <w:r>
        <w:rPr>
          <w:noProof/>
        </w:rPr>
        <w:t>Kain, J.F., Quigley, J.M., 1972</w:t>
      </w:r>
      <w:r w:rsidR="00FE541B" w:rsidRPr="00E6307F">
        <w:rPr>
          <w:noProof/>
        </w:rPr>
        <w:t>. Housing market discrimination, home-ownership, and savings behavior. </w:t>
      </w:r>
      <w:r w:rsidR="00FE541B" w:rsidRPr="00E6307F">
        <w:rPr>
          <w:i/>
          <w:noProof/>
        </w:rPr>
        <w:t>The American Economic Review</w:t>
      </w:r>
      <w:r w:rsidR="00FE541B" w:rsidRPr="00E6307F">
        <w:rPr>
          <w:noProof/>
        </w:rPr>
        <w:t>, 62(3), 263-277</w:t>
      </w:r>
      <w:r w:rsidR="00FE541B" w:rsidRPr="00E6307F">
        <w:rPr>
          <w:shd w:val="clear" w:color="auto" w:fill="FFFFFF"/>
        </w:rPr>
        <w:t>.</w:t>
      </w:r>
    </w:p>
    <w:p w14:paraId="2A647071" w14:textId="58C20632" w:rsidR="00FE541B" w:rsidRPr="00E6307F" w:rsidRDefault="00325EED" w:rsidP="00C008AD">
      <w:pPr>
        <w:spacing w:line="240" w:lineRule="auto"/>
        <w:ind w:left="360" w:hanging="360"/>
        <w:jc w:val="both"/>
        <w:rPr>
          <w:noProof/>
        </w:rPr>
      </w:pPr>
      <w:r>
        <w:rPr>
          <w:noProof/>
        </w:rPr>
        <w:t>Kaplan, S., Bekhor, S., Shiftan, Y., 2011</w:t>
      </w:r>
      <w:r w:rsidR="00FE541B" w:rsidRPr="00E6307F">
        <w:rPr>
          <w:noProof/>
        </w:rPr>
        <w:t xml:space="preserve">. Development and estimation of a semi-compensatory residential choice model based on explicit choice protocols. </w:t>
      </w:r>
      <w:r w:rsidR="00FE541B" w:rsidRPr="00E6307F">
        <w:rPr>
          <w:i/>
          <w:noProof/>
        </w:rPr>
        <w:t>The Annals of Regional Science</w:t>
      </w:r>
      <w:r w:rsidR="00FE541B" w:rsidRPr="00E6307F">
        <w:rPr>
          <w:noProof/>
        </w:rPr>
        <w:t xml:space="preserve">, 47(1), 51-80. </w:t>
      </w:r>
    </w:p>
    <w:p w14:paraId="6A3A62C9" w14:textId="61FA87F3" w:rsidR="00FE541B" w:rsidRPr="00E6307F" w:rsidRDefault="00325EED" w:rsidP="00C008AD">
      <w:pPr>
        <w:spacing w:line="240" w:lineRule="auto"/>
        <w:ind w:left="360" w:hanging="360"/>
        <w:jc w:val="both"/>
        <w:rPr>
          <w:noProof/>
        </w:rPr>
      </w:pPr>
      <w:r>
        <w:rPr>
          <w:noProof/>
        </w:rPr>
        <w:t xml:space="preserve">Kaplan, S., Bekhor, S., Shiftan, Y., </w:t>
      </w:r>
      <w:r w:rsidR="00FE541B" w:rsidRPr="00E6307F">
        <w:rPr>
          <w:noProof/>
        </w:rPr>
        <w:t>2012</w:t>
      </w:r>
      <w:r w:rsidR="003730F0" w:rsidRPr="00E6307F">
        <w:rPr>
          <w:noProof/>
        </w:rPr>
        <w:t>a</w:t>
      </w:r>
      <w:r w:rsidR="00FE541B" w:rsidRPr="00E6307F">
        <w:rPr>
          <w:noProof/>
        </w:rPr>
        <w:t xml:space="preserve">. Hybrid Compensatory-Noncompensatory Choice Sets in Semicompensatory Models. </w:t>
      </w:r>
      <w:r w:rsidR="00FE541B" w:rsidRPr="00E6307F">
        <w:rPr>
          <w:i/>
          <w:noProof/>
        </w:rPr>
        <w:t>Transportation Research Record: Journal of the Transportation Research Board</w:t>
      </w:r>
      <w:r w:rsidR="00FE541B" w:rsidRPr="00E6307F">
        <w:rPr>
          <w:noProof/>
        </w:rPr>
        <w:t xml:space="preserve">, 2322, 10-19. </w:t>
      </w:r>
    </w:p>
    <w:p w14:paraId="5CEC9AA6" w14:textId="59ACC434" w:rsidR="00FE541B" w:rsidRPr="00E6307F" w:rsidRDefault="00325EED" w:rsidP="00C008AD">
      <w:pPr>
        <w:spacing w:line="240" w:lineRule="auto"/>
        <w:ind w:left="360" w:hanging="360"/>
        <w:jc w:val="both"/>
        <w:rPr>
          <w:noProof/>
        </w:rPr>
      </w:pPr>
      <w:r>
        <w:rPr>
          <w:noProof/>
        </w:rPr>
        <w:t xml:space="preserve">Kaplan, S., Shiftan, Y., </w:t>
      </w:r>
      <w:r w:rsidR="00FE541B" w:rsidRPr="00E6307F">
        <w:rPr>
          <w:noProof/>
        </w:rPr>
        <w:t>Bek</w:t>
      </w:r>
      <w:r>
        <w:rPr>
          <w:noProof/>
        </w:rPr>
        <w:t xml:space="preserve">hor, S., </w:t>
      </w:r>
      <w:r w:rsidR="00FE541B" w:rsidRPr="00E6307F">
        <w:rPr>
          <w:noProof/>
        </w:rPr>
        <w:t>2012</w:t>
      </w:r>
      <w:r w:rsidR="003730F0" w:rsidRPr="00E6307F">
        <w:rPr>
          <w:noProof/>
        </w:rPr>
        <w:t>b</w:t>
      </w:r>
      <w:r w:rsidR="00FE541B" w:rsidRPr="00E6307F">
        <w:rPr>
          <w:noProof/>
        </w:rPr>
        <w:t xml:space="preserve">. Development and estimation of a semi-compensatory model with a flexible error structure. </w:t>
      </w:r>
      <w:r w:rsidR="007A5CF0" w:rsidRPr="00E6307F">
        <w:rPr>
          <w:i/>
          <w:noProof/>
        </w:rPr>
        <w:t>Transportation Research Part B</w:t>
      </w:r>
      <w:r w:rsidR="00FE541B" w:rsidRPr="00E6307F">
        <w:rPr>
          <w:noProof/>
        </w:rPr>
        <w:t xml:space="preserve">, 46(2), 291-304. </w:t>
      </w:r>
    </w:p>
    <w:p w14:paraId="7BF5C624" w14:textId="6154080B" w:rsidR="00FE541B" w:rsidRPr="00E6307F" w:rsidRDefault="00325EED" w:rsidP="00C008AD">
      <w:pPr>
        <w:spacing w:line="240" w:lineRule="auto"/>
        <w:ind w:left="360" w:hanging="360"/>
        <w:jc w:val="both"/>
        <w:rPr>
          <w:noProof/>
        </w:rPr>
      </w:pPr>
      <w:r>
        <w:rPr>
          <w:noProof/>
        </w:rPr>
        <w:t xml:space="preserve">Kastanakis, M.N., </w:t>
      </w:r>
      <w:r w:rsidR="00FE541B" w:rsidRPr="00E6307F">
        <w:rPr>
          <w:noProof/>
        </w:rPr>
        <w:t>Balabanis, G.,</w:t>
      </w:r>
      <w:r>
        <w:rPr>
          <w:noProof/>
        </w:rPr>
        <w:t xml:space="preserve"> 2014</w:t>
      </w:r>
      <w:r w:rsidR="00FE541B" w:rsidRPr="00E6307F">
        <w:rPr>
          <w:noProof/>
        </w:rPr>
        <w:t xml:space="preserve">. Explaining variation in conspicuous luxury consumption: An individual differences' perspective. </w:t>
      </w:r>
      <w:r w:rsidR="00FE541B" w:rsidRPr="00E6307F">
        <w:rPr>
          <w:i/>
          <w:noProof/>
        </w:rPr>
        <w:t>Journal of Business Research</w:t>
      </w:r>
      <w:r w:rsidR="00FE541B" w:rsidRPr="00E6307F">
        <w:rPr>
          <w:noProof/>
        </w:rPr>
        <w:t>.</w:t>
      </w:r>
    </w:p>
    <w:p w14:paraId="1EBF4C3D" w14:textId="5067591C" w:rsidR="00FE541B" w:rsidRPr="00E6307F" w:rsidRDefault="00FE541B" w:rsidP="00C008AD">
      <w:pPr>
        <w:spacing w:line="240" w:lineRule="auto"/>
        <w:ind w:left="360" w:hanging="360"/>
        <w:jc w:val="both"/>
        <w:rPr>
          <w:noProof/>
        </w:rPr>
      </w:pPr>
      <w:r w:rsidRPr="00E6307F">
        <w:rPr>
          <w:noProof/>
        </w:rPr>
        <w:t>Kortum,</w:t>
      </w:r>
      <w:r w:rsidR="00325EED">
        <w:rPr>
          <w:noProof/>
        </w:rPr>
        <w:t xml:space="preserve"> K., Paleti, R., Bhat, C.R., Pendyala, R.M., 2012</w:t>
      </w:r>
      <w:r w:rsidRPr="00E6307F">
        <w:rPr>
          <w:noProof/>
        </w:rPr>
        <w:t xml:space="preserve">. Joint </w:t>
      </w:r>
      <w:r w:rsidR="005263F3" w:rsidRPr="00E6307F">
        <w:rPr>
          <w:noProof/>
        </w:rPr>
        <w:t>m</w:t>
      </w:r>
      <w:r w:rsidRPr="00E6307F">
        <w:rPr>
          <w:noProof/>
        </w:rPr>
        <w:t xml:space="preserve">odel of </w:t>
      </w:r>
      <w:r w:rsidR="005263F3" w:rsidRPr="00E6307F">
        <w:rPr>
          <w:noProof/>
        </w:rPr>
        <w:t>r</w:t>
      </w:r>
      <w:r w:rsidRPr="00E6307F">
        <w:rPr>
          <w:noProof/>
        </w:rPr>
        <w:t xml:space="preserve">esidential </w:t>
      </w:r>
      <w:r w:rsidR="005263F3" w:rsidRPr="00E6307F">
        <w:rPr>
          <w:noProof/>
        </w:rPr>
        <w:t>r</w:t>
      </w:r>
      <w:r w:rsidRPr="00E6307F">
        <w:rPr>
          <w:noProof/>
        </w:rPr>
        <w:t xml:space="preserve">elocation </w:t>
      </w:r>
      <w:r w:rsidR="005263F3" w:rsidRPr="00E6307F">
        <w:rPr>
          <w:noProof/>
        </w:rPr>
        <w:t>c</w:t>
      </w:r>
      <w:r w:rsidRPr="00E6307F">
        <w:rPr>
          <w:noProof/>
        </w:rPr>
        <w:t xml:space="preserve">hoice and </w:t>
      </w:r>
      <w:r w:rsidR="005263F3" w:rsidRPr="00E6307F">
        <w:rPr>
          <w:noProof/>
        </w:rPr>
        <w:t>u</w:t>
      </w:r>
      <w:r w:rsidRPr="00E6307F">
        <w:rPr>
          <w:noProof/>
        </w:rPr>
        <w:t xml:space="preserve">nderlying </w:t>
      </w:r>
      <w:r w:rsidR="005263F3" w:rsidRPr="00E6307F">
        <w:rPr>
          <w:noProof/>
        </w:rPr>
        <w:t>c</w:t>
      </w:r>
      <w:r w:rsidRPr="00E6307F">
        <w:rPr>
          <w:noProof/>
        </w:rPr>
        <w:t xml:space="preserve">ausal </w:t>
      </w:r>
      <w:r w:rsidR="005263F3" w:rsidRPr="00E6307F">
        <w:rPr>
          <w:noProof/>
        </w:rPr>
        <w:t>f</w:t>
      </w:r>
      <w:r w:rsidRPr="00E6307F">
        <w:rPr>
          <w:noProof/>
        </w:rPr>
        <w:t xml:space="preserve">actors. </w:t>
      </w:r>
      <w:r w:rsidRPr="00E6307F">
        <w:rPr>
          <w:i/>
          <w:noProof/>
        </w:rPr>
        <w:t>Transportation Research Record: Journal of the Transportation Research Board</w:t>
      </w:r>
      <w:r w:rsidR="007A5CF0" w:rsidRPr="00E6307F">
        <w:rPr>
          <w:noProof/>
        </w:rPr>
        <w:t>, 2303</w:t>
      </w:r>
      <w:r w:rsidRPr="00E6307F">
        <w:rPr>
          <w:noProof/>
        </w:rPr>
        <w:t>, 28-37.</w:t>
      </w:r>
    </w:p>
    <w:p w14:paraId="4769168E" w14:textId="24E518C6" w:rsidR="00FE541B" w:rsidRPr="00E6307F" w:rsidRDefault="00325EED" w:rsidP="00C008AD">
      <w:pPr>
        <w:spacing w:line="240" w:lineRule="auto"/>
        <w:ind w:left="360" w:hanging="360"/>
        <w:jc w:val="both"/>
        <w:rPr>
          <w:noProof/>
        </w:rPr>
      </w:pPr>
      <w:r>
        <w:rPr>
          <w:noProof/>
        </w:rPr>
        <w:t>Kunzmann, K.R., 2009</w:t>
      </w:r>
      <w:r w:rsidR="00FE541B" w:rsidRPr="00E6307F">
        <w:rPr>
          <w:noProof/>
        </w:rPr>
        <w:t xml:space="preserve">. The strategic dimensions of knowledge industries in urban development. DISP – </w:t>
      </w:r>
      <w:r w:rsidR="00FE541B" w:rsidRPr="00E6307F">
        <w:rPr>
          <w:i/>
          <w:noProof/>
        </w:rPr>
        <w:t>The Planning Review</w:t>
      </w:r>
      <w:r w:rsidR="00FE541B" w:rsidRPr="00E6307F">
        <w:rPr>
          <w:noProof/>
        </w:rPr>
        <w:t>, 177 (2), 40-47.</w:t>
      </w:r>
    </w:p>
    <w:p w14:paraId="16468000" w14:textId="20FD8D12" w:rsidR="00FE541B" w:rsidRPr="00E6307F" w:rsidRDefault="00325EED" w:rsidP="00C008AD">
      <w:pPr>
        <w:spacing w:line="240" w:lineRule="auto"/>
        <w:ind w:left="360" w:hanging="360"/>
        <w:jc w:val="both"/>
        <w:rPr>
          <w:noProof/>
        </w:rPr>
      </w:pPr>
      <w:r>
        <w:rPr>
          <w:noProof/>
        </w:rPr>
        <w:lastRenderedPageBreak/>
        <w:t>Lee, L.F., Trost, R.</w:t>
      </w:r>
      <w:r w:rsidR="00FE541B" w:rsidRPr="00E6307F">
        <w:rPr>
          <w:noProof/>
        </w:rPr>
        <w:t>P.</w:t>
      </w:r>
      <w:r>
        <w:rPr>
          <w:noProof/>
        </w:rPr>
        <w:t>, 1978</w:t>
      </w:r>
      <w:r w:rsidR="00FE541B" w:rsidRPr="00E6307F">
        <w:rPr>
          <w:noProof/>
        </w:rPr>
        <w:t>. Estimation of some limited dependent variable models with application to housing demand. </w:t>
      </w:r>
      <w:r w:rsidR="00FE541B" w:rsidRPr="00E6307F">
        <w:rPr>
          <w:i/>
          <w:noProof/>
        </w:rPr>
        <w:t>Journal of Econometrics</w:t>
      </w:r>
      <w:r w:rsidR="00FE541B" w:rsidRPr="00E6307F">
        <w:rPr>
          <w:noProof/>
        </w:rPr>
        <w:t>, 8(3), 357-382.</w:t>
      </w:r>
    </w:p>
    <w:p w14:paraId="29A934D3" w14:textId="0B91FF36" w:rsidR="00FE541B" w:rsidRPr="00E6307F" w:rsidRDefault="00325EED" w:rsidP="00C008AD">
      <w:pPr>
        <w:spacing w:line="240" w:lineRule="auto"/>
        <w:ind w:left="360" w:hanging="360"/>
        <w:jc w:val="both"/>
        <w:rPr>
          <w:noProof/>
        </w:rPr>
      </w:pPr>
      <w:r>
        <w:rPr>
          <w:noProof/>
        </w:rPr>
        <w:t>Lee, B.H., Waddell, P., 2010</w:t>
      </w:r>
      <w:r w:rsidR="00FE541B" w:rsidRPr="00E6307F">
        <w:rPr>
          <w:noProof/>
        </w:rPr>
        <w:t xml:space="preserve">. Residential mobility and location choice: a nested logit model with sampling of alternatives. </w:t>
      </w:r>
      <w:r w:rsidR="00FE541B" w:rsidRPr="00E6307F">
        <w:rPr>
          <w:i/>
          <w:noProof/>
        </w:rPr>
        <w:t>Transportation</w:t>
      </w:r>
      <w:r w:rsidR="00FE541B" w:rsidRPr="00E6307F">
        <w:rPr>
          <w:noProof/>
        </w:rPr>
        <w:t xml:space="preserve">, 37(4), 587-601. </w:t>
      </w:r>
    </w:p>
    <w:p w14:paraId="5B5C5EAA" w14:textId="21B46CBA" w:rsidR="00FE541B" w:rsidRPr="00E6307F" w:rsidRDefault="00FE541B" w:rsidP="00C008AD">
      <w:pPr>
        <w:spacing w:line="240" w:lineRule="auto"/>
        <w:ind w:left="360" w:hanging="360"/>
        <w:jc w:val="both"/>
        <w:rPr>
          <w:noProof/>
        </w:rPr>
      </w:pPr>
      <w:r w:rsidRPr="00E6307F">
        <w:rPr>
          <w:noProof/>
        </w:rPr>
        <w:t xml:space="preserve">Lee, </w:t>
      </w:r>
      <w:r w:rsidR="00325EED">
        <w:rPr>
          <w:noProof/>
        </w:rPr>
        <w:t>B.H., Waddell, P., Wang, L., Pendyala, R.M., 2010</w:t>
      </w:r>
      <w:r w:rsidRPr="00E6307F">
        <w:rPr>
          <w:noProof/>
        </w:rPr>
        <w:t xml:space="preserve">. Reexamining the influence of work and nonwork accessibility on residential location choices with a microanalytic framework. </w:t>
      </w:r>
      <w:r w:rsidR="007A5CF0" w:rsidRPr="00E6307F">
        <w:rPr>
          <w:i/>
          <w:noProof/>
        </w:rPr>
        <w:t>Environment and Planning</w:t>
      </w:r>
      <w:r w:rsidRPr="00E6307F">
        <w:rPr>
          <w:i/>
          <w:noProof/>
        </w:rPr>
        <w:t xml:space="preserve"> A</w:t>
      </w:r>
      <w:r w:rsidRPr="00E6307F">
        <w:rPr>
          <w:noProof/>
        </w:rPr>
        <w:t xml:space="preserve">, 42(4), 913. </w:t>
      </w:r>
    </w:p>
    <w:p w14:paraId="3EEAF4BB" w14:textId="012AA217" w:rsidR="00FE541B" w:rsidRPr="00E6307F" w:rsidRDefault="00325EED" w:rsidP="00C008AD">
      <w:pPr>
        <w:spacing w:line="240" w:lineRule="auto"/>
        <w:ind w:left="360" w:hanging="360"/>
        <w:jc w:val="both"/>
        <w:rPr>
          <w:noProof/>
        </w:rPr>
      </w:pPr>
      <w:r>
        <w:rPr>
          <w:noProof/>
        </w:rPr>
        <w:t>Lerman, S.R., 1976</w:t>
      </w:r>
      <w:r w:rsidR="00FE541B" w:rsidRPr="00E6307F">
        <w:rPr>
          <w:noProof/>
        </w:rPr>
        <w:t xml:space="preserve">. Location, housing, automobile ownership, and mode to work: a joint choice model. </w:t>
      </w:r>
      <w:r w:rsidR="00FE541B" w:rsidRPr="00E6307F">
        <w:rPr>
          <w:i/>
          <w:noProof/>
        </w:rPr>
        <w:t>Transportation Research Record</w:t>
      </w:r>
      <w:r w:rsidR="00B35EC8" w:rsidRPr="00E6307F">
        <w:rPr>
          <w:i/>
          <w:noProof/>
        </w:rPr>
        <w:t xml:space="preserve"> </w:t>
      </w:r>
      <w:r w:rsidR="00FE541B" w:rsidRPr="00E6307F">
        <w:rPr>
          <w:noProof/>
        </w:rPr>
        <w:t xml:space="preserve">(610). </w:t>
      </w:r>
    </w:p>
    <w:p w14:paraId="56BB7E27" w14:textId="65E008DB" w:rsidR="00FE541B" w:rsidRPr="00E6307F" w:rsidRDefault="00FE541B" w:rsidP="00C008AD">
      <w:pPr>
        <w:spacing w:line="240" w:lineRule="auto"/>
        <w:ind w:left="360" w:hanging="360"/>
        <w:jc w:val="both"/>
        <w:rPr>
          <w:noProof/>
        </w:rPr>
      </w:pPr>
      <w:r w:rsidRPr="00E6307F">
        <w:rPr>
          <w:noProof/>
        </w:rPr>
        <w:t>Ler</w:t>
      </w:r>
      <w:r w:rsidR="00325EED">
        <w:rPr>
          <w:noProof/>
        </w:rPr>
        <w:t>man, S.R., 1977.</w:t>
      </w:r>
      <w:r w:rsidRPr="00E6307F">
        <w:rPr>
          <w:noProof/>
        </w:rPr>
        <w:t xml:space="preserve"> Location, housing, automobile, ownership and mode to work: a joint choice model. </w:t>
      </w:r>
      <w:r w:rsidRPr="00E6307F">
        <w:rPr>
          <w:i/>
          <w:noProof/>
        </w:rPr>
        <w:t>Transportation Research A</w:t>
      </w:r>
      <w:r w:rsidRPr="00E6307F">
        <w:rPr>
          <w:noProof/>
        </w:rPr>
        <w:t>, 13, 1-19</w:t>
      </w:r>
    </w:p>
    <w:p w14:paraId="71E37E4C" w14:textId="4B14ED06" w:rsidR="00FE541B" w:rsidRPr="00E6307F" w:rsidRDefault="00325EED" w:rsidP="00C008AD">
      <w:pPr>
        <w:spacing w:line="240" w:lineRule="auto"/>
        <w:ind w:left="360" w:hanging="360"/>
        <w:jc w:val="both"/>
        <w:rPr>
          <w:noProof/>
        </w:rPr>
      </w:pPr>
      <w:r>
        <w:rPr>
          <w:noProof/>
        </w:rPr>
        <w:t>Li, M.M., 1977</w:t>
      </w:r>
      <w:r w:rsidR="00FE541B" w:rsidRPr="00E6307F">
        <w:rPr>
          <w:noProof/>
        </w:rPr>
        <w:t>. A logit model of homeownership. </w:t>
      </w:r>
      <w:r w:rsidR="00FE541B" w:rsidRPr="00E6307F">
        <w:rPr>
          <w:i/>
          <w:noProof/>
        </w:rPr>
        <w:t>Econometrica: Journal of the Econometric Society</w:t>
      </w:r>
      <w:r w:rsidR="00FE541B" w:rsidRPr="00E6307F">
        <w:rPr>
          <w:noProof/>
        </w:rPr>
        <w:t>, 45(5), 1081-1097.</w:t>
      </w:r>
    </w:p>
    <w:p w14:paraId="3F712B89" w14:textId="51295988" w:rsidR="00FE541B" w:rsidRPr="00E6307F" w:rsidRDefault="00FE541B" w:rsidP="00C008AD">
      <w:pPr>
        <w:spacing w:line="240" w:lineRule="auto"/>
        <w:ind w:left="360" w:hanging="360"/>
        <w:jc w:val="both"/>
        <w:rPr>
          <w:noProof/>
        </w:rPr>
      </w:pPr>
      <w:r w:rsidRPr="00E6307F">
        <w:rPr>
          <w:noProof/>
        </w:rPr>
        <w:t>Lit</w:t>
      </w:r>
      <w:r w:rsidR="00325EED">
        <w:rPr>
          <w:noProof/>
        </w:rPr>
        <w:t>man, T., 2009</w:t>
      </w:r>
      <w:r w:rsidRPr="00E6307F">
        <w:rPr>
          <w:noProof/>
        </w:rPr>
        <w:t>. Where we want to be. Home location preferences and their implications for smart growth. Victoria Transport Policy Institute, Victoria, BC, 1-40.</w:t>
      </w:r>
    </w:p>
    <w:p w14:paraId="739FFF68" w14:textId="79DF942C" w:rsidR="00FE541B" w:rsidRPr="00E6307F" w:rsidRDefault="00E513FF" w:rsidP="00C008AD">
      <w:pPr>
        <w:spacing w:line="240" w:lineRule="auto"/>
        <w:ind w:left="360" w:hanging="360"/>
        <w:jc w:val="both"/>
        <w:rPr>
          <w:noProof/>
        </w:rPr>
      </w:pPr>
      <w:r>
        <w:rPr>
          <w:noProof/>
        </w:rPr>
        <w:t xml:space="preserve">Liu, X., Vedlitz, A., </w:t>
      </w:r>
      <w:r w:rsidR="00194EB5">
        <w:rPr>
          <w:noProof/>
        </w:rPr>
        <w:t>Shi, L., 2014</w:t>
      </w:r>
      <w:r w:rsidR="00FE541B" w:rsidRPr="00E6307F">
        <w:rPr>
          <w:noProof/>
        </w:rPr>
        <w:t xml:space="preserve">. Examining the determinants of public environmental concern: Evidence from national public surveys. </w:t>
      </w:r>
      <w:r w:rsidR="00FE541B" w:rsidRPr="00E6307F">
        <w:rPr>
          <w:i/>
          <w:noProof/>
        </w:rPr>
        <w:t>Environmental Science &amp; Policy</w:t>
      </w:r>
      <w:r w:rsidR="00FE541B" w:rsidRPr="00E6307F">
        <w:rPr>
          <w:noProof/>
        </w:rPr>
        <w:t>, 39, 77-94.</w:t>
      </w:r>
    </w:p>
    <w:p w14:paraId="5C163469" w14:textId="4C8EE6B2" w:rsidR="00FE541B" w:rsidRPr="00E6307F" w:rsidRDefault="00E513FF" w:rsidP="00C008AD">
      <w:pPr>
        <w:spacing w:line="240" w:lineRule="auto"/>
        <w:ind w:left="360" w:hanging="360"/>
        <w:jc w:val="both"/>
        <w:rPr>
          <w:noProof/>
        </w:rPr>
      </w:pPr>
      <w:r>
        <w:rPr>
          <w:noProof/>
        </w:rPr>
        <w:t>Logan, J.</w:t>
      </w:r>
      <w:r w:rsidR="00194EB5">
        <w:rPr>
          <w:noProof/>
        </w:rPr>
        <w:t>R., 2011</w:t>
      </w:r>
      <w:r w:rsidR="00FE541B" w:rsidRPr="00E6307F">
        <w:rPr>
          <w:noProof/>
        </w:rPr>
        <w:t xml:space="preserve">. Separate and unequal: The neighborhood gap for </w:t>
      </w:r>
      <w:r w:rsidR="00194EB5">
        <w:rPr>
          <w:noProof/>
        </w:rPr>
        <w:t>b</w:t>
      </w:r>
      <w:r w:rsidR="00FE541B" w:rsidRPr="00E6307F">
        <w:rPr>
          <w:noProof/>
        </w:rPr>
        <w:t xml:space="preserve">lacks, </w:t>
      </w:r>
      <w:r w:rsidR="00194EB5">
        <w:rPr>
          <w:noProof/>
        </w:rPr>
        <w:t>h</w:t>
      </w:r>
      <w:r w:rsidR="00FE541B" w:rsidRPr="00E6307F">
        <w:rPr>
          <w:noProof/>
        </w:rPr>
        <w:t xml:space="preserve">ispanics and </w:t>
      </w:r>
      <w:r w:rsidR="00194EB5">
        <w:rPr>
          <w:noProof/>
        </w:rPr>
        <w:t>a</w:t>
      </w:r>
      <w:r w:rsidR="00FE541B" w:rsidRPr="00E6307F">
        <w:rPr>
          <w:noProof/>
        </w:rPr>
        <w:t xml:space="preserve">sians in </w:t>
      </w:r>
      <w:r w:rsidR="00194EB5">
        <w:rPr>
          <w:noProof/>
        </w:rPr>
        <w:t>m</w:t>
      </w:r>
      <w:r w:rsidR="00FE541B" w:rsidRPr="00E6307F">
        <w:rPr>
          <w:noProof/>
        </w:rPr>
        <w:t>etropolitan America. Project US2010 Report, 1-22.</w:t>
      </w:r>
    </w:p>
    <w:p w14:paraId="5A32EFEF" w14:textId="781FC1E7" w:rsidR="00FE541B" w:rsidRPr="00E6307F" w:rsidRDefault="002026DF" w:rsidP="00C008AD">
      <w:pPr>
        <w:spacing w:line="240" w:lineRule="auto"/>
        <w:ind w:left="360" w:hanging="360"/>
        <w:jc w:val="both"/>
        <w:rPr>
          <w:noProof/>
        </w:rPr>
      </w:pPr>
      <w:r>
        <w:rPr>
          <w:noProof/>
        </w:rPr>
        <w:t>Lowr</w:t>
      </w:r>
      <w:r w:rsidR="00E513FF">
        <w:rPr>
          <w:noProof/>
        </w:rPr>
        <w:t>y, I.</w:t>
      </w:r>
      <w:r w:rsidR="00194EB5">
        <w:rPr>
          <w:noProof/>
        </w:rPr>
        <w:t>S., 1964</w:t>
      </w:r>
      <w:r w:rsidR="00FE541B" w:rsidRPr="00E6307F">
        <w:rPr>
          <w:noProof/>
        </w:rPr>
        <w:t xml:space="preserve">. A </w:t>
      </w:r>
      <w:r w:rsidR="00194EB5">
        <w:rPr>
          <w:noProof/>
        </w:rPr>
        <w:t>m</w:t>
      </w:r>
      <w:r w:rsidR="00FE541B" w:rsidRPr="00E6307F">
        <w:rPr>
          <w:noProof/>
        </w:rPr>
        <w:t xml:space="preserve">odel of </w:t>
      </w:r>
      <w:r w:rsidR="00194EB5">
        <w:rPr>
          <w:noProof/>
        </w:rPr>
        <w:t>m</w:t>
      </w:r>
      <w:r w:rsidR="00FE541B" w:rsidRPr="00E6307F">
        <w:rPr>
          <w:noProof/>
        </w:rPr>
        <w:t>etropolis</w:t>
      </w:r>
      <w:r w:rsidR="00194EB5">
        <w:rPr>
          <w:noProof/>
        </w:rPr>
        <w:t>. Memorandum RM-4035-RC,</w:t>
      </w:r>
      <w:r w:rsidR="00FE541B" w:rsidRPr="00E6307F">
        <w:rPr>
          <w:noProof/>
        </w:rPr>
        <w:t xml:space="preserve"> Rand Corporation, Santa Monica, CA. </w:t>
      </w:r>
    </w:p>
    <w:p w14:paraId="5D8917CF" w14:textId="6053C99B" w:rsidR="003730F0" w:rsidRPr="00E6307F" w:rsidRDefault="00194EB5" w:rsidP="00C008AD">
      <w:pPr>
        <w:spacing w:line="240" w:lineRule="auto"/>
        <w:ind w:left="360" w:hanging="360"/>
        <w:jc w:val="both"/>
        <w:rPr>
          <w:noProof/>
        </w:rPr>
      </w:pPr>
      <w:r>
        <w:rPr>
          <w:noProof/>
        </w:rPr>
        <w:t>Maddala, G., 1983</w:t>
      </w:r>
      <w:r w:rsidR="003730F0" w:rsidRPr="00E6307F">
        <w:rPr>
          <w:noProof/>
        </w:rPr>
        <w:t xml:space="preserve">. </w:t>
      </w:r>
      <w:r w:rsidR="003730F0" w:rsidRPr="00E6307F">
        <w:rPr>
          <w:i/>
          <w:iCs/>
        </w:rPr>
        <w:t>Limited-Dependent and Qualitative Variables in Econometrics</w:t>
      </w:r>
      <w:r w:rsidR="003730F0" w:rsidRPr="00E6307F">
        <w:t>, Cambridge University Press, Cambridge, UK</w:t>
      </w:r>
      <w:r w:rsidR="003730F0" w:rsidRPr="00E6307F">
        <w:rPr>
          <w:noProof/>
        </w:rPr>
        <w:t>.</w:t>
      </w:r>
    </w:p>
    <w:p w14:paraId="73F383BE" w14:textId="5710F394" w:rsidR="00FE541B" w:rsidRPr="00E6307F" w:rsidRDefault="00E513FF" w:rsidP="00C008AD">
      <w:pPr>
        <w:spacing w:line="240" w:lineRule="auto"/>
        <w:ind w:left="360" w:hanging="360"/>
        <w:jc w:val="both"/>
        <w:rPr>
          <w:noProof/>
        </w:rPr>
      </w:pPr>
      <w:r>
        <w:rPr>
          <w:noProof/>
        </w:rPr>
        <w:t>Manrai, A.</w:t>
      </w:r>
      <w:r w:rsidR="00FE541B" w:rsidRPr="00E6307F">
        <w:rPr>
          <w:noProof/>
        </w:rPr>
        <w:t>K</w:t>
      </w:r>
      <w:r>
        <w:rPr>
          <w:noProof/>
        </w:rPr>
        <w:t>., Andrews, R.</w:t>
      </w:r>
      <w:r w:rsidR="00194EB5">
        <w:rPr>
          <w:noProof/>
        </w:rPr>
        <w:t>L., 1998</w:t>
      </w:r>
      <w:r w:rsidR="00FE541B" w:rsidRPr="00E6307F">
        <w:rPr>
          <w:noProof/>
        </w:rPr>
        <w:t xml:space="preserve">. Two-stage discrete choice models for scanner panel data: An assessment of process and assumptions. </w:t>
      </w:r>
      <w:r w:rsidR="00FE541B" w:rsidRPr="00E6307F">
        <w:rPr>
          <w:i/>
          <w:noProof/>
        </w:rPr>
        <w:t>European Journal of Operational Research</w:t>
      </w:r>
      <w:r w:rsidR="00FE541B" w:rsidRPr="00E6307F">
        <w:rPr>
          <w:noProof/>
        </w:rPr>
        <w:t xml:space="preserve">, 111(2), 193-215. </w:t>
      </w:r>
    </w:p>
    <w:p w14:paraId="60121552" w14:textId="2537895F" w:rsidR="00FE541B" w:rsidRPr="00E6307F" w:rsidRDefault="00E513FF" w:rsidP="00C008AD">
      <w:pPr>
        <w:spacing w:line="240" w:lineRule="auto"/>
        <w:ind w:left="360" w:hanging="360"/>
        <w:jc w:val="both"/>
        <w:rPr>
          <w:noProof/>
        </w:rPr>
      </w:pPr>
      <w:r>
        <w:rPr>
          <w:noProof/>
        </w:rPr>
        <w:t>Manski, C.</w:t>
      </w:r>
      <w:r w:rsidR="00194EB5">
        <w:rPr>
          <w:noProof/>
        </w:rPr>
        <w:t>F., 1977</w:t>
      </w:r>
      <w:r w:rsidR="00FE541B" w:rsidRPr="00E6307F">
        <w:rPr>
          <w:noProof/>
        </w:rPr>
        <w:t xml:space="preserve">. The structure of random utility models. </w:t>
      </w:r>
      <w:r w:rsidR="007A5CF0" w:rsidRPr="00E6307F">
        <w:rPr>
          <w:i/>
          <w:noProof/>
        </w:rPr>
        <w:t>Theory and D</w:t>
      </w:r>
      <w:r w:rsidR="00FE541B" w:rsidRPr="00E6307F">
        <w:rPr>
          <w:i/>
          <w:noProof/>
        </w:rPr>
        <w:t>ecision</w:t>
      </w:r>
      <w:r w:rsidR="00FE541B" w:rsidRPr="00E6307F">
        <w:rPr>
          <w:noProof/>
        </w:rPr>
        <w:t xml:space="preserve">, 8(3), 229-254. </w:t>
      </w:r>
    </w:p>
    <w:p w14:paraId="30C8CA06" w14:textId="5EC635FF" w:rsidR="00FE541B" w:rsidRDefault="00E513FF" w:rsidP="00C008AD">
      <w:pPr>
        <w:spacing w:line="240" w:lineRule="auto"/>
        <w:ind w:left="360" w:hanging="360"/>
        <w:jc w:val="both"/>
        <w:rPr>
          <w:noProof/>
        </w:rPr>
      </w:pPr>
      <w:r>
        <w:rPr>
          <w:noProof/>
        </w:rPr>
        <w:t>Martínez, F.</w:t>
      </w:r>
      <w:r w:rsidR="00194EB5">
        <w:rPr>
          <w:noProof/>
        </w:rPr>
        <w:t>J., 2008</w:t>
      </w:r>
      <w:r w:rsidR="00FE541B" w:rsidRPr="00E6307F">
        <w:rPr>
          <w:noProof/>
        </w:rPr>
        <w:t xml:space="preserve">. Towards a </w:t>
      </w:r>
      <w:r w:rsidR="00194EB5">
        <w:rPr>
          <w:noProof/>
        </w:rPr>
        <w:t>l</w:t>
      </w:r>
      <w:r w:rsidR="00FE541B" w:rsidRPr="00E6307F">
        <w:rPr>
          <w:noProof/>
        </w:rPr>
        <w:t xml:space="preserve">and-use and </w:t>
      </w:r>
      <w:r w:rsidR="00194EB5">
        <w:rPr>
          <w:noProof/>
        </w:rPr>
        <w:t>t</w:t>
      </w:r>
      <w:r w:rsidR="00FE541B" w:rsidRPr="00E6307F">
        <w:rPr>
          <w:noProof/>
        </w:rPr>
        <w:t xml:space="preserve">ransport </w:t>
      </w:r>
      <w:r w:rsidR="00194EB5">
        <w:rPr>
          <w:noProof/>
        </w:rPr>
        <w:t>i</w:t>
      </w:r>
      <w:r w:rsidR="00FE541B" w:rsidRPr="00E6307F">
        <w:rPr>
          <w:noProof/>
        </w:rPr>
        <w:t xml:space="preserve">nteraction </w:t>
      </w:r>
      <w:r w:rsidR="00194EB5">
        <w:rPr>
          <w:noProof/>
        </w:rPr>
        <w:t>f</w:t>
      </w:r>
      <w:r w:rsidR="00FE541B" w:rsidRPr="00E6307F">
        <w:rPr>
          <w:noProof/>
        </w:rPr>
        <w:t xml:space="preserve">ramework. </w:t>
      </w:r>
      <w:r w:rsidR="00FE541B" w:rsidRPr="00E6307F">
        <w:rPr>
          <w:i/>
          <w:noProof/>
        </w:rPr>
        <w:t>Handbook of Transport. Modelling</w:t>
      </w:r>
      <w:r w:rsidR="00FE541B" w:rsidRPr="00E6307F">
        <w:rPr>
          <w:noProof/>
        </w:rPr>
        <w:t xml:space="preserve">, </w:t>
      </w:r>
      <w:r w:rsidR="005263F3" w:rsidRPr="00E6307F">
        <w:rPr>
          <w:noProof/>
        </w:rPr>
        <w:t>2</w:t>
      </w:r>
      <w:r w:rsidR="005263F3" w:rsidRPr="00E6307F">
        <w:rPr>
          <w:noProof/>
          <w:vertAlign w:val="superscript"/>
        </w:rPr>
        <w:t>nd</w:t>
      </w:r>
      <w:r w:rsidR="005263F3" w:rsidRPr="00E6307F">
        <w:rPr>
          <w:noProof/>
        </w:rPr>
        <w:t xml:space="preserve"> edition</w:t>
      </w:r>
      <w:r w:rsidR="00FE541B" w:rsidRPr="00E6307F">
        <w:rPr>
          <w:noProof/>
        </w:rPr>
        <w:t xml:space="preserve">, Elsevier, Amsterdam. </w:t>
      </w:r>
    </w:p>
    <w:p w14:paraId="2EA67B83" w14:textId="0101691C" w:rsidR="008E0FB6" w:rsidRPr="008E0FB6" w:rsidRDefault="008E0FB6" w:rsidP="008E0FB6">
      <w:pPr>
        <w:autoSpaceDE w:val="0"/>
        <w:autoSpaceDN w:val="0"/>
        <w:adjustRightInd w:val="0"/>
        <w:spacing w:line="240" w:lineRule="auto"/>
        <w:ind w:left="360" w:hanging="360"/>
        <w:rPr>
          <w:rFonts w:eastAsiaTheme="minorHAnsi"/>
        </w:rPr>
      </w:pPr>
      <w:r>
        <w:rPr>
          <w:rFonts w:eastAsiaTheme="minorHAnsi"/>
        </w:rPr>
        <w:t xml:space="preserve">Martinez, F.J., Aguila, F., and Hurtubia, R., 2009. The constrained multinomial logit model: a semi-compensatory choice model. </w:t>
      </w:r>
      <w:r>
        <w:rPr>
          <w:rFonts w:eastAsiaTheme="minorHAnsi"/>
          <w:i/>
          <w:iCs/>
        </w:rPr>
        <w:t>Transportation Research Part B</w:t>
      </w:r>
      <w:r>
        <w:rPr>
          <w:rFonts w:eastAsiaTheme="minorHAnsi"/>
        </w:rPr>
        <w:t>, 43, 365–377.</w:t>
      </w:r>
    </w:p>
    <w:p w14:paraId="21FB1CDA" w14:textId="2DF12E58" w:rsidR="00FE541B" w:rsidRPr="00E6307F" w:rsidRDefault="00E513FF" w:rsidP="00C008AD">
      <w:pPr>
        <w:spacing w:line="240" w:lineRule="auto"/>
        <w:ind w:left="360" w:hanging="360"/>
        <w:jc w:val="both"/>
        <w:rPr>
          <w:noProof/>
        </w:rPr>
      </w:pPr>
      <w:r>
        <w:rPr>
          <w:noProof/>
        </w:rPr>
        <w:t>Madden, J.</w:t>
      </w:r>
      <w:r w:rsidR="00194EB5">
        <w:rPr>
          <w:noProof/>
        </w:rPr>
        <w:t xml:space="preserve">F., 1985. Urban wage gradients: </w:t>
      </w:r>
      <w:r w:rsidR="00FE541B" w:rsidRPr="00E6307F">
        <w:rPr>
          <w:noProof/>
        </w:rPr>
        <w:t>Empirical evidence. </w:t>
      </w:r>
      <w:r w:rsidR="00FE541B" w:rsidRPr="00E6307F">
        <w:rPr>
          <w:i/>
          <w:noProof/>
        </w:rPr>
        <w:t>Journal of Ur</w:t>
      </w:r>
      <w:r w:rsidR="00194EB5">
        <w:rPr>
          <w:i/>
          <w:noProof/>
        </w:rPr>
        <w:t>ban Economics</w:t>
      </w:r>
      <w:r w:rsidR="00194EB5">
        <w:rPr>
          <w:noProof/>
        </w:rPr>
        <w:t xml:space="preserve">, 18(3), </w:t>
      </w:r>
      <w:r w:rsidR="00FE541B" w:rsidRPr="00E6307F">
        <w:rPr>
          <w:noProof/>
        </w:rPr>
        <w:t>291-301.</w:t>
      </w:r>
    </w:p>
    <w:p w14:paraId="398E946A" w14:textId="79573157" w:rsidR="00FE541B" w:rsidRPr="00E6307F" w:rsidRDefault="00194EB5" w:rsidP="00C008AD">
      <w:pPr>
        <w:spacing w:line="240" w:lineRule="auto"/>
        <w:ind w:left="360" w:hanging="360"/>
        <w:jc w:val="both"/>
        <w:rPr>
          <w:noProof/>
        </w:rPr>
      </w:pPr>
      <w:r>
        <w:rPr>
          <w:noProof/>
        </w:rPr>
        <w:t>McFadden, D., 1978</w:t>
      </w:r>
      <w:r w:rsidR="00FE541B" w:rsidRPr="00E6307F">
        <w:rPr>
          <w:noProof/>
        </w:rPr>
        <w:t>. Modelling the choice of residential location</w:t>
      </w:r>
      <w:r w:rsidR="005263F3" w:rsidRPr="00E6307F">
        <w:rPr>
          <w:noProof/>
        </w:rPr>
        <w:t>.</w:t>
      </w:r>
      <w:r w:rsidR="00FE541B" w:rsidRPr="00E6307F">
        <w:rPr>
          <w:noProof/>
        </w:rPr>
        <w:t xml:space="preserve"> Institute of Transportation Studies, University of California.</w:t>
      </w:r>
    </w:p>
    <w:p w14:paraId="2DE06958" w14:textId="15362C83" w:rsidR="00FE541B" w:rsidRPr="00E6307F" w:rsidRDefault="00194EB5" w:rsidP="00C008AD">
      <w:pPr>
        <w:spacing w:line="240" w:lineRule="auto"/>
        <w:ind w:left="360" w:hanging="360"/>
        <w:jc w:val="both"/>
        <w:rPr>
          <w:noProof/>
        </w:rPr>
      </w:pPr>
      <w:r>
        <w:rPr>
          <w:noProof/>
        </w:rPr>
        <w:t>Mohai, P., 1990</w:t>
      </w:r>
      <w:r w:rsidR="00FE541B" w:rsidRPr="00E6307F">
        <w:rPr>
          <w:noProof/>
        </w:rPr>
        <w:t>. Black environmentalism. </w:t>
      </w:r>
      <w:r w:rsidR="00FE541B" w:rsidRPr="00E6307F">
        <w:rPr>
          <w:i/>
          <w:noProof/>
        </w:rPr>
        <w:t>Social Science Quarterly</w:t>
      </w:r>
      <w:r w:rsidR="00FE541B" w:rsidRPr="00E6307F">
        <w:rPr>
          <w:noProof/>
        </w:rPr>
        <w:t>, 744-765.</w:t>
      </w:r>
    </w:p>
    <w:p w14:paraId="5AD10B51" w14:textId="3759EBAF" w:rsidR="00FE541B" w:rsidRPr="00E6307F" w:rsidRDefault="00E513FF" w:rsidP="00C008AD">
      <w:pPr>
        <w:spacing w:line="240" w:lineRule="auto"/>
        <w:ind w:left="360" w:hanging="360"/>
        <w:jc w:val="both"/>
        <w:rPr>
          <w:noProof/>
        </w:rPr>
      </w:pPr>
      <w:r>
        <w:rPr>
          <w:noProof/>
        </w:rPr>
        <w:t>Mulder, C.H., Lauster, N.</w:t>
      </w:r>
      <w:r w:rsidR="00194EB5">
        <w:rPr>
          <w:noProof/>
        </w:rPr>
        <w:t>T., 2010</w:t>
      </w:r>
      <w:r w:rsidR="00FE541B" w:rsidRPr="00E6307F">
        <w:rPr>
          <w:noProof/>
        </w:rPr>
        <w:t xml:space="preserve">. Housing and family: An introduction. </w:t>
      </w:r>
      <w:r w:rsidR="00FE541B" w:rsidRPr="00E6307F">
        <w:rPr>
          <w:i/>
          <w:noProof/>
        </w:rPr>
        <w:t>Housing Studies</w:t>
      </w:r>
      <w:r w:rsidR="00FE541B" w:rsidRPr="00E6307F">
        <w:rPr>
          <w:noProof/>
        </w:rPr>
        <w:t>, 25(4), 433-440.</w:t>
      </w:r>
    </w:p>
    <w:p w14:paraId="2E9D7BE9" w14:textId="374692A0" w:rsidR="00BC67B7" w:rsidRPr="00BC67B7" w:rsidRDefault="005F3824" w:rsidP="00BC67B7">
      <w:pPr>
        <w:autoSpaceDE w:val="0"/>
        <w:autoSpaceDN w:val="0"/>
        <w:adjustRightInd w:val="0"/>
        <w:spacing w:line="240" w:lineRule="auto"/>
        <w:ind w:left="360" w:hanging="360"/>
        <w:rPr>
          <w:rFonts w:eastAsiaTheme="minorHAnsi"/>
        </w:rPr>
      </w:pPr>
      <w:r>
        <w:rPr>
          <w:rFonts w:eastAsiaTheme="minorHAnsi"/>
        </w:rPr>
        <w:t xml:space="preserve">Newman, J.P., </w:t>
      </w:r>
      <w:r w:rsidR="00533D55">
        <w:rPr>
          <w:rFonts w:eastAsiaTheme="minorHAnsi"/>
        </w:rPr>
        <w:t>Bernardin</w:t>
      </w:r>
      <w:r w:rsidR="00BC67B7" w:rsidRPr="00BC67B7">
        <w:rPr>
          <w:rFonts w:eastAsiaTheme="minorHAnsi"/>
        </w:rPr>
        <w:t xml:space="preserve"> Jr.</w:t>
      </w:r>
      <w:r>
        <w:rPr>
          <w:rFonts w:eastAsiaTheme="minorHAnsi"/>
        </w:rPr>
        <w:t>,</w:t>
      </w:r>
      <w:r w:rsidR="00BC67B7" w:rsidRPr="00BC67B7">
        <w:rPr>
          <w:rFonts w:eastAsiaTheme="minorHAnsi"/>
        </w:rPr>
        <w:t xml:space="preserve"> V.L., 2010. Hierarchical ordering of nests in a joint mo</w:t>
      </w:r>
      <w:r w:rsidR="00533D55">
        <w:rPr>
          <w:rFonts w:eastAsiaTheme="minorHAnsi"/>
        </w:rPr>
        <w:t>de and destination choice model.</w:t>
      </w:r>
      <w:r w:rsidR="00BC67B7" w:rsidRPr="00BC67B7">
        <w:rPr>
          <w:rFonts w:eastAsiaTheme="minorHAnsi"/>
        </w:rPr>
        <w:t xml:space="preserve"> </w:t>
      </w:r>
      <w:r w:rsidR="00BC67B7" w:rsidRPr="00533D55">
        <w:rPr>
          <w:rFonts w:eastAsiaTheme="minorHAnsi"/>
          <w:i/>
        </w:rPr>
        <w:t>Transportation</w:t>
      </w:r>
      <w:r w:rsidR="00BC67B7" w:rsidRPr="00BC67B7">
        <w:rPr>
          <w:rFonts w:eastAsiaTheme="minorHAnsi"/>
        </w:rPr>
        <w:t>, 37</w:t>
      </w:r>
      <w:r w:rsidR="00533D55">
        <w:rPr>
          <w:rFonts w:eastAsiaTheme="minorHAnsi"/>
        </w:rPr>
        <w:t>(4)</w:t>
      </w:r>
      <w:r w:rsidR="00BC67B7" w:rsidRPr="00BC67B7">
        <w:rPr>
          <w:rFonts w:eastAsiaTheme="minorHAnsi"/>
        </w:rPr>
        <w:t>, 677-688.</w:t>
      </w:r>
    </w:p>
    <w:p w14:paraId="04FEA015" w14:textId="5D3215CE" w:rsidR="00FE541B" w:rsidRPr="00E6307F" w:rsidRDefault="00E513FF" w:rsidP="00C008AD">
      <w:pPr>
        <w:spacing w:line="240" w:lineRule="auto"/>
        <w:ind w:left="360" w:hanging="360"/>
        <w:jc w:val="both"/>
        <w:rPr>
          <w:noProof/>
        </w:rPr>
      </w:pPr>
      <w:r>
        <w:rPr>
          <w:noProof/>
        </w:rPr>
        <w:t xml:space="preserve">Nwankwo, S., Hamelin, N., </w:t>
      </w:r>
      <w:r w:rsidR="00FE541B" w:rsidRPr="00E6307F">
        <w:rPr>
          <w:noProof/>
        </w:rPr>
        <w:t>Khaled, M.,</w:t>
      </w:r>
      <w:r>
        <w:rPr>
          <w:noProof/>
        </w:rPr>
        <w:t xml:space="preserve"> 2014</w:t>
      </w:r>
      <w:r w:rsidR="00FE541B" w:rsidRPr="00E6307F">
        <w:rPr>
          <w:noProof/>
        </w:rPr>
        <w:t xml:space="preserve">. Consumer values, motivation and purchase intention for luxury goods. </w:t>
      </w:r>
      <w:r w:rsidR="00FE541B" w:rsidRPr="00E6307F">
        <w:rPr>
          <w:i/>
          <w:noProof/>
        </w:rPr>
        <w:t>Journal of Retailing and Consumer Services</w:t>
      </w:r>
      <w:r w:rsidR="007A5CF0" w:rsidRPr="00E6307F">
        <w:rPr>
          <w:noProof/>
        </w:rPr>
        <w:t>,</w:t>
      </w:r>
      <w:r w:rsidR="00FE541B" w:rsidRPr="00E6307F">
        <w:rPr>
          <w:noProof/>
        </w:rPr>
        <w:t xml:space="preserve"> 21(5), 735-744.</w:t>
      </w:r>
    </w:p>
    <w:p w14:paraId="374FE71F" w14:textId="0A17BBF7" w:rsidR="00FE541B" w:rsidRPr="00E6307F" w:rsidRDefault="00E513FF" w:rsidP="00C008AD">
      <w:pPr>
        <w:spacing w:line="240" w:lineRule="auto"/>
        <w:ind w:left="360" w:hanging="360"/>
        <w:jc w:val="both"/>
        <w:rPr>
          <w:noProof/>
        </w:rPr>
      </w:pPr>
      <w:r>
        <w:rPr>
          <w:noProof/>
        </w:rPr>
        <w:t>Openshaw, S., 1978</w:t>
      </w:r>
      <w:r w:rsidR="00FE541B" w:rsidRPr="00E6307F">
        <w:rPr>
          <w:noProof/>
        </w:rPr>
        <w:t xml:space="preserve">. An empirical study of some zone-design criteria. </w:t>
      </w:r>
      <w:r w:rsidR="00FE541B" w:rsidRPr="00E6307F">
        <w:rPr>
          <w:i/>
          <w:noProof/>
        </w:rPr>
        <w:t>Environment and Planning A</w:t>
      </w:r>
      <w:r w:rsidR="00FE541B" w:rsidRPr="00E6307F">
        <w:rPr>
          <w:noProof/>
        </w:rPr>
        <w:t xml:space="preserve">, 10(7), 781-794. </w:t>
      </w:r>
    </w:p>
    <w:p w14:paraId="0F627186" w14:textId="76DF0C78" w:rsidR="00FE541B" w:rsidRPr="00E6307F" w:rsidRDefault="00E513FF" w:rsidP="00C008AD">
      <w:pPr>
        <w:spacing w:line="240" w:lineRule="auto"/>
        <w:ind w:left="360" w:hanging="360"/>
        <w:jc w:val="both"/>
        <w:rPr>
          <w:noProof/>
        </w:rPr>
      </w:pPr>
      <w:r>
        <w:rPr>
          <w:noProof/>
        </w:rPr>
        <w:t xml:space="preserve">Pagliara, F., </w:t>
      </w:r>
      <w:r w:rsidR="00194EB5">
        <w:rPr>
          <w:noProof/>
        </w:rPr>
        <w:t>Wilson, A., 2010</w:t>
      </w:r>
      <w:r w:rsidR="00FE541B" w:rsidRPr="00E6307F">
        <w:rPr>
          <w:noProof/>
        </w:rPr>
        <w:t xml:space="preserve">. The state-of-the-art in building residential location models </w:t>
      </w:r>
      <w:r w:rsidR="00FE541B" w:rsidRPr="00E6307F">
        <w:rPr>
          <w:i/>
          <w:noProof/>
        </w:rPr>
        <w:t>Residential location choice</w:t>
      </w:r>
      <w:r w:rsidR="00FE541B" w:rsidRPr="00E6307F">
        <w:rPr>
          <w:noProof/>
        </w:rPr>
        <w:t xml:space="preserve"> (pp. 1-20): Springer.</w:t>
      </w:r>
    </w:p>
    <w:p w14:paraId="63100076" w14:textId="199D7568" w:rsidR="00FE541B" w:rsidRPr="00E6307F" w:rsidRDefault="00E513FF" w:rsidP="00C008AD">
      <w:pPr>
        <w:spacing w:line="240" w:lineRule="auto"/>
        <w:ind w:left="360" w:hanging="360"/>
        <w:jc w:val="both"/>
        <w:rPr>
          <w:noProof/>
        </w:rPr>
      </w:pPr>
      <w:r>
        <w:rPr>
          <w:noProof/>
        </w:rPr>
        <w:lastRenderedPageBreak/>
        <w:t>Paleti, R., Bhat, C.R., Pendyala, R.</w:t>
      </w:r>
      <w:r w:rsidR="00194EB5">
        <w:rPr>
          <w:noProof/>
        </w:rPr>
        <w:t>M., 2013</w:t>
      </w:r>
      <w:r w:rsidR="00FE541B" w:rsidRPr="00E6307F">
        <w:rPr>
          <w:noProof/>
        </w:rPr>
        <w:t xml:space="preserve">. Integrated model of residential location, work location, vehicle ownership, and commute tour characteristics. </w:t>
      </w:r>
      <w:r w:rsidR="00FE541B" w:rsidRPr="00E6307F">
        <w:rPr>
          <w:i/>
          <w:noProof/>
        </w:rPr>
        <w:t>Transportation Research Record: Journal of the Transportation Research Board</w:t>
      </w:r>
      <w:r w:rsidR="00FE541B" w:rsidRPr="00E6307F">
        <w:rPr>
          <w:noProof/>
        </w:rPr>
        <w:t xml:space="preserve">, 2382, 162-172. </w:t>
      </w:r>
    </w:p>
    <w:p w14:paraId="77EEA22E" w14:textId="355BD467" w:rsidR="00FE541B" w:rsidRPr="00E6307F" w:rsidRDefault="00E513FF" w:rsidP="00C008AD">
      <w:pPr>
        <w:spacing w:line="240" w:lineRule="auto"/>
        <w:ind w:left="360" w:hanging="360"/>
        <w:jc w:val="both"/>
        <w:rPr>
          <w:noProof/>
        </w:rPr>
      </w:pPr>
      <w:r>
        <w:rPr>
          <w:noProof/>
        </w:rPr>
        <w:t xml:space="preserve">Pinjari, A.R., Bhat, C.R., </w:t>
      </w:r>
      <w:r w:rsidR="00FE541B" w:rsidRPr="00E6307F">
        <w:rPr>
          <w:noProof/>
        </w:rPr>
        <w:t>Hensher, D</w:t>
      </w:r>
      <w:r>
        <w:rPr>
          <w:noProof/>
        </w:rPr>
        <w:t>.</w:t>
      </w:r>
      <w:r w:rsidR="00194EB5">
        <w:rPr>
          <w:noProof/>
        </w:rPr>
        <w:t>A., 2009</w:t>
      </w:r>
      <w:r w:rsidR="00FE541B" w:rsidRPr="00E6307F">
        <w:rPr>
          <w:noProof/>
        </w:rPr>
        <w:t xml:space="preserve">. Residential self-selection effects in an activity time-use behavior model. </w:t>
      </w:r>
      <w:r w:rsidR="007A5CF0" w:rsidRPr="00E6307F">
        <w:rPr>
          <w:i/>
          <w:noProof/>
        </w:rPr>
        <w:t>Transportation Research Part B</w:t>
      </w:r>
      <w:r w:rsidR="00FE541B" w:rsidRPr="00E6307F">
        <w:rPr>
          <w:noProof/>
        </w:rPr>
        <w:t xml:space="preserve">, 43(7), 729-748. </w:t>
      </w:r>
    </w:p>
    <w:p w14:paraId="189B26F7" w14:textId="7A0E3137" w:rsidR="00FE541B" w:rsidRPr="00E6307F" w:rsidRDefault="00E513FF" w:rsidP="00C008AD">
      <w:pPr>
        <w:spacing w:line="240" w:lineRule="auto"/>
        <w:ind w:left="360" w:hanging="360"/>
        <w:jc w:val="both"/>
        <w:rPr>
          <w:noProof/>
        </w:rPr>
      </w:pPr>
      <w:r>
        <w:rPr>
          <w:noProof/>
        </w:rPr>
        <w:t>Pinjari, A.</w:t>
      </w:r>
      <w:r w:rsidR="00FE541B" w:rsidRPr="00E6307F">
        <w:rPr>
          <w:noProof/>
        </w:rPr>
        <w:t xml:space="preserve">R., </w:t>
      </w:r>
      <w:r>
        <w:rPr>
          <w:noProof/>
        </w:rPr>
        <w:t>Pendyala, R.M., Bhat, C.R., Waddell, P.</w:t>
      </w:r>
      <w:r w:rsidR="00194EB5">
        <w:rPr>
          <w:noProof/>
        </w:rPr>
        <w:t>A., 2011</w:t>
      </w:r>
      <w:r w:rsidR="00FE541B" w:rsidRPr="00E6307F">
        <w:rPr>
          <w:noProof/>
        </w:rPr>
        <w:t xml:space="preserve">. Modeling the choice continuum: an integrated model of residential location, auto ownership, bicycle ownership, and commute tour mode choice decisions. </w:t>
      </w:r>
      <w:r w:rsidR="00FE541B" w:rsidRPr="00E6307F">
        <w:rPr>
          <w:i/>
          <w:noProof/>
        </w:rPr>
        <w:t>Transportation</w:t>
      </w:r>
      <w:r w:rsidR="00FE541B" w:rsidRPr="00E6307F">
        <w:rPr>
          <w:noProof/>
        </w:rPr>
        <w:t xml:space="preserve">, 38(6), 933-958. </w:t>
      </w:r>
    </w:p>
    <w:p w14:paraId="165D9AB6" w14:textId="35A32021" w:rsidR="00FE541B" w:rsidRPr="00E6307F" w:rsidRDefault="00E513FF" w:rsidP="00C008AD">
      <w:pPr>
        <w:spacing w:line="240" w:lineRule="auto"/>
        <w:ind w:left="360" w:hanging="360"/>
        <w:jc w:val="both"/>
        <w:rPr>
          <w:noProof/>
        </w:rPr>
      </w:pPr>
      <w:r>
        <w:rPr>
          <w:noProof/>
        </w:rPr>
        <w:t xml:space="preserve">Prashker, J., Shiftan, Y., </w:t>
      </w:r>
      <w:r w:rsidR="00194EB5">
        <w:rPr>
          <w:noProof/>
        </w:rPr>
        <w:t>Hershkovitch-Sarusi, P., 2008</w:t>
      </w:r>
      <w:r w:rsidR="00FE541B" w:rsidRPr="00E6307F">
        <w:rPr>
          <w:noProof/>
        </w:rPr>
        <w:t xml:space="preserve">. Residential choice location, gender and the commute trip to work in Tel Aviv. </w:t>
      </w:r>
      <w:r w:rsidR="00FE541B" w:rsidRPr="00E6307F">
        <w:rPr>
          <w:i/>
          <w:noProof/>
        </w:rPr>
        <w:t>Journal of Transport Geography</w:t>
      </w:r>
      <w:r w:rsidR="00FE541B" w:rsidRPr="00E6307F">
        <w:rPr>
          <w:noProof/>
        </w:rPr>
        <w:t xml:space="preserve">, 16(5), 332-341. </w:t>
      </w:r>
    </w:p>
    <w:p w14:paraId="2004ED2B" w14:textId="5354040E" w:rsidR="00FE541B" w:rsidRPr="00E6307F" w:rsidRDefault="00E513FF" w:rsidP="00C008AD">
      <w:pPr>
        <w:spacing w:line="240" w:lineRule="auto"/>
        <w:ind w:left="360" w:hanging="360"/>
        <w:jc w:val="both"/>
        <w:rPr>
          <w:noProof/>
        </w:rPr>
      </w:pPr>
      <w:r>
        <w:rPr>
          <w:noProof/>
        </w:rPr>
        <w:t>Quigley, J.</w:t>
      </w:r>
      <w:r w:rsidR="00194EB5">
        <w:rPr>
          <w:noProof/>
        </w:rPr>
        <w:t>M., 1976</w:t>
      </w:r>
      <w:r w:rsidR="00FE541B" w:rsidRPr="00E6307F">
        <w:rPr>
          <w:noProof/>
        </w:rPr>
        <w:t xml:space="preserve">. Housing demand in the short run: An analysis of polytomous choice. </w:t>
      </w:r>
      <w:r w:rsidR="00FE541B" w:rsidRPr="00E6307F">
        <w:rPr>
          <w:i/>
          <w:noProof/>
        </w:rPr>
        <w:t>In Explorations in Economic Research</w:t>
      </w:r>
      <w:r w:rsidR="00FE541B" w:rsidRPr="00E6307F">
        <w:rPr>
          <w:noProof/>
        </w:rPr>
        <w:t xml:space="preserve">, 3(1), 76-102. </w:t>
      </w:r>
    </w:p>
    <w:p w14:paraId="780B552C" w14:textId="4A58B574" w:rsidR="00FE541B" w:rsidRPr="00E6307F" w:rsidRDefault="00E513FF" w:rsidP="00C008AD">
      <w:pPr>
        <w:spacing w:line="240" w:lineRule="auto"/>
        <w:ind w:left="360" w:hanging="360"/>
        <w:jc w:val="both"/>
        <w:rPr>
          <w:noProof/>
        </w:rPr>
      </w:pPr>
      <w:r>
        <w:rPr>
          <w:noProof/>
        </w:rPr>
        <w:t>Quigley, J.</w:t>
      </w:r>
      <w:r w:rsidR="00194EB5">
        <w:rPr>
          <w:noProof/>
        </w:rPr>
        <w:t>M., 1985</w:t>
      </w:r>
      <w:r w:rsidR="00FE541B" w:rsidRPr="00E6307F">
        <w:rPr>
          <w:noProof/>
        </w:rPr>
        <w:t>. Consumer choice of dwelling, neighborhood and public services. </w:t>
      </w:r>
      <w:r w:rsidR="00FE541B" w:rsidRPr="00E6307F">
        <w:rPr>
          <w:i/>
          <w:noProof/>
        </w:rPr>
        <w:t>Regional Science and Urban Economics</w:t>
      </w:r>
      <w:r w:rsidR="00FE541B" w:rsidRPr="00E6307F">
        <w:rPr>
          <w:noProof/>
        </w:rPr>
        <w:t>, 15(1), 41-63.</w:t>
      </w:r>
    </w:p>
    <w:p w14:paraId="65CF6EEB" w14:textId="495076CC" w:rsidR="00FE541B" w:rsidRPr="00E6307F" w:rsidRDefault="00E513FF" w:rsidP="00C008AD">
      <w:pPr>
        <w:spacing w:line="240" w:lineRule="auto"/>
        <w:ind w:left="360" w:hanging="360"/>
        <w:jc w:val="both"/>
        <w:rPr>
          <w:noProof/>
        </w:rPr>
      </w:pPr>
      <w:r>
        <w:rPr>
          <w:noProof/>
        </w:rPr>
        <w:t>Rashidi, T.H., Auld, J., Mohammadian, A.</w:t>
      </w:r>
      <w:r w:rsidR="00194EB5">
        <w:rPr>
          <w:noProof/>
        </w:rPr>
        <w:t>K., 2012</w:t>
      </w:r>
      <w:r w:rsidR="00FE541B" w:rsidRPr="00E6307F">
        <w:rPr>
          <w:noProof/>
        </w:rPr>
        <w:t xml:space="preserve">. A behavioral housing search model: Two-stage hazard-based and multinomial logit approach to choice-set formation and location selection. </w:t>
      </w:r>
      <w:r w:rsidR="007A5CF0" w:rsidRPr="00E6307F">
        <w:rPr>
          <w:i/>
          <w:noProof/>
        </w:rPr>
        <w:t>Transportation Research Part A</w:t>
      </w:r>
      <w:r w:rsidR="00FE541B" w:rsidRPr="00E6307F">
        <w:rPr>
          <w:noProof/>
        </w:rPr>
        <w:t xml:space="preserve">, 46(7), 1097-1107. </w:t>
      </w:r>
    </w:p>
    <w:p w14:paraId="61DF29FA" w14:textId="6A778357" w:rsidR="00FE541B" w:rsidRPr="00E6307F" w:rsidRDefault="00194EB5" w:rsidP="00C008AD">
      <w:pPr>
        <w:spacing w:line="240" w:lineRule="auto"/>
        <w:ind w:left="360" w:hanging="360"/>
        <w:jc w:val="both"/>
        <w:rPr>
          <w:noProof/>
        </w:rPr>
      </w:pPr>
      <w:r>
        <w:rPr>
          <w:noProof/>
        </w:rPr>
        <w:t>Rapaport, C., 1997</w:t>
      </w:r>
      <w:r w:rsidR="00FE541B" w:rsidRPr="00E6307F">
        <w:rPr>
          <w:noProof/>
        </w:rPr>
        <w:t xml:space="preserve">. Housing demand and community choices. </w:t>
      </w:r>
      <w:r w:rsidR="00FE541B" w:rsidRPr="00E6307F">
        <w:rPr>
          <w:i/>
          <w:noProof/>
        </w:rPr>
        <w:t>Journal of Urban Economics</w:t>
      </w:r>
      <w:r w:rsidR="00FE541B" w:rsidRPr="00E6307F">
        <w:rPr>
          <w:noProof/>
        </w:rPr>
        <w:t>, 42(2), 243-260.</w:t>
      </w:r>
    </w:p>
    <w:p w14:paraId="495A3848" w14:textId="17DFB891" w:rsidR="00FE541B" w:rsidRPr="00E6307F" w:rsidRDefault="00E513FF" w:rsidP="00C008AD">
      <w:pPr>
        <w:spacing w:line="240" w:lineRule="auto"/>
        <w:ind w:left="360" w:hanging="360"/>
        <w:jc w:val="both"/>
        <w:rPr>
          <w:noProof/>
        </w:rPr>
      </w:pPr>
      <w:r>
        <w:rPr>
          <w:noProof/>
        </w:rPr>
        <w:t>Rosen, H.</w:t>
      </w:r>
      <w:r w:rsidR="00194EB5">
        <w:rPr>
          <w:noProof/>
        </w:rPr>
        <w:t>S., 1979</w:t>
      </w:r>
      <w:r w:rsidR="00FE541B" w:rsidRPr="00E6307F">
        <w:rPr>
          <w:noProof/>
        </w:rPr>
        <w:t>. Housing decisions and the US income tax: An econometric analysis. </w:t>
      </w:r>
      <w:r w:rsidR="00FE541B" w:rsidRPr="00E6307F">
        <w:rPr>
          <w:i/>
          <w:noProof/>
        </w:rPr>
        <w:t>Journal of Public Economics</w:t>
      </w:r>
      <w:r w:rsidR="00FE541B" w:rsidRPr="00E6307F">
        <w:rPr>
          <w:noProof/>
        </w:rPr>
        <w:t>, 11(1), 1-23.</w:t>
      </w:r>
    </w:p>
    <w:p w14:paraId="252E018B" w14:textId="56082FC1" w:rsidR="00FE541B" w:rsidRPr="00E6307F" w:rsidRDefault="00E513FF" w:rsidP="00C008AD">
      <w:pPr>
        <w:spacing w:line="240" w:lineRule="auto"/>
        <w:ind w:left="360" w:hanging="360"/>
        <w:jc w:val="both"/>
        <w:rPr>
          <w:noProof/>
        </w:rPr>
      </w:pPr>
      <w:r>
        <w:rPr>
          <w:noProof/>
        </w:rPr>
        <w:t xml:space="preserve">Rouwendal, J., </w:t>
      </w:r>
      <w:r w:rsidR="00194EB5">
        <w:rPr>
          <w:noProof/>
        </w:rPr>
        <w:t>Meijer, E., 2001</w:t>
      </w:r>
      <w:r w:rsidR="00FE541B" w:rsidRPr="00E6307F">
        <w:rPr>
          <w:noProof/>
        </w:rPr>
        <w:t>. Preferences for housing, jobs, and commuting: a mixed logit analysis. </w:t>
      </w:r>
      <w:r w:rsidR="00FE541B" w:rsidRPr="00E6307F">
        <w:rPr>
          <w:i/>
          <w:noProof/>
        </w:rPr>
        <w:t>Journal of Regional Science</w:t>
      </w:r>
      <w:r w:rsidR="00FE541B" w:rsidRPr="00E6307F">
        <w:rPr>
          <w:noProof/>
        </w:rPr>
        <w:t>, 41(3), 475-505.</w:t>
      </w:r>
    </w:p>
    <w:p w14:paraId="04824124" w14:textId="0A932A73" w:rsidR="00E128EB" w:rsidRDefault="00E128EB" w:rsidP="00C008AD">
      <w:pPr>
        <w:spacing w:line="240" w:lineRule="auto"/>
        <w:ind w:left="360" w:hanging="360"/>
        <w:jc w:val="both"/>
        <w:rPr>
          <w:noProof/>
        </w:rPr>
      </w:pPr>
      <w:r>
        <w:t xml:space="preserve">Schwanen, T. Mokhtarian, P.L., 2007. Attitudes toward travel and land use and choice of residential neighborhood type: Evidence from the San Francisco bay area. </w:t>
      </w:r>
      <w:r>
        <w:rPr>
          <w:i/>
          <w:iCs/>
        </w:rPr>
        <w:t>Housing Policy Debate</w:t>
      </w:r>
      <w:r>
        <w:t>, 18(1), 171-207.</w:t>
      </w:r>
    </w:p>
    <w:p w14:paraId="589646FF" w14:textId="26ACE014" w:rsidR="00FE541B" w:rsidRPr="00E6307F" w:rsidRDefault="00FE541B" w:rsidP="00C008AD">
      <w:pPr>
        <w:spacing w:line="240" w:lineRule="auto"/>
        <w:ind w:left="360" w:hanging="360"/>
        <w:jc w:val="both"/>
        <w:rPr>
          <w:noProof/>
        </w:rPr>
      </w:pPr>
      <w:r w:rsidRPr="00E6307F">
        <w:rPr>
          <w:noProof/>
        </w:rPr>
        <w:t>S</w:t>
      </w:r>
      <w:r w:rsidR="00E513FF">
        <w:rPr>
          <w:noProof/>
        </w:rPr>
        <w:t>ener, I.N., Pendyala, R.M., Bhat, C.</w:t>
      </w:r>
      <w:r w:rsidR="00194EB5">
        <w:rPr>
          <w:noProof/>
        </w:rPr>
        <w:t>R., 2011</w:t>
      </w:r>
      <w:r w:rsidRPr="00E6307F">
        <w:rPr>
          <w:noProof/>
        </w:rPr>
        <w:t xml:space="preserve">. Accommodating spatial correlation across choice alternatives in discrete choice models: an application to modeling residential location choice behavior. </w:t>
      </w:r>
      <w:r w:rsidRPr="00E6307F">
        <w:rPr>
          <w:i/>
          <w:noProof/>
        </w:rPr>
        <w:t>Journal of Transport Geography</w:t>
      </w:r>
      <w:r w:rsidRPr="00E6307F">
        <w:rPr>
          <w:noProof/>
        </w:rPr>
        <w:t xml:space="preserve">, 19(2), 294-303. </w:t>
      </w:r>
    </w:p>
    <w:p w14:paraId="182E8EAA" w14:textId="2C776A85" w:rsidR="00FE541B" w:rsidRPr="00E6307F" w:rsidRDefault="00E513FF" w:rsidP="00C008AD">
      <w:pPr>
        <w:spacing w:line="240" w:lineRule="auto"/>
        <w:ind w:left="360" w:hanging="360"/>
        <w:jc w:val="both"/>
        <w:rPr>
          <w:noProof/>
        </w:rPr>
      </w:pPr>
      <w:r>
        <w:rPr>
          <w:noProof/>
        </w:rPr>
        <w:t>Shocker, A.</w:t>
      </w:r>
      <w:r w:rsidR="00FE541B" w:rsidRPr="00E6307F">
        <w:rPr>
          <w:noProof/>
        </w:rPr>
        <w:t>D.</w:t>
      </w:r>
      <w:r>
        <w:rPr>
          <w:noProof/>
        </w:rPr>
        <w:t xml:space="preserve">, Ben-Akiva, M., Boccara, B., </w:t>
      </w:r>
      <w:r w:rsidR="00194EB5">
        <w:rPr>
          <w:noProof/>
        </w:rPr>
        <w:t>Nedungadi, P., 1991</w:t>
      </w:r>
      <w:r w:rsidR="00FE541B" w:rsidRPr="00E6307F">
        <w:rPr>
          <w:noProof/>
        </w:rPr>
        <w:t xml:space="preserve">. Consideration set influences on consumer decision-making and choice: Issues, models, and suggestions. </w:t>
      </w:r>
      <w:r w:rsidR="00FE541B" w:rsidRPr="00E6307F">
        <w:rPr>
          <w:i/>
          <w:noProof/>
        </w:rPr>
        <w:t>Marketing Letters</w:t>
      </w:r>
      <w:r w:rsidR="00FE541B" w:rsidRPr="00E6307F">
        <w:rPr>
          <w:noProof/>
        </w:rPr>
        <w:t xml:space="preserve">, 2(3), 181-197. </w:t>
      </w:r>
    </w:p>
    <w:p w14:paraId="4D23C40F" w14:textId="7A6868F1" w:rsidR="00FE541B" w:rsidRPr="00E6307F" w:rsidRDefault="00E513FF" w:rsidP="00C008AD">
      <w:pPr>
        <w:spacing w:line="240" w:lineRule="auto"/>
        <w:ind w:left="360" w:hanging="360"/>
        <w:jc w:val="both"/>
        <w:rPr>
          <w:noProof/>
        </w:rPr>
      </w:pPr>
      <w:r>
        <w:rPr>
          <w:noProof/>
        </w:rPr>
        <w:t>Shugan, S.</w:t>
      </w:r>
      <w:r w:rsidR="00194EB5">
        <w:rPr>
          <w:noProof/>
        </w:rPr>
        <w:t>M., 1980</w:t>
      </w:r>
      <w:r w:rsidR="00FE541B" w:rsidRPr="00E6307F">
        <w:rPr>
          <w:noProof/>
        </w:rPr>
        <w:t xml:space="preserve">. The cost of thinking. </w:t>
      </w:r>
      <w:r w:rsidR="00FE541B" w:rsidRPr="00E6307F">
        <w:rPr>
          <w:i/>
          <w:noProof/>
        </w:rPr>
        <w:t xml:space="preserve">Journal of </w:t>
      </w:r>
      <w:r w:rsidR="007A5CF0" w:rsidRPr="00E6307F">
        <w:rPr>
          <w:i/>
          <w:noProof/>
        </w:rPr>
        <w:t>C</w:t>
      </w:r>
      <w:r w:rsidR="00FE541B" w:rsidRPr="00E6307F">
        <w:rPr>
          <w:i/>
          <w:noProof/>
        </w:rPr>
        <w:t>onsumer Research</w:t>
      </w:r>
      <w:r w:rsidR="00FE541B" w:rsidRPr="00E6307F">
        <w:rPr>
          <w:noProof/>
        </w:rPr>
        <w:t xml:space="preserve">, 99-111. </w:t>
      </w:r>
    </w:p>
    <w:p w14:paraId="7025450B" w14:textId="4E57B794" w:rsidR="00FE541B" w:rsidRPr="00E6307F" w:rsidRDefault="00FE541B" w:rsidP="00C008AD">
      <w:pPr>
        <w:spacing w:line="240" w:lineRule="auto"/>
        <w:ind w:left="360" w:hanging="360"/>
        <w:jc w:val="both"/>
        <w:rPr>
          <w:noProof/>
        </w:rPr>
      </w:pPr>
      <w:r w:rsidRPr="00E6307F">
        <w:rPr>
          <w:noProof/>
        </w:rPr>
        <w:t>Sinai, T., Souleles, N</w:t>
      </w:r>
      <w:r w:rsidR="00AA4EE4">
        <w:rPr>
          <w:noProof/>
        </w:rPr>
        <w:t>., 2005</w:t>
      </w:r>
      <w:r w:rsidRPr="00E6307F">
        <w:rPr>
          <w:noProof/>
        </w:rPr>
        <w:t>. Owner-</w:t>
      </w:r>
      <w:r w:rsidR="007A5CF0" w:rsidRPr="00E6307F">
        <w:rPr>
          <w:noProof/>
        </w:rPr>
        <w:t>o</w:t>
      </w:r>
      <w:r w:rsidRPr="00E6307F">
        <w:rPr>
          <w:noProof/>
        </w:rPr>
        <w:t xml:space="preserve">ccupied housing as a hedge against rent risk. </w:t>
      </w:r>
      <w:r w:rsidRPr="00E6307F">
        <w:rPr>
          <w:i/>
          <w:noProof/>
        </w:rPr>
        <w:t>Quarterly Journal of Economics</w:t>
      </w:r>
      <w:r w:rsidRPr="00E6307F">
        <w:rPr>
          <w:noProof/>
        </w:rPr>
        <w:t>, 120, 763</w:t>
      </w:r>
      <w:r w:rsidR="00AA4EE4">
        <w:rPr>
          <w:noProof/>
        </w:rPr>
        <w:t>-</w:t>
      </w:r>
      <w:r w:rsidRPr="00E6307F">
        <w:rPr>
          <w:noProof/>
        </w:rPr>
        <w:t>789.</w:t>
      </w:r>
    </w:p>
    <w:p w14:paraId="60D6AFC7" w14:textId="60207423" w:rsidR="00FE541B" w:rsidRPr="00E6307F" w:rsidRDefault="00E513FF" w:rsidP="00C008AD">
      <w:pPr>
        <w:spacing w:line="240" w:lineRule="auto"/>
        <w:ind w:left="360" w:hanging="360"/>
        <w:jc w:val="both"/>
        <w:rPr>
          <w:noProof/>
        </w:rPr>
      </w:pPr>
      <w:r>
        <w:rPr>
          <w:noProof/>
        </w:rPr>
        <w:t>Simon, H.</w:t>
      </w:r>
      <w:r w:rsidR="00194EB5">
        <w:rPr>
          <w:noProof/>
        </w:rPr>
        <w:t>A., 1986</w:t>
      </w:r>
      <w:r w:rsidR="00FE541B" w:rsidRPr="00E6307F">
        <w:rPr>
          <w:noProof/>
        </w:rPr>
        <w:t xml:space="preserve">. Rationality in psychology and economics. </w:t>
      </w:r>
      <w:r w:rsidR="00FE541B" w:rsidRPr="00E6307F">
        <w:rPr>
          <w:i/>
          <w:noProof/>
        </w:rPr>
        <w:t>Journal of Business</w:t>
      </w:r>
      <w:r w:rsidR="00FE541B" w:rsidRPr="00E6307F">
        <w:rPr>
          <w:noProof/>
        </w:rPr>
        <w:t xml:space="preserve">, S209-S224. </w:t>
      </w:r>
    </w:p>
    <w:p w14:paraId="27225E01" w14:textId="11A3F47A" w:rsidR="00FE541B" w:rsidRPr="00E6307F" w:rsidRDefault="00194EB5" w:rsidP="00C008AD">
      <w:pPr>
        <w:spacing w:line="240" w:lineRule="auto"/>
        <w:ind w:left="360" w:hanging="360"/>
        <w:jc w:val="both"/>
        <w:rPr>
          <w:noProof/>
        </w:rPr>
      </w:pPr>
      <w:r>
        <w:rPr>
          <w:noProof/>
        </w:rPr>
        <w:t>Skaburskis, A., 1999</w:t>
      </w:r>
      <w:r w:rsidR="00FE541B" w:rsidRPr="00E6307F">
        <w:rPr>
          <w:noProof/>
        </w:rPr>
        <w:t xml:space="preserve">. Modelling the choice of tenure and building type. </w:t>
      </w:r>
      <w:r w:rsidR="00FE541B" w:rsidRPr="00E6307F">
        <w:rPr>
          <w:i/>
          <w:noProof/>
        </w:rPr>
        <w:t>Urban Studies</w:t>
      </w:r>
      <w:r w:rsidR="00FE541B" w:rsidRPr="00E6307F">
        <w:rPr>
          <w:noProof/>
        </w:rPr>
        <w:t xml:space="preserve">, 36(13), 2199-2215. </w:t>
      </w:r>
    </w:p>
    <w:p w14:paraId="6C7D17BD" w14:textId="3E5CC0C0" w:rsidR="00FE541B" w:rsidRPr="00E6307F" w:rsidRDefault="00E513FF" w:rsidP="00C008AD">
      <w:pPr>
        <w:spacing w:line="240" w:lineRule="auto"/>
        <w:ind w:left="360" w:hanging="360"/>
        <w:jc w:val="both"/>
        <w:rPr>
          <w:noProof/>
        </w:rPr>
      </w:pPr>
      <w:r>
        <w:rPr>
          <w:noProof/>
        </w:rPr>
        <w:t>Stapleton, D.</w:t>
      </w:r>
      <w:r w:rsidR="00194EB5">
        <w:rPr>
          <w:noProof/>
        </w:rPr>
        <w:t>C., 1978</w:t>
      </w:r>
      <w:r w:rsidR="00FE541B" w:rsidRPr="00E6307F">
        <w:rPr>
          <w:noProof/>
        </w:rPr>
        <w:t xml:space="preserve">. Analyzing political participation data with a MIMIC Model. </w:t>
      </w:r>
      <w:r w:rsidR="00FE541B" w:rsidRPr="00E6307F">
        <w:rPr>
          <w:i/>
          <w:noProof/>
        </w:rPr>
        <w:t>Sociological Methodology</w:t>
      </w:r>
      <w:r w:rsidR="00FE541B" w:rsidRPr="00E6307F">
        <w:rPr>
          <w:noProof/>
        </w:rPr>
        <w:t xml:space="preserve">, 52-74. </w:t>
      </w:r>
    </w:p>
    <w:p w14:paraId="1604A386" w14:textId="1F60DD71" w:rsidR="00FE541B" w:rsidRPr="00E6307F" w:rsidRDefault="00194EB5" w:rsidP="00C008AD">
      <w:pPr>
        <w:spacing w:line="240" w:lineRule="auto"/>
        <w:ind w:left="360" w:hanging="360"/>
        <w:jc w:val="both"/>
        <w:rPr>
          <w:noProof/>
        </w:rPr>
      </w:pPr>
      <w:r>
        <w:rPr>
          <w:noProof/>
        </w:rPr>
        <w:t>Stern, P.C., 2000</w:t>
      </w:r>
      <w:r w:rsidR="00FE541B" w:rsidRPr="00E6307F">
        <w:rPr>
          <w:noProof/>
        </w:rPr>
        <w:t xml:space="preserve">. New environmental theories: toward a coherent theory of environmentally significant behavior. </w:t>
      </w:r>
      <w:r w:rsidR="00FE541B" w:rsidRPr="00E6307F">
        <w:rPr>
          <w:i/>
          <w:noProof/>
        </w:rPr>
        <w:t xml:space="preserve">Journal of </w:t>
      </w:r>
      <w:r w:rsidR="007A5CF0" w:rsidRPr="00E6307F">
        <w:rPr>
          <w:i/>
          <w:noProof/>
        </w:rPr>
        <w:t>Social I</w:t>
      </w:r>
      <w:r w:rsidR="00FE541B" w:rsidRPr="00E6307F">
        <w:rPr>
          <w:i/>
          <w:noProof/>
        </w:rPr>
        <w:t>ssues</w:t>
      </w:r>
      <w:r w:rsidR="00FE541B" w:rsidRPr="00E6307F">
        <w:rPr>
          <w:noProof/>
        </w:rPr>
        <w:t xml:space="preserve">, 56(3), 407-424. </w:t>
      </w:r>
    </w:p>
    <w:p w14:paraId="0F6770C0" w14:textId="6795B483" w:rsidR="00065DA9" w:rsidRPr="00E6307F" w:rsidRDefault="00194EB5" w:rsidP="00C008AD">
      <w:pPr>
        <w:spacing w:line="240" w:lineRule="auto"/>
        <w:ind w:left="360" w:hanging="360"/>
        <w:jc w:val="both"/>
        <w:rPr>
          <w:noProof/>
        </w:rPr>
      </w:pPr>
      <w:r>
        <w:rPr>
          <w:shd w:val="clear" w:color="auto" w:fill="FFFFFF"/>
        </w:rPr>
        <w:t>Ström, S., 2010</w:t>
      </w:r>
      <w:r w:rsidR="00065DA9" w:rsidRPr="00E6307F">
        <w:rPr>
          <w:shd w:val="clear" w:color="auto" w:fill="FFFFFF"/>
        </w:rPr>
        <w:t>. Housing and first births in Sweden, 1972–2005.</w:t>
      </w:r>
      <w:r w:rsidR="00065DA9" w:rsidRPr="00E6307F">
        <w:rPr>
          <w:rStyle w:val="apple-converted-space"/>
          <w:shd w:val="clear" w:color="auto" w:fill="FFFFFF"/>
        </w:rPr>
        <w:t> </w:t>
      </w:r>
      <w:r w:rsidR="00065DA9" w:rsidRPr="00E6307F">
        <w:rPr>
          <w:i/>
          <w:iCs/>
          <w:shd w:val="clear" w:color="auto" w:fill="FFFFFF"/>
        </w:rPr>
        <w:t>Housing Studies</w:t>
      </w:r>
      <w:r w:rsidR="00065DA9" w:rsidRPr="00E6307F">
        <w:rPr>
          <w:shd w:val="clear" w:color="auto" w:fill="FFFFFF"/>
        </w:rPr>
        <w:t>,</w:t>
      </w:r>
      <w:r w:rsidR="00065DA9" w:rsidRPr="00E6307F">
        <w:rPr>
          <w:rStyle w:val="apple-converted-space"/>
          <w:shd w:val="clear" w:color="auto" w:fill="FFFFFF"/>
        </w:rPr>
        <w:t> </w:t>
      </w:r>
      <w:r w:rsidR="00065DA9" w:rsidRPr="00E6307F">
        <w:rPr>
          <w:iCs/>
          <w:shd w:val="clear" w:color="auto" w:fill="FFFFFF"/>
        </w:rPr>
        <w:t>25</w:t>
      </w:r>
      <w:r w:rsidR="00065DA9" w:rsidRPr="00E6307F">
        <w:rPr>
          <w:shd w:val="clear" w:color="auto" w:fill="FFFFFF"/>
        </w:rPr>
        <w:t>(4), 509-526.</w:t>
      </w:r>
    </w:p>
    <w:p w14:paraId="4B021AE1" w14:textId="04F68D1B" w:rsidR="00FE541B" w:rsidRPr="00E6307F" w:rsidRDefault="00E513FF" w:rsidP="00C008AD">
      <w:pPr>
        <w:spacing w:line="240" w:lineRule="auto"/>
        <w:ind w:left="360" w:hanging="360"/>
        <w:jc w:val="both"/>
        <w:rPr>
          <w:noProof/>
        </w:rPr>
      </w:pPr>
      <w:r>
        <w:rPr>
          <w:noProof/>
        </w:rPr>
        <w:t>Sundblad, E.L., Biel, A.,</w:t>
      </w:r>
      <w:r w:rsidR="00194EB5">
        <w:rPr>
          <w:noProof/>
        </w:rPr>
        <w:t xml:space="preserve"> Gärling, T., 2007</w:t>
      </w:r>
      <w:r w:rsidR="00FE541B" w:rsidRPr="00E6307F">
        <w:rPr>
          <w:noProof/>
        </w:rPr>
        <w:t>. Cognitive and affective risk judgements related to climate change. </w:t>
      </w:r>
      <w:r w:rsidR="00FE541B" w:rsidRPr="00E6307F">
        <w:rPr>
          <w:i/>
          <w:noProof/>
        </w:rPr>
        <w:t>Journal of Environmental Psychology</w:t>
      </w:r>
      <w:r w:rsidR="00FE541B" w:rsidRPr="00E6307F">
        <w:rPr>
          <w:noProof/>
        </w:rPr>
        <w:t>, 27(2), 97-106.</w:t>
      </w:r>
    </w:p>
    <w:p w14:paraId="2ACE035B" w14:textId="3C9F5B7B" w:rsidR="00FE541B" w:rsidRPr="00E6307F" w:rsidRDefault="00FE541B" w:rsidP="00C008AD">
      <w:pPr>
        <w:spacing w:line="240" w:lineRule="auto"/>
        <w:ind w:left="360" w:hanging="360"/>
        <w:jc w:val="both"/>
        <w:rPr>
          <w:noProof/>
        </w:rPr>
      </w:pPr>
      <w:r w:rsidRPr="00E6307F">
        <w:rPr>
          <w:noProof/>
        </w:rPr>
        <w:lastRenderedPageBreak/>
        <w:t>Surprenan</w:t>
      </w:r>
      <w:r w:rsidR="00E513FF">
        <w:rPr>
          <w:noProof/>
        </w:rPr>
        <w:t xml:space="preserve">t-Legault, J., Patterson, Z., </w:t>
      </w:r>
      <w:r w:rsidR="00194EB5">
        <w:rPr>
          <w:noProof/>
        </w:rPr>
        <w:t>El-Geneidy, A., 201</w:t>
      </w:r>
      <w:r w:rsidR="005E495B">
        <w:rPr>
          <w:noProof/>
        </w:rPr>
        <w:t>3</w:t>
      </w:r>
      <w:r w:rsidRPr="00E6307F">
        <w:rPr>
          <w:noProof/>
        </w:rPr>
        <w:t xml:space="preserve">. Commuting trade-offs and distance reduction in two-worker households. </w:t>
      </w:r>
      <w:r w:rsidR="007A5CF0" w:rsidRPr="00E6307F">
        <w:rPr>
          <w:i/>
          <w:noProof/>
        </w:rPr>
        <w:t>Transportation Research Part A</w:t>
      </w:r>
      <w:r w:rsidR="007A5CF0" w:rsidRPr="00E6307F">
        <w:rPr>
          <w:noProof/>
        </w:rPr>
        <w:t xml:space="preserve">, </w:t>
      </w:r>
      <w:r w:rsidRPr="00E6307F">
        <w:rPr>
          <w:noProof/>
        </w:rPr>
        <w:t xml:space="preserve">51, 12-28. </w:t>
      </w:r>
    </w:p>
    <w:p w14:paraId="3C6376D3" w14:textId="520BE8D9" w:rsidR="00FE541B" w:rsidRPr="00E6307F" w:rsidRDefault="00194EB5" w:rsidP="00C008AD">
      <w:pPr>
        <w:spacing w:line="240" w:lineRule="auto"/>
        <w:ind w:left="360" w:hanging="360"/>
        <w:jc w:val="both"/>
        <w:rPr>
          <w:noProof/>
        </w:rPr>
      </w:pPr>
      <w:r>
        <w:rPr>
          <w:noProof/>
        </w:rPr>
        <w:t>Swait, J., 2001</w:t>
      </w:r>
      <w:r w:rsidR="00FE541B" w:rsidRPr="00E6307F">
        <w:rPr>
          <w:noProof/>
        </w:rPr>
        <w:t xml:space="preserve">. Choice set generation within the generalized extreme value family of discrete choice models. </w:t>
      </w:r>
      <w:r w:rsidR="007A5CF0" w:rsidRPr="00E6307F">
        <w:rPr>
          <w:i/>
          <w:noProof/>
        </w:rPr>
        <w:t>Transportation Research Part B</w:t>
      </w:r>
      <w:r w:rsidR="00FE541B" w:rsidRPr="00E6307F">
        <w:rPr>
          <w:noProof/>
        </w:rPr>
        <w:t xml:space="preserve">, 35(7), 643-666. </w:t>
      </w:r>
    </w:p>
    <w:p w14:paraId="4ED26268" w14:textId="5379FF63" w:rsidR="00FE541B" w:rsidRPr="00E6307F" w:rsidRDefault="00FE541B" w:rsidP="00C008AD">
      <w:pPr>
        <w:spacing w:line="240" w:lineRule="auto"/>
        <w:ind w:left="360" w:hanging="360"/>
        <w:jc w:val="both"/>
        <w:rPr>
          <w:noProof/>
        </w:rPr>
      </w:pPr>
      <w:r w:rsidRPr="00E6307F">
        <w:rPr>
          <w:noProof/>
        </w:rPr>
        <w:t>Swa</w:t>
      </w:r>
      <w:r w:rsidR="00E513FF">
        <w:rPr>
          <w:noProof/>
        </w:rPr>
        <w:t xml:space="preserve">it, J., </w:t>
      </w:r>
      <w:r w:rsidR="00194EB5">
        <w:rPr>
          <w:noProof/>
        </w:rPr>
        <w:t>Ben-Akiva, M., 1987</w:t>
      </w:r>
      <w:r w:rsidRPr="00E6307F">
        <w:rPr>
          <w:noProof/>
        </w:rPr>
        <w:t xml:space="preserve">. Incorporating random constraints in discrete models of choice set generation. </w:t>
      </w:r>
      <w:r w:rsidR="007A5CF0" w:rsidRPr="00E6307F">
        <w:rPr>
          <w:i/>
          <w:noProof/>
        </w:rPr>
        <w:t>Transportation Research Part B</w:t>
      </w:r>
      <w:r w:rsidRPr="00E6307F">
        <w:rPr>
          <w:noProof/>
        </w:rPr>
        <w:t xml:space="preserve">, 21(2), 91-102. </w:t>
      </w:r>
    </w:p>
    <w:p w14:paraId="7815FCE1" w14:textId="5AA85E65" w:rsidR="00FE541B" w:rsidRPr="00E6307F" w:rsidRDefault="00E513FF" w:rsidP="00C008AD">
      <w:pPr>
        <w:spacing w:line="240" w:lineRule="auto"/>
        <w:ind w:left="360" w:hanging="360"/>
        <w:jc w:val="both"/>
        <w:rPr>
          <w:noProof/>
        </w:rPr>
      </w:pPr>
      <w:r>
        <w:rPr>
          <w:noProof/>
        </w:rPr>
        <w:t>Taylor, D.</w:t>
      </w:r>
      <w:r w:rsidR="00194EB5">
        <w:rPr>
          <w:noProof/>
        </w:rPr>
        <w:t>E., 1989</w:t>
      </w:r>
      <w:r w:rsidR="00FE541B" w:rsidRPr="00E6307F">
        <w:rPr>
          <w:noProof/>
        </w:rPr>
        <w:t>. Blacks and the environment toward an explanation of the concern and action gap between blacks and whites. </w:t>
      </w:r>
      <w:r w:rsidR="00FE541B" w:rsidRPr="00E6307F">
        <w:rPr>
          <w:i/>
          <w:noProof/>
        </w:rPr>
        <w:t>Environment and Behavior</w:t>
      </w:r>
      <w:r w:rsidR="00FE541B" w:rsidRPr="00E6307F">
        <w:rPr>
          <w:noProof/>
        </w:rPr>
        <w:t>, 21(2), 175-205.</w:t>
      </w:r>
    </w:p>
    <w:p w14:paraId="177F6150" w14:textId="3089D575" w:rsidR="00FE541B" w:rsidRPr="00E6307F" w:rsidRDefault="00E513FF" w:rsidP="00C008AD">
      <w:pPr>
        <w:spacing w:line="240" w:lineRule="auto"/>
        <w:ind w:left="360" w:hanging="360"/>
        <w:jc w:val="both"/>
        <w:rPr>
          <w:noProof/>
        </w:rPr>
      </w:pPr>
      <w:r>
        <w:rPr>
          <w:noProof/>
        </w:rPr>
        <w:t xml:space="preserve">Thill, J.-C., </w:t>
      </w:r>
      <w:r w:rsidR="00FE541B" w:rsidRPr="00E6307F">
        <w:rPr>
          <w:noProof/>
        </w:rPr>
        <w:t>Horowitz, J.</w:t>
      </w:r>
      <w:r>
        <w:rPr>
          <w:noProof/>
        </w:rPr>
        <w:t>L</w:t>
      </w:r>
      <w:r w:rsidR="00194EB5">
        <w:rPr>
          <w:noProof/>
        </w:rPr>
        <w:t xml:space="preserve">., </w:t>
      </w:r>
      <w:r w:rsidR="00FE541B" w:rsidRPr="00E6307F">
        <w:rPr>
          <w:noProof/>
        </w:rPr>
        <w:t xml:space="preserve">1997. Modelling non-work destination choices with choice sets defined by travel-time constraints </w:t>
      </w:r>
      <w:r w:rsidR="00FE541B" w:rsidRPr="00E6307F">
        <w:rPr>
          <w:i/>
          <w:noProof/>
        </w:rPr>
        <w:t>Recent Developments in Spatial Analysis</w:t>
      </w:r>
      <w:r w:rsidR="00FE541B" w:rsidRPr="00E6307F">
        <w:rPr>
          <w:noProof/>
        </w:rPr>
        <w:t xml:space="preserve"> (pp. 186-208): Springer.</w:t>
      </w:r>
    </w:p>
    <w:p w14:paraId="78376060" w14:textId="766FDA43" w:rsidR="00FB1E50" w:rsidRPr="00E6307F" w:rsidRDefault="00194EB5" w:rsidP="00C008AD">
      <w:pPr>
        <w:spacing w:line="240" w:lineRule="auto"/>
        <w:ind w:left="360" w:hanging="360"/>
        <w:jc w:val="both"/>
        <w:rPr>
          <w:noProof/>
        </w:rPr>
      </w:pPr>
      <w:r>
        <w:rPr>
          <w:noProof/>
        </w:rPr>
        <w:t>Tversky, A., 1972</w:t>
      </w:r>
      <w:r w:rsidR="00FE541B" w:rsidRPr="00E6307F">
        <w:rPr>
          <w:noProof/>
        </w:rPr>
        <w:t xml:space="preserve">. Elimination by aspects: A theory of choice. </w:t>
      </w:r>
      <w:r w:rsidR="00FE541B" w:rsidRPr="00E6307F">
        <w:rPr>
          <w:i/>
          <w:noProof/>
        </w:rPr>
        <w:t xml:space="preserve">Psychological </w:t>
      </w:r>
      <w:r w:rsidR="007A5CF0" w:rsidRPr="00E6307F">
        <w:rPr>
          <w:i/>
          <w:noProof/>
        </w:rPr>
        <w:t>R</w:t>
      </w:r>
      <w:r w:rsidR="00FE541B" w:rsidRPr="00E6307F">
        <w:rPr>
          <w:i/>
          <w:noProof/>
        </w:rPr>
        <w:t>eview</w:t>
      </w:r>
      <w:r>
        <w:rPr>
          <w:noProof/>
        </w:rPr>
        <w:t xml:space="preserve">, </w:t>
      </w:r>
      <w:r w:rsidR="00FE541B" w:rsidRPr="00E6307F">
        <w:rPr>
          <w:noProof/>
        </w:rPr>
        <w:t>79</w:t>
      </w:r>
      <w:r w:rsidR="00FB1E50" w:rsidRPr="00E6307F">
        <w:rPr>
          <w:noProof/>
        </w:rPr>
        <w:t>(4), 281</w:t>
      </w:r>
      <w:r>
        <w:rPr>
          <w:noProof/>
        </w:rPr>
        <w:t>-299</w:t>
      </w:r>
      <w:r w:rsidR="00FB1E50" w:rsidRPr="00E6307F">
        <w:rPr>
          <w:noProof/>
        </w:rPr>
        <w:t xml:space="preserve">. </w:t>
      </w:r>
    </w:p>
    <w:p w14:paraId="715B4138" w14:textId="21EE53A5" w:rsidR="00022D88" w:rsidRPr="00E6307F" w:rsidRDefault="00022D88" w:rsidP="00C008AD">
      <w:pPr>
        <w:spacing w:line="240" w:lineRule="auto"/>
        <w:ind w:left="360" w:hanging="360"/>
        <w:jc w:val="both"/>
      </w:pPr>
      <w:r w:rsidRPr="00E6307F">
        <w:rPr>
          <w:rFonts w:eastAsiaTheme="minorHAnsi"/>
        </w:rPr>
        <w:t>U.S</w:t>
      </w:r>
      <w:r w:rsidR="00194EB5">
        <w:rPr>
          <w:rFonts w:eastAsiaTheme="minorHAnsi"/>
        </w:rPr>
        <w:t xml:space="preserve">. Census Bureau, </w:t>
      </w:r>
      <w:r w:rsidRPr="00E6307F">
        <w:rPr>
          <w:rFonts w:eastAsiaTheme="minorHAnsi"/>
        </w:rPr>
        <w:t>2011. American Housing Survey for the United States: 2009. Current Housing Reports, Series H150/09, Washington, DC.</w:t>
      </w:r>
    </w:p>
    <w:p w14:paraId="7C467CDE" w14:textId="21C6FE7D" w:rsidR="00FE541B" w:rsidRPr="00E6307F" w:rsidRDefault="00FB1E50" w:rsidP="00C008AD">
      <w:pPr>
        <w:spacing w:line="240" w:lineRule="auto"/>
        <w:ind w:left="360" w:hanging="360"/>
        <w:jc w:val="both"/>
        <w:rPr>
          <w:noProof/>
        </w:rPr>
      </w:pPr>
      <w:r w:rsidRPr="00E6307F">
        <w:t>U.S. Department of Housing and Urban Development</w:t>
      </w:r>
      <w:r w:rsidR="00194EB5">
        <w:rPr>
          <w:noProof/>
        </w:rPr>
        <w:t>, 2013</w:t>
      </w:r>
      <w:r w:rsidR="00FE541B" w:rsidRPr="00E6307F">
        <w:rPr>
          <w:noProof/>
        </w:rPr>
        <w:t>. Codebook</w:t>
      </w:r>
      <w:r w:rsidRPr="00E6307F">
        <w:rPr>
          <w:noProof/>
        </w:rPr>
        <w:t xml:space="preserve"> </w:t>
      </w:r>
      <w:r w:rsidR="00FE541B" w:rsidRPr="00E6307F">
        <w:rPr>
          <w:noProof/>
        </w:rPr>
        <w:t xml:space="preserve">for the American Housing Survey, Public Use File: 1997 - 2011. </w:t>
      </w:r>
      <w:r w:rsidRPr="00E6307F">
        <w:t xml:space="preserve">Office of Policy Development &amp; Research, </w:t>
      </w:r>
      <w:r w:rsidRPr="00E6307F">
        <w:rPr>
          <w:noProof/>
        </w:rPr>
        <w:t>Washington, DC.</w:t>
      </w:r>
    </w:p>
    <w:p w14:paraId="78BB5B2A" w14:textId="4496CA3F" w:rsidR="00FE541B" w:rsidRPr="00E6307F" w:rsidRDefault="00194EB5" w:rsidP="00C008AD">
      <w:pPr>
        <w:spacing w:line="240" w:lineRule="auto"/>
        <w:ind w:left="360" w:hanging="360"/>
        <w:jc w:val="both"/>
        <w:rPr>
          <w:noProof/>
        </w:rPr>
      </w:pPr>
      <w:r>
        <w:rPr>
          <w:noProof/>
        </w:rPr>
        <w:t>U.S. Department of Energy, 2011</w:t>
      </w:r>
      <w:r w:rsidR="00FE541B" w:rsidRPr="00E6307F">
        <w:rPr>
          <w:noProof/>
        </w:rPr>
        <w:t>. 2010 Buildings Energy Data Book. Accessed on Sep 16,</w:t>
      </w:r>
      <w:r w:rsidR="007A5CF0" w:rsidRPr="00E6307F">
        <w:rPr>
          <w:noProof/>
        </w:rPr>
        <w:t xml:space="preserve"> </w:t>
      </w:r>
      <w:r w:rsidR="00FE541B" w:rsidRPr="00E6307F">
        <w:rPr>
          <w:noProof/>
        </w:rPr>
        <w:t>2014.</w:t>
      </w:r>
      <w:r w:rsidR="007A5CF0" w:rsidRPr="00E6307F">
        <w:rPr>
          <w:noProof/>
        </w:rPr>
        <w:t xml:space="preserve"> </w:t>
      </w:r>
      <w:r w:rsidR="00FE541B" w:rsidRPr="00E6307F">
        <w:rPr>
          <w:noProof/>
        </w:rPr>
        <w:t xml:space="preserve">http://buildingsdatabook.eren.doe.gov/docs%5CDataBooks%5C2010_BEDB.pdf  </w:t>
      </w:r>
    </w:p>
    <w:p w14:paraId="473AA1BB" w14:textId="2F5B6DC8" w:rsidR="00433953" w:rsidRPr="00E6307F" w:rsidRDefault="00433953" w:rsidP="00C008AD">
      <w:pPr>
        <w:spacing w:line="240" w:lineRule="auto"/>
        <w:ind w:left="360" w:hanging="360"/>
        <w:jc w:val="both"/>
        <w:rPr>
          <w:noProof/>
        </w:rPr>
      </w:pPr>
      <w:r w:rsidRPr="00E6307F">
        <w:t xml:space="preserve">Van Acker, V., Mokhtarian, P.L., Witlox, F., 2011. Going soft: on how subjective variables explain modal choices for leisure travel. </w:t>
      </w:r>
      <w:r w:rsidRPr="00E6307F">
        <w:rPr>
          <w:i/>
        </w:rPr>
        <w:t>European Journal of Transport and Infrastructure Research</w:t>
      </w:r>
      <w:r w:rsidRPr="00E6307F">
        <w:t xml:space="preserve"> </w:t>
      </w:r>
      <w:r w:rsidRPr="00E6307F">
        <w:rPr>
          <w:rStyle w:val="databold"/>
        </w:rPr>
        <w:t>11</w:t>
      </w:r>
      <w:r w:rsidRPr="00E6307F">
        <w:t>(</w:t>
      </w:r>
      <w:r w:rsidRPr="00E6307F">
        <w:rPr>
          <w:rStyle w:val="databold"/>
        </w:rPr>
        <w:t>2)</w:t>
      </w:r>
      <w:r w:rsidRPr="00E6307F">
        <w:t xml:space="preserve">, </w:t>
      </w:r>
      <w:r w:rsidRPr="00E6307F">
        <w:rPr>
          <w:rStyle w:val="databold"/>
        </w:rPr>
        <w:t>115-146</w:t>
      </w:r>
      <w:r w:rsidRPr="00E6307F">
        <w:t>.</w:t>
      </w:r>
    </w:p>
    <w:p w14:paraId="50781372" w14:textId="293166ED" w:rsidR="00FE541B" w:rsidRPr="00E6307F" w:rsidRDefault="00E513FF" w:rsidP="00C008AD">
      <w:pPr>
        <w:spacing w:line="240" w:lineRule="auto"/>
        <w:ind w:left="360" w:hanging="360"/>
        <w:jc w:val="both"/>
        <w:rPr>
          <w:noProof/>
        </w:rPr>
      </w:pPr>
      <w:r>
        <w:rPr>
          <w:noProof/>
        </w:rPr>
        <w:t>Varin, C.,</w:t>
      </w:r>
      <w:r w:rsidR="00194EB5">
        <w:rPr>
          <w:noProof/>
        </w:rPr>
        <w:t xml:space="preserve"> Vidoni, P., 2005</w:t>
      </w:r>
      <w:r w:rsidR="00FE541B" w:rsidRPr="00E6307F">
        <w:rPr>
          <w:noProof/>
        </w:rPr>
        <w:t>. A note on composite likelihood inference and model</w:t>
      </w:r>
      <w:r w:rsidR="00C008AD">
        <w:rPr>
          <w:noProof/>
        </w:rPr>
        <w:t xml:space="preserve"> selection. </w:t>
      </w:r>
      <w:r w:rsidR="00FE541B" w:rsidRPr="00E6307F">
        <w:rPr>
          <w:i/>
          <w:noProof/>
        </w:rPr>
        <w:t>Biometrika</w:t>
      </w:r>
      <w:r w:rsidR="00FE541B" w:rsidRPr="00E6307F">
        <w:rPr>
          <w:noProof/>
        </w:rPr>
        <w:t>, 92(3), 519-528.</w:t>
      </w:r>
    </w:p>
    <w:p w14:paraId="298ECC4A" w14:textId="2FC03043" w:rsidR="00FE541B" w:rsidRPr="00E6307F" w:rsidRDefault="00194EB5" w:rsidP="00C008AD">
      <w:pPr>
        <w:spacing w:line="240" w:lineRule="auto"/>
        <w:ind w:left="360" w:hanging="360"/>
        <w:jc w:val="both"/>
        <w:rPr>
          <w:noProof/>
        </w:rPr>
      </w:pPr>
      <w:r>
        <w:rPr>
          <w:noProof/>
        </w:rPr>
        <w:t>Wegener, M., 2011</w:t>
      </w:r>
      <w:r w:rsidR="00FE541B" w:rsidRPr="00E6307F">
        <w:rPr>
          <w:noProof/>
        </w:rPr>
        <w:t xml:space="preserve">. From macro to micro—how much micro is too much? </w:t>
      </w:r>
      <w:r w:rsidR="00FE541B" w:rsidRPr="00E6307F">
        <w:rPr>
          <w:i/>
          <w:noProof/>
        </w:rPr>
        <w:t>Transport Reviews</w:t>
      </w:r>
      <w:r w:rsidR="00FE541B" w:rsidRPr="00E6307F">
        <w:rPr>
          <w:noProof/>
        </w:rPr>
        <w:t xml:space="preserve">, 31(2), 161-177. </w:t>
      </w:r>
    </w:p>
    <w:p w14:paraId="52C357A5" w14:textId="6C909B88" w:rsidR="00065DA9" w:rsidRPr="00E6307F" w:rsidRDefault="00E513FF" w:rsidP="00C008AD">
      <w:pPr>
        <w:spacing w:line="240" w:lineRule="auto"/>
        <w:ind w:left="360" w:hanging="360"/>
        <w:jc w:val="both"/>
        <w:rPr>
          <w:shd w:val="clear" w:color="auto" w:fill="FFFFFF"/>
        </w:rPr>
      </w:pPr>
      <w:r>
        <w:rPr>
          <w:shd w:val="clear" w:color="auto" w:fill="FFFFFF"/>
        </w:rPr>
        <w:t>Wiedmann, K.P., Hennigs, N.,</w:t>
      </w:r>
      <w:r w:rsidR="00194EB5">
        <w:rPr>
          <w:shd w:val="clear" w:color="auto" w:fill="FFFFFF"/>
        </w:rPr>
        <w:t xml:space="preserve"> Siebels, A., 2007</w:t>
      </w:r>
      <w:r w:rsidR="00065DA9" w:rsidRPr="00E6307F">
        <w:rPr>
          <w:shd w:val="clear" w:color="auto" w:fill="FFFFFF"/>
        </w:rPr>
        <w:t>. Measuring consumers’ luxury value perception: A cross-cultural framework.</w:t>
      </w:r>
      <w:r w:rsidR="00065DA9" w:rsidRPr="00E6307F">
        <w:rPr>
          <w:rStyle w:val="apple-converted-space"/>
          <w:shd w:val="clear" w:color="auto" w:fill="FFFFFF"/>
        </w:rPr>
        <w:t> </w:t>
      </w:r>
      <w:r w:rsidR="00065DA9" w:rsidRPr="00E6307F">
        <w:rPr>
          <w:i/>
          <w:iCs/>
          <w:shd w:val="clear" w:color="auto" w:fill="FFFFFF"/>
        </w:rPr>
        <w:t>Academy of Marketing Science Review</w:t>
      </w:r>
      <w:r w:rsidR="00065DA9" w:rsidRPr="00E6307F">
        <w:rPr>
          <w:shd w:val="clear" w:color="auto" w:fill="FFFFFF"/>
        </w:rPr>
        <w:t>,</w:t>
      </w:r>
      <w:r w:rsidR="00065DA9" w:rsidRPr="00E6307F">
        <w:rPr>
          <w:rStyle w:val="apple-converted-space"/>
          <w:shd w:val="clear" w:color="auto" w:fill="FFFFFF"/>
        </w:rPr>
        <w:t> </w:t>
      </w:r>
      <w:r w:rsidR="00065DA9" w:rsidRPr="00E6307F">
        <w:rPr>
          <w:iCs/>
          <w:shd w:val="clear" w:color="auto" w:fill="FFFFFF"/>
        </w:rPr>
        <w:t>7</w:t>
      </w:r>
      <w:r w:rsidR="00065DA9" w:rsidRPr="00E6307F">
        <w:rPr>
          <w:shd w:val="clear" w:color="auto" w:fill="FFFFFF"/>
        </w:rPr>
        <w:t>(7), 333-361.</w:t>
      </w:r>
    </w:p>
    <w:p w14:paraId="15357CB1" w14:textId="3AB124E3" w:rsidR="00FE541B" w:rsidRPr="00E6307F" w:rsidRDefault="00E513FF" w:rsidP="00C008AD">
      <w:pPr>
        <w:spacing w:line="240" w:lineRule="auto"/>
        <w:ind w:left="360" w:hanging="360"/>
        <w:jc w:val="both"/>
        <w:rPr>
          <w:noProof/>
        </w:rPr>
      </w:pPr>
      <w:r>
        <w:rPr>
          <w:noProof/>
        </w:rPr>
        <w:t>Williams, H., Ortúzar, J. de D., 1982</w:t>
      </w:r>
      <w:r w:rsidR="00FE541B" w:rsidRPr="00E6307F">
        <w:rPr>
          <w:noProof/>
        </w:rPr>
        <w:t xml:space="preserve">. Behavioural theories of dispersion and the mis-specification of travel demand models. </w:t>
      </w:r>
      <w:r w:rsidR="007A5CF0" w:rsidRPr="00E6307F">
        <w:rPr>
          <w:i/>
          <w:noProof/>
        </w:rPr>
        <w:t>Transportation Research Part B</w:t>
      </w:r>
      <w:r w:rsidR="00FE541B" w:rsidRPr="00E6307F">
        <w:rPr>
          <w:noProof/>
        </w:rPr>
        <w:t xml:space="preserve">, 16(3), 167-219. </w:t>
      </w:r>
    </w:p>
    <w:p w14:paraId="3FFD48A0" w14:textId="53B96BA8" w:rsidR="00FE541B" w:rsidRPr="00E6307F" w:rsidRDefault="00E513FF" w:rsidP="00C008AD">
      <w:pPr>
        <w:spacing w:line="240" w:lineRule="auto"/>
        <w:ind w:left="360" w:hanging="360"/>
        <w:jc w:val="both"/>
        <w:rPr>
          <w:noProof/>
        </w:rPr>
      </w:pPr>
      <w:r>
        <w:rPr>
          <w:noProof/>
        </w:rPr>
        <w:t>Wilson, A.G., 1970</w:t>
      </w:r>
      <w:r w:rsidR="00FE541B" w:rsidRPr="00E6307F">
        <w:rPr>
          <w:noProof/>
        </w:rPr>
        <w:t xml:space="preserve">. Disaggregating elementary residential location models. </w:t>
      </w:r>
      <w:r w:rsidR="00FE541B" w:rsidRPr="00E6307F">
        <w:rPr>
          <w:i/>
          <w:noProof/>
        </w:rPr>
        <w:t>Papers in Regional Science</w:t>
      </w:r>
      <w:r w:rsidR="00FE541B" w:rsidRPr="00E6307F">
        <w:rPr>
          <w:noProof/>
        </w:rPr>
        <w:t xml:space="preserve">, 24(1), 103-126. </w:t>
      </w:r>
    </w:p>
    <w:p w14:paraId="440B0FBA" w14:textId="00F5BBB5" w:rsidR="00065DA9" w:rsidRPr="00E6307F" w:rsidRDefault="00E513FF" w:rsidP="00C008AD">
      <w:pPr>
        <w:spacing w:line="240" w:lineRule="auto"/>
        <w:ind w:left="360" w:hanging="360"/>
        <w:jc w:val="both"/>
        <w:rPr>
          <w:shd w:val="clear" w:color="auto" w:fill="FFFFFF"/>
        </w:rPr>
      </w:pPr>
      <w:r>
        <w:rPr>
          <w:shd w:val="clear" w:color="auto" w:fill="FFFFFF"/>
        </w:rPr>
        <w:t>Wilson, J., Singer, A., 2011</w:t>
      </w:r>
      <w:r w:rsidR="00065DA9" w:rsidRPr="00E6307F">
        <w:rPr>
          <w:shd w:val="clear" w:color="auto" w:fill="FFFFFF"/>
        </w:rPr>
        <w:t>.</w:t>
      </w:r>
      <w:r w:rsidR="00065DA9" w:rsidRPr="00E6307F">
        <w:rPr>
          <w:rStyle w:val="apple-converted-space"/>
          <w:shd w:val="clear" w:color="auto" w:fill="FFFFFF"/>
        </w:rPr>
        <w:t> </w:t>
      </w:r>
      <w:r w:rsidR="00065DA9" w:rsidRPr="00E6307F">
        <w:rPr>
          <w:i/>
          <w:iCs/>
          <w:shd w:val="clear" w:color="auto" w:fill="FFFFFF"/>
        </w:rPr>
        <w:t>Immigrants in 2010 Metropolitan America: A decade of change</w:t>
      </w:r>
      <w:r w:rsidR="00065DA9" w:rsidRPr="00E6307F">
        <w:rPr>
          <w:shd w:val="clear" w:color="auto" w:fill="FFFFFF"/>
        </w:rPr>
        <w:t>. Metropolitan Policy Program, Brookings Institution.</w:t>
      </w:r>
    </w:p>
    <w:p w14:paraId="6120F8F7" w14:textId="6BBE5A91" w:rsidR="00FE541B" w:rsidRPr="00E6307F" w:rsidRDefault="00E513FF" w:rsidP="00C008AD">
      <w:pPr>
        <w:spacing w:line="240" w:lineRule="auto"/>
        <w:ind w:left="360" w:hanging="360"/>
        <w:jc w:val="both"/>
        <w:rPr>
          <w:shd w:val="clear" w:color="auto" w:fill="FFFFFF"/>
        </w:rPr>
      </w:pPr>
      <w:r>
        <w:rPr>
          <w:shd w:val="clear" w:color="auto" w:fill="FFFFFF"/>
        </w:rPr>
        <w:t>Yates, J., Mackay, D.</w:t>
      </w:r>
      <w:r w:rsidR="00194EB5">
        <w:rPr>
          <w:shd w:val="clear" w:color="auto" w:fill="FFFFFF"/>
        </w:rPr>
        <w:t>F., 2006</w:t>
      </w:r>
      <w:r w:rsidR="00FE541B" w:rsidRPr="00E6307F">
        <w:rPr>
          <w:shd w:val="clear" w:color="auto" w:fill="FFFFFF"/>
        </w:rPr>
        <w:t>. Discrete choice modelling of urban housing markets: A critical review and an application.</w:t>
      </w:r>
      <w:r w:rsidR="00FE541B" w:rsidRPr="00E6307F">
        <w:t> </w:t>
      </w:r>
      <w:r w:rsidR="00FE541B" w:rsidRPr="00E6307F">
        <w:rPr>
          <w:i/>
          <w:shd w:val="clear" w:color="auto" w:fill="FFFFFF"/>
        </w:rPr>
        <w:t xml:space="preserve">Urban </w:t>
      </w:r>
      <w:r w:rsidR="007A5CF0" w:rsidRPr="00E6307F">
        <w:rPr>
          <w:i/>
          <w:shd w:val="clear" w:color="auto" w:fill="FFFFFF"/>
        </w:rPr>
        <w:t>S</w:t>
      </w:r>
      <w:r w:rsidR="00FE541B" w:rsidRPr="00E6307F">
        <w:rPr>
          <w:i/>
          <w:shd w:val="clear" w:color="auto" w:fill="FFFFFF"/>
        </w:rPr>
        <w:t>tudies</w:t>
      </w:r>
      <w:r w:rsidR="00FE541B" w:rsidRPr="00E6307F">
        <w:rPr>
          <w:shd w:val="clear" w:color="auto" w:fill="FFFFFF"/>
        </w:rPr>
        <w:t>,</w:t>
      </w:r>
      <w:r w:rsidR="00FE541B" w:rsidRPr="00E6307F">
        <w:t> </w:t>
      </w:r>
      <w:r w:rsidR="00FE541B" w:rsidRPr="00E6307F">
        <w:rPr>
          <w:shd w:val="clear" w:color="auto" w:fill="FFFFFF"/>
        </w:rPr>
        <w:t>43(3), 559-581.</w:t>
      </w:r>
    </w:p>
    <w:p w14:paraId="48FBF844" w14:textId="241CF749" w:rsidR="00FE541B" w:rsidRPr="00E6307F" w:rsidRDefault="00FE541B" w:rsidP="00C008AD">
      <w:pPr>
        <w:spacing w:line="240" w:lineRule="auto"/>
        <w:ind w:left="360" w:hanging="360"/>
        <w:jc w:val="both"/>
        <w:rPr>
          <w:noProof/>
        </w:rPr>
      </w:pPr>
      <w:r w:rsidRPr="00E6307F">
        <w:rPr>
          <w:noProof/>
        </w:rPr>
        <w:t>Yigitcanlar, T.,</w:t>
      </w:r>
      <w:r w:rsidR="00194EB5">
        <w:rPr>
          <w:noProof/>
        </w:rPr>
        <w:t xml:space="preserve"> 2010</w:t>
      </w:r>
      <w:r w:rsidRPr="00E6307F">
        <w:rPr>
          <w:noProof/>
        </w:rPr>
        <w:t xml:space="preserve">. Making space and place for the knowledge economy: knowledge-based development of Australian cities. </w:t>
      </w:r>
      <w:r w:rsidRPr="00E6307F">
        <w:rPr>
          <w:i/>
          <w:noProof/>
        </w:rPr>
        <w:t>European Planning Studies</w:t>
      </w:r>
      <w:r w:rsidRPr="00E6307F">
        <w:rPr>
          <w:noProof/>
        </w:rPr>
        <w:t>, 18(11), 1769-1786.</w:t>
      </w:r>
    </w:p>
    <w:p w14:paraId="3BCA0A92" w14:textId="215B8F8F" w:rsidR="00FE541B" w:rsidRPr="00E6307F" w:rsidRDefault="00FE541B" w:rsidP="00C008AD">
      <w:pPr>
        <w:spacing w:line="240" w:lineRule="auto"/>
        <w:ind w:left="360" w:hanging="360"/>
        <w:jc w:val="both"/>
        <w:rPr>
          <w:noProof/>
        </w:rPr>
      </w:pPr>
      <w:r w:rsidRPr="00E6307F">
        <w:rPr>
          <w:noProof/>
        </w:rPr>
        <w:t>Yigitcanlar, T., O'</w:t>
      </w:r>
      <w:r w:rsidR="00E513FF">
        <w:rPr>
          <w:noProof/>
        </w:rPr>
        <w:t>Connor, K.O., Westerman, C., 2008</w:t>
      </w:r>
      <w:r w:rsidRPr="00E6307F">
        <w:rPr>
          <w:noProof/>
        </w:rPr>
        <w:t>. T</w:t>
      </w:r>
      <w:r w:rsidR="006E4DFD" w:rsidRPr="00E6307F">
        <w:rPr>
          <w:noProof/>
        </w:rPr>
        <w:t xml:space="preserve">he making of knowledge cities: </w:t>
      </w:r>
      <w:r w:rsidRPr="00E6307F">
        <w:rPr>
          <w:noProof/>
        </w:rPr>
        <w:t xml:space="preserve">Melbourne’s knowledge-based urban development experience. </w:t>
      </w:r>
      <w:r w:rsidRPr="00E6307F">
        <w:rPr>
          <w:i/>
          <w:noProof/>
        </w:rPr>
        <w:t>Cities</w:t>
      </w:r>
      <w:r w:rsidRPr="00E6307F">
        <w:rPr>
          <w:noProof/>
        </w:rPr>
        <w:t>, 25(1), 63-72.</w:t>
      </w:r>
    </w:p>
    <w:p w14:paraId="5097B19D" w14:textId="34C3EDDD" w:rsidR="00FE541B" w:rsidRPr="00E6307F" w:rsidRDefault="00FE541B" w:rsidP="00C008AD">
      <w:pPr>
        <w:spacing w:line="240" w:lineRule="auto"/>
        <w:ind w:left="360" w:hanging="360"/>
        <w:jc w:val="both"/>
        <w:rPr>
          <w:noProof/>
        </w:rPr>
      </w:pPr>
      <w:r w:rsidRPr="00E6307F">
        <w:rPr>
          <w:noProof/>
        </w:rPr>
        <w:t>Zolfaghari, A., Siva</w:t>
      </w:r>
      <w:r w:rsidR="00E513FF">
        <w:rPr>
          <w:noProof/>
        </w:rPr>
        <w:t>kumar, A., Polak, J.</w:t>
      </w:r>
      <w:r w:rsidR="00194EB5">
        <w:rPr>
          <w:noProof/>
        </w:rPr>
        <w:t xml:space="preserve">W., </w:t>
      </w:r>
      <w:r w:rsidR="003730F0" w:rsidRPr="00E6307F">
        <w:rPr>
          <w:noProof/>
        </w:rPr>
        <w:t>2012</w:t>
      </w:r>
      <w:r w:rsidRPr="00E6307F">
        <w:rPr>
          <w:noProof/>
        </w:rPr>
        <w:t xml:space="preserve">. Choice set pruning in residential location choice modelling: a comparison of sampling and choice set generation approaches in greater London. </w:t>
      </w:r>
      <w:r w:rsidRPr="00E6307F">
        <w:rPr>
          <w:i/>
          <w:noProof/>
        </w:rPr>
        <w:t>Transportation Planning and Technology</w:t>
      </w:r>
      <w:r w:rsidRPr="00E6307F">
        <w:rPr>
          <w:noProof/>
        </w:rPr>
        <w:t xml:space="preserve">, 35(1), 87-106. </w:t>
      </w:r>
    </w:p>
    <w:p w14:paraId="1CAD1BD1" w14:textId="1A508BF4" w:rsidR="00334086" w:rsidRPr="00E6307F" w:rsidRDefault="00E6307F" w:rsidP="00D865F1">
      <w:pPr>
        <w:spacing w:line="240" w:lineRule="auto"/>
        <w:ind w:left="360" w:hanging="360"/>
        <w:jc w:val="both"/>
        <w:rPr>
          <w:noProof/>
        </w:rPr>
      </w:pPr>
      <w:r w:rsidRPr="00E6307F">
        <w:rPr>
          <w:noProof/>
        </w:rPr>
        <w:t>Z</w:t>
      </w:r>
      <w:r w:rsidR="00E513FF">
        <w:rPr>
          <w:noProof/>
        </w:rPr>
        <w:t xml:space="preserve">olfaghari, A., Sivakumar, A., </w:t>
      </w:r>
      <w:r w:rsidR="00194EB5">
        <w:rPr>
          <w:noProof/>
        </w:rPr>
        <w:t>Polak, J., 2013</w:t>
      </w:r>
      <w:r w:rsidRPr="00E6307F">
        <w:rPr>
          <w:noProof/>
        </w:rPr>
        <w:t xml:space="preserve">. Simplified probabilistic choice set formation models in a residential location choice context. </w:t>
      </w:r>
      <w:r w:rsidRPr="00E6307F">
        <w:rPr>
          <w:i/>
          <w:noProof/>
        </w:rPr>
        <w:t>Journal of Choice Modelling</w:t>
      </w:r>
      <w:r w:rsidRPr="00E6307F">
        <w:rPr>
          <w:noProof/>
        </w:rPr>
        <w:t>, 9, 3-13.</w:t>
      </w:r>
      <w:bookmarkStart w:id="1" w:name="_GoBack"/>
      <w:bookmarkEnd w:id="0"/>
      <w:bookmarkEnd w:id="1"/>
    </w:p>
    <w:p w14:paraId="16CC9152" w14:textId="77777777" w:rsidR="00D740EB" w:rsidRPr="00417C1C" w:rsidRDefault="00D740EB" w:rsidP="00C008AD">
      <w:pPr>
        <w:ind w:firstLine="720"/>
        <w:jc w:val="both"/>
        <w:sectPr w:rsidR="00D740EB" w:rsidRPr="00417C1C" w:rsidSect="002026DF">
          <w:footerReference w:type="default" r:id="rId453"/>
          <w:pgSz w:w="12240" w:h="15840" w:code="1"/>
          <w:pgMar w:top="1440" w:right="1440" w:bottom="1440" w:left="1440" w:header="720" w:footer="720" w:gutter="0"/>
          <w:pgNumType w:start="1"/>
          <w:cols w:space="720"/>
          <w:docGrid w:linePitch="360"/>
        </w:sectPr>
      </w:pPr>
      <w:r w:rsidRPr="00E6307F">
        <w:fldChar w:fldCharType="end"/>
      </w:r>
    </w:p>
    <w:p w14:paraId="40EFB9B3" w14:textId="35B1F779" w:rsidR="00D740EB" w:rsidRPr="00ED2211" w:rsidRDefault="00D740EB" w:rsidP="00ED2211">
      <w:pPr>
        <w:rPr>
          <w:b/>
          <w:noProof/>
        </w:rPr>
      </w:pPr>
      <w:r w:rsidRPr="00ED2211">
        <w:rPr>
          <w:b/>
          <w:noProof/>
        </w:rPr>
        <w:lastRenderedPageBreak/>
        <w:t xml:space="preserve">List of Figures </w:t>
      </w:r>
    </w:p>
    <w:p w14:paraId="5C1AA5BD" w14:textId="0034B300" w:rsidR="00D740EB" w:rsidRDefault="00D740EB" w:rsidP="00ED2211">
      <w:pPr>
        <w:rPr>
          <w:noProof/>
        </w:rPr>
      </w:pPr>
      <w:r w:rsidRPr="00ED2211">
        <w:rPr>
          <w:noProof/>
        </w:rPr>
        <w:t xml:space="preserve">Figure 1. </w:t>
      </w:r>
      <w:r w:rsidR="00FC2CB9">
        <w:t>Diagrammatic R</w:t>
      </w:r>
      <w:r w:rsidR="00FC2CB9" w:rsidRPr="00FC2CB9">
        <w:t xml:space="preserve">epresentation of </w:t>
      </w:r>
      <w:r w:rsidR="00FC2CB9">
        <w:t xml:space="preserve">the </w:t>
      </w:r>
      <w:r w:rsidR="00FC2CB9" w:rsidRPr="00FC2CB9">
        <w:t>Model</w:t>
      </w:r>
      <w:r w:rsidR="00FC135B">
        <w:t xml:space="preserve"> System</w:t>
      </w:r>
    </w:p>
    <w:p w14:paraId="5CA740F6" w14:textId="323407E5" w:rsidR="00FC2CB9" w:rsidRPr="00ED2211" w:rsidRDefault="00FC2CB9" w:rsidP="00ED2211">
      <w:pPr>
        <w:rPr>
          <w:noProof/>
        </w:rPr>
      </w:pPr>
      <w:r>
        <w:rPr>
          <w:noProof/>
        </w:rPr>
        <w:t>Figure 2</w:t>
      </w:r>
      <w:r w:rsidRPr="00ED2211">
        <w:rPr>
          <w:noProof/>
        </w:rPr>
        <w:t>. Recursivity in Implied Structural Effects</w:t>
      </w:r>
    </w:p>
    <w:p w14:paraId="055538B4" w14:textId="77777777" w:rsidR="00D740EB" w:rsidRPr="00ED2211" w:rsidRDefault="00D740EB" w:rsidP="00ED2211">
      <w:pPr>
        <w:rPr>
          <w:noProof/>
        </w:rPr>
      </w:pPr>
    </w:p>
    <w:p w14:paraId="316CFA3A" w14:textId="478E35C7" w:rsidR="00D740EB" w:rsidRPr="00ED2211" w:rsidRDefault="00ED2211" w:rsidP="00ED2211">
      <w:pPr>
        <w:rPr>
          <w:b/>
          <w:noProof/>
        </w:rPr>
      </w:pPr>
      <w:r w:rsidRPr="00ED2211">
        <w:rPr>
          <w:b/>
          <w:noProof/>
        </w:rPr>
        <w:t xml:space="preserve">List of </w:t>
      </w:r>
      <w:r w:rsidR="00D740EB" w:rsidRPr="00ED2211">
        <w:rPr>
          <w:b/>
          <w:noProof/>
        </w:rPr>
        <w:t>Tables</w:t>
      </w:r>
    </w:p>
    <w:p w14:paraId="3CC85CAF" w14:textId="45F67284" w:rsidR="00D740EB" w:rsidRPr="00ED2211" w:rsidRDefault="00ED2211" w:rsidP="00ED2211">
      <w:pPr>
        <w:rPr>
          <w:noProof/>
        </w:rPr>
      </w:pPr>
      <w:r>
        <w:rPr>
          <w:noProof/>
        </w:rPr>
        <w:t>Table 1.</w:t>
      </w:r>
      <w:r w:rsidR="00D740EB" w:rsidRPr="00ED2211">
        <w:rPr>
          <w:noProof/>
        </w:rPr>
        <w:t xml:space="preserve"> </w:t>
      </w:r>
      <w:r w:rsidR="00D740EB" w:rsidRPr="00ED2211">
        <w:rPr>
          <w:rFonts w:hint="eastAsia"/>
          <w:noProof/>
        </w:rPr>
        <w:t>Descriptive Statistics</w:t>
      </w:r>
    </w:p>
    <w:p w14:paraId="6D9888B4" w14:textId="056D5A83" w:rsidR="00D740EB" w:rsidRPr="00ED2211" w:rsidRDefault="00ED2211" w:rsidP="00ED2211">
      <w:proofErr w:type="gramStart"/>
      <w:r>
        <w:t>Table 2.</w:t>
      </w:r>
      <w:proofErr w:type="gramEnd"/>
      <w:r w:rsidR="00D740EB" w:rsidRPr="00ED2211">
        <w:t xml:space="preserve"> Estimation Results of Structural Equation </w:t>
      </w:r>
    </w:p>
    <w:p w14:paraId="0FC14726" w14:textId="1350AE6B" w:rsidR="00D740EB" w:rsidRPr="00ED2211" w:rsidRDefault="00ED2211" w:rsidP="00ED2211">
      <w:proofErr w:type="gramStart"/>
      <w:r>
        <w:t>Table 3.</w:t>
      </w:r>
      <w:proofErr w:type="gramEnd"/>
      <w:r w:rsidR="00D740EB" w:rsidRPr="00ED2211">
        <w:t xml:space="preserve"> </w:t>
      </w:r>
      <w:r w:rsidR="00C93276" w:rsidRPr="00ED2211">
        <w:t xml:space="preserve">Measurement Equation Estimates </w:t>
      </w:r>
    </w:p>
    <w:p w14:paraId="04D323B2" w14:textId="1507EDBD" w:rsidR="00D740EB" w:rsidRPr="00ED2211" w:rsidRDefault="00ED2211" w:rsidP="00ED2211">
      <w:proofErr w:type="gramStart"/>
      <w:r>
        <w:t>Table 4.</w:t>
      </w:r>
      <w:proofErr w:type="gramEnd"/>
      <w:r w:rsidR="00D740EB" w:rsidRPr="00ED2211">
        <w:t xml:space="preserve"> </w:t>
      </w:r>
      <w:r w:rsidR="00C93276" w:rsidRPr="00ED2211">
        <w:t>Endogenous Effects</w:t>
      </w:r>
    </w:p>
    <w:p w14:paraId="330D218E" w14:textId="26A7BF6F" w:rsidR="00D740EB" w:rsidRPr="00ED2211" w:rsidRDefault="00D740EB" w:rsidP="00ED2211">
      <w:proofErr w:type="gramStart"/>
      <w:r w:rsidRPr="00ED2211">
        <w:t>Table 5</w:t>
      </w:r>
      <w:r w:rsidR="00640B19" w:rsidRPr="00ED2211">
        <w:t>a</w:t>
      </w:r>
      <w:r w:rsidR="00ED2211">
        <w:t>.</w:t>
      </w:r>
      <w:proofErr w:type="gramEnd"/>
      <w:r w:rsidRPr="00ED2211">
        <w:t xml:space="preserve"> </w:t>
      </w:r>
      <w:r w:rsidR="00640B19" w:rsidRPr="00ED2211">
        <w:t xml:space="preserve">Disaggregate </w:t>
      </w:r>
      <w:r w:rsidR="005A1D67">
        <w:t>D</w:t>
      </w:r>
      <w:r w:rsidR="00640B19" w:rsidRPr="00ED2211">
        <w:t xml:space="preserve">ata </w:t>
      </w:r>
      <w:r w:rsidR="005A1D67">
        <w:t>F</w:t>
      </w:r>
      <w:r w:rsidR="00640B19" w:rsidRPr="00ED2211">
        <w:t xml:space="preserve">it </w:t>
      </w:r>
      <w:r w:rsidR="005A1D67">
        <w:t>M</w:t>
      </w:r>
      <w:r w:rsidR="00640B19" w:rsidRPr="00ED2211">
        <w:t>easures</w:t>
      </w:r>
      <w:r w:rsidR="00C93276" w:rsidRPr="00ED2211" w:rsidDel="00C93276">
        <w:t xml:space="preserve"> </w:t>
      </w:r>
    </w:p>
    <w:p w14:paraId="6D48CAF0" w14:textId="262744A5" w:rsidR="00D740EB" w:rsidRPr="00ED2211" w:rsidRDefault="00D740EB" w:rsidP="00ED2211">
      <w:proofErr w:type="gramStart"/>
      <w:r w:rsidRPr="00ED2211">
        <w:t xml:space="preserve">Table </w:t>
      </w:r>
      <w:r w:rsidR="00640B19" w:rsidRPr="00ED2211">
        <w:t>5b</w:t>
      </w:r>
      <w:r w:rsidR="00ED2211">
        <w:t>.</w:t>
      </w:r>
      <w:proofErr w:type="gramEnd"/>
      <w:r w:rsidRPr="00ED2211">
        <w:t xml:space="preserve"> </w:t>
      </w:r>
      <w:r w:rsidR="00640B19" w:rsidRPr="00ED2211">
        <w:t xml:space="preserve">Aggregate </w:t>
      </w:r>
      <w:r w:rsidR="005A1D67">
        <w:t>D</w:t>
      </w:r>
      <w:r w:rsidR="005A1D67" w:rsidRPr="00ED2211">
        <w:t xml:space="preserve">ata </w:t>
      </w:r>
      <w:r w:rsidR="005A1D67">
        <w:t>F</w:t>
      </w:r>
      <w:r w:rsidR="005A1D67" w:rsidRPr="00ED2211">
        <w:t xml:space="preserve">it </w:t>
      </w:r>
      <w:r w:rsidR="005A1D67">
        <w:t>M</w:t>
      </w:r>
      <w:r w:rsidR="005A1D67" w:rsidRPr="00ED2211">
        <w:t>easures</w:t>
      </w:r>
    </w:p>
    <w:p w14:paraId="1C9E5B7E" w14:textId="77777777" w:rsidR="00D740EB" w:rsidRPr="00ED2211" w:rsidRDefault="00D740EB" w:rsidP="00ED2211">
      <w:pPr>
        <w:rPr>
          <w:noProof/>
        </w:rPr>
      </w:pPr>
    </w:p>
    <w:p w14:paraId="02289F75" w14:textId="49F0C2F6" w:rsidR="00D740EB" w:rsidRPr="00ED2211" w:rsidRDefault="00D740EB" w:rsidP="00ED2211">
      <w:pPr>
        <w:jc w:val="center"/>
      </w:pPr>
    </w:p>
    <w:p w14:paraId="3474243F" w14:textId="77777777" w:rsidR="00194720" w:rsidRDefault="00194720" w:rsidP="00D740EB">
      <w:pPr>
        <w:jc w:val="center"/>
      </w:pPr>
    </w:p>
    <w:p w14:paraId="669F464C" w14:textId="77777777" w:rsidR="00194720" w:rsidRDefault="00194720" w:rsidP="00D740EB">
      <w:pPr>
        <w:jc w:val="center"/>
      </w:pPr>
    </w:p>
    <w:p w14:paraId="0758C168" w14:textId="77777777" w:rsidR="00194720" w:rsidRDefault="00194720" w:rsidP="00D740EB">
      <w:pPr>
        <w:jc w:val="center"/>
      </w:pPr>
    </w:p>
    <w:p w14:paraId="7300668E" w14:textId="77777777" w:rsidR="00194720" w:rsidRDefault="00194720" w:rsidP="00D740EB">
      <w:pPr>
        <w:jc w:val="center"/>
      </w:pPr>
    </w:p>
    <w:p w14:paraId="716B4321" w14:textId="77777777" w:rsidR="00194720" w:rsidRDefault="00194720" w:rsidP="00D740EB">
      <w:pPr>
        <w:jc w:val="center"/>
      </w:pPr>
    </w:p>
    <w:p w14:paraId="3AFB3868" w14:textId="77777777" w:rsidR="00194720" w:rsidRDefault="00194720" w:rsidP="00D740EB">
      <w:pPr>
        <w:jc w:val="center"/>
      </w:pPr>
    </w:p>
    <w:p w14:paraId="52AFCB84" w14:textId="77777777" w:rsidR="00194720" w:rsidRDefault="00194720" w:rsidP="00D740EB">
      <w:pPr>
        <w:jc w:val="center"/>
      </w:pPr>
    </w:p>
    <w:p w14:paraId="3D1F69B6" w14:textId="77777777" w:rsidR="00194720" w:rsidRDefault="00194720" w:rsidP="00D740EB">
      <w:pPr>
        <w:jc w:val="center"/>
      </w:pPr>
    </w:p>
    <w:p w14:paraId="7A40435A" w14:textId="77777777" w:rsidR="00FC135B" w:rsidRDefault="00FC135B" w:rsidP="00FC135B">
      <w:pPr>
        <w:sectPr w:rsidR="00FC135B">
          <w:pgSz w:w="12240" w:h="15840"/>
          <w:pgMar w:top="1440" w:right="1440" w:bottom="1440" w:left="1440" w:header="720" w:footer="720" w:gutter="0"/>
          <w:cols w:space="720"/>
          <w:docGrid w:linePitch="360"/>
        </w:sectPr>
      </w:pPr>
    </w:p>
    <w:p w14:paraId="5CA309DD" w14:textId="0C6B021D" w:rsidR="003626EA" w:rsidRDefault="001811FA" w:rsidP="001811FA">
      <w:r>
        <w:rPr>
          <w:noProof/>
        </w:rPr>
        <w:lastRenderedPageBreak/>
        <mc:AlternateContent>
          <mc:Choice Requires="wps">
            <w:drawing>
              <wp:anchor distT="0" distB="0" distL="114300" distR="114300" simplePos="0" relativeHeight="251681792" behindDoc="0" locked="0" layoutInCell="1" allowOverlap="1" wp14:anchorId="003CD5FA" wp14:editId="2DF3D8D7">
                <wp:simplePos x="0" y="0"/>
                <wp:positionH relativeFrom="column">
                  <wp:posOffset>104775</wp:posOffset>
                </wp:positionH>
                <wp:positionV relativeFrom="paragraph">
                  <wp:posOffset>219075</wp:posOffset>
                </wp:positionV>
                <wp:extent cx="9115425" cy="51625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9115425" cy="5162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8.25pt;margin-top:17.25pt;width:717.75pt;height:4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" filled="f" strokecolor="black [3213]" strokeweight="1pt"/>
            </w:pict>
          </mc:Fallback>
        </mc:AlternateContent>
      </w:r>
    </w:p>
    <w:p w14:paraId="75BE5E2A" w14:textId="325F2142" w:rsidR="003626EA" w:rsidRDefault="00D548C1" w:rsidP="001811FA">
      <w:pPr>
        <w:ind w:left="270"/>
        <w:jc w:val="center"/>
      </w:pPr>
      <w:r>
        <w:rPr>
          <w:noProof/>
        </w:rPr>
        <w:drawing>
          <wp:inline distT="0" distB="0" distL="0" distR="0" wp14:anchorId="068BBEA4" wp14:editId="116CA066">
            <wp:extent cx="9144000" cy="507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454">
                      <a:extLst>
                        <a:ext uri="{28A0092B-C50C-407E-A947-70E740481C1C}">
                          <a14:useLocalDpi xmlns:a14="http://schemas.microsoft.com/office/drawing/2010/main" val="0"/>
                        </a:ext>
                      </a:extLst>
                    </a:blip>
                    <a:stretch>
                      <a:fillRect/>
                    </a:stretch>
                  </pic:blipFill>
                  <pic:spPr>
                    <a:xfrm>
                      <a:off x="0" y="0"/>
                      <a:ext cx="9144000" cy="5073650"/>
                    </a:xfrm>
                    <a:prstGeom prst="rect">
                      <a:avLst/>
                    </a:prstGeom>
                  </pic:spPr>
                </pic:pic>
              </a:graphicData>
            </a:graphic>
          </wp:inline>
        </w:drawing>
      </w:r>
    </w:p>
    <w:p w14:paraId="09CD46AD" w14:textId="1644291A" w:rsidR="003626EA" w:rsidRDefault="003626EA" w:rsidP="00807C70">
      <w:pPr>
        <w:spacing w:before="120"/>
        <w:jc w:val="center"/>
      </w:pPr>
      <w:r w:rsidRPr="00FA7D5E">
        <w:rPr>
          <w:b/>
        </w:rPr>
        <w:t>Figure</w:t>
      </w:r>
      <w:r>
        <w:rPr>
          <w:b/>
        </w:rPr>
        <w:t xml:space="preserve"> 1</w:t>
      </w:r>
      <w:r w:rsidRPr="00FA7D5E">
        <w:rPr>
          <w:b/>
        </w:rPr>
        <w:t xml:space="preserve">: Diagrammatic </w:t>
      </w:r>
      <w:r>
        <w:rPr>
          <w:b/>
        </w:rPr>
        <w:t>R</w:t>
      </w:r>
      <w:r w:rsidRPr="00FA7D5E">
        <w:rPr>
          <w:b/>
        </w:rPr>
        <w:t xml:space="preserve">epresentation of </w:t>
      </w:r>
      <w:r>
        <w:rPr>
          <w:b/>
        </w:rPr>
        <w:t>the Model System</w:t>
      </w:r>
    </w:p>
    <w:p w14:paraId="231D01BD" w14:textId="77777777" w:rsidR="003626EA" w:rsidRDefault="003626EA" w:rsidP="00D740EB">
      <w:pPr>
        <w:jc w:val="center"/>
      </w:pPr>
    </w:p>
    <w:p w14:paraId="2AD86D8D" w14:textId="77777777" w:rsidR="003626EA" w:rsidRDefault="003626EA" w:rsidP="00D740EB">
      <w:pPr>
        <w:jc w:val="center"/>
        <w:sectPr w:rsidR="003626EA" w:rsidSect="001811FA">
          <w:pgSz w:w="15840" w:h="12240" w:orient="landscape" w:code="1"/>
          <w:pgMar w:top="1440" w:right="720" w:bottom="1440" w:left="720" w:header="720" w:footer="720" w:gutter="0"/>
          <w:cols w:space="720"/>
          <w:docGrid w:linePitch="360"/>
        </w:sectPr>
      </w:pPr>
    </w:p>
    <w:p w14:paraId="5C77752F" w14:textId="43964F09" w:rsidR="00194720" w:rsidRPr="00ED2211" w:rsidRDefault="00194720" w:rsidP="00D740EB">
      <w:pPr>
        <w:jc w:val="center"/>
      </w:pPr>
    </w:p>
    <w:p w14:paraId="30B8023F" w14:textId="53759B64" w:rsidR="00ED2211" w:rsidRPr="00ED2211" w:rsidRDefault="0083666E" w:rsidP="00D740EB">
      <w:pPr>
        <w:jc w:val="center"/>
        <w:rPr>
          <w:noProof/>
        </w:rPr>
      </w:pPr>
      <w:r>
        <w:rPr>
          <w:noProof/>
        </w:rPr>
        <mc:AlternateContent>
          <mc:Choice Requires="wpg">
            <w:drawing>
              <wp:anchor distT="0" distB="0" distL="114300" distR="114300" simplePos="0" relativeHeight="251679744" behindDoc="0" locked="0" layoutInCell="1" allowOverlap="1" wp14:anchorId="61D71FEC" wp14:editId="5318A65D">
                <wp:simplePos x="0" y="0"/>
                <wp:positionH relativeFrom="column">
                  <wp:posOffset>308344</wp:posOffset>
                </wp:positionH>
                <wp:positionV relativeFrom="paragraph">
                  <wp:posOffset>13557</wp:posOffset>
                </wp:positionV>
                <wp:extent cx="7776057" cy="3503427"/>
                <wp:effectExtent l="0" t="0" r="15875" b="20955"/>
                <wp:wrapNone/>
                <wp:docPr id="1" name="Group 1"/>
                <wp:cNvGraphicFramePr/>
                <a:graphic xmlns:a="http://schemas.openxmlformats.org/drawingml/2006/main">
                  <a:graphicData uri="http://schemas.microsoft.com/office/word/2010/wordprocessingGroup">
                    <wpg:wgp>
                      <wpg:cNvGrpSpPr/>
                      <wpg:grpSpPr>
                        <a:xfrm>
                          <a:off x="0" y="0"/>
                          <a:ext cx="7776057" cy="3503427"/>
                          <a:chOff x="0" y="0"/>
                          <a:chExt cx="7776057" cy="3503427"/>
                        </a:xfrm>
                      </wpg:grpSpPr>
                      <wpg:grpSp>
                        <wpg:cNvPr id="44" name="Group 44"/>
                        <wpg:cNvGrpSpPr/>
                        <wpg:grpSpPr>
                          <a:xfrm>
                            <a:off x="1945758" y="0"/>
                            <a:ext cx="3635375" cy="2828925"/>
                            <a:chOff x="0" y="0"/>
                            <a:chExt cx="3635654" cy="2829153"/>
                          </a:xfrm>
                        </wpg:grpSpPr>
                        <wps:wsp>
                          <wps:cNvPr id="14" name="TextBox 3"/>
                          <wps:cNvSpPr txBox="1"/>
                          <wps:spPr>
                            <a:xfrm>
                              <a:off x="351130" y="0"/>
                              <a:ext cx="2926080" cy="320040"/>
                            </a:xfrm>
                            <a:prstGeom prst="rect">
                              <a:avLst/>
                            </a:prstGeom>
                            <a:noFill/>
                            <a:ln>
                              <a:solidFill>
                                <a:schemeClr val="tx1"/>
                              </a:solidFill>
                            </a:ln>
                          </wps:spPr>
                          <wps:txbx>
                            <w:txbxContent>
                              <w:p w14:paraId="6CDB1D0C"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Housing Type</w:t>
                                </w:r>
                              </w:p>
                            </w:txbxContent>
                          </wps:txbx>
                          <wps:bodyPr wrap="square" rtlCol="0">
                            <a:noAutofit/>
                          </wps:bodyPr>
                        </wps:wsp>
                        <wps:wsp>
                          <wps:cNvPr id="15" name="TextBox 6"/>
                          <wps:cNvSpPr txBox="1"/>
                          <wps:spPr>
                            <a:xfrm>
                              <a:off x="351130" y="548640"/>
                              <a:ext cx="2926080" cy="320040"/>
                            </a:xfrm>
                            <a:prstGeom prst="rect">
                              <a:avLst/>
                            </a:prstGeom>
                            <a:noFill/>
                            <a:ln>
                              <a:solidFill>
                                <a:schemeClr val="tx1"/>
                              </a:solidFill>
                            </a:ln>
                          </wps:spPr>
                          <wps:txbx>
                            <w:txbxContent>
                              <w:p w14:paraId="7D635357"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Housing Cost</w:t>
                                </w:r>
                              </w:p>
                            </w:txbxContent>
                          </wps:txbx>
                          <wps:bodyPr wrap="square" rtlCol="0">
                            <a:noAutofit/>
                          </wps:bodyPr>
                        </wps:wsp>
                        <wps:wsp>
                          <wps:cNvPr id="16" name="Straight Arrow Connector 16"/>
                          <wps:cNvCnPr/>
                          <wps:spPr>
                            <a:xfrm flipH="1">
                              <a:off x="1821485" y="863193"/>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TextBox 8"/>
                          <wps:cNvSpPr txBox="1"/>
                          <wps:spPr>
                            <a:xfrm>
                              <a:off x="351130" y="1097280"/>
                              <a:ext cx="2926080" cy="320040"/>
                            </a:xfrm>
                            <a:prstGeom prst="rect">
                              <a:avLst/>
                            </a:prstGeom>
                            <a:noFill/>
                            <a:ln>
                              <a:solidFill>
                                <a:schemeClr val="tx1"/>
                              </a:solidFill>
                            </a:ln>
                          </wps:spPr>
                          <wps:txbx>
                            <w:txbxContent>
                              <w:p w14:paraId="0445F1DE" w14:textId="366E240B"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 xml:space="preserve">Square Footage of the </w:t>
                                </w:r>
                                <w:r>
                                  <w:rPr>
                                    <w:color w:val="000000" w:themeColor="text1"/>
                                    <w:kern w:val="24"/>
                                    <w:sz w:val="28"/>
                                    <w:szCs w:val="28"/>
                                  </w:rPr>
                                  <w:t>Dwelling Unit</w:t>
                                </w:r>
                              </w:p>
                            </w:txbxContent>
                          </wps:txbx>
                          <wps:bodyPr wrap="square" rtlCol="0">
                            <a:noAutofit/>
                          </wps:bodyPr>
                        </wps:wsp>
                        <wps:wsp>
                          <wps:cNvPr id="18" name="Straight Arrow Connector 18"/>
                          <wps:cNvCnPr/>
                          <wps:spPr>
                            <a:xfrm flipH="1">
                              <a:off x="1821485" y="1411833"/>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TextBox 10"/>
                          <wps:cNvSpPr txBox="1"/>
                          <wps:spPr>
                            <a:xfrm>
                              <a:off x="358445" y="1638605"/>
                              <a:ext cx="2926080" cy="320040"/>
                            </a:xfrm>
                            <a:prstGeom prst="rect">
                              <a:avLst/>
                            </a:prstGeom>
                            <a:noFill/>
                            <a:ln>
                              <a:solidFill>
                                <a:schemeClr val="tx1"/>
                              </a:solidFill>
                            </a:ln>
                          </wps:spPr>
                          <wps:txbx>
                            <w:txbxContent>
                              <w:p w14:paraId="1B1B4669"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Density of Dwelling Unit Location</w:t>
                                </w:r>
                              </w:p>
                            </w:txbxContent>
                          </wps:txbx>
                          <wps:bodyPr wrap="square" rtlCol="0">
                            <a:noAutofit/>
                          </wps:bodyPr>
                        </wps:wsp>
                        <wps:wsp>
                          <wps:cNvPr id="20" name="Straight Arrow Connector 20"/>
                          <wps:cNvCnPr/>
                          <wps:spPr>
                            <a:xfrm flipH="1">
                              <a:off x="1821485" y="321869"/>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TextBox 13"/>
                          <wps:cNvSpPr txBox="1"/>
                          <wps:spPr>
                            <a:xfrm>
                              <a:off x="351130" y="2194560"/>
                              <a:ext cx="2926080" cy="320040"/>
                            </a:xfrm>
                            <a:prstGeom prst="rect">
                              <a:avLst/>
                            </a:prstGeom>
                            <a:noFill/>
                            <a:ln>
                              <a:solidFill>
                                <a:schemeClr val="tx1"/>
                              </a:solidFill>
                            </a:ln>
                          </wps:spPr>
                          <wps:txbx>
                            <w:txbxContent>
                              <w:p w14:paraId="548BF198"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Tenure Type</w:t>
                                </w:r>
                              </w:p>
                            </w:txbxContent>
                          </wps:txbx>
                          <wps:bodyPr wrap="square" rtlCol="0">
                            <a:noAutofit/>
                          </wps:bodyPr>
                        </wps:wsp>
                        <wps:wsp>
                          <wps:cNvPr id="22" name="Straight Arrow Connector 22"/>
                          <wps:cNvCnPr/>
                          <wps:spPr>
                            <a:xfrm flipH="1">
                              <a:off x="1814170" y="1967789"/>
                              <a:ext cx="0"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1806854" y="2509113"/>
                              <a:ext cx="0" cy="320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a:off x="0" y="153619"/>
                              <a:ext cx="35112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0" y="153619"/>
                              <a:ext cx="0" cy="2201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0" y="2355494"/>
                              <a:ext cx="35113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 name="Straight Arrow Connector 32"/>
                          <wps:cNvCnPr/>
                          <wps:spPr>
                            <a:xfrm>
                              <a:off x="7315" y="1792224"/>
                              <a:ext cx="35052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 name="Straight Arrow Connector 33"/>
                          <wps:cNvCnPr/>
                          <wps:spPr>
                            <a:xfrm>
                              <a:off x="0" y="1265529"/>
                              <a:ext cx="35052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3284525" y="702259"/>
                              <a:ext cx="350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rot="10800000" flipV="1">
                              <a:off x="3284525" y="1784909"/>
                              <a:ext cx="350520" cy="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a:off x="3635654" y="702259"/>
                              <a:ext cx="0" cy="1082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 name="Group 45"/>
                        <wpg:cNvGrpSpPr/>
                        <wpg:grpSpPr>
                          <a:xfrm>
                            <a:off x="0" y="2817627"/>
                            <a:ext cx="7776057" cy="685800"/>
                            <a:chOff x="0" y="0"/>
                            <a:chExt cx="7776057" cy="685800"/>
                          </a:xfrm>
                        </wpg:grpSpPr>
                        <wps:wsp>
                          <wps:cNvPr id="3" name="TextBox 19"/>
                          <wps:cNvSpPr txBox="1"/>
                          <wps:spPr>
                            <a:xfrm>
                              <a:off x="0" y="182880"/>
                              <a:ext cx="1280160" cy="502920"/>
                            </a:xfrm>
                            <a:prstGeom prst="rect">
                              <a:avLst/>
                            </a:prstGeom>
                            <a:noFill/>
                            <a:ln>
                              <a:solidFill>
                                <a:schemeClr val="tx1"/>
                              </a:solidFill>
                            </a:ln>
                          </wps:spPr>
                          <wps:txbx>
                            <w:txbxContent>
                              <w:p w14:paraId="15E39896" w14:textId="77777777" w:rsidR="005F3824" w:rsidRPr="00ED2211" w:rsidRDefault="005F3824" w:rsidP="00ED2211">
                                <w:pPr>
                                  <w:pStyle w:val="NormalWeb"/>
                                  <w:spacing w:before="0" w:beforeAutospacing="0" w:after="0" w:afterAutospacing="0"/>
                                  <w:jc w:val="center"/>
                                  <w:rPr>
                                    <w:sz w:val="28"/>
                                    <w:szCs w:val="28"/>
                                  </w:rPr>
                                </w:pPr>
                                <w:proofErr w:type="spellStart"/>
                                <w:r w:rsidRPr="00ED2211">
                                  <w:rPr>
                                    <w:color w:val="000000" w:themeColor="text1"/>
                                    <w:kern w:val="24"/>
                                    <w:sz w:val="28"/>
                                    <w:szCs w:val="28"/>
                                  </w:rPr>
                                  <w:t>Storey</w:t>
                                </w:r>
                                <w:proofErr w:type="spellEnd"/>
                                <w:r w:rsidRPr="00ED2211">
                                  <w:rPr>
                                    <w:color w:val="000000" w:themeColor="text1"/>
                                    <w:kern w:val="24"/>
                                    <w:sz w:val="28"/>
                                    <w:szCs w:val="28"/>
                                  </w:rPr>
                                  <w:t xml:space="preserve"> Type</w:t>
                                </w:r>
                              </w:p>
                            </w:txbxContent>
                          </wps:txbx>
                          <wps:bodyPr wrap="square" rtlCol="0" anchor="ctr">
                            <a:noAutofit/>
                          </wps:bodyPr>
                        </wps:wsp>
                        <wps:wsp>
                          <wps:cNvPr id="5" name="TextBox 24"/>
                          <wps:cNvSpPr txBox="1"/>
                          <wps:spPr>
                            <a:xfrm>
                              <a:off x="1528876" y="182880"/>
                              <a:ext cx="1280160" cy="502920"/>
                            </a:xfrm>
                            <a:prstGeom prst="rect">
                              <a:avLst/>
                            </a:prstGeom>
                            <a:noFill/>
                            <a:ln>
                              <a:solidFill>
                                <a:schemeClr val="tx1"/>
                              </a:solidFill>
                            </a:ln>
                          </wps:spPr>
                          <wps:txbx>
                            <w:txbxContent>
                              <w:p w14:paraId="4D4CDB61"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Lot Size</w:t>
                                </w:r>
                              </w:p>
                            </w:txbxContent>
                          </wps:txbx>
                          <wps:bodyPr wrap="square" rtlCol="0" anchor="ctr">
                            <a:noAutofit/>
                          </wps:bodyPr>
                        </wps:wsp>
                        <wps:wsp>
                          <wps:cNvPr id="7" name="TextBox 25"/>
                          <wps:cNvSpPr txBox="1"/>
                          <wps:spPr>
                            <a:xfrm>
                              <a:off x="3116275" y="182880"/>
                              <a:ext cx="1280160" cy="502920"/>
                            </a:xfrm>
                            <a:prstGeom prst="rect">
                              <a:avLst/>
                            </a:prstGeom>
                            <a:noFill/>
                            <a:ln>
                              <a:solidFill>
                                <a:schemeClr val="tx1"/>
                              </a:solidFill>
                            </a:ln>
                          </wps:spPr>
                          <wps:txbx>
                            <w:txbxContent>
                              <w:p w14:paraId="59769288"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Number of Bedrooms</w:t>
                                </w:r>
                              </w:p>
                            </w:txbxContent>
                          </wps:txbx>
                          <wps:bodyPr wrap="square" rtlCol="0">
                            <a:noAutofit/>
                          </wps:bodyPr>
                        </wps:wsp>
                        <wps:wsp>
                          <wps:cNvPr id="8" name="TextBox 26"/>
                          <wps:cNvSpPr txBox="1"/>
                          <wps:spPr>
                            <a:xfrm>
                              <a:off x="4593945" y="175565"/>
                              <a:ext cx="1280160" cy="502920"/>
                            </a:xfrm>
                            <a:prstGeom prst="rect">
                              <a:avLst/>
                            </a:prstGeom>
                            <a:noFill/>
                            <a:ln>
                              <a:solidFill>
                                <a:schemeClr val="tx1"/>
                              </a:solidFill>
                            </a:ln>
                          </wps:spPr>
                          <wps:txbx>
                            <w:txbxContent>
                              <w:p w14:paraId="1AD5F32C"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Number of Bathrooms</w:t>
                                </w:r>
                              </w:p>
                            </w:txbxContent>
                          </wps:txbx>
                          <wps:bodyPr wrap="square" rtlCol="0">
                            <a:noAutofit/>
                          </wps:bodyPr>
                        </wps:wsp>
                        <wps:wsp>
                          <wps:cNvPr id="9" name="TextBox 27"/>
                          <wps:cNvSpPr txBox="1"/>
                          <wps:spPr>
                            <a:xfrm>
                              <a:off x="6130137" y="168250"/>
                              <a:ext cx="1645920" cy="502920"/>
                            </a:xfrm>
                            <a:prstGeom prst="rect">
                              <a:avLst/>
                            </a:prstGeom>
                            <a:noFill/>
                            <a:ln>
                              <a:solidFill>
                                <a:schemeClr val="tx1"/>
                              </a:solidFill>
                            </a:ln>
                          </wps:spPr>
                          <wps:txbx>
                            <w:txbxContent>
                              <w:p w14:paraId="2579BE71"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Household Average Commute Distance</w:t>
                                </w:r>
                              </w:p>
                            </w:txbxContent>
                          </wps:txbx>
                          <wps:bodyPr wrap="square" rtlCol="0">
                            <a:noAutofit/>
                          </wps:bodyPr>
                        </wps:wsp>
                        <wps:wsp>
                          <wps:cNvPr id="10" name="Straight Arrow Connector 10"/>
                          <wps:cNvCnPr/>
                          <wps:spPr>
                            <a:xfrm>
                              <a:off x="2157984" y="0"/>
                              <a:ext cx="2540" cy="182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5230368" y="0"/>
                              <a:ext cx="2540" cy="182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3760012" y="0"/>
                              <a:ext cx="2540" cy="182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Straight Arrow Connector 39"/>
                          <wps:cNvCnPr/>
                          <wps:spPr>
                            <a:xfrm>
                              <a:off x="643737" y="0"/>
                              <a:ext cx="2540" cy="182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40"/>
                          <wps:cNvCnPr/>
                          <wps:spPr>
                            <a:xfrm>
                              <a:off x="6934809" y="0"/>
                              <a:ext cx="2540" cy="168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643737" y="0"/>
                              <a:ext cx="6290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1" o:spid="_x0000_s1026" style="position:absolute;left:0;text-align:left;margin-left:24.3pt;margin-top:1.05pt;width:612.3pt;height:275.85pt;z-index:251679744" coordsize="77760,3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">
                <v:group id="Group 44" o:spid="_x0000_s1027" style="position:absolute;left:19457;width:36354;height:28289" coordsize="36356,28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type id="_x0000_t202" coordsize="21600,21600" o:spt="202" path="m,l,21600r21600,l21600,xe">
                    <v:stroke joinstyle="miter"/>
                    <v:path gradientshapeok="t" o:connecttype="rect"/>
                  </v:shapetype>
                  <v:shape id="TextBox 3" o:spid="_x0000_s1028" type="#_x0000_t202" style="position:absolute;left:3511;width:2926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ZiMMA&#10;AADbAAAADwAAAGRycy9kb3ducmV2LnhtbERPTWvCQBC9F/wPywi91U1LUUndSJsQCKIHo0iPQ3aa&#10;hGZnQ3Yb47/vFgre5vE+Z7OdTCdGGlxrWcHzIgJBXFndcq3gfMqf1iCcR9bYWSYFN3KwTWYPG4y1&#10;vfKRxtLXIoSwi1FB430fS+mqhgy6he2JA/dlB4M+wKGWesBrCDedfImipTTYcmhosKe0oeq7/DEK&#10;itNtd1ylh6XZfWSf+4t0lzzbK/U4n97fQHia/F387y50mP8Kf7+E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YZiMMAAADbAAAADwAAAAAAAAAAAAAAAACYAgAAZHJzL2Rv&#10;d25yZXYueG1sUEsFBgAAAAAEAAQA9QAAAIgDAAAAAA==&#10;" filled="f" strokecolor="black [3213]">
                    <v:textbox>
                      <w:txbxContent>
                        <w:p w14:paraId="6CDB1D0C"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Housing Type</w:t>
                          </w:r>
                        </w:p>
                      </w:txbxContent>
                    </v:textbox>
                  </v:shape>
                  <v:shape id="TextBox 6" o:spid="_x0000_s1029" type="#_x0000_t202" style="position:absolute;left:3511;top:5486;width:2926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8E8MA&#10;AADbAAAADwAAAGRycy9kb3ducmV2LnhtbERPTWvCQBC9F/wPywi91U0LVUndSJsQCKIHo0iPQ3aa&#10;hGZnQ3Yb47/vFgre5vE+Z7OdTCdGGlxrWcHzIgJBXFndcq3gfMqf1iCcR9bYWSYFN3KwTWYPG4y1&#10;vfKRxtLXIoSwi1FB430fS+mqhgy6he2JA/dlB4M+wKGWesBrCDedfImipTTYcmhosKe0oeq7/DEK&#10;itNtd1ylh6XZfWSf+4t0lzzbK/U4n97fQHia/F387y50mP8Kf7+EA2Ty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q8E8MAAADbAAAADwAAAAAAAAAAAAAAAACYAgAAZHJzL2Rv&#10;d25yZXYueG1sUEsFBgAAAAAEAAQA9QAAAIgDAAAAAA==&#10;" filled="f" strokecolor="black [3213]">
                    <v:textbox>
                      <w:txbxContent>
                        <w:p w14:paraId="7D635357"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Housing Cost</w:t>
                          </w:r>
                        </w:p>
                      </w:txbxContent>
                    </v:textbox>
                  </v:shape>
                  <v:shapetype id="_x0000_t32" coordsize="21600,21600" o:spt="32" o:oned="t" path="m,l21600,21600e" filled="f">
                    <v:path arrowok="t" fillok="f" o:connecttype="none"/>
                    <o:lock v:ext="edit" shapetype="t"/>
                  </v:shapetype>
                  <v:shape id="Straight Arrow Connector 16" o:spid="_x0000_s1030" type="#_x0000_t32" style="position:absolute;left:18214;top:8631;width:0;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98nsAAAADbAAAADwAAAGRycy9kb3ducmV2LnhtbERPTYvCMBC9C/6HMII3TVVwtRpFBF3d&#10;m1VQb0MztsVmUpqo3X9vFha8zeN9znzZmFI8qXaFZQWDfgSCOLW64EzB6bjpTUA4j6yxtEwKfsnB&#10;ctFuzTHW9sUHeiY+EyGEXYwKcu+rWEqX5mTQ9W1FHLibrQ36AOtM6hpfIdyUchhFY2mw4NCQY0Xr&#10;nNJ78jAKvuT5O5qku+FgOjpdruvE7n+2Vqlup1nNQHhq/Ef8797pMH8Mf7+EA+T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PfJ7AAAAA2wAAAA8AAAAAAAAAAAAAAAAA&#10;oQIAAGRycy9kb3ducmV2LnhtbFBLBQYAAAAABAAEAPkAAACOAwAAAAA=&#10;" strokecolor="black [3213]">
                    <v:stroke endarrow="block"/>
                  </v:shape>
                  <v:shape id="TextBox 8" o:spid="_x0000_s1031" type="#_x0000_t202" style="position:absolute;left:3511;top:10972;width:29261;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SH/78A&#10;AADbAAAADwAAAGRycy9kb3ducmV2LnhtbERPyQrCMBC9C/5DGMGbpnpQqUZxQRDRgwvicWjGtthM&#10;ShO1/r0RBG/zeOtMZrUpxJMql1tW0OtGIIgTq3NOFZxP684IhPPIGgvLpOBNDmbTZmOCsbYvPtDz&#10;6FMRQtjFqCDzvoyldElGBl3XlsSBu9nKoA+wSqWu8BXCTSH7UTSQBnMODRmWtMwouR8fRsHm9N4e&#10;hsv9wGwXq+vuIt1lvdop1W7V8zEIT7X/i3/ujQ7zh/D9JRwgp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1If/vwAAANsAAAAPAAAAAAAAAAAAAAAAAJgCAABkcnMvZG93bnJl&#10;di54bWxQSwUGAAAAAAQABAD1AAAAhAMAAAAA&#10;" filled="f" strokecolor="black [3213]">
                    <v:textbox>
                      <w:txbxContent>
                        <w:p w14:paraId="0445F1DE" w14:textId="366E240B"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 xml:space="preserve">Square Footage of the </w:t>
                          </w:r>
                          <w:r>
                            <w:rPr>
                              <w:color w:val="000000" w:themeColor="text1"/>
                              <w:kern w:val="24"/>
                              <w:sz w:val="28"/>
                              <w:szCs w:val="28"/>
                            </w:rPr>
                            <w:t>Dwelling Unit</w:t>
                          </w:r>
                        </w:p>
                      </w:txbxContent>
                    </v:textbox>
                  </v:shape>
                  <v:shape id="Straight Arrow Connector 18" o:spid="_x0000_s1032" type="#_x0000_t32" style="position:absolute;left:18214;top:14118;width:0;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xNd8UAAADbAAAADwAAAGRycy9kb3ducmV2LnhtbESPQWvCQBCF7wX/wzKCt7oxgrWpq5RA&#10;1fZmKrS9DdlpEpqdDdlV4793DgVvM7w3732z2gyuVWfqQ+PZwGyagCIuvW24MnD8fHtcggoR2WLr&#10;mQxcKcBmPXpYYWb9hQ90LmKlJIRDhgbqGLtM61DW5DBMfUcs2q/vHUZZ+0rbHi8S7lqdJslCO2xY&#10;GmrsKK+p/CtOzsCT/toly3Kfzp7nx++fvPDvH1tvzGQ8vL6AijTEu/n/em8FX2DlFxlAr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xNd8UAAADbAAAADwAAAAAAAAAA&#10;AAAAAAChAgAAZHJzL2Rvd25yZXYueG1sUEsFBgAAAAAEAAQA+QAAAJMDAAAAAA==&#10;" strokecolor="black [3213]">
                    <v:stroke endarrow="block"/>
                  </v:shape>
                  <v:shape id="TextBox 10" o:spid="_x0000_s1033" type="#_x0000_t202" style="position:absolute;left:3584;top:16386;width:29261;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e2FsIA&#10;AADbAAAADwAAAGRycy9kb3ducmV2LnhtbERPTYvCMBC9C/6HMMLeNN09uFpNZVcRRPRgFfE4NGNb&#10;bCalydb67zeC4G0e73Pmi85UoqXGlZYVfI4iEMSZ1SXnCk7H9XACwnlkjZVlUvAgB4uk35tjrO2d&#10;D9SmPhchhF2MCgrv61hKlxVk0I1sTRy4q20M+gCbXOoG7yHcVPIrisbSYMmhocCalgVlt/TPKNgc&#10;H9vD93I/Ntvf1WV3lu68Xu2U+hh0PzMQnjr/Fr/cGx3mT+H5SzhAJ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7YWwgAAANsAAAAPAAAAAAAAAAAAAAAAAJgCAABkcnMvZG93&#10;bnJldi54bWxQSwUGAAAAAAQABAD1AAAAhwMAAAAA&#10;" filled="f" strokecolor="black [3213]">
                    <v:textbox>
                      <w:txbxContent>
                        <w:p w14:paraId="1B1B4669"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Density of Dwelling Unit Location</w:t>
                          </w:r>
                        </w:p>
                      </w:txbxContent>
                    </v:textbox>
                  </v:shape>
                  <v:shape id="Straight Arrow Connector 20" o:spid="_x0000_s1034" type="#_x0000_t32" style="position:absolute;left:18214;top:3218;width:0;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LzMIAAADbAAAADwAAAGRycy9kb3ducmV2LnhtbERPTWvCQBC9F/wPywi9NRtTqDbNKiLY&#10;qremAe1tyI5JMDsbstsk/ffdg9Dj431nm8m0YqDeNZYVLKIYBHFpdcOVguJr/7QC4TyyxtYyKfgl&#10;B5v17CHDVNuRP2nIfSVCCLsUFdTed6mUrqzJoItsRxy4q+0N+gD7SuoexxBuWpnE8Ys02HBoqLGj&#10;XU3lLf8xCpby/BGvykOyeH0uLt+73B5P71apx/m0fQPhafL/4rv7oBUkYX34En6A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LzMIAAADbAAAADwAAAAAAAAAAAAAA&#10;AAChAgAAZHJzL2Rvd25yZXYueG1sUEsFBgAAAAAEAAQA+QAAAJADAAAAAA==&#10;" strokecolor="black [3213]">
                    <v:stroke endarrow="block"/>
                  </v:shape>
                  <v:shape id="TextBox 13" o:spid="_x0000_s1035" type="#_x0000_t202" style="position:absolute;left:3511;top:21945;width:29261;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wrcEA&#10;AADbAAAADwAAAGRycy9kb3ducmV2LnhtbESPSwvCMBCE74L/IazgTVM9qFSj+EAQ0YMPxOPSrG2x&#10;2ZQmav33RhA8DjPzDTOZ1aYQT6pcbllBrxuBIE6szjlVcD6tOyMQziNrLCyTgjc5mE2bjQnG2r74&#10;QM+jT0WAsItRQeZ9GUvpkowMuq4tiYN3s5VBH2SVSl3hK8BNIftRNJAGcw4LGZa0zCi5Hx9Gweb0&#10;3h6Gy/3AbBer6+4i3WW92inVbtXzMQhPtf+Hf+2NVtDvwfdL+AF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dcK3BAAAA2wAAAA8AAAAAAAAAAAAAAAAAmAIAAGRycy9kb3du&#10;cmV2LnhtbFBLBQYAAAAABAAEAPUAAACGAwAAAAA=&#10;" filled="f" strokecolor="black [3213]">
                    <v:textbox>
                      <w:txbxContent>
                        <w:p w14:paraId="548BF198"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Tenure Type</w:t>
                          </w:r>
                        </w:p>
                      </w:txbxContent>
                    </v:textbox>
                  </v:shape>
                  <v:shape id="Straight Arrow Connector 22" o:spid="_x0000_s1036" type="#_x0000_t32" style="position:absolute;left:18141;top:19677;width:0;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iwIMQAAADbAAAADwAAAGRycy9kb3ducmV2LnhtbESPQWvCQBSE7wX/w/IKvTUbU7CauooI&#10;ba03Y0C9PbKvSWj2bdjdavz3XaHgcZiZb5j5cjCdOJPzrWUF4yQFQVxZ3XKtoNy/P09B+ICssbNM&#10;Cq7kYbkYPcwx1/bCOzoXoRYRwj5HBU0IfS6lrxoy6BPbE0fv2zqDIUpXS+3wEuGmk1maTqTBluNC&#10;gz2tG6p+il+j4FUePtNptcnGs5fyeFoX9mv7YZV6ehxWbyACDeEe/m9vtIIsg9uX+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2LAgxAAAANsAAAAPAAAAAAAAAAAA&#10;AAAAAKECAABkcnMvZG93bnJldi54bWxQSwUGAAAAAAQABAD5AAAAkgMAAAAA&#10;" strokecolor="black [3213]">
                    <v:stroke endarrow="block"/>
                  </v:shape>
                  <v:shape id="Straight Arrow Connector 23" o:spid="_x0000_s1037" type="#_x0000_t32" style="position:absolute;left:18068;top:25091;width:0;height:32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MXcUAAADbAAAADwAAAGRycy9kb3ducmV2LnhtbESPzWrDMBCE74W8g9hAbo2cFEpxo4T8&#10;ECg5tU5D6G2xtpYba+VIiu2+fVUo9DjMzDfMYjXYRnTkQ+1YwWyagSAuna65UvB+3N8/gQgRWWPj&#10;mBR8U4DVcnS3wFy7nt+oK2IlEoRDjgpMjG0uZSgNWQxT1xIn79N5izFJX0ntsU9w28h5lj1KizWn&#10;BYMtbQ2Vl+JmFTTdob+ebl9Xs3vtjsX2/GE2vlVqMh7WzyAiDfE//Nd+0QrmD/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bMXcUAAADbAAAADwAAAAAAAAAA&#10;AAAAAAChAgAAZHJzL2Rvd25yZXYueG1sUEsFBgAAAAAEAAQA+QAAAJMDAAAAAA==&#10;" strokecolor="black [3213]">
                    <v:stroke endarrow="block"/>
                  </v:shape>
                  <v:line id="Straight Connector 29" o:spid="_x0000_s1038" style="position:absolute;flip:x;visibility:visible;mso-wrap-style:square" from="0,1536" to="3511,1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E6cMAAADbAAAADwAAAGRycy9kb3ducmV2LnhtbESP3WoCMRSE7wXfIZxC7zRbqaJbo7RC&#10;QbwRfx7gsDlulm5O1iTVdZ/eCIKXw8x8w8yXra3FhXyoHCv4GGYgiAunKy4VHA+/gymIEJE11o5J&#10;wY0CLBf93hxz7a68o8s+liJBOOSowMTY5FKGwpDFMHQNcfJOzluMSfpSao/XBLe1HGXZRFqsOC0Y&#10;bGhlqPjb/1sFdReP3exnZbrs/HnT2+3E+fFGqfe39vsLRKQ2vsLP9lorGM3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qxOnDAAAA2wAAAA8AAAAAAAAAAAAA&#10;AAAAoQIAAGRycy9kb3ducmV2LnhtbFBLBQYAAAAABAAEAPkAAACRAwAAAAA=&#10;" strokecolor="black [3213]"/>
                  <v:line id="Straight Connector 30" o:spid="_x0000_s1039" style="position:absolute;visibility:visible;mso-wrap-style:square" from="0,1536" to="0,23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shape id="Straight Arrow Connector 31" o:spid="_x0000_s1040" type="#_x0000_t32" style="position:absolute;top:23554;width:35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FhbMUAAADbAAAADwAAAGRycy9kb3ducmV2LnhtbESPzWrDMBCE74W8g9hAbo2cBkpxo4T8&#10;UAg5tU5D6G2xtpYba+VIiu2+fVUo9DjMzDfMYjXYRnTkQ+1YwWyagSAuna65UvB+fLl/AhEissbG&#10;MSn4pgCr5ehugbl2Pb9RV8RKJAiHHBWYGNtcylAashimriVO3qfzFmOSvpLaY5/gtpEPWfYoLdac&#10;Fgy2tDVUXoqbVdB0h/56un1dze61Oxbb84fZ+FapyXhYP4OINMT/8F97rxXMZ/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FhbMUAAADbAAAADwAAAAAAAAAA&#10;AAAAAAChAgAAZHJzL2Rvd25yZXYueG1sUEsFBgAAAAAEAAQA+QAAAJMDAAAAAA==&#10;" strokecolor="black [3213]">
                    <v:stroke endarrow="block"/>
                  </v:shape>
                  <v:shape id="Straight Arrow Connector 32" o:spid="_x0000_s1041" type="#_x0000_t32" style="position:absolute;left:73;top:17922;width:3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P/G8UAAADbAAAADwAAAGRycy9kb3ducmV2LnhtbESPzWrDMBCE74W8g9hAbo2cFEpxo4T8&#10;ECg5tU5D6G2xtpYba+VIiu2+fVUo9DjMzDfMYjXYRnTkQ+1YwWyagSAuna65UvB+3N8/gQgRWWPj&#10;mBR8U4DVcnS3wFy7nt+oK2IlEoRDjgpMjG0uZSgNWQxT1xIn79N5izFJX0ntsU9w28h5lj1KizWn&#10;BYMtbQ2Vl+JmFTTdob+ebl9Xs3vtjsX2/GE2vlVqMh7WzyAiDfE//Nd+0Qoe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P/G8UAAADbAAAADwAAAAAAAAAA&#10;AAAAAAChAgAAZHJzL2Rvd25yZXYueG1sUEsFBgAAAAAEAAQA+QAAAJMDAAAAAA==&#10;" strokecolor="black [3213]">
                    <v:stroke endarrow="block"/>
                  </v:shape>
                  <v:shape id="Straight Arrow Connector 33" o:spid="_x0000_s1042" type="#_x0000_t32" style="position:absolute;top:12655;width:35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9agMUAAADbAAAADwAAAGRycy9kb3ducmV2LnhtbESPzWrDMBCE74W8g9hAb42cBEpxo4T8&#10;UCg9NU5L6W2xtpYba+VIiu28fRQo9DjMzDfMYjXYRnTkQ+1YwXSSgSAuna65UvBxeHl4AhEissbG&#10;MSm4UIDVcnS3wFy7nvfUFbESCcIhRwUmxjaXMpSGLIaJa4mT9+O8xZikr6T22Ce4beQsyx6lxZrT&#10;gsGWtobKY3G2CprurT99nn9PZvfeHYrt17fZ+Fap+/GwfgYRaYj/4b/2q1Ywn8PtS/o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9agMUAAADbAAAADwAAAAAAAAAA&#10;AAAAAAChAgAAZHJzL2Rvd25yZXYueG1sUEsFBgAAAAAEAAQA+QAAAJMDAAAAAA==&#10;" strokecolor="black [3213]">
                    <v:stroke endarrow="block"/>
                  </v:shape>
                  <v:line id="Straight Connector 34" o:spid="_x0000_s1043" style="position:absolute;flip:x;visibility:visible;mso-wrap-style:square" from="32845,7022" to="36350,7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L9qsMAAADbAAAADwAAAGRycy9kb3ducmV2LnhtbESP0WoCMRRE34X+Q7gF3zRrq6KrUVpB&#10;KL5IrR9w2Vw3i5ubbZLqul/fCIKPw8ycYZbr1tbiQj5UjhWMhhkI4sLpiksFx5/tYAYiRGSNtWNS&#10;cKMA69VLb4m5dlf+psshliJBOOSowMTY5FKGwpDFMHQNcfJOzluMSfpSao/XBLe1fMuyqbRYcVow&#10;2NDGUHE+/FkFdReP3fxzY7rsd3zT+/3U+clOqf5r+7EAEamNz/Cj/aUVvI/h/iX9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y/arDAAAA2wAAAA8AAAAAAAAAAAAA&#10;AAAAoQIAAGRycy9kb3ducmV2LnhtbFBLBQYAAAAABAAEAPkAAACRAwAAAAA=&#10;" strokecolor="black [3213]"/>
                  <v:shape id="Straight Arrow Connector 35" o:spid="_x0000_s1044" type="#_x0000_t32" style="position:absolute;left:32845;top:17849;width:3505;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SDJcQAAADbAAAADwAAAGRycy9kb3ducmV2LnhtbESP3WoCMRSE7wXfIRyhN6JZ2yqyGkW2&#10;lEpv1NUHOGzO/uDmZElS3b69KRS8HGbmG2a97U0rbuR8Y1nBbJqAIC6sbrhScDl/TpYgfEDW2Fom&#10;Bb/kYbsZDtaYanvnE93yUIkIYZ+igjqELpXSFzUZ9FPbEUevtM5giNJVUju8R7hp5WuSLKTBhuNC&#10;jR1lNRXX/McoOB/KZZl/eH38nrkxdpfs632cKfUy6ncrEIH68Az/t/dawdsc/r7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1IMlxAAAANsAAAAPAAAAAAAAAAAA&#10;AAAAAKECAABkcnMvZG93bnJldi54bWxQSwUGAAAAAAQABAD5AAAAkgMAAAAA&#10;" strokecolor="black [3213]">
                    <v:stroke endarrow="block"/>
                  </v:shape>
                  <v:line id="Straight Connector 37" o:spid="_x0000_s1045" style="position:absolute;visibility:visible;mso-wrap-style:square" from="36356,7022" to="36356,17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dBLMQAAADbAAAADwAAAGRycy9kb3ducmV2LnhtbESPQWvCQBSE74L/YXmF3nSjpU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F0EsxAAAANsAAAAPAAAAAAAAAAAA&#10;AAAAAKECAABkcnMvZG93bnJldi54bWxQSwUGAAAAAAQABAD5AAAAkgMAAAAA&#10;" strokecolor="black [3213]"/>
                </v:group>
                <v:group id="Group 45" o:spid="_x0000_s1046" style="position:absolute;top:28176;width:77760;height:6858" coordsize="77760,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TextBox 19" o:spid="_x0000_s1047" type="#_x0000_t202" style="position:absolute;top:1828;width:12801;height:5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rN/sIA&#10;AADaAAAADwAAAGRycy9kb3ducmV2LnhtbESPzW7CMBCE70h9B2sr9QZOC0JtikEUZIkrPw+wirdJ&#10;1HhtYpOkPD1GQuI4mplvNIvVYBvRURtqxwreJxkI4sKZmksFp6Mef4IIEdlg45gU/FOA1fJltMDc&#10;uJ731B1iKRKEQ44Kqhh9LmUoKrIYJs4TJ+/XtRZjkm0pTYt9gttGfmTZXFqsOS1U6GlTUfF3uFgF&#10;eqdnZq63/bn/sdO9/vLd9eKVensd1t8gIg3xGX60d0bBFO5X0g2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s3+wgAAANoAAAAPAAAAAAAAAAAAAAAAAJgCAABkcnMvZG93&#10;bnJldi54bWxQSwUGAAAAAAQABAD1AAAAhwMAAAAA&#10;" filled="f" strokecolor="black [3213]">
                    <v:textbox>
                      <w:txbxContent>
                        <w:p w14:paraId="15E39896" w14:textId="77777777" w:rsidR="005F3824" w:rsidRPr="00ED2211" w:rsidRDefault="005F3824" w:rsidP="00ED2211">
                          <w:pPr>
                            <w:pStyle w:val="NormalWeb"/>
                            <w:spacing w:before="0" w:beforeAutospacing="0" w:after="0" w:afterAutospacing="0"/>
                            <w:jc w:val="center"/>
                            <w:rPr>
                              <w:sz w:val="28"/>
                              <w:szCs w:val="28"/>
                            </w:rPr>
                          </w:pPr>
                          <w:proofErr w:type="spellStart"/>
                          <w:r w:rsidRPr="00ED2211">
                            <w:rPr>
                              <w:color w:val="000000" w:themeColor="text1"/>
                              <w:kern w:val="24"/>
                              <w:sz w:val="28"/>
                              <w:szCs w:val="28"/>
                            </w:rPr>
                            <w:t>Storey</w:t>
                          </w:r>
                          <w:proofErr w:type="spellEnd"/>
                          <w:r w:rsidRPr="00ED2211">
                            <w:rPr>
                              <w:color w:val="000000" w:themeColor="text1"/>
                              <w:kern w:val="24"/>
                              <w:sz w:val="28"/>
                              <w:szCs w:val="28"/>
                            </w:rPr>
                            <w:t xml:space="preserve"> Type</w:t>
                          </w:r>
                        </w:p>
                      </w:txbxContent>
                    </v:textbox>
                  </v:shape>
                  <v:shape id="TextBox 24" o:spid="_x0000_s1048" type="#_x0000_t202" style="position:absolute;left:15288;top:1828;width:12802;height:50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EcIA&#10;AADaAAAADwAAAGRycy9kb3ducmV2LnhtbESPwW7CMBBE75X4B2uReisOpSAIGESpLHGF9gNW8ZJE&#10;xGsTmyTt19eVKnEczcwbzWY32EZ01IbasYLpJANBXDhTc6ng61O/LEGEiGywcUwKvinAbjt62mBu&#10;XM8n6s6xFAnCIUcFVYw+lzIUFVkME+eJk3dxrcWYZFtK02Kf4LaRr1m2kBZrTgsVejpUVFzPd6tA&#10;H/WbWeiP/ta/29lJr3z3c/dKPY+H/RpEpCE+wv/to1Ewh78r6Qb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ARwgAAANoAAAAPAAAAAAAAAAAAAAAAAJgCAABkcnMvZG93&#10;bnJldi54bWxQSwUGAAAAAAQABAD1AAAAhwMAAAAA&#10;" filled="f" strokecolor="black [3213]">
                    <v:textbox>
                      <w:txbxContent>
                        <w:p w14:paraId="4D4CDB61"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Lot Size</w:t>
                          </w:r>
                        </w:p>
                      </w:txbxContent>
                    </v:textbox>
                  </v:shape>
                  <v:shape id="TextBox 25" o:spid="_x0000_s1049" type="#_x0000_t202" style="position:absolute;left:31162;top:1828;width:12802;height:5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UfcAA&#10;AADaAAAADwAAAGRycy9kb3ducmV2LnhtbESPSwvCMBCE74L/IazgTVM9qFSj+EAQ0YMPxOPSrG2x&#10;2ZQmav33RhA8DjPzDTOZ1aYQT6pcbllBrxuBIE6szjlVcD6tOyMQziNrLCyTgjc5mE2bjQnG2r74&#10;QM+jT0WAsItRQeZ9GUvpkowMuq4tiYN3s5VBH2SVSl3hK8BNIftRNJAGcw4LGZa0zCi5Hx9Gweb0&#10;3h6Gy/3AbBer6+4i3WW92inVbtXzMQhPtf+Hf+2NVjCE75VwA+T0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PjUfcAAAADaAAAADwAAAAAAAAAAAAAAAACYAgAAZHJzL2Rvd25y&#10;ZXYueG1sUEsFBgAAAAAEAAQA9QAAAIUDAAAAAA==&#10;" filled="f" strokecolor="black [3213]">
                    <v:textbox>
                      <w:txbxContent>
                        <w:p w14:paraId="59769288"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Number of Bedrooms</w:t>
                          </w:r>
                        </w:p>
                      </w:txbxContent>
                    </v:textbox>
                  </v:shape>
                  <v:shape id="TextBox 26" o:spid="_x0000_s1050" type="#_x0000_t202" style="position:absolute;left:45939;top:1755;width:12802;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dAD70A&#10;AADaAAAADwAAAGRycy9kb3ducmV2LnhtbERPuwrCMBTdBf8hXMFNUx1UqlF8IIjoYBVxvDTXttjc&#10;lCZq/XszCI6H854tGlOKF9WusKxg0I9AEKdWF5wpuJy3vQkI55E1lpZJwYccLObt1gxjbd98olfi&#10;MxFC2MWoIPe+iqV0aU4GXd9WxIG729qgD7DOpK7xHcJNKYdRNJIGCw4NOVa0zil9JE+jYHf+7E/j&#10;9XFk9qvN7XCV7rrdHJTqdprlFISnxv/FP/dOKwhbw5V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WdAD70AAADaAAAADwAAAAAAAAAAAAAAAACYAgAAZHJzL2Rvd25yZXYu&#10;eG1sUEsFBgAAAAAEAAQA9QAAAIIDAAAAAA==&#10;" filled="f" strokecolor="black [3213]">
                    <v:textbox>
                      <w:txbxContent>
                        <w:p w14:paraId="1AD5F32C"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Number of Bathrooms</w:t>
                          </w:r>
                        </w:p>
                      </w:txbxContent>
                    </v:textbox>
                  </v:shape>
                  <v:shape id="TextBox 27" o:spid="_x0000_s1051" type="#_x0000_t202" style="position:absolute;left:61301;top:1682;width:16459;height:5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vllMQA&#10;AADaAAAADwAAAGRycy9kb3ducmV2LnhtbESPT2vCQBTE7wW/w/IEb3WjB62pq2iCEMQe/IP0+Mi+&#10;JqHZtyG7avLt3ULB4zAzv2GW687U4k6tqywrmIwjEMS51RUXCi7n3fsHCOeRNdaWSUFPDtarwdsS&#10;Y20ffKT7yRciQNjFqKD0vomldHlJBt3YNsTB+7GtQR9kW0jd4iPATS2nUTSTBisOCyU2lJSU/55u&#10;RkF27vfHefI1M/tt+n24SnfdpQelRsNu8wnCU+df4f92phUs4O9KuAF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r5ZTEAAAA2gAAAA8AAAAAAAAAAAAAAAAAmAIAAGRycy9k&#10;b3ducmV2LnhtbFBLBQYAAAAABAAEAPUAAACJAwAAAAA=&#10;" filled="f" strokecolor="black [3213]">
                    <v:textbox>
                      <w:txbxContent>
                        <w:p w14:paraId="2579BE71" w14:textId="77777777" w:rsidR="005F3824" w:rsidRPr="00ED2211" w:rsidRDefault="005F3824" w:rsidP="00ED2211">
                          <w:pPr>
                            <w:pStyle w:val="NormalWeb"/>
                            <w:spacing w:before="0" w:beforeAutospacing="0" w:after="0" w:afterAutospacing="0"/>
                            <w:jc w:val="center"/>
                            <w:rPr>
                              <w:sz w:val="28"/>
                              <w:szCs w:val="28"/>
                            </w:rPr>
                          </w:pPr>
                          <w:r w:rsidRPr="00ED2211">
                            <w:rPr>
                              <w:color w:val="000000" w:themeColor="text1"/>
                              <w:kern w:val="24"/>
                              <w:sz w:val="28"/>
                              <w:szCs w:val="28"/>
                            </w:rPr>
                            <w:t>Household Average Commute Distance</w:t>
                          </w:r>
                        </w:p>
                      </w:txbxContent>
                    </v:textbox>
                  </v:shape>
                  <v:shape id="Straight Arrow Connector 10" o:spid="_x0000_s1052" type="#_x0000_t32" style="position:absolute;left:21579;width:26;height:18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iYl8UAAADbAAAADwAAAGRycy9kb3ducmV2LnhtbESPQU/DMAyF70j8h8hI3FgKB4S6ZdMY&#10;QkKcWLcJcbMaryk0Tpdkbffv8QGJm633/N7nxWrynRoopjawgftZAYq4DrblxsB+93r3BCplZItd&#10;YDJwoQSr5fXVAksbRt7SUOVGSQinEg24nPtS61Q78phmoScW7RiixyxrbLSNOEq47/RDUTxqjy1L&#10;g8OeNo7qn+rsDXTD+3g6nL9P7uVj2FWbzy/3HHtjbm+m9RxUpin/m/+u36zgC738IgPo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iYl8UAAADbAAAADwAAAAAAAAAA&#10;AAAAAAChAgAAZHJzL2Rvd25yZXYueG1sUEsFBgAAAAAEAAQA+QAAAJMDAAAAAA==&#10;" strokecolor="black [3213]">
                    <v:stroke endarrow="block"/>
                  </v:shape>
                  <v:shape id="Straight Arrow Connector 12" o:spid="_x0000_s1053" type="#_x0000_t32" style="position:absolute;left:52303;width:26;height:18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aje8IAAADbAAAADwAAAGRycy9kb3ducmV2LnhtbERPTWsCMRC9F/wPYQRvNasHKatRqiKU&#10;ntpVKb0Nm+lmdTNZk7i7/fdNodDbPN7nrDaDbURHPtSOFcymGQji0umaKwWn4+HxCUSIyBobx6Tg&#10;mwJs1qOHFeba9fxOXRErkUI45KjAxNjmUobSkMUwdS1x4r6ctxgT9JXUHvsUbhs5z7KFtFhzajDY&#10;0s5QeS3uVkHTvfa38/1yM/u37ljsPj7N1rdKTcbD8xJEpCH+i//cLzrNn8PvL+k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aje8IAAADbAAAADwAAAAAAAAAAAAAA&#10;AAChAgAAZHJzL2Rvd25yZXYueG1sUEsFBgAAAAAEAAQA+QAAAJADAAAAAA==&#10;" strokecolor="black [3213]">
                    <v:stroke endarrow="block"/>
                  </v:shape>
                  <v:shape id="Straight Arrow Connector 38" o:spid="_x0000_s1054" type="#_x0000_t32" style="position:absolute;left:37600;width:25;height:18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vI8cIAAADbAAAADwAAAGRycy9kb3ducmV2LnhtbERPz2vCMBS+D/wfwhO8zXQTxqhGcY7B&#10;8OTqRLw9mmdTbV5qEtvuv18Ogx0/vt+L1WAb0ZEPtWMFT9MMBHHpdM2Vgu/9x+MriBCRNTaOScEP&#10;BVgtRw8LzLXr+Yu6IlYihXDIUYGJsc2lDKUhi2HqWuLEnZ23GBP0ldQe+xRuG/mcZS/SYs2pwWBL&#10;G0PltbhbBU237W+H++Vm3nfdvtgcT+bNt0pNxsN6DiLSEP/Ff+5PrWCWxqY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vI8cIAAADbAAAADwAAAAAAAAAAAAAA&#10;AAChAgAAZHJzL2Rvd25yZXYueG1sUEsFBgAAAAAEAAQA+QAAAJADAAAAAA==&#10;" strokecolor="black [3213]">
                    <v:stroke endarrow="block"/>
                  </v:shape>
                  <v:shape id="Straight Arrow Connector 39" o:spid="_x0000_s1055" type="#_x0000_t32" style="position:absolute;left:6437;width:25;height:18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dtasUAAADbAAAADwAAAGRycy9kb3ducmV2LnhtbESPQUsDMRSE70L/Q3iF3my2CkXXpsVW&#10;hNJT3Sri7bF5blY3L9sk3d3++6YgeBxm5htmsRpsIzryoXasYDbNQBCXTtdcKXg/vN4+gAgRWWPj&#10;mBScKcBqObpZYK5dz2/UFbESCcIhRwUmxjaXMpSGLIapa4mT9+28xZikr6T22Ce4beRdls2lxZrT&#10;gsGWNobK3+JkFTTdrj9+nH6O5mXfHYrN55dZ+1apyXh4fgIRaYj/4b/2Viu4f4T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dtasUAAADbAAAADwAAAAAAAAAA&#10;AAAAAAChAgAAZHJzL2Rvd25yZXYueG1sUEsFBgAAAAAEAAQA+QAAAJMDAAAAAA==&#10;" strokecolor="black [3213]">
                    <v:stroke endarrow="block"/>
                  </v:shape>
                  <v:shape id="Straight Arrow Connector 40" o:spid="_x0000_s1056" type="#_x0000_t32" style="position:absolute;left:69348;width:25;height:16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u3isIAAADbAAAADwAAAGRycy9kb3ducmV2LnhtbERPz2vCMBS+D/wfwhO8zXRDxqhGcY7B&#10;8OTqRLw9mmdTbV5qEtvuv18Ogx0/vt+L1WAb0ZEPtWMFT9MMBHHpdM2Vgu/9x+MriBCRNTaOScEP&#10;BVgtRw8LzLXr+Yu6IlYihXDIUYGJsc2lDKUhi2HqWuLEnZ23GBP0ldQe+xRuG/mcZS/SYs2pwWBL&#10;G0PltbhbBU237W+H++Vm3nfdvtgcT+bNt0pNxsN6DiLSEP/Ff+5PrWCW1qc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u3isIAAADbAAAADwAAAAAAAAAAAAAA&#10;AAChAgAAZHJzL2Rvd25yZXYueG1sUEsFBgAAAAAEAAQA+QAAAJADAAAAAA==&#10;" strokecolor="black [3213]">
                    <v:stroke endarrow="block"/>
                  </v:shape>
                  <v:line id="Straight Connector 43" o:spid="_x0000_s1057" style="position:absolute;visibility:visible;mso-wrap-style:square" from="6437,0" to="693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0UsUAAADbAAAADwAAAGRycy9kb3ducmV2LnhtbESPQWvCQBSE7wX/w/KE3upG2xqJrhIE&#10;obUnreL1kX0m0ezbsLuNaX+9Wyj0OMzMN8xi1ZtGdOR8bVnBeJSAIC6srrlUcPjcPM1A+ICssbFM&#10;Cr7Jw2o5eFhgpu2Nd9TtQykihH2GCqoQ2kxKX1Rk0I9sSxy9s3UGQ5SulNrhLcJNIydJMpUGa44L&#10;Fba0rqi47r+Mglmxvbg8zd/Hr8c2/ekmH9PNKVXqcdjncxCB+vAf/mu/aQUvz/D7Jf4Aub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0UsUAAADbAAAADwAAAAAAAAAA&#10;AAAAAAChAgAAZHJzL2Rvd25yZXYueG1sUEsFBgAAAAAEAAQA+QAAAJMDAAAAAA==&#10;" strokecolor="black [3213]"/>
                </v:group>
              </v:group>
            </w:pict>
          </mc:Fallback>
        </mc:AlternateContent>
      </w:r>
    </w:p>
    <w:p w14:paraId="1E3AF48B" w14:textId="6CF051ED" w:rsidR="00ED2211" w:rsidRPr="00ED2211" w:rsidRDefault="00ED2211" w:rsidP="00D740EB">
      <w:pPr>
        <w:jc w:val="center"/>
        <w:rPr>
          <w:noProof/>
        </w:rPr>
      </w:pPr>
    </w:p>
    <w:p w14:paraId="56C4412D" w14:textId="0BB09EF6" w:rsidR="00ED2211" w:rsidRPr="00ED2211" w:rsidRDefault="00ED2211" w:rsidP="00D740EB">
      <w:pPr>
        <w:jc w:val="center"/>
        <w:rPr>
          <w:noProof/>
        </w:rPr>
      </w:pPr>
    </w:p>
    <w:p w14:paraId="42053C88" w14:textId="2E86B6D3" w:rsidR="00ED2211" w:rsidRPr="00ED2211" w:rsidRDefault="00ED2211" w:rsidP="00D740EB">
      <w:pPr>
        <w:jc w:val="center"/>
        <w:rPr>
          <w:noProof/>
        </w:rPr>
      </w:pPr>
    </w:p>
    <w:p w14:paraId="5DEFF76F" w14:textId="5F95FE80" w:rsidR="00ED2211" w:rsidRPr="00ED2211" w:rsidRDefault="00ED2211" w:rsidP="00D740EB">
      <w:pPr>
        <w:jc w:val="center"/>
        <w:rPr>
          <w:noProof/>
        </w:rPr>
      </w:pPr>
    </w:p>
    <w:p w14:paraId="59F448D8" w14:textId="60C515CF" w:rsidR="00ED2211" w:rsidRPr="00ED2211" w:rsidRDefault="00ED2211" w:rsidP="00D740EB">
      <w:pPr>
        <w:jc w:val="center"/>
        <w:rPr>
          <w:noProof/>
        </w:rPr>
      </w:pPr>
    </w:p>
    <w:p w14:paraId="0B9B796A" w14:textId="17528A41" w:rsidR="00ED2211" w:rsidRPr="00ED2211" w:rsidRDefault="00ED2211" w:rsidP="00D740EB">
      <w:pPr>
        <w:jc w:val="center"/>
        <w:rPr>
          <w:noProof/>
        </w:rPr>
      </w:pPr>
    </w:p>
    <w:p w14:paraId="668D7D0B" w14:textId="3EFE52CC" w:rsidR="00ED2211" w:rsidRPr="00ED2211" w:rsidRDefault="00ED2211" w:rsidP="00D740EB">
      <w:pPr>
        <w:jc w:val="center"/>
        <w:rPr>
          <w:noProof/>
        </w:rPr>
      </w:pPr>
    </w:p>
    <w:p w14:paraId="5D030F46" w14:textId="7947FB31" w:rsidR="00ED2211" w:rsidRPr="00ED2211" w:rsidRDefault="00ED2211" w:rsidP="00D740EB">
      <w:pPr>
        <w:jc w:val="center"/>
        <w:rPr>
          <w:noProof/>
        </w:rPr>
      </w:pPr>
    </w:p>
    <w:p w14:paraId="596DC912" w14:textId="1D55358F" w:rsidR="00ED2211" w:rsidRPr="00ED2211" w:rsidRDefault="00ED2211" w:rsidP="00D740EB">
      <w:pPr>
        <w:jc w:val="center"/>
        <w:rPr>
          <w:noProof/>
        </w:rPr>
      </w:pPr>
    </w:p>
    <w:p w14:paraId="63C78CCE" w14:textId="76F5CCEC" w:rsidR="00ED2211" w:rsidRPr="00ED2211" w:rsidRDefault="00ED2211" w:rsidP="00D740EB">
      <w:pPr>
        <w:jc w:val="center"/>
        <w:rPr>
          <w:noProof/>
        </w:rPr>
      </w:pPr>
    </w:p>
    <w:p w14:paraId="7971AFCC" w14:textId="30DA24E6" w:rsidR="00ED2211" w:rsidRPr="00ED2211" w:rsidRDefault="00ED2211" w:rsidP="00D740EB">
      <w:pPr>
        <w:jc w:val="center"/>
        <w:rPr>
          <w:noProof/>
        </w:rPr>
      </w:pPr>
    </w:p>
    <w:p w14:paraId="197213B5" w14:textId="0F0F692A" w:rsidR="00ED2211" w:rsidRPr="00ED2211" w:rsidRDefault="00ED2211" w:rsidP="00D740EB">
      <w:pPr>
        <w:jc w:val="center"/>
        <w:rPr>
          <w:noProof/>
        </w:rPr>
      </w:pPr>
    </w:p>
    <w:p w14:paraId="486ABE20" w14:textId="79DBF576" w:rsidR="00ED2211" w:rsidRPr="00ED2211" w:rsidRDefault="00ED2211" w:rsidP="00D740EB">
      <w:pPr>
        <w:jc w:val="center"/>
        <w:rPr>
          <w:noProof/>
        </w:rPr>
      </w:pPr>
    </w:p>
    <w:p w14:paraId="31F4F721" w14:textId="26910AA9" w:rsidR="00486DCC" w:rsidRDefault="00486DCC" w:rsidP="00D740EB">
      <w:pPr>
        <w:jc w:val="center"/>
        <w:rPr>
          <w:b/>
          <w:noProof/>
        </w:rPr>
      </w:pPr>
    </w:p>
    <w:p w14:paraId="1DB981A9" w14:textId="70A58E72" w:rsidR="00486DCC" w:rsidRDefault="00486DCC" w:rsidP="00D740EB">
      <w:pPr>
        <w:jc w:val="center"/>
        <w:rPr>
          <w:b/>
          <w:noProof/>
        </w:rPr>
      </w:pPr>
    </w:p>
    <w:p w14:paraId="43264A20" w14:textId="4E473A0A" w:rsidR="00D740EB" w:rsidRDefault="00B800FC" w:rsidP="00D740EB">
      <w:pPr>
        <w:jc w:val="center"/>
        <w:rPr>
          <w:b/>
          <w:noProof/>
        </w:rPr>
      </w:pPr>
      <w:r>
        <w:rPr>
          <w:b/>
          <w:noProof/>
        </w:rPr>
        <w:t>Figure 2</w:t>
      </w:r>
      <w:r w:rsidR="00FC135B">
        <w:rPr>
          <w:b/>
          <w:noProof/>
        </w:rPr>
        <w:t>.</w:t>
      </w:r>
      <w:r w:rsidR="00637586">
        <w:rPr>
          <w:b/>
          <w:noProof/>
        </w:rPr>
        <w:t xml:space="preserve"> Recursivity in</w:t>
      </w:r>
      <w:r w:rsidR="00D740EB" w:rsidRPr="002F5F8A">
        <w:rPr>
          <w:b/>
          <w:noProof/>
        </w:rPr>
        <w:t xml:space="preserve"> Implied Structural Effects</w:t>
      </w:r>
    </w:p>
    <w:p w14:paraId="19A2B7E3" w14:textId="77777777" w:rsidR="00194720" w:rsidRDefault="00194720" w:rsidP="00D740EB">
      <w:pPr>
        <w:jc w:val="center"/>
        <w:rPr>
          <w:b/>
          <w:noProof/>
        </w:rPr>
      </w:pPr>
    </w:p>
    <w:p w14:paraId="127550EA" w14:textId="77777777" w:rsidR="00194720" w:rsidRDefault="00194720" w:rsidP="00D740EB">
      <w:pPr>
        <w:jc w:val="center"/>
        <w:rPr>
          <w:b/>
          <w:noProof/>
        </w:rPr>
      </w:pPr>
    </w:p>
    <w:p w14:paraId="39ADE57E" w14:textId="77777777" w:rsidR="00194720" w:rsidRDefault="00194720" w:rsidP="00D740EB">
      <w:pPr>
        <w:jc w:val="center"/>
        <w:rPr>
          <w:b/>
          <w:noProof/>
        </w:rPr>
      </w:pPr>
    </w:p>
    <w:p w14:paraId="26C98170" w14:textId="77777777" w:rsidR="00D47B10" w:rsidRDefault="00D47B10" w:rsidP="00D740EB">
      <w:pPr>
        <w:jc w:val="center"/>
        <w:rPr>
          <w:b/>
          <w:noProof/>
        </w:rPr>
      </w:pPr>
    </w:p>
    <w:p w14:paraId="0F18A1E8" w14:textId="1AA358BB" w:rsidR="00D47B10" w:rsidRPr="00417C1C" w:rsidRDefault="00ED2211" w:rsidP="00D47B10">
      <w:pPr>
        <w:jc w:val="center"/>
      </w:pPr>
      <w:r>
        <w:rPr>
          <w:b/>
          <w:noProof/>
        </w:rPr>
        <w:lastRenderedPageBreak/>
        <w:t>Table 1.</w:t>
      </w:r>
      <w:r w:rsidR="00D47B10" w:rsidRPr="00417C1C">
        <w:rPr>
          <w:b/>
          <w:noProof/>
        </w:rPr>
        <w:t xml:space="preserve"> </w:t>
      </w:r>
      <w:r w:rsidR="00D47B10" w:rsidRPr="00417C1C">
        <w:rPr>
          <w:rFonts w:hint="eastAsia"/>
          <w:b/>
          <w:noProof/>
        </w:rPr>
        <w:t>Descriptive Statistics</w:t>
      </w:r>
    </w:p>
    <w:tbl>
      <w:tblPr>
        <w:tblStyle w:val="TableGrid"/>
        <w:tblW w:w="13864" w:type="dxa"/>
        <w:jc w:val="center"/>
        <w:tblLayout w:type="fixed"/>
        <w:tblLook w:val="04A0" w:firstRow="1" w:lastRow="0" w:firstColumn="1" w:lastColumn="0" w:noHBand="0" w:noVBand="1"/>
      </w:tblPr>
      <w:tblGrid>
        <w:gridCol w:w="1349"/>
        <w:gridCol w:w="1112"/>
        <w:gridCol w:w="1592"/>
        <w:gridCol w:w="1104"/>
        <w:gridCol w:w="1431"/>
        <w:gridCol w:w="1089"/>
        <w:gridCol w:w="1275"/>
        <w:gridCol w:w="1065"/>
        <w:gridCol w:w="795"/>
        <w:gridCol w:w="1139"/>
        <w:gridCol w:w="793"/>
        <w:gridCol w:w="1120"/>
      </w:tblGrid>
      <w:tr w:rsidR="00C62CB7" w:rsidRPr="00C62CB7" w14:paraId="071255D5" w14:textId="77777777" w:rsidTr="001B69D9">
        <w:trPr>
          <w:trHeight w:val="288"/>
          <w:jc w:val="center"/>
        </w:trPr>
        <w:tc>
          <w:tcPr>
            <w:tcW w:w="10017" w:type="dxa"/>
            <w:gridSpan w:val="8"/>
            <w:tcBorders>
              <w:top w:val="double" w:sz="4" w:space="0" w:color="auto"/>
              <w:left w:val="double" w:sz="4" w:space="0" w:color="auto"/>
              <w:bottom w:val="double" w:sz="4" w:space="0" w:color="auto"/>
              <w:right w:val="double" w:sz="4" w:space="0" w:color="auto"/>
            </w:tcBorders>
            <w:tcMar>
              <w:left w:w="58" w:type="dxa"/>
              <w:right w:w="58" w:type="dxa"/>
            </w:tcMar>
            <w:vAlign w:val="center"/>
          </w:tcPr>
          <w:p w14:paraId="3E92055A"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Grouped Outcomes</w:t>
            </w:r>
          </w:p>
        </w:tc>
        <w:tc>
          <w:tcPr>
            <w:tcW w:w="3847" w:type="dxa"/>
            <w:gridSpan w:val="4"/>
            <w:tcBorders>
              <w:top w:val="double" w:sz="4" w:space="0" w:color="auto"/>
              <w:left w:val="double" w:sz="4" w:space="0" w:color="auto"/>
              <w:bottom w:val="double" w:sz="4" w:space="0" w:color="auto"/>
              <w:right w:val="double" w:sz="4" w:space="0" w:color="auto"/>
            </w:tcBorders>
            <w:tcMar>
              <w:left w:w="58" w:type="dxa"/>
              <w:right w:w="58" w:type="dxa"/>
            </w:tcMar>
            <w:vAlign w:val="center"/>
          </w:tcPr>
          <w:p w14:paraId="02E43001"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Count Outcomes</w:t>
            </w:r>
          </w:p>
        </w:tc>
      </w:tr>
      <w:tr w:rsidR="00C62CB7" w:rsidRPr="00C62CB7" w14:paraId="5E9ECBE3" w14:textId="77777777" w:rsidTr="001B69D9">
        <w:trPr>
          <w:trHeight w:val="576"/>
          <w:jc w:val="center"/>
        </w:trPr>
        <w:tc>
          <w:tcPr>
            <w:tcW w:w="2461" w:type="dxa"/>
            <w:gridSpan w:val="2"/>
            <w:tcBorders>
              <w:top w:val="double" w:sz="4" w:space="0" w:color="auto"/>
              <w:left w:val="double" w:sz="4" w:space="0" w:color="auto"/>
              <w:bottom w:val="double" w:sz="4" w:space="0" w:color="auto"/>
              <w:right w:val="double" w:sz="4" w:space="0" w:color="auto"/>
            </w:tcBorders>
            <w:tcMar>
              <w:left w:w="58" w:type="dxa"/>
              <w:right w:w="58" w:type="dxa"/>
            </w:tcMar>
            <w:vAlign w:val="center"/>
          </w:tcPr>
          <w:p w14:paraId="65737A16"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Square footage of the house (Sq. feet)</w:t>
            </w:r>
          </w:p>
        </w:tc>
        <w:tc>
          <w:tcPr>
            <w:tcW w:w="2696" w:type="dxa"/>
            <w:gridSpan w:val="2"/>
            <w:tcBorders>
              <w:top w:val="double" w:sz="4" w:space="0" w:color="auto"/>
              <w:left w:val="double" w:sz="4" w:space="0" w:color="auto"/>
              <w:bottom w:val="double" w:sz="4" w:space="0" w:color="auto"/>
              <w:right w:val="double" w:sz="4" w:space="0" w:color="auto"/>
            </w:tcBorders>
            <w:tcMar>
              <w:left w:w="58" w:type="dxa"/>
              <w:right w:w="58" w:type="dxa"/>
            </w:tcMar>
            <w:vAlign w:val="center"/>
          </w:tcPr>
          <w:p w14:paraId="1A1F872F"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Lot size (Sq. feet)</w:t>
            </w:r>
          </w:p>
        </w:tc>
        <w:tc>
          <w:tcPr>
            <w:tcW w:w="2520" w:type="dxa"/>
            <w:gridSpan w:val="2"/>
            <w:tcBorders>
              <w:top w:val="double" w:sz="4" w:space="0" w:color="auto"/>
              <w:left w:val="double" w:sz="4" w:space="0" w:color="auto"/>
              <w:bottom w:val="double" w:sz="4" w:space="0" w:color="auto"/>
              <w:right w:val="double" w:sz="4" w:space="0" w:color="auto"/>
            </w:tcBorders>
            <w:tcMar>
              <w:left w:w="58" w:type="dxa"/>
              <w:right w:w="58" w:type="dxa"/>
            </w:tcMar>
            <w:vAlign w:val="center"/>
          </w:tcPr>
          <w:p w14:paraId="4691E187"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Housing cost ($)</w:t>
            </w:r>
          </w:p>
        </w:tc>
        <w:tc>
          <w:tcPr>
            <w:tcW w:w="2340" w:type="dxa"/>
            <w:gridSpan w:val="2"/>
            <w:tcBorders>
              <w:top w:val="double" w:sz="4" w:space="0" w:color="auto"/>
              <w:left w:val="double" w:sz="4" w:space="0" w:color="auto"/>
              <w:bottom w:val="double" w:sz="4" w:space="0" w:color="auto"/>
              <w:right w:val="double" w:sz="4" w:space="0" w:color="auto"/>
            </w:tcBorders>
            <w:tcMar>
              <w:left w:w="58" w:type="dxa"/>
              <w:right w:w="58" w:type="dxa"/>
            </w:tcMar>
            <w:vAlign w:val="center"/>
          </w:tcPr>
          <w:p w14:paraId="6585CE82"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Household average commute distance (miles)</w:t>
            </w:r>
          </w:p>
        </w:tc>
        <w:tc>
          <w:tcPr>
            <w:tcW w:w="1934" w:type="dxa"/>
            <w:gridSpan w:val="2"/>
            <w:tcBorders>
              <w:top w:val="double" w:sz="4" w:space="0" w:color="auto"/>
              <w:left w:val="double" w:sz="4" w:space="0" w:color="auto"/>
              <w:bottom w:val="double" w:sz="4" w:space="0" w:color="auto"/>
              <w:right w:val="double" w:sz="4" w:space="0" w:color="auto"/>
            </w:tcBorders>
            <w:tcMar>
              <w:left w:w="58" w:type="dxa"/>
              <w:right w:w="58" w:type="dxa"/>
            </w:tcMar>
            <w:vAlign w:val="center"/>
          </w:tcPr>
          <w:p w14:paraId="59504298"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 of bedrooms</w:t>
            </w:r>
          </w:p>
        </w:tc>
        <w:tc>
          <w:tcPr>
            <w:tcW w:w="1913" w:type="dxa"/>
            <w:gridSpan w:val="2"/>
            <w:tcBorders>
              <w:top w:val="double" w:sz="4" w:space="0" w:color="auto"/>
              <w:left w:val="double" w:sz="4" w:space="0" w:color="auto"/>
              <w:bottom w:val="double" w:sz="4" w:space="0" w:color="auto"/>
              <w:right w:val="double" w:sz="4" w:space="0" w:color="auto"/>
            </w:tcBorders>
            <w:tcMar>
              <w:left w:w="58" w:type="dxa"/>
              <w:right w:w="58" w:type="dxa"/>
            </w:tcMar>
            <w:vAlign w:val="center"/>
          </w:tcPr>
          <w:p w14:paraId="7717943C"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 of bathrooms</w:t>
            </w:r>
          </w:p>
        </w:tc>
      </w:tr>
      <w:tr w:rsidR="00C62CB7" w:rsidRPr="00C62CB7" w14:paraId="6157AAAD" w14:textId="77777777" w:rsidTr="001B69D9">
        <w:trPr>
          <w:trHeight w:val="288"/>
          <w:jc w:val="center"/>
        </w:trPr>
        <w:tc>
          <w:tcPr>
            <w:tcW w:w="1349" w:type="dxa"/>
            <w:tcBorders>
              <w:top w:val="double" w:sz="4" w:space="0" w:color="auto"/>
              <w:left w:val="double" w:sz="4" w:space="0" w:color="auto"/>
              <w:bottom w:val="single" w:sz="4" w:space="0" w:color="auto"/>
            </w:tcBorders>
            <w:tcMar>
              <w:left w:w="58" w:type="dxa"/>
              <w:right w:w="58" w:type="dxa"/>
            </w:tcMar>
            <w:vAlign w:val="center"/>
          </w:tcPr>
          <w:p w14:paraId="0D00BAAE"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Category</w:t>
            </w:r>
          </w:p>
        </w:tc>
        <w:tc>
          <w:tcPr>
            <w:tcW w:w="1112" w:type="dxa"/>
            <w:tcBorders>
              <w:top w:val="double" w:sz="4" w:space="0" w:color="auto"/>
              <w:bottom w:val="single" w:sz="4" w:space="0" w:color="auto"/>
              <w:right w:val="double" w:sz="4" w:space="0" w:color="auto"/>
            </w:tcBorders>
            <w:tcMar>
              <w:left w:w="58" w:type="dxa"/>
              <w:right w:w="58" w:type="dxa"/>
            </w:tcMar>
            <w:vAlign w:val="center"/>
          </w:tcPr>
          <w:p w14:paraId="7006584F"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Percentage</w:t>
            </w:r>
          </w:p>
        </w:tc>
        <w:tc>
          <w:tcPr>
            <w:tcW w:w="1592" w:type="dxa"/>
            <w:tcBorders>
              <w:top w:val="double" w:sz="4" w:space="0" w:color="auto"/>
              <w:left w:val="double" w:sz="4" w:space="0" w:color="auto"/>
              <w:bottom w:val="single" w:sz="4" w:space="0" w:color="auto"/>
            </w:tcBorders>
            <w:tcMar>
              <w:left w:w="58" w:type="dxa"/>
              <w:right w:w="58" w:type="dxa"/>
            </w:tcMar>
            <w:vAlign w:val="center"/>
          </w:tcPr>
          <w:p w14:paraId="3E76CA42"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Category</w:t>
            </w:r>
          </w:p>
        </w:tc>
        <w:tc>
          <w:tcPr>
            <w:tcW w:w="1104" w:type="dxa"/>
            <w:tcBorders>
              <w:top w:val="double" w:sz="4" w:space="0" w:color="auto"/>
              <w:bottom w:val="single" w:sz="4" w:space="0" w:color="auto"/>
              <w:right w:val="double" w:sz="4" w:space="0" w:color="auto"/>
            </w:tcBorders>
            <w:tcMar>
              <w:left w:w="58" w:type="dxa"/>
              <w:right w:w="58" w:type="dxa"/>
            </w:tcMar>
            <w:vAlign w:val="center"/>
          </w:tcPr>
          <w:p w14:paraId="6E3A0DAE"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Percentage</w:t>
            </w:r>
          </w:p>
        </w:tc>
        <w:tc>
          <w:tcPr>
            <w:tcW w:w="1431" w:type="dxa"/>
            <w:tcBorders>
              <w:top w:val="double" w:sz="4" w:space="0" w:color="auto"/>
              <w:left w:val="double" w:sz="4" w:space="0" w:color="auto"/>
              <w:bottom w:val="single" w:sz="4" w:space="0" w:color="auto"/>
            </w:tcBorders>
            <w:tcMar>
              <w:left w:w="58" w:type="dxa"/>
              <w:right w:w="58" w:type="dxa"/>
            </w:tcMar>
            <w:vAlign w:val="center"/>
          </w:tcPr>
          <w:p w14:paraId="442BC5E5"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Category</w:t>
            </w:r>
          </w:p>
        </w:tc>
        <w:tc>
          <w:tcPr>
            <w:tcW w:w="1089" w:type="dxa"/>
            <w:tcBorders>
              <w:top w:val="double" w:sz="4" w:space="0" w:color="auto"/>
              <w:bottom w:val="single" w:sz="4" w:space="0" w:color="auto"/>
              <w:right w:val="double" w:sz="4" w:space="0" w:color="auto"/>
            </w:tcBorders>
            <w:tcMar>
              <w:left w:w="58" w:type="dxa"/>
              <w:right w:w="58" w:type="dxa"/>
            </w:tcMar>
            <w:vAlign w:val="center"/>
          </w:tcPr>
          <w:p w14:paraId="5E53BB6E"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Percentage</w:t>
            </w:r>
          </w:p>
        </w:tc>
        <w:tc>
          <w:tcPr>
            <w:tcW w:w="1275" w:type="dxa"/>
            <w:tcBorders>
              <w:left w:val="double" w:sz="4" w:space="0" w:color="auto"/>
              <w:bottom w:val="single" w:sz="4" w:space="0" w:color="auto"/>
            </w:tcBorders>
            <w:tcMar>
              <w:left w:w="58" w:type="dxa"/>
              <w:right w:w="58" w:type="dxa"/>
            </w:tcMar>
            <w:vAlign w:val="center"/>
          </w:tcPr>
          <w:p w14:paraId="4D4A519D"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Category</w:t>
            </w:r>
          </w:p>
        </w:tc>
        <w:tc>
          <w:tcPr>
            <w:tcW w:w="1065" w:type="dxa"/>
            <w:tcBorders>
              <w:bottom w:val="single" w:sz="4" w:space="0" w:color="auto"/>
              <w:right w:val="double" w:sz="4" w:space="0" w:color="auto"/>
            </w:tcBorders>
            <w:tcMar>
              <w:left w:w="58" w:type="dxa"/>
              <w:right w:w="58" w:type="dxa"/>
            </w:tcMar>
            <w:vAlign w:val="center"/>
          </w:tcPr>
          <w:p w14:paraId="3729C808"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Percentage</w:t>
            </w:r>
          </w:p>
        </w:tc>
        <w:tc>
          <w:tcPr>
            <w:tcW w:w="795" w:type="dxa"/>
            <w:tcBorders>
              <w:left w:val="double" w:sz="4" w:space="0" w:color="auto"/>
              <w:bottom w:val="single" w:sz="4" w:space="0" w:color="auto"/>
            </w:tcBorders>
            <w:tcMar>
              <w:left w:w="58" w:type="dxa"/>
              <w:right w:w="58" w:type="dxa"/>
            </w:tcMar>
            <w:vAlign w:val="center"/>
          </w:tcPr>
          <w:p w14:paraId="58EBA622"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Value</w:t>
            </w:r>
          </w:p>
        </w:tc>
        <w:tc>
          <w:tcPr>
            <w:tcW w:w="1139" w:type="dxa"/>
            <w:tcBorders>
              <w:bottom w:val="single" w:sz="4" w:space="0" w:color="auto"/>
              <w:right w:val="double" w:sz="4" w:space="0" w:color="auto"/>
            </w:tcBorders>
            <w:tcMar>
              <w:left w:w="58" w:type="dxa"/>
              <w:right w:w="58" w:type="dxa"/>
            </w:tcMar>
            <w:vAlign w:val="center"/>
          </w:tcPr>
          <w:p w14:paraId="63514E46"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Percentage</w:t>
            </w:r>
          </w:p>
        </w:tc>
        <w:tc>
          <w:tcPr>
            <w:tcW w:w="793" w:type="dxa"/>
            <w:tcBorders>
              <w:left w:val="double" w:sz="4" w:space="0" w:color="auto"/>
              <w:bottom w:val="single" w:sz="4" w:space="0" w:color="auto"/>
            </w:tcBorders>
            <w:tcMar>
              <w:left w:w="58" w:type="dxa"/>
              <w:right w:w="58" w:type="dxa"/>
            </w:tcMar>
            <w:vAlign w:val="center"/>
          </w:tcPr>
          <w:p w14:paraId="4134D129"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Value</w:t>
            </w:r>
          </w:p>
        </w:tc>
        <w:tc>
          <w:tcPr>
            <w:tcW w:w="1120" w:type="dxa"/>
            <w:tcBorders>
              <w:bottom w:val="single" w:sz="4" w:space="0" w:color="auto"/>
              <w:right w:val="double" w:sz="4" w:space="0" w:color="auto"/>
            </w:tcBorders>
            <w:tcMar>
              <w:left w:w="58" w:type="dxa"/>
              <w:right w:w="58" w:type="dxa"/>
            </w:tcMar>
            <w:vAlign w:val="center"/>
          </w:tcPr>
          <w:p w14:paraId="2248E3CB"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Percentage</w:t>
            </w:r>
          </w:p>
        </w:tc>
      </w:tr>
      <w:tr w:rsidR="00C62CB7" w:rsidRPr="00C62CB7" w14:paraId="497B0816" w14:textId="77777777" w:rsidTr="001B69D9">
        <w:trPr>
          <w:trHeight w:val="288"/>
          <w:jc w:val="center"/>
        </w:trPr>
        <w:tc>
          <w:tcPr>
            <w:tcW w:w="1349" w:type="dxa"/>
            <w:tcBorders>
              <w:left w:val="double" w:sz="4" w:space="0" w:color="auto"/>
              <w:bottom w:val="nil"/>
            </w:tcBorders>
            <w:tcMar>
              <w:left w:w="58" w:type="dxa"/>
              <w:right w:w="58" w:type="dxa"/>
            </w:tcMar>
            <w:vAlign w:val="center"/>
          </w:tcPr>
          <w:p w14:paraId="7B3B9712" w14:textId="6918C42C" w:rsidR="00D47B10" w:rsidRPr="00C62CB7" w:rsidRDefault="00C62CB7" w:rsidP="00E14270">
            <w:pPr>
              <w:spacing w:line="240" w:lineRule="auto"/>
              <w:jc w:val="center"/>
              <w:rPr>
                <w:rFonts w:eastAsia="Calibri"/>
                <w:sz w:val="20"/>
                <w:szCs w:val="20"/>
              </w:rPr>
            </w:pPr>
            <w:r>
              <w:rPr>
                <w:rFonts w:eastAsia="Calibri"/>
                <w:sz w:val="20"/>
                <w:szCs w:val="20"/>
              </w:rPr>
              <w:t>≤</w:t>
            </w:r>
            <w:r w:rsidR="00D47B10" w:rsidRPr="00C62CB7">
              <w:rPr>
                <w:rFonts w:eastAsia="Calibri"/>
                <w:sz w:val="20"/>
                <w:szCs w:val="20"/>
              </w:rPr>
              <w:t>1,000</w:t>
            </w:r>
          </w:p>
        </w:tc>
        <w:tc>
          <w:tcPr>
            <w:tcW w:w="1112" w:type="dxa"/>
            <w:tcBorders>
              <w:bottom w:val="nil"/>
              <w:right w:val="double" w:sz="4" w:space="0" w:color="auto"/>
            </w:tcBorders>
            <w:tcMar>
              <w:left w:w="58" w:type="dxa"/>
              <w:right w:w="58" w:type="dxa"/>
            </w:tcMar>
            <w:vAlign w:val="center"/>
          </w:tcPr>
          <w:p w14:paraId="381F80C8"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27.0</w:t>
            </w:r>
          </w:p>
        </w:tc>
        <w:tc>
          <w:tcPr>
            <w:tcW w:w="1592" w:type="dxa"/>
            <w:tcBorders>
              <w:left w:val="double" w:sz="4" w:space="0" w:color="auto"/>
              <w:bottom w:val="nil"/>
            </w:tcBorders>
            <w:tcMar>
              <w:left w:w="58" w:type="dxa"/>
              <w:right w:w="58" w:type="dxa"/>
            </w:tcMar>
            <w:vAlign w:val="center"/>
          </w:tcPr>
          <w:p w14:paraId="2B9C3A38" w14:textId="154CA950" w:rsidR="00D47B10" w:rsidRPr="00C62CB7" w:rsidRDefault="00C62CB7" w:rsidP="00E14270">
            <w:pPr>
              <w:spacing w:line="240" w:lineRule="auto"/>
              <w:jc w:val="center"/>
              <w:rPr>
                <w:rFonts w:eastAsia="Calibri"/>
                <w:sz w:val="20"/>
                <w:szCs w:val="20"/>
              </w:rPr>
            </w:pPr>
            <w:r>
              <w:rPr>
                <w:rFonts w:eastAsia="Calibri"/>
                <w:sz w:val="20"/>
                <w:szCs w:val="20"/>
              </w:rPr>
              <w:t>≤</w:t>
            </w:r>
            <w:r w:rsidR="00D47B10" w:rsidRPr="00C62CB7">
              <w:rPr>
                <w:rFonts w:eastAsia="Calibri"/>
                <w:sz w:val="20"/>
                <w:szCs w:val="20"/>
              </w:rPr>
              <w:t>1,500</w:t>
            </w:r>
          </w:p>
        </w:tc>
        <w:tc>
          <w:tcPr>
            <w:tcW w:w="1104" w:type="dxa"/>
            <w:tcBorders>
              <w:bottom w:val="nil"/>
              <w:right w:val="double" w:sz="4" w:space="0" w:color="auto"/>
            </w:tcBorders>
            <w:tcMar>
              <w:left w:w="58" w:type="dxa"/>
              <w:right w:w="58" w:type="dxa"/>
            </w:tcMar>
            <w:vAlign w:val="center"/>
          </w:tcPr>
          <w:p w14:paraId="23724DB6"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24.0</w:t>
            </w:r>
          </w:p>
        </w:tc>
        <w:tc>
          <w:tcPr>
            <w:tcW w:w="1431" w:type="dxa"/>
            <w:tcBorders>
              <w:left w:val="double" w:sz="4" w:space="0" w:color="auto"/>
              <w:bottom w:val="nil"/>
            </w:tcBorders>
            <w:tcMar>
              <w:left w:w="58" w:type="dxa"/>
              <w:right w:w="58" w:type="dxa"/>
            </w:tcMar>
            <w:vAlign w:val="center"/>
          </w:tcPr>
          <w:p w14:paraId="731C1103" w14:textId="0981FA87" w:rsidR="00D47B10" w:rsidRPr="00C62CB7" w:rsidRDefault="00C62CB7" w:rsidP="00E14270">
            <w:pPr>
              <w:spacing w:line="240" w:lineRule="auto"/>
              <w:jc w:val="center"/>
              <w:rPr>
                <w:rFonts w:eastAsia="Calibri"/>
                <w:sz w:val="20"/>
                <w:szCs w:val="20"/>
              </w:rPr>
            </w:pPr>
            <w:r>
              <w:rPr>
                <w:rFonts w:eastAsia="Calibri"/>
                <w:sz w:val="20"/>
                <w:szCs w:val="20"/>
              </w:rPr>
              <w:t>≤</w:t>
            </w:r>
            <w:r w:rsidR="00D47B10" w:rsidRPr="00C62CB7">
              <w:rPr>
                <w:rFonts w:eastAsia="Calibri"/>
                <w:sz w:val="20"/>
                <w:szCs w:val="20"/>
              </w:rPr>
              <w:t>1,000</w:t>
            </w:r>
          </w:p>
        </w:tc>
        <w:tc>
          <w:tcPr>
            <w:tcW w:w="1089" w:type="dxa"/>
            <w:tcBorders>
              <w:bottom w:val="nil"/>
              <w:right w:val="double" w:sz="4" w:space="0" w:color="auto"/>
            </w:tcBorders>
            <w:tcMar>
              <w:left w:w="58" w:type="dxa"/>
              <w:right w:w="58" w:type="dxa"/>
            </w:tcMar>
            <w:vAlign w:val="center"/>
          </w:tcPr>
          <w:p w14:paraId="16C58E63"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26.0</w:t>
            </w:r>
          </w:p>
        </w:tc>
        <w:tc>
          <w:tcPr>
            <w:tcW w:w="1275" w:type="dxa"/>
            <w:tcBorders>
              <w:left w:val="double" w:sz="4" w:space="0" w:color="auto"/>
              <w:bottom w:val="nil"/>
            </w:tcBorders>
            <w:tcMar>
              <w:left w:w="58" w:type="dxa"/>
              <w:right w:w="58" w:type="dxa"/>
            </w:tcMar>
            <w:vAlign w:val="center"/>
          </w:tcPr>
          <w:p w14:paraId="33F42DD4" w14:textId="4D243350" w:rsidR="00D47B10" w:rsidRPr="00C62CB7" w:rsidRDefault="00C62CB7" w:rsidP="00E14270">
            <w:pPr>
              <w:spacing w:line="240" w:lineRule="auto"/>
              <w:jc w:val="center"/>
              <w:rPr>
                <w:rFonts w:eastAsia="Calibri"/>
                <w:sz w:val="20"/>
                <w:szCs w:val="20"/>
              </w:rPr>
            </w:pPr>
            <w:r>
              <w:rPr>
                <w:rFonts w:eastAsia="Calibri"/>
                <w:sz w:val="20"/>
                <w:szCs w:val="20"/>
              </w:rPr>
              <w:t>≤</w:t>
            </w:r>
            <w:r w:rsidR="00D47B10" w:rsidRPr="00C62CB7">
              <w:rPr>
                <w:rFonts w:eastAsia="Calibri"/>
                <w:sz w:val="20"/>
                <w:szCs w:val="20"/>
              </w:rPr>
              <w:t>2</w:t>
            </w:r>
          </w:p>
        </w:tc>
        <w:tc>
          <w:tcPr>
            <w:tcW w:w="1065" w:type="dxa"/>
            <w:tcBorders>
              <w:bottom w:val="nil"/>
              <w:right w:val="double" w:sz="4" w:space="0" w:color="auto"/>
            </w:tcBorders>
            <w:tcMar>
              <w:left w:w="58" w:type="dxa"/>
              <w:right w:w="58" w:type="dxa"/>
            </w:tcMar>
            <w:vAlign w:val="center"/>
          </w:tcPr>
          <w:p w14:paraId="398EEAE5"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13.0</w:t>
            </w:r>
          </w:p>
        </w:tc>
        <w:tc>
          <w:tcPr>
            <w:tcW w:w="795" w:type="dxa"/>
            <w:tcBorders>
              <w:left w:val="double" w:sz="4" w:space="0" w:color="auto"/>
              <w:bottom w:val="nil"/>
            </w:tcBorders>
            <w:tcMar>
              <w:left w:w="58" w:type="dxa"/>
              <w:right w:w="58" w:type="dxa"/>
            </w:tcMar>
            <w:vAlign w:val="center"/>
          </w:tcPr>
          <w:p w14:paraId="3AD6149B"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0</w:t>
            </w:r>
          </w:p>
        </w:tc>
        <w:tc>
          <w:tcPr>
            <w:tcW w:w="1139" w:type="dxa"/>
            <w:tcBorders>
              <w:bottom w:val="nil"/>
              <w:right w:val="double" w:sz="4" w:space="0" w:color="auto"/>
            </w:tcBorders>
            <w:tcMar>
              <w:left w:w="58" w:type="dxa"/>
              <w:right w:w="58" w:type="dxa"/>
            </w:tcMar>
            <w:vAlign w:val="center"/>
          </w:tcPr>
          <w:p w14:paraId="41E147BD" w14:textId="13AEE8E0" w:rsidR="00D47B10" w:rsidRPr="00C62CB7" w:rsidRDefault="00D47B10" w:rsidP="00E14270">
            <w:pPr>
              <w:spacing w:line="240" w:lineRule="auto"/>
              <w:jc w:val="center"/>
              <w:rPr>
                <w:rFonts w:eastAsia="Calibri"/>
                <w:sz w:val="20"/>
                <w:szCs w:val="20"/>
              </w:rPr>
            </w:pPr>
            <w:r w:rsidRPr="00C62CB7">
              <w:rPr>
                <w:rFonts w:eastAsia="Calibri"/>
                <w:sz w:val="20"/>
                <w:szCs w:val="20"/>
              </w:rPr>
              <w:t>1.0</w:t>
            </w:r>
          </w:p>
        </w:tc>
        <w:tc>
          <w:tcPr>
            <w:tcW w:w="793" w:type="dxa"/>
            <w:tcBorders>
              <w:left w:val="double" w:sz="4" w:space="0" w:color="auto"/>
              <w:bottom w:val="nil"/>
            </w:tcBorders>
            <w:tcMar>
              <w:left w:w="58" w:type="dxa"/>
              <w:right w:w="58" w:type="dxa"/>
            </w:tcMar>
            <w:vAlign w:val="center"/>
          </w:tcPr>
          <w:p w14:paraId="7A89F7CC"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0</w:t>
            </w:r>
          </w:p>
        </w:tc>
        <w:tc>
          <w:tcPr>
            <w:tcW w:w="1120" w:type="dxa"/>
            <w:tcBorders>
              <w:bottom w:val="nil"/>
              <w:right w:val="double" w:sz="4" w:space="0" w:color="auto"/>
            </w:tcBorders>
            <w:tcMar>
              <w:left w:w="58" w:type="dxa"/>
              <w:right w:w="58" w:type="dxa"/>
            </w:tcMar>
            <w:vAlign w:val="center"/>
          </w:tcPr>
          <w:p w14:paraId="19F43AA8" w14:textId="38289432" w:rsidR="00D47B10" w:rsidRPr="00C62CB7" w:rsidRDefault="00D47B10" w:rsidP="00E14270">
            <w:pPr>
              <w:spacing w:line="240" w:lineRule="auto"/>
              <w:jc w:val="center"/>
              <w:rPr>
                <w:rFonts w:eastAsia="Calibri"/>
                <w:sz w:val="20"/>
                <w:szCs w:val="20"/>
              </w:rPr>
            </w:pPr>
            <w:r w:rsidRPr="00C62CB7">
              <w:rPr>
                <w:rFonts w:eastAsia="Calibri"/>
                <w:sz w:val="20"/>
                <w:szCs w:val="20"/>
              </w:rPr>
              <w:t>0.0</w:t>
            </w:r>
          </w:p>
        </w:tc>
      </w:tr>
      <w:tr w:rsidR="00C62CB7" w:rsidRPr="00C62CB7" w14:paraId="30E26EC8" w14:textId="77777777" w:rsidTr="001B69D9">
        <w:trPr>
          <w:trHeight w:val="288"/>
          <w:jc w:val="center"/>
        </w:trPr>
        <w:tc>
          <w:tcPr>
            <w:tcW w:w="1349" w:type="dxa"/>
            <w:tcBorders>
              <w:top w:val="nil"/>
              <w:left w:val="double" w:sz="4" w:space="0" w:color="auto"/>
              <w:bottom w:val="nil"/>
            </w:tcBorders>
            <w:tcMar>
              <w:left w:w="58" w:type="dxa"/>
              <w:right w:w="58" w:type="dxa"/>
            </w:tcMar>
            <w:vAlign w:val="center"/>
          </w:tcPr>
          <w:p w14:paraId="0FF211A8"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1,001 – 1,500</w:t>
            </w:r>
          </w:p>
        </w:tc>
        <w:tc>
          <w:tcPr>
            <w:tcW w:w="1112" w:type="dxa"/>
            <w:tcBorders>
              <w:top w:val="nil"/>
              <w:bottom w:val="nil"/>
              <w:right w:val="double" w:sz="4" w:space="0" w:color="auto"/>
            </w:tcBorders>
            <w:tcMar>
              <w:left w:w="58" w:type="dxa"/>
              <w:right w:w="58" w:type="dxa"/>
            </w:tcMar>
            <w:vAlign w:val="center"/>
          </w:tcPr>
          <w:p w14:paraId="549C0F74"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23.0</w:t>
            </w:r>
          </w:p>
        </w:tc>
        <w:tc>
          <w:tcPr>
            <w:tcW w:w="1592" w:type="dxa"/>
            <w:tcBorders>
              <w:top w:val="nil"/>
              <w:left w:val="double" w:sz="4" w:space="0" w:color="auto"/>
              <w:bottom w:val="nil"/>
            </w:tcBorders>
            <w:tcMar>
              <w:left w:w="58" w:type="dxa"/>
              <w:right w:w="58" w:type="dxa"/>
            </w:tcMar>
            <w:vAlign w:val="center"/>
          </w:tcPr>
          <w:p w14:paraId="0209C28A"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1,501 – 2,500</w:t>
            </w:r>
          </w:p>
        </w:tc>
        <w:tc>
          <w:tcPr>
            <w:tcW w:w="1104" w:type="dxa"/>
            <w:tcBorders>
              <w:top w:val="nil"/>
              <w:bottom w:val="nil"/>
              <w:right w:val="double" w:sz="4" w:space="0" w:color="auto"/>
            </w:tcBorders>
            <w:tcMar>
              <w:left w:w="58" w:type="dxa"/>
              <w:right w:w="58" w:type="dxa"/>
            </w:tcMar>
            <w:vAlign w:val="center"/>
          </w:tcPr>
          <w:p w14:paraId="4B78E31A" w14:textId="07CA0C32" w:rsidR="00D47B10" w:rsidRPr="00C62CB7" w:rsidRDefault="00D47B10" w:rsidP="00E14270">
            <w:pPr>
              <w:spacing w:line="240" w:lineRule="auto"/>
              <w:jc w:val="center"/>
              <w:rPr>
                <w:rFonts w:eastAsia="Calibri"/>
                <w:sz w:val="20"/>
                <w:szCs w:val="20"/>
              </w:rPr>
            </w:pPr>
            <w:r w:rsidRPr="00C62CB7">
              <w:rPr>
                <w:rFonts w:eastAsia="Calibri"/>
                <w:sz w:val="20"/>
                <w:szCs w:val="20"/>
              </w:rPr>
              <w:t>7.0</w:t>
            </w:r>
          </w:p>
        </w:tc>
        <w:tc>
          <w:tcPr>
            <w:tcW w:w="1431" w:type="dxa"/>
            <w:tcBorders>
              <w:top w:val="nil"/>
              <w:left w:val="double" w:sz="4" w:space="0" w:color="auto"/>
              <w:bottom w:val="nil"/>
            </w:tcBorders>
            <w:tcMar>
              <w:left w:w="58" w:type="dxa"/>
              <w:right w:w="58" w:type="dxa"/>
            </w:tcMar>
            <w:vAlign w:val="center"/>
          </w:tcPr>
          <w:p w14:paraId="77AD3469"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1,001 – 1,500</w:t>
            </w:r>
          </w:p>
        </w:tc>
        <w:tc>
          <w:tcPr>
            <w:tcW w:w="1089" w:type="dxa"/>
            <w:tcBorders>
              <w:top w:val="nil"/>
              <w:bottom w:val="nil"/>
              <w:right w:val="double" w:sz="4" w:space="0" w:color="auto"/>
            </w:tcBorders>
            <w:tcMar>
              <w:left w:w="58" w:type="dxa"/>
              <w:right w:w="58" w:type="dxa"/>
            </w:tcMar>
            <w:vAlign w:val="center"/>
          </w:tcPr>
          <w:p w14:paraId="4AC09A6D"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21.0</w:t>
            </w:r>
          </w:p>
        </w:tc>
        <w:tc>
          <w:tcPr>
            <w:tcW w:w="1275" w:type="dxa"/>
            <w:tcBorders>
              <w:top w:val="nil"/>
              <w:left w:val="double" w:sz="4" w:space="0" w:color="auto"/>
              <w:bottom w:val="nil"/>
            </w:tcBorders>
            <w:tcMar>
              <w:left w:w="58" w:type="dxa"/>
              <w:right w:w="58" w:type="dxa"/>
            </w:tcMar>
            <w:vAlign w:val="center"/>
          </w:tcPr>
          <w:p w14:paraId="59F13238" w14:textId="222E2B8A" w:rsidR="00D47B10" w:rsidRPr="00C62CB7" w:rsidRDefault="00D47B10" w:rsidP="00E14270">
            <w:pPr>
              <w:spacing w:line="240" w:lineRule="auto"/>
              <w:jc w:val="center"/>
              <w:rPr>
                <w:rFonts w:eastAsia="Calibri"/>
                <w:sz w:val="20"/>
                <w:szCs w:val="20"/>
              </w:rPr>
            </w:pPr>
            <w:r w:rsidRPr="00C62CB7">
              <w:rPr>
                <w:rFonts w:eastAsia="Calibri"/>
                <w:sz w:val="20"/>
                <w:szCs w:val="20"/>
              </w:rPr>
              <w:t xml:space="preserve">&gt;2 &amp; </w:t>
            </w:r>
            <w:r w:rsidR="00C62CB7">
              <w:rPr>
                <w:rFonts w:eastAsia="Calibri"/>
                <w:sz w:val="20"/>
                <w:szCs w:val="20"/>
              </w:rPr>
              <w:t>≤</w:t>
            </w:r>
            <w:r w:rsidRPr="00C62CB7">
              <w:rPr>
                <w:rFonts w:eastAsia="Calibri"/>
                <w:sz w:val="20"/>
                <w:szCs w:val="20"/>
              </w:rPr>
              <w:t>5</w:t>
            </w:r>
          </w:p>
        </w:tc>
        <w:tc>
          <w:tcPr>
            <w:tcW w:w="1065" w:type="dxa"/>
            <w:tcBorders>
              <w:top w:val="nil"/>
              <w:bottom w:val="nil"/>
              <w:right w:val="double" w:sz="4" w:space="0" w:color="auto"/>
            </w:tcBorders>
            <w:tcMar>
              <w:left w:w="58" w:type="dxa"/>
              <w:right w:w="58" w:type="dxa"/>
            </w:tcMar>
            <w:vAlign w:val="center"/>
          </w:tcPr>
          <w:p w14:paraId="15207A65"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14.0</w:t>
            </w:r>
          </w:p>
        </w:tc>
        <w:tc>
          <w:tcPr>
            <w:tcW w:w="795" w:type="dxa"/>
            <w:tcBorders>
              <w:top w:val="nil"/>
              <w:left w:val="double" w:sz="4" w:space="0" w:color="auto"/>
              <w:bottom w:val="nil"/>
            </w:tcBorders>
            <w:tcMar>
              <w:left w:w="58" w:type="dxa"/>
              <w:right w:w="58" w:type="dxa"/>
            </w:tcMar>
            <w:vAlign w:val="center"/>
          </w:tcPr>
          <w:p w14:paraId="1A042553"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w:t>
            </w:r>
          </w:p>
        </w:tc>
        <w:tc>
          <w:tcPr>
            <w:tcW w:w="1139" w:type="dxa"/>
            <w:tcBorders>
              <w:top w:val="nil"/>
              <w:bottom w:val="nil"/>
              <w:right w:val="double" w:sz="4" w:space="0" w:color="auto"/>
            </w:tcBorders>
            <w:tcMar>
              <w:left w:w="58" w:type="dxa"/>
              <w:right w:w="58" w:type="dxa"/>
            </w:tcMar>
            <w:vAlign w:val="center"/>
          </w:tcPr>
          <w:p w14:paraId="2C189035"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12.0</w:t>
            </w:r>
          </w:p>
        </w:tc>
        <w:tc>
          <w:tcPr>
            <w:tcW w:w="793" w:type="dxa"/>
            <w:tcBorders>
              <w:top w:val="nil"/>
              <w:left w:val="double" w:sz="4" w:space="0" w:color="auto"/>
              <w:bottom w:val="nil"/>
            </w:tcBorders>
            <w:tcMar>
              <w:left w:w="58" w:type="dxa"/>
              <w:right w:w="58" w:type="dxa"/>
            </w:tcMar>
            <w:vAlign w:val="center"/>
          </w:tcPr>
          <w:p w14:paraId="45611DCA"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w:t>
            </w:r>
          </w:p>
        </w:tc>
        <w:tc>
          <w:tcPr>
            <w:tcW w:w="1120" w:type="dxa"/>
            <w:tcBorders>
              <w:top w:val="nil"/>
              <w:bottom w:val="nil"/>
              <w:right w:val="double" w:sz="4" w:space="0" w:color="auto"/>
            </w:tcBorders>
            <w:tcMar>
              <w:left w:w="58" w:type="dxa"/>
              <w:right w:w="58" w:type="dxa"/>
            </w:tcMar>
            <w:vAlign w:val="center"/>
          </w:tcPr>
          <w:p w14:paraId="39C0B4BC"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45.0</w:t>
            </w:r>
          </w:p>
        </w:tc>
      </w:tr>
      <w:tr w:rsidR="00C62CB7" w:rsidRPr="00C62CB7" w14:paraId="357D26B3" w14:textId="77777777" w:rsidTr="001B69D9">
        <w:trPr>
          <w:trHeight w:val="288"/>
          <w:jc w:val="center"/>
        </w:trPr>
        <w:tc>
          <w:tcPr>
            <w:tcW w:w="1349" w:type="dxa"/>
            <w:tcBorders>
              <w:top w:val="nil"/>
              <w:left w:val="double" w:sz="4" w:space="0" w:color="auto"/>
              <w:bottom w:val="nil"/>
            </w:tcBorders>
            <w:tcMar>
              <w:left w:w="58" w:type="dxa"/>
              <w:right w:w="58" w:type="dxa"/>
            </w:tcMar>
            <w:vAlign w:val="center"/>
          </w:tcPr>
          <w:p w14:paraId="79C0CA5E"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1,501 – 2,000</w:t>
            </w:r>
          </w:p>
        </w:tc>
        <w:tc>
          <w:tcPr>
            <w:tcW w:w="1112" w:type="dxa"/>
            <w:tcBorders>
              <w:top w:val="nil"/>
              <w:bottom w:val="nil"/>
              <w:right w:val="double" w:sz="4" w:space="0" w:color="auto"/>
            </w:tcBorders>
            <w:tcMar>
              <w:left w:w="58" w:type="dxa"/>
              <w:right w:w="58" w:type="dxa"/>
            </w:tcMar>
            <w:vAlign w:val="center"/>
          </w:tcPr>
          <w:p w14:paraId="74205E93"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19.0</w:t>
            </w:r>
          </w:p>
        </w:tc>
        <w:tc>
          <w:tcPr>
            <w:tcW w:w="1592" w:type="dxa"/>
            <w:tcBorders>
              <w:top w:val="nil"/>
              <w:left w:val="double" w:sz="4" w:space="0" w:color="auto"/>
              <w:bottom w:val="nil"/>
            </w:tcBorders>
            <w:tcMar>
              <w:left w:w="58" w:type="dxa"/>
              <w:right w:w="58" w:type="dxa"/>
            </w:tcMar>
            <w:vAlign w:val="center"/>
          </w:tcPr>
          <w:p w14:paraId="18D912EF"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2,501 – 5,000</w:t>
            </w:r>
          </w:p>
        </w:tc>
        <w:tc>
          <w:tcPr>
            <w:tcW w:w="1104" w:type="dxa"/>
            <w:tcBorders>
              <w:top w:val="nil"/>
              <w:bottom w:val="nil"/>
              <w:right w:val="double" w:sz="4" w:space="0" w:color="auto"/>
            </w:tcBorders>
            <w:tcMar>
              <w:left w:w="58" w:type="dxa"/>
              <w:right w:w="58" w:type="dxa"/>
            </w:tcMar>
            <w:vAlign w:val="center"/>
          </w:tcPr>
          <w:p w14:paraId="5AB81318" w14:textId="6D429F52" w:rsidR="00D47B10" w:rsidRPr="00C62CB7" w:rsidRDefault="00D47B10" w:rsidP="00E14270">
            <w:pPr>
              <w:spacing w:line="240" w:lineRule="auto"/>
              <w:jc w:val="center"/>
              <w:rPr>
                <w:rFonts w:eastAsia="Calibri"/>
                <w:sz w:val="20"/>
                <w:szCs w:val="20"/>
              </w:rPr>
            </w:pPr>
            <w:r w:rsidRPr="00C62CB7">
              <w:rPr>
                <w:rFonts w:eastAsia="Calibri"/>
                <w:sz w:val="20"/>
                <w:szCs w:val="20"/>
              </w:rPr>
              <w:t>9.0</w:t>
            </w:r>
          </w:p>
        </w:tc>
        <w:tc>
          <w:tcPr>
            <w:tcW w:w="1431" w:type="dxa"/>
            <w:tcBorders>
              <w:top w:val="nil"/>
              <w:left w:val="double" w:sz="4" w:space="0" w:color="auto"/>
              <w:bottom w:val="nil"/>
            </w:tcBorders>
            <w:tcMar>
              <w:left w:w="58" w:type="dxa"/>
              <w:right w:w="58" w:type="dxa"/>
            </w:tcMar>
            <w:vAlign w:val="center"/>
          </w:tcPr>
          <w:p w14:paraId="62C1695E"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1,501 – 2,000</w:t>
            </w:r>
          </w:p>
        </w:tc>
        <w:tc>
          <w:tcPr>
            <w:tcW w:w="1089" w:type="dxa"/>
            <w:tcBorders>
              <w:top w:val="nil"/>
              <w:bottom w:val="nil"/>
              <w:right w:val="double" w:sz="4" w:space="0" w:color="auto"/>
            </w:tcBorders>
            <w:tcMar>
              <w:left w:w="58" w:type="dxa"/>
              <w:right w:w="58" w:type="dxa"/>
            </w:tcMar>
            <w:vAlign w:val="center"/>
          </w:tcPr>
          <w:p w14:paraId="30F41956"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20.0</w:t>
            </w:r>
          </w:p>
        </w:tc>
        <w:tc>
          <w:tcPr>
            <w:tcW w:w="1275" w:type="dxa"/>
            <w:tcBorders>
              <w:top w:val="nil"/>
              <w:left w:val="double" w:sz="4" w:space="0" w:color="auto"/>
              <w:bottom w:val="nil"/>
            </w:tcBorders>
            <w:tcMar>
              <w:left w:w="58" w:type="dxa"/>
              <w:right w:w="58" w:type="dxa"/>
            </w:tcMar>
            <w:vAlign w:val="center"/>
          </w:tcPr>
          <w:p w14:paraId="1F7CB815" w14:textId="6C543AA5" w:rsidR="00D47B10" w:rsidRPr="00C62CB7" w:rsidRDefault="00D47B10" w:rsidP="00E14270">
            <w:pPr>
              <w:spacing w:line="240" w:lineRule="auto"/>
              <w:jc w:val="center"/>
              <w:rPr>
                <w:rFonts w:eastAsia="Calibri"/>
                <w:sz w:val="20"/>
                <w:szCs w:val="20"/>
              </w:rPr>
            </w:pPr>
            <w:r w:rsidRPr="00C62CB7">
              <w:rPr>
                <w:rFonts w:eastAsia="Calibri"/>
                <w:sz w:val="20"/>
                <w:szCs w:val="20"/>
              </w:rPr>
              <w:t xml:space="preserve">&gt;5 &amp; </w:t>
            </w:r>
            <w:r w:rsidR="00C62CB7">
              <w:rPr>
                <w:rFonts w:eastAsia="Calibri"/>
                <w:sz w:val="20"/>
                <w:szCs w:val="20"/>
              </w:rPr>
              <w:t>≤</w:t>
            </w:r>
            <w:r w:rsidRPr="00C62CB7">
              <w:rPr>
                <w:rFonts w:eastAsia="Calibri"/>
                <w:sz w:val="20"/>
                <w:szCs w:val="20"/>
              </w:rPr>
              <w:t>10</w:t>
            </w:r>
          </w:p>
        </w:tc>
        <w:tc>
          <w:tcPr>
            <w:tcW w:w="1065" w:type="dxa"/>
            <w:tcBorders>
              <w:top w:val="nil"/>
              <w:bottom w:val="nil"/>
              <w:right w:val="double" w:sz="4" w:space="0" w:color="auto"/>
            </w:tcBorders>
            <w:tcMar>
              <w:left w:w="58" w:type="dxa"/>
              <w:right w:w="58" w:type="dxa"/>
            </w:tcMar>
            <w:vAlign w:val="center"/>
          </w:tcPr>
          <w:p w14:paraId="0EAECE2E"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25.0</w:t>
            </w:r>
          </w:p>
        </w:tc>
        <w:tc>
          <w:tcPr>
            <w:tcW w:w="795" w:type="dxa"/>
            <w:tcBorders>
              <w:top w:val="nil"/>
              <w:left w:val="double" w:sz="4" w:space="0" w:color="auto"/>
              <w:bottom w:val="nil"/>
            </w:tcBorders>
            <w:tcMar>
              <w:left w:w="58" w:type="dxa"/>
              <w:right w:w="58" w:type="dxa"/>
            </w:tcMar>
            <w:vAlign w:val="center"/>
          </w:tcPr>
          <w:p w14:paraId="6328784D"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w:t>
            </w:r>
          </w:p>
        </w:tc>
        <w:tc>
          <w:tcPr>
            <w:tcW w:w="1139" w:type="dxa"/>
            <w:tcBorders>
              <w:top w:val="nil"/>
              <w:bottom w:val="nil"/>
              <w:right w:val="double" w:sz="4" w:space="0" w:color="auto"/>
            </w:tcBorders>
            <w:tcMar>
              <w:left w:w="58" w:type="dxa"/>
              <w:right w:w="58" w:type="dxa"/>
            </w:tcMar>
            <w:vAlign w:val="center"/>
          </w:tcPr>
          <w:p w14:paraId="229C07A7"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22.0</w:t>
            </w:r>
          </w:p>
        </w:tc>
        <w:tc>
          <w:tcPr>
            <w:tcW w:w="793" w:type="dxa"/>
            <w:tcBorders>
              <w:top w:val="nil"/>
              <w:left w:val="double" w:sz="4" w:space="0" w:color="auto"/>
              <w:bottom w:val="nil"/>
            </w:tcBorders>
            <w:tcMar>
              <w:left w:w="58" w:type="dxa"/>
              <w:right w:w="58" w:type="dxa"/>
            </w:tcMar>
            <w:vAlign w:val="center"/>
          </w:tcPr>
          <w:p w14:paraId="56DE57CD"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w:t>
            </w:r>
          </w:p>
        </w:tc>
        <w:tc>
          <w:tcPr>
            <w:tcW w:w="1120" w:type="dxa"/>
            <w:tcBorders>
              <w:top w:val="nil"/>
              <w:bottom w:val="nil"/>
              <w:right w:val="double" w:sz="4" w:space="0" w:color="auto"/>
            </w:tcBorders>
            <w:tcMar>
              <w:left w:w="58" w:type="dxa"/>
              <w:right w:w="58" w:type="dxa"/>
            </w:tcMar>
            <w:vAlign w:val="center"/>
          </w:tcPr>
          <w:p w14:paraId="2ADB2DEA"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43.0</w:t>
            </w:r>
          </w:p>
        </w:tc>
      </w:tr>
      <w:tr w:rsidR="00C62CB7" w:rsidRPr="00C62CB7" w14:paraId="61B597C0" w14:textId="77777777" w:rsidTr="001B69D9">
        <w:trPr>
          <w:trHeight w:val="288"/>
          <w:jc w:val="center"/>
        </w:trPr>
        <w:tc>
          <w:tcPr>
            <w:tcW w:w="1349" w:type="dxa"/>
            <w:tcBorders>
              <w:top w:val="nil"/>
              <w:left w:val="double" w:sz="4" w:space="0" w:color="auto"/>
              <w:bottom w:val="nil"/>
            </w:tcBorders>
            <w:tcMar>
              <w:left w:w="58" w:type="dxa"/>
              <w:right w:w="58" w:type="dxa"/>
            </w:tcMar>
            <w:vAlign w:val="center"/>
          </w:tcPr>
          <w:p w14:paraId="1D427FD0"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2,001 – 2,500</w:t>
            </w:r>
          </w:p>
        </w:tc>
        <w:tc>
          <w:tcPr>
            <w:tcW w:w="1112" w:type="dxa"/>
            <w:tcBorders>
              <w:top w:val="nil"/>
              <w:bottom w:val="nil"/>
              <w:right w:val="double" w:sz="4" w:space="0" w:color="auto"/>
            </w:tcBorders>
            <w:tcMar>
              <w:left w:w="58" w:type="dxa"/>
              <w:right w:w="58" w:type="dxa"/>
            </w:tcMar>
            <w:vAlign w:val="center"/>
          </w:tcPr>
          <w:p w14:paraId="1B2E1FCA"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15.0</w:t>
            </w:r>
          </w:p>
        </w:tc>
        <w:tc>
          <w:tcPr>
            <w:tcW w:w="1592" w:type="dxa"/>
            <w:tcBorders>
              <w:top w:val="nil"/>
              <w:left w:val="double" w:sz="4" w:space="0" w:color="auto"/>
              <w:bottom w:val="nil"/>
            </w:tcBorders>
            <w:tcMar>
              <w:left w:w="58" w:type="dxa"/>
              <w:right w:w="58" w:type="dxa"/>
            </w:tcMar>
            <w:vAlign w:val="center"/>
          </w:tcPr>
          <w:p w14:paraId="538637F6"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5,001 – 7,500</w:t>
            </w:r>
          </w:p>
        </w:tc>
        <w:tc>
          <w:tcPr>
            <w:tcW w:w="1104" w:type="dxa"/>
            <w:tcBorders>
              <w:top w:val="nil"/>
              <w:bottom w:val="nil"/>
              <w:right w:val="double" w:sz="4" w:space="0" w:color="auto"/>
            </w:tcBorders>
            <w:tcMar>
              <w:left w:w="58" w:type="dxa"/>
              <w:right w:w="58" w:type="dxa"/>
            </w:tcMar>
            <w:vAlign w:val="center"/>
          </w:tcPr>
          <w:p w14:paraId="5F1DBF51"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16.0</w:t>
            </w:r>
          </w:p>
        </w:tc>
        <w:tc>
          <w:tcPr>
            <w:tcW w:w="1431" w:type="dxa"/>
            <w:tcBorders>
              <w:top w:val="nil"/>
              <w:left w:val="double" w:sz="4" w:space="0" w:color="auto"/>
              <w:bottom w:val="nil"/>
            </w:tcBorders>
            <w:tcMar>
              <w:left w:w="58" w:type="dxa"/>
              <w:right w:w="58" w:type="dxa"/>
            </w:tcMar>
            <w:vAlign w:val="center"/>
          </w:tcPr>
          <w:p w14:paraId="1341764C"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2,001 – 2,500</w:t>
            </w:r>
          </w:p>
        </w:tc>
        <w:tc>
          <w:tcPr>
            <w:tcW w:w="1089" w:type="dxa"/>
            <w:tcBorders>
              <w:top w:val="nil"/>
              <w:bottom w:val="nil"/>
              <w:right w:val="double" w:sz="4" w:space="0" w:color="auto"/>
            </w:tcBorders>
            <w:tcMar>
              <w:left w:w="58" w:type="dxa"/>
              <w:right w:w="58" w:type="dxa"/>
            </w:tcMar>
            <w:vAlign w:val="center"/>
          </w:tcPr>
          <w:p w14:paraId="5163FC5A"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13.0</w:t>
            </w:r>
          </w:p>
        </w:tc>
        <w:tc>
          <w:tcPr>
            <w:tcW w:w="1275" w:type="dxa"/>
            <w:tcBorders>
              <w:top w:val="nil"/>
              <w:left w:val="double" w:sz="4" w:space="0" w:color="auto"/>
              <w:bottom w:val="nil"/>
            </w:tcBorders>
            <w:tcMar>
              <w:left w:w="58" w:type="dxa"/>
              <w:right w:w="58" w:type="dxa"/>
            </w:tcMar>
            <w:vAlign w:val="center"/>
          </w:tcPr>
          <w:p w14:paraId="03D4F220" w14:textId="14E632BA" w:rsidR="00D47B10" w:rsidRPr="00C62CB7" w:rsidRDefault="00D47B10" w:rsidP="00E14270">
            <w:pPr>
              <w:spacing w:line="240" w:lineRule="auto"/>
              <w:jc w:val="center"/>
              <w:rPr>
                <w:rFonts w:eastAsia="Calibri"/>
                <w:sz w:val="20"/>
                <w:szCs w:val="20"/>
              </w:rPr>
            </w:pPr>
            <w:r w:rsidRPr="00C62CB7">
              <w:rPr>
                <w:rFonts w:eastAsia="Calibri"/>
                <w:sz w:val="20"/>
                <w:szCs w:val="20"/>
              </w:rPr>
              <w:t xml:space="preserve">&gt;10 &amp; </w:t>
            </w:r>
            <w:r w:rsidR="00C62CB7">
              <w:rPr>
                <w:rFonts w:eastAsia="Calibri"/>
                <w:sz w:val="20"/>
                <w:szCs w:val="20"/>
              </w:rPr>
              <w:t>≤</w:t>
            </w:r>
            <w:r w:rsidRPr="00C62CB7">
              <w:rPr>
                <w:rFonts w:eastAsia="Calibri"/>
                <w:sz w:val="20"/>
                <w:szCs w:val="20"/>
              </w:rPr>
              <w:t>15</w:t>
            </w:r>
          </w:p>
        </w:tc>
        <w:tc>
          <w:tcPr>
            <w:tcW w:w="1065" w:type="dxa"/>
            <w:tcBorders>
              <w:top w:val="nil"/>
              <w:bottom w:val="nil"/>
              <w:right w:val="double" w:sz="4" w:space="0" w:color="auto"/>
            </w:tcBorders>
            <w:tcMar>
              <w:left w:w="58" w:type="dxa"/>
              <w:right w:w="58" w:type="dxa"/>
            </w:tcMar>
            <w:vAlign w:val="center"/>
          </w:tcPr>
          <w:p w14:paraId="1B59588B"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19.0</w:t>
            </w:r>
          </w:p>
        </w:tc>
        <w:tc>
          <w:tcPr>
            <w:tcW w:w="795" w:type="dxa"/>
            <w:tcBorders>
              <w:top w:val="nil"/>
              <w:left w:val="double" w:sz="4" w:space="0" w:color="auto"/>
              <w:bottom w:val="nil"/>
            </w:tcBorders>
            <w:tcMar>
              <w:left w:w="58" w:type="dxa"/>
              <w:right w:w="58" w:type="dxa"/>
            </w:tcMar>
            <w:vAlign w:val="center"/>
          </w:tcPr>
          <w:p w14:paraId="4DA698B3"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3</w:t>
            </w:r>
          </w:p>
        </w:tc>
        <w:tc>
          <w:tcPr>
            <w:tcW w:w="1139" w:type="dxa"/>
            <w:tcBorders>
              <w:top w:val="nil"/>
              <w:bottom w:val="nil"/>
              <w:right w:val="double" w:sz="4" w:space="0" w:color="auto"/>
            </w:tcBorders>
            <w:tcMar>
              <w:left w:w="58" w:type="dxa"/>
              <w:right w:w="58" w:type="dxa"/>
            </w:tcMar>
            <w:vAlign w:val="center"/>
          </w:tcPr>
          <w:p w14:paraId="0B3CDA74"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40.0</w:t>
            </w:r>
          </w:p>
        </w:tc>
        <w:tc>
          <w:tcPr>
            <w:tcW w:w="793" w:type="dxa"/>
            <w:tcBorders>
              <w:top w:val="nil"/>
              <w:left w:val="double" w:sz="4" w:space="0" w:color="auto"/>
              <w:bottom w:val="nil"/>
            </w:tcBorders>
            <w:tcMar>
              <w:left w:w="58" w:type="dxa"/>
              <w:right w:w="58" w:type="dxa"/>
            </w:tcMar>
            <w:vAlign w:val="center"/>
          </w:tcPr>
          <w:p w14:paraId="38955C4C"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3</w:t>
            </w:r>
          </w:p>
        </w:tc>
        <w:tc>
          <w:tcPr>
            <w:tcW w:w="1120" w:type="dxa"/>
            <w:tcBorders>
              <w:top w:val="nil"/>
              <w:bottom w:val="nil"/>
              <w:right w:val="double" w:sz="4" w:space="0" w:color="auto"/>
            </w:tcBorders>
            <w:tcMar>
              <w:left w:w="58" w:type="dxa"/>
              <w:right w:w="58" w:type="dxa"/>
            </w:tcMar>
            <w:vAlign w:val="center"/>
          </w:tcPr>
          <w:p w14:paraId="5502A660"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11.0</w:t>
            </w:r>
          </w:p>
        </w:tc>
      </w:tr>
      <w:tr w:rsidR="00C62CB7" w:rsidRPr="00C62CB7" w14:paraId="479170B2" w14:textId="77777777" w:rsidTr="001B69D9">
        <w:trPr>
          <w:trHeight w:val="288"/>
          <w:jc w:val="center"/>
        </w:trPr>
        <w:tc>
          <w:tcPr>
            <w:tcW w:w="1349" w:type="dxa"/>
            <w:tcBorders>
              <w:top w:val="nil"/>
              <w:left w:val="double" w:sz="4" w:space="0" w:color="auto"/>
              <w:bottom w:val="nil"/>
            </w:tcBorders>
            <w:tcMar>
              <w:left w:w="58" w:type="dxa"/>
              <w:right w:w="58" w:type="dxa"/>
            </w:tcMar>
            <w:vAlign w:val="center"/>
          </w:tcPr>
          <w:p w14:paraId="0E8B89A7"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2,501 – 3,000</w:t>
            </w:r>
          </w:p>
        </w:tc>
        <w:tc>
          <w:tcPr>
            <w:tcW w:w="1112" w:type="dxa"/>
            <w:tcBorders>
              <w:top w:val="nil"/>
              <w:bottom w:val="nil"/>
              <w:right w:val="double" w:sz="4" w:space="0" w:color="auto"/>
            </w:tcBorders>
            <w:tcMar>
              <w:left w:w="58" w:type="dxa"/>
              <w:right w:w="58" w:type="dxa"/>
            </w:tcMar>
            <w:vAlign w:val="center"/>
          </w:tcPr>
          <w:p w14:paraId="1A2C8A89"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7.0</w:t>
            </w:r>
          </w:p>
        </w:tc>
        <w:tc>
          <w:tcPr>
            <w:tcW w:w="1592" w:type="dxa"/>
            <w:tcBorders>
              <w:top w:val="nil"/>
              <w:left w:val="double" w:sz="4" w:space="0" w:color="auto"/>
              <w:bottom w:val="nil"/>
            </w:tcBorders>
            <w:tcMar>
              <w:left w:w="58" w:type="dxa"/>
              <w:right w:w="58" w:type="dxa"/>
            </w:tcMar>
            <w:vAlign w:val="center"/>
          </w:tcPr>
          <w:p w14:paraId="39CB6C75"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7,501 – 10,000</w:t>
            </w:r>
          </w:p>
        </w:tc>
        <w:tc>
          <w:tcPr>
            <w:tcW w:w="1104" w:type="dxa"/>
            <w:tcBorders>
              <w:top w:val="nil"/>
              <w:bottom w:val="nil"/>
              <w:right w:val="double" w:sz="4" w:space="0" w:color="auto"/>
            </w:tcBorders>
            <w:tcMar>
              <w:left w:w="58" w:type="dxa"/>
              <w:right w:w="58" w:type="dxa"/>
            </w:tcMar>
            <w:vAlign w:val="center"/>
          </w:tcPr>
          <w:p w14:paraId="4C0C914E"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11.0</w:t>
            </w:r>
          </w:p>
        </w:tc>
        <w:tc>
          <w:tcPr>
            <w:tcW w:w="1431" w:type="dxa"/>
            <w:tcBorders>
              <w:top w:val="nil"/>
              <w:left w:val="double" w:sz="4" w:space="0" w:color="auto"/>
              <w:bottom w:val="nil"/>
            </w:tcBorders>
            <w:tcMar>
              <w:left w:w="58" w:type="dxa"/>
              <w:right w:w="58" w:type="dxa"/>
            </w:tcMar>
            <w:vAlign w:val="center"/>
          </w:tcPr>
          <w:p w14:paraId="192F3E25"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2,501 – 3,000</w:t>
            </w:r>
          </w:p>
        </w:tc>
        <w:tc>
          <w:tcPr>
            <w:tcW w:w="1089" w:type="dxa"/>
            <w:tcBorders>
              <w:top w:val="nil"/>
              <w:bottom w:val="nil"/>
              <w:right w:val="double" w:sz="4" w:space="0" w:color="auto"/>
            </w:tcBorders>
            <w:tcMar>
              <w:left w:w="58" w:type="dxa"/>
              <w:right w:w="58" w:type="dxa"/>
            </w:tcMar>
            <w:vAlign w:val="center"/>
          </w:tcPr>
          <w:p w14:paraId="446FDEFE" w14:textId="2FE6FFBB" w:rsidR="00D47B10" w:rsidRPr="00C62CB7" w:rsidRDefault="00D47B10" w:rsidP="00E14270">
            <w:pPr>
              <w:spacing w:line="240" w:lineRule="auto"/>
              <w:jc w:val="center"/>
              <w:rPr>
                <w:rFonts w:eastAsia="Calibri"/>
                <w:sz w:val="20"/>
                <w:szCs w:val="20"/>
              </w:rPr>
            </w:pPr>
            <w:r w:rsidRPr="00C62CB7">
              <w:rPr>
                <w:rFonts w:eastAsia="Calibri"/>
                <w:sz w:val="20"/>
                <w:szCs w:val="20"/>
              </w:rPr>
              <w:t>9.0</w:t>
            </w:r>
          </w:p>
        </w:tc>
        <w:tc>
          <w:tcPr>
            <w:tcW w:w="1275" w:type="dxa"/>
            <w:tcBorders>
              <w:top w:val="nil"/>
              <w:left w:val="double" w:sz="4" w:space="0" w:color="auto"/>
              <w:bottom w:val="nil"/>
            </w:tcBorders>
            <w:tcMar>
              <w:left w:w="58" w:type="dxa"/>
              <w:right w:w="58" w:type="dxa"/>
            </w:tcMar>
            <w:vAlign w:val="center"/>
          </w:tcPr>
          <w:p w14:paraId="12CA900A" w14:textId="27201439" w:rsidR="00D47B10" w:rsidRPr="00C62CB7" w:rsidRDefault="00D47B10" w:rsidP="00E14270">
            <w:pPr>
              <w:spacing w:line="240" w:lineRule="auto"/>
              <w:jc w:val="center"/>
              <w:rPr>
                <w:rFonts w:eastAsia="Calibri"/>
                <w:sz w:val="20"/>
                <w:szCs w:val="20"/>
              </w:rPr>
            </w:pPr>
            <w:r w:rsidRPr="00C62CB7">
              <w:rPr>
                <w:rFonts w:eastAsia="Calibri"/>
                <w:sz w:val="20"/>
                <w:szCs w:val="20"/>
              </w:rPr>
              <w:t xml:space="preserve">&gt;15 &amp; </w:t>
            </w:r>
            <w:r w:rsidR="00C62CB7">
              <w:rPr>
                <w:rFonts w:eastAsia="Calibri"/>
                <w:sz w:val="20"/>
                <w:szCs w:val="20"/>
              </w:rPr>
              <w:t>≤</w:t>
            </w:r>
            <w:r w:rsidRPr="00C62CB7">
              <w:rPr>
                <w:rFonts w:eastAsia="Calibri"/>
                <w:sz w:val="20"/>
                <w:szCs w:val="20"/>
              </w:rPr>
              <w:t>20</w:t>
            </w:r>
          </w:p>
        </w:tc>
        <w:tc>
          <w:tcPr>
            <w:tcW w:w="1065" w:type="dxa"/>
            <w:tcBorders>
              <w:top w:val="nil"/>
              <w:bottom w:val="nil"/>
              <w:right w:val="double" w:sz="4" w:space="0" w:color="auto"/>
            </w:tcBorders>
            <w:tcMar>
              <w:left w:w="58" w:type="dxa"/>
              <w:right w:w="58" w:type="dxa"/>
            </w:tcMar>
            <w:vAlign w:val="center"/>
          </w:tcPr>
          <w:p w14:paraId="00049A57"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13.0</w:t>
            </w:r>
          </w:p>
        </w:tc>
        <w:tc>
          <w:tcPr>
            <w:tcW w:w="795" w:type="dxa"/>
            <w:tcBorders>
              <w:top w:val="nil"/>
              <w:left w:val="double" w:sz="4" w:space="0" w:color="auto"/>
              <w:bottom w:val="nil"/>
            </w:tcBorders>
            <w:tcMar>
              <w:left w:w="58" w:type="dxa"/>
              <w:right w:w="58" w:type="dxa"/>
            </w:tcMar>
            <w:vAlign w:val="center"/>
          </w:tcPr>
          <w:p w14:paraId="4BA1B2C1"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4</w:t>
            </w:r>
          </w:p>
        </w:tc>
        <w:tc>
          <w:tcPr>
            <w:tcW w:w="1139" w:type="dxa"/>
            <w:tcBorders>
              <w:top w:val="nil"/>
              <w:bottom w:val="nil"/>
              <w:right w:val="double" w:sz="4" w:space="0" w:color="auto"/>
            </w:tcBorders>
            <w:tcMar>
              <w:left w:w="58" w:type="dxa"/>
              <w:right w:w="58" w:type="dxa"/>
            </w:tcMar>
            <w:vAlign w:val="center"/>
          </w:tcPr>
          <w:p w14:paraId="155363F8"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21.0</w:t>
            </w:r>
          </w:p>
        </w:tc>
        <w:tc>
          <w:tcPr>
            <w:tcW w:w="793" w:type="dxa"/>
            <w:tcBorders>
              <w:top w:val="nil"/>
              <w:left w:val="double" w:sz="4" w:space="0" w:color="auto"/>
              <w:bottom w:val="nil"/>
            </w:tcBorders>
            <w:tcMar>
              <w:left w:w="58" w:type="dxa"/>
              <w:right w:w="58" w:type="dxa"/>
            </w:tcMar>
            <w:vAlign w:val="center"/>
          </w:tcPr>
          <w:p w14:paraId="3B2ED7DE"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4</w:t>
            </w:r>
          </w:p>
        </w:tc>
        <w:tc>
          <w:tcPr>
            <w:tcW w:w="1120" w:type="dxa"/>
            <w:tcBorders>
              <w:top w:val="nil"/>
              <w:bottom w:val="nil"/>
              <w:right w:val="double" w:sz="4" w:space="0" w:color="auto"/>
            </w:tcBorders>
            <w:tcMar>
              <w:left w:w="58" w:type="dxa"/>
              <w:right w:w="58" w:type="dxa"/>
            </w:tcMar>
            <w:vAlign w:val="center"/>
          </w:tcPr>
          <w:p w14:paraId="0F1C3106" w14:textId="4BED74D6" w:rsidR="00D47B10" w:rsidRPr="00C62CB7" w:rsidRDefault="00D47B10" w:rsidP="00E14270">
            <w:pPr>
              <w:spacing w:line="240" w:lineRule="auto"/>
              <w:jc w:val="center"/>
              <w:rPr>
                <w:rFonts w:eastAsia="Calibri"/>
                <w:sz w:val="20"/>
                <w:szCs w:val="20"/>
              </w:rPr>
            </w:pPr>
            <w:r w:rsidRPr="00C62CB7">
              <w:rPr>
                <w:rFonts w:eastAsia="Calibri"/>
                <w:sz w:val="20"/>
                <w:szCs w:val="20"/>
              </w:rPr>
              <w:t>1.0</w:t>
            </w:r>
          </w:p>
        </w:tc>
      </w:tr>
      <w:tr w:rsidR="00C62CB7" w:rsidRPr="00C62CB7" w14:paraId="02ECAA9C" w14:textId="77777777" w:rsidTr="001B69D9">
        <w:trPr>
          <w:trHeight w:val="288"/>
          <w:jc w:val="center"/>
        </w:trPr>
        <w:tc>
          <w:tcPr>
            <w:tcW w:w="1349" w:type="dxa"/>
            <w:tcBorders>
              <w:top w:val="nil"/>
              <w:left w:val="double" w:sz="4" w:space="0" w:color="auto"/>
              <w:bottom w:val="nil"/>
            </w:tcBorders>
            <w:tcMar>
              <w:left w:w="58" w:type="dxa"/>
              <w:right w:w="58" w:type="dxa"/>
            </w:tcMar>
            <w:vAlign w:val="center"/>
          </w:tcPr>
          <w:p w14:paraId="319D3B60"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&gt;3,000</w:t>
            </w:r>
          </w:p>
        </w:tc>
        <w:tc>
          <w:tcPr>
            <w:tcW w:w="1112" w:type="dxa"/>
            <w:tcBorders>
              <w:top w:val="nil"/>
              <w:bottom w:val="nil"/>
              <w:right w:val="double" w:sz="4" w:space="0" w:color="auto"/>
            </w:tcBorders>
            <w:tcMar>
              <w:left w:w="58" w:type="dxa"/>
              <w:right w:w="58" w:type="dxa"/>
            </w:tcMar>
            <w:vAlign w:val="center"/>
          </w:tcPr>
          <w:p w14:paraId="77FB9C20"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9.0</w:t>
            </w:r>
          </w:p>
        </w:tc>
        <w:tc>
          <w:tcPr>
            <w:tcW w:w="1592" w:type="dxa"/>
            <w:tcBorders>
              <w:top w:val="nil"/>
              <w:left w:val="double" w:sz="4" w:space="0" w:color="auto"/>
              <w:bottom w:val="nil"/>
            </w:tcBorders>
            <w:tcMar>
              <w:left w:w="58" w:type="dxa"/>
              <w:right w:w="58" w:type="dxa"/>
            </w:tcMar>
            <w:vAlign w:val="center"/>
          </w:tcPr>
          <w:p w14:paraId="0AA1780E"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10,001 – 12,500</w:t>
            </w:r>
          </w:p>
        </w:tc>
        <w:tc>
          <w:tcPr>
            <w:tcW w:w="1104" w:type="dxa"/>
            <w:tcBorders>
              <w:top w:val="nil"/>
              <w:bottom w:val="nil"/>
              <w:right w:val="double" w:sz="4" w:space="0" w:color="auto"/>
            </w:tcBorders>
            <w:tcMar>
              <w:left w:w="58" w:type="dxa"/>
              <w:right w:w="58" w:type="dxa"/>
            </w:tcMar>
            <w:vAlign w:val="center"/>
          </w:tcPr>
          <w:p w14:paraId="6F877172"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10.0</w:t>
            </w:r>
          </w:p>
        </w:tc>
        <w:tc>
          <w:tcPr>
            <w:tcW w:w="1431" w:type="dxa"/>
            <w:tcBorders>
              <w:top w:val="nil"/>
              <w:left w:val="double" w:sz="4" w:space="0" w:color="auto"/>
              <w:bottom w:val="nil"/>
            </w:tcBorders>
            <w:tcMar>
              <w:left w:w="58" w:type="dxa"/>
              <w:right w:w="58" w:type="dxa"/>
            </w:tcMar>
            <w:vAlign w:val="center"/>
          </w:tcPr>
          <w:p w14:paraId="3A1823BE"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&gt;3,000</w:t>
            </w:r>
          </w:p>
        </w:tc>
        <w:tc>
          <w:tcPr>
            <w:tcW w:w="1089" w:type="dxa"/>
            <w:tcBorders>
              <w:top w:val="nil"/>
              <w:bottom w:val="nil"/>
              <w:right w:val="double" w:sz="4" w:space="0" w:color="auto"/>
            </w:tcBorders>
            <w:tcMar>
              <w:left w:w="58" w:type="dxa"/>
              <w:right w:w="58" w:type="dxa"/>
            </w:tcMar>
            <w:vAlign w:val="center"/>
          </w:tcPr>
          <w:p w14:paraId="4B1FF748"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11.0</w:t>
            </w:r>
          </w:p>
        </w:tc>
        <w:tc>
          <w:tcPr>
            <w:tcW w:w="1275" w:type="dxa"/>
            <w:tcBorders>
              <w:top w:val="nil"/>
              <w:left w:val="double" w:sz="4" w:space="0" w:color="auto"/>
              <w:bottom w:val="nil"/>
            </w:tcBorders>
            <w:tcMar>
              <w:left w:w="58" w:type="dxa"/>
              <w:right w:w="58" w:type="dxa"/>
            </w:tcMar>
            <w:vAlign w:val="center"/>
          </w:tcPr>
          <w:p w14:paraId="245E5508" w14:textId="71625826" w:rsidR="00D47B10" w:rsidRPr="00C62CB7" w:rsidRDefault="00D47B10" w:rsidP="00E14270">
            <w:pPr>
              <w:spacing w:line="240" w:lineRule="auto"/>
              <w:jc w:val="center"/>
              <w:rPr>
                <w:rFonts w:eastAsia="Calibri"/>
                <w:sz w:val="20"/>
                <w:szCs w:val="20"/>
              </w:rPr>
            </w:pPr>
            <w:r w:rsidRPr="00C62CB7">
              <w:rPr>
                <w:rFonts w:eastAsia="Calibri"/>
                <w:sz w:val="20"/>
                <w:szCs w:val="20"/>
              </w:rPr>
              <w:t xml:space="preserve">&gt;20 &amp; </w:t>
            </w:r>
            <w:r w:rsidR="00C62CB7">
              <w:rPr>
                <w:rFonts w:eastAsia="Calibri"/>
                <w:sz w:val="20"/>
                <w:szCs w:val="20"/>
              </w:rPr>
              <w:t>≤</w:t>
            </w:r>
            <w:r w:rsidRPr="00C62CB7">
              <w:rPr>
                <w:rFonts w:eastAsia="Calibri"/>
                <w:sz w:val="20"/>
                <w:szCs w:val="20"/>
              </w:rPr>
              <w:t>25</w:t>
            </w:r>
          </w:p>
        </w:tc>
        <w:tc>
          <w:tcPr>
            <w:tcW w:w="1065" w:type="dxa"/>
            <w:tcBorders>
              <w:top w:val="nil"/>
              <w:bottom w:val="nil"/>
              <w:right w:val="double" w:sz="4" w:space="0" w:color="auto"/>
            </w:tcBorders>
            <w:tcMar>
              <w:left w:w="58" w:type="dxa"/>
              <w:right w:w="58" w:type="dxa"/>
            </w:tcMar>
            <w:vAlign w:val="center"/>
          </w:tcPr>
          <w:p w14:paraId="51F0DF82" w14:textId="6FA80FA7" w:rsidR="00D47B10" w:rsidRPr="00C62CB7" w:rsidRDefault="00D47B10" w:rsidP="00E14270">
            <w:pPr>
              <w:spacing w:line="240" w:lineRule="auto"/>
              <w:jc w:val="center"/>
              <w:rPr>
                <w:rFonts w:eastAsia="Calibri"/>
                <w:sz w:val="20"/>
                <w:szCs w:val="20"/>
              </w:rPr>
            </w:pPr>
            <w:r w:rsidRPr="00C62CB7">
              <w:rPr>
                <w:rFonts w:eastAsia="Calibri"/>
                <w:sz w:val="20"/>
                <w:szCs w:val="20"/>
              </w:rPr>
              <w:t>7.0</w:t>
            </w:r>
          </w:p>
        </w:tc>
        <w:tc>
          <w:tcPr>
            <w:tcW w:w="795" w:type="dxa"/>
            <w:tcBorders>
              <w:top w:val="nil"/>
              <w:left w:val="double" w:sz="4" w:space="0" w:color="auto"/>
              <w:bottom w:val="nil"/>
            </w:tcBorders>
            <w:tcMar>
              <w:left w:w="58" w:type="dxa"/>
              <w:right w:w="58" w:type="dxa"/>
            </w:tcMar>
            <w:vAlign w:val="center"/>
          </w:tcPr>
          <w:p w14:paraId="20BB62A2" w14:textId="7DB29A11" w:rsidR="00D47B10" w:rsidRPr="00C62CB7" w:rsidRDefault="00C62CB7" w:rsidP="00E14270">
            <w:pPr>
              <w:spacing w:line="240" w:lineRule="auto"/>
              <w:jc w:val="center"/>
              <w:rPr>
                <w:rFonts w:eastAsia="Calibri"/>
                <w:sz w:val="20"/>
                <w:szCs w:val="20"/>
              </w:rPr>
            </w:pPr>
            <w:r>
              <w:rPr>
                <w:rFonts w:eastAsia="Calibri"/>
                <w:sz w:val="20"/>
                <w:szCs w:val="20"/>
              </w:rPr>
              <w:t>≥</w:t>
            </w:r>
            <w:r w:rsidR="00D47B10" w:rsidRPr="00C62CB7">
              <w:rPr>
                <w:rFonts w:eastAsia="Calibri"/>
                <w:sz w:val="20"/>
                <w:szCs w:val="20"/>
              </w:rPr>
              <w:t>5</w:t>
            </w:r>
          </w:p>
        </w:tc>
        <w:tc>
          <w:tcPr>
            <w:tcW w:w="1139" w:type="dxa"/>
            <w:tcBorders>
              <w:top w:val="nil"/>
              <w:bottom w:val="nil"/>
              <w:right w:val="double" w:sz="4" w:space="0" w:color="auto"/>
            </w:tcBorders>
            <w:tcMar>
              <w:left w:w="58" w:type="dxa"/>
              <w:right w:w="58" w:type="dxa"/>
            </w:tcMar>
            <w:vAlign w:val="center"/>
          </w:tcPr>
          <w:p w14:paraId="4FC3A39D" w14:textId="1D6D78AD" w:rsidR="00D47B10" w:rsidRPr="00C62CB7" w:rsidRDefault="00D47B10" w:rsidP="00E14270">
            <w:pPr>
              <w:spacing w:line="240" w:lineRule="auto"/>
              <w:jc w:val="center"/>
              <w:rPr>
                <w:rFonts w:eastAsia="Calibri"/>
                <w:sz w:val="20"/>
                <w:szCs w:val="20"/>
              </w:rPr>
            </w:pPr>
            <w:r w:rsidRPr="00C62CB7">
              <w:rPr>
                <w:rFonts w:eastAsia="Calibri"/>
                <w:sz w:val="20"/>
                <w:szCs w:val="20"/>
              </w:rPr>
              <w:t>4.0</w:t>
            </w:r>
          </w:p>
        </w:tc>
        <w:tc>
          <w:tcPr>
            <w:tcW w:w="793" w:type="dxa"/>
            <w:tcBorders>
              <w:top w:val="nil"/>
              <w:left w:val="double" w:sz="4" w:space="0" w:color="auto"/>
              <w:bottom w:val="nil"/>
            </w:tcBorders>
            <w:tcMar>
              <w:left w:w="58" w:type="dxa"/>
              <w:right w:w="58" w:type="dxa"/>
            </w:tcMar>
            <w:vAlign w:val="center"/>
          </w:tcPr>
          <w:p w14:paraId="1F6891CF" w14:textId="77777777" w:rsidR="00D47B10" w:rsidRPr="00C62CB7" w:rsidRDefault="00D47B10" w:rsidP="00E14270">
            <w:pPr>
              <w:spacing w:line="240" w:lineRule="auto"/>
              <w:jc w:val="center"/>
              <w:rPr>
                <w:rFonts w:eastAsia="Calibri"/>
                <w:sz w:val="20"/>
                <w:szCs w:val="20"/>
              </w:rPr>
            </w:pPr>
          </w:p>
        </w:tc>
        <w:tc>
          <w:tcPr>
            <w:tcW w:w="1120" w:type="dxa"/>
            <w:tcBorders>
              <w:top w:val="nil"/>
              <w:bottom w:val="nil"/>
              <w:right w:val="double" w:sz="4" w:space="0" w:color="auto"/>
            </w:tcBorders>
            <w:tcMar>
              <w:left w:w="58" w:type="dxa"/>
              <w:right w:w="58" w:type="dxa"/>
            </w:tcMar>
            <w:vAlign w:val="center"/>
          </w:tcPr>
          <w:p w14:paraId="09AE6887" w14:textId="77777777" w:rsidR="00D47B10" w:rsidRPr="00C62CB7" w:rsidRDefault="00D47B10" w:rsidP="00E14270">
            <w:pPr>
              <w:spacing w:line="240" w:lineRule="auto"/>
              <w:jc w:val="center"/>
              <w:rPr>
                <w:rFonts w:eastAsia="Calibri"/>
                <w:sz w:val="20"/>
                <w:szCs w:val="20"/>
              </w:rPr>
            </w:pPr>
          </w:p>
        </w:tc>
      </w:tr>
      <w:tr w:rsidR="00C62CB7" w:rsidRPr="00C62CB7" w14:paraId="577D9319" w14:textId="77777777" w:rsidTr="001B69D9">
        <w:trPr>
          <w:trHeight w:val="288"/>
          <w:jc w:val="center"/>
        </w:trPr>
        <w:tc>
          <w:tcPr>
            <w:tcW w:w="1349" w:type="dxa"/>
            <w:tcBorders>
              <w:top w:val="nil"/>
              <w:left w:val="double" w:sz="4" w:space="0" w:color="auto"/>
              <w:bottom w:val="nil"/>
            </w:tcBorders>
            <w:tcMar>
              <w:left w:w="58" w:type="dxa"/>
              <w:right w:w="58" w:type="dxa"/>
            </w:tcMar>
            <w:vAlign w:val="center"/>
          </w:tcPr>
          <w:p w14:paraId="4C59D28D" w14:textId="77777777" w:rsidR="00D47B10" w:rsidRPr="00C62CB7" w:rsidRDefault="00D47B10" w:rsidP="00E14270">
            <w:pPr>
              <w:spacing w:line="240" w:lineRule="auto"/>
              <w:jc w:val="center"/>
              <w:rPr>
                <w:rFonts w:eastAsia="Calibri"/>
                <w:sz w:val="20"/>
                <w:szCs w:val="20"/>
              </w:rPr>
            </w:pPr>
          </w:p>
        </w:tc>
        <w:tc>
          <w:tcPr>
            <w:tcW w:w="1112" w:type="dxa"/>
            <w:tcBorders>
              <w:top w:val="nil"/>
              <w:bottom w:val="nil"/>
              <w:right w:val="double" w:sz="4" w:space="0" w:color="auto"/>
            </w:tcBorders>
            <w:tcMar>
              <w:left w:w="58" w:type="dxa"/>
              <w:right w:w="58" w:type="dxa"/>
            </w:tcMar>
            <w:vAlign w:val="center"/>
          </w:tcPr>
          <w:p w14:paraId="2CEF47B0" w14:textId="77777777" w:rsidR="00D47B10" w:rsidRPr="00C62CB7" w:rsidRDefault="00D47B10" w:rsidP="00E14270">
            <w:pPr>
              <w:spacing w:line="240" w:lineRule="auto"/>
              <w:jc w:val="center"/>
              <w:rPr>
                <w:rFonts w:eastAsia="Calibri"/>
                <w:sz w:val="20"/>
                <w:szCs w:val="20"/>
              </w:rPr>
            </w:pPr>
          </w:p>
        </w:tc>
        <w:tc>
          <w:tcPr>
            <w:tcW w:w="1592" w:type="dxa"/>
            <w:tcBorders>
              <w:top w:val="nil"/>
              <w:left w:val="double" w:sz="4" w:space="0" w:color="auto"/>
              <w:bottom w:val="nil"/>
            </w:tcBorders>
            <w:tcMar>
              <w:left w:w="58" w:type="dxa"/>
              <w:right w:w="58" w:type="dxa"/>
            </w:tcMar>
            <w:vAlign w:val="center"/>
          </w:tcPr>
          <w:p w14:paraId="729DFAF5"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12,501 – 15,000</w:t>
            </w:r>
          </w:p>
        </w:tc>
        <w:tc>
          <w:tcPr>
            <w:tcW w:w="1104" w:type="dxa"/>
            <w:tcBorders>
              <w:top w:val="nil"/>
              <w:bottom w:val="nil"/>
              <w:right w:val="double" w:sz="4" w:space="0" w:color="auto"/>
            </w:tcBorders>
            <w:tcMar>
              <w:left w:w="58" w:type="dxa"/>
              <w:right w:w="58" w:type="dxa"/>
            </w:tcMar>
            <w:vAlign w:val="center"/>
          </w:tcPr>
          <w:p w14:paraId="31B188E8" w14:textId="0BBB33D5" w:rsidR="00D47B10" w:rsidRPr="00C62CB7" w:rsidRDefault="00D47B10" w:rsidP="00E14270">
            <w:pPr>
              <w:spacing w:line="240" w:lineRule="auto"/>
              <w:jc w:val="center"/>
              <w:rPr>
                <w:rFonts w:eastAsia="Calibri"/>
                <w:sz w:val="20"/>
                <w:szCs w:val="20"/>
              </w:rPr>
            </w:pPr>
            <w:r w:rsidRPr="00C62CB7">
              <w:rPr>
                <w:rFonts w:eastAsia="Calibri"/>
                <w:sz w:val="20"/>
                <w:szCs w:val="20"/>
              </w:rPr>
              <w:t>4.0</w:t>
            </w:r>
          </w:p>
        </w:tc>
        <w:tc>
          <w:tcPr>
            <w:tcW w:w="1431" w:type="dxa"/>
            <w:tcBorders>
              <w:top w:val="nil"/>
              <w:left w:val="double" w:sz="4" w:space="0" w:color="auto"/>
              <w:bottom w:val="nil"/>
            </w:tcBorders>
            <w:tcMar>
              <w:left w:w="58" w:type="dxa"/>
              <w:right w:w="58" w:type="dxa"/>
            </w:tcMar>
            <w:vAlign w:val="center"/>
          </w:tcPr>
          <w:p w14:paraId="02DE0886" w14:textId="77777777" w:rsidR="00D47B10" w:rsidRPr="00C62CB7" w:rsidRDefault="00D47B10" w:rsidP="00E14270">
            <w:pPr>
              <w:spacing w:line="240" w:lineRule="auto"/>
              <w:jc w:val="center"/>
              <w:rPr>
                <w:rFonts w:eastAsia="Calibri"/>
                <w:sz w:val="20"/>
                <w:szCs w:val="20"/>
              </w:rPr>
            </w:pPr>
          </w:p>
        </w:tc>
        <w:tc>
          <w:tcPr>
            <w:tcW w:w="1089" w:type="dxa"/>
            <w:tcBorders>
              <w:top w:val="nil"/>
              <w:bottom w:val="nil"/>
              <w:right w:val="double" w:sz="4" w:space="0" w:color="auto"/>
            </w:tcBorders>
            <w:tcMar>
              <w:left w:w="58" w:type="dxa"/>
              <w:right w:w="58" w:type="dxa"/>
            </w:tcMar>
            <w:vAlign w:val="center"/>
          </w:tcPr>
          <w:p w14:paraId="1AF9A0CC" w14:textId="77777777" w:rsidR="00D47B10" w:rsidRPr="00C62CB7" w:rsidRDefault="00D47B10" w:rsidP="00E14270">
            <w:pPr>
              <w:spacing w:line="240" w:lineRule="auto"/>
              <w:jc w:val="center"/>
              <w:rPr>
                <w:rFonts w:eastAsia="Calibri"/>
                <w:sz w:val="20"/>
                <w:szCs w:val="20"/>
              </w:rPr>
            </w:pPr>
          </w:p>
        </w:tc>
        <w:tc>
          <w:tcPr>
            <w:tcW w:w="1275" w:type="dxa"/>
            <w:tcBorders>
              <w:top w:val="nil"/>
              <w:left w:val="double" w:sz="4" w:space="0" w:color="auto"/>
              <w:bottom w:val="nil"/>
            </w:tcBorders>
            <w:tcMar>
              <w:left w:w="58" w:type="dxa"/>
              <w:right w:w="58" w:type="dxa"/>
            </w:tcMar>
            <w:vAlign w:val="center"/>
          </w:tcPr>
          <w:p w14:paraId="759A7AB7"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&gt;25</w:t>
            </w:r>
          </w:p>
        </w:tc>
        <w:tc>
          <w:tcPr>
            <w:tcW w:w="1065" w:type="dxa"/>
            <w:tcBorders>
              <w:top w:val="nil"/>
              <w:bottom w:val="nil"/>
              <w:right w:val="double" w:sz="4" w:space="0" w:color="auto"/>
            </w:tcBorders>
            <w:tcMar>
              <w:left w:w="58" w:type="dxa"/>
              <w:right w:w="58" w:type="dxa"/>
            </w:tcMar>
            <w:vAlign w:val="center"/>
          </w:tcPr>
          <w:p w14:paraId="4262AFB3" w14:textId="27C02196" w:rsidR="00D47B10" w:rsidRPr="00C62CB7" w:rsidRDefault="00D47B10" w:rsidP="00E14270">
            <w:pPr>
              <w:spacing w:line="240" w:lineRule="auto"/>
              <w:jc w:val="center"/>
              <w:rPr>
                <w:rFonts w:eastAsia="Calibri"/>
                <w:sz w:val="20"/>
                <w:szCs w:val="20"/>
              </w:rPr>
            </w:pPr>
            <w:r w:rsidRPr="00C62CB7">
              <w:rPr>
                <w:rFonts w:eastAsia="Calibri"/>
                <w:sz w:val="20"/>
                <w:szCs w:val="20"/>
              </w:rPr>
              <w:t>9.0</w:t>
            </w:r>
          </w:p>
        </w:tc>
        <w:tc>
          <w:tcPr>
            <w:tcW w:w="795" w:type="dxa"/>
            <w:tcBorders>
              <w:top w:val="nil"/>
              <w:left w:val="double" w:sz="4" w:space="0" w:color="auto"/>
              <w:bottom w:val="nil"/>
            </w:tcBorders>
            <w:tcMar>
              <w:left w:w="58" w:type="dxa"/>
              <w:right w:w="58" w:type="dxa"/>
            </w:tcMar>
            <w:vAlign w:val="center"/>
          </w:tcPr>
          <w:p w14:paraId="5EFB2B2F" w14:textId="77777777" w:rsidR="00D47B10" w:rsidRPr="00C62CB7" w:rsidRDefault="00D47B10" w:rsidP="00E14270">
            <w:pPr>
              <w:spacing w:line="240" w:lineRule="auto"/>
              <w:jc w:val="center"/>
              <w:rPr>
                <w:rFonts w:eastAsia="Calibri"/>
                <w:sz w:val="20"/>
                <w:szCs w:val="20"/>
              </w:rPr>
            </w:pPr>
          </w:p>
        </w:tc>
        <w:tc>
          <w:tcPr>
            <w:tcW w:w="1139" w:type="dxa"/>
            <w:tcBorders>
              <w:top w:val="nil"/>
              <w:bottom w:val="nil"/>
              <w:right w:val="double" w:sz="4" w:space="0" w:color="auto"/>
            </w:tcBorders>
            <w:tcMar>
              <w:left w:w="58" w:type="dxa"/>
              <w:right w:w="58" w:type="dxa"/>
            </w:tcMar>
            <w:vAlign w:val="center"/>
          </w:tcPr>
          <w:p w14:paraId="64B49D03" w14:textId="77777777" w:rsidR="00D47B10" w:rsidRPr="00C62CB7" w:rsidRDefault="00D47B10" w:rsidP="00E14270">
            <w:pPr>
              <w:spacing w:line="240" w:lineRule="auto"/>
              <w:jc w:val="center"/>
              <w:rPr>
                <w:rFonts w:eastAsia="Calibri"/>
                <w:sz w:val="20"/>
                <w:szCs w:val="20"/>
              </w:rPr>
            </w:pPr>
          </w:p>
        </w:tc>
        <w:tc>
          <w:tcPr>
            <w:tcW w:w="793" w:type="dxa"/>
            <w:tcBorders>
              <w:top w:val="nil"/>
              <w:left w:val="double" w:sz="4" w:space="0" w:color="auto"/>
              <w:bottom w:val="nil"/>
            </w:tcBorders>
            <w:tcMar>
              <w:left w:w="58" w:type="dxa"/>
              <w:right w:w="58" w:type="dxa"/>
            </w:tcMar>
            <w:vAlign w:val="center"/>
          </w:tcPr>
          <w:p w14:paraId="7FF86E5A" w14:textId="77777777" w:rsidR="00D47B10" w:rsidRPr="00C62CB7" w:rsidRDefault="00D47B10" w:rsidP="00E14270">
            <w:pPr>
              <w:spacing w:line="240" w:lineRule="auto"/>
              <w:jc w:val="center"/>
              <w:rPr>
                <w:rFonts w:eastAsia="Calibri"/>
                <w:sz w:val="20"/>
                <w:szCs w:val="20"/>
              </w:rPr>
            </w:pPr>
          </w:p>
        </w:tc>
        <w:tc>
          <w:tcPr>
            <w:tcW w:w="1120" w:type="dxa"/>
            <w:tcBorders>
              <w:top w:val="nil"/>
              <w:bottom w:val="nil"/>
              <w:right w:val="double" w:sz="4" w:space="0" w:color="auto"/>
            </w:tcBorders>
            <w:tcMar>
              <w:left w:w="58" w:type="dxa"/>
              <w:right w:w="58" w:type="dxa"/>
            </w:tcMar>
            <w:vAlign w:val="center"/>
          </w:tcPr>
          <w:p w14:paraId="78AE72F8" w14:textId="77777777" w:rsidR="00D47B10" w:rsidRPr="00C62CB7" w:rsidRDefault="00D47B10" w:rsidP="00E14270">
            <w:pPr>
              <w:spacing w:line="240" w:lineRule="auto"/>
              <w:jc w:val="center"/>
              <w:rPr>
                <w:rFonts w:eastAsia="Calibri"/>
                <w:sz w:val="20"/>
                <w:szCs w:val="20"/>
              </w:rPr>
            </w:pPr>
          </w:p>
        </w:tc>
      </w:tr>
      <w:tr w:rsidR="00C62CB7" w:rsidRPr="00C62CB7" w14:paraId="1971FAAC" w14:textId="77777777" w:rsidTr="001B69D9">
        <w:trPr>
          <w:trHeight w:val="288"/>
          <w:jc w:val="center"/>
        </w:trPr>
        <w:tc>
          <w:tcPr>
            <w:tcW w:w="1349" w:type="dxa"/>
            <w:tcBorders>
              <w:top w:val="nil"/>
              <w:left w:val="double" w:sz="4" w:space="0" w:color="auto"/>
              <w:bottom w:val="double" w:sz="4" w:space="0" w:color="auto"/>
            </w:tcBorders>
            <w:tcMar>
              <w:left w:w="58" w:type="dxa"/>
              <w:right w:w="58" w:type="dxa"/>
            </w:tcMar>
            <w:vAlign w:val="center"/>
          </w:tcPr>
          <w:p w14:paraId="0780FB6E" w14:textId="77777777" w:rsidR="00D47B10" w:rsidRPr="00C62CB7" w:rsidRDefault="00D47B10" w:rsidP="00E14270">
            <w:pPr>
              <w:spacing w:line="240" w:lineRule="auto"/>
              <w:jc w:val="center"/>
              <w:rPr>
                <w:rFonts w:eastAsia="Calibri"/>
                <w:sz w:val="20"/>
                <w:szCs w:val="20"/>
              </w:rPr>
            </w:pPr>
          </w:p>
        </w:tc>
        <w:tc>
          <w:tcPr>
            <w:tcW w:w="1112" w:type="dxa"/>
            <w:tcBorders>
              <w:top w:val="nil"/>
              <w:bottom w:val="double" w:sz="4" w:space="0" w:color="auto"/>
              <w:right w:val="double" w:sz="4" w:space="0" w:color="auto"/>
            </w:tcBorders>
            <w:tcMar>
              <w:left w:w="58" w:type="dxa"/>
              <w:right w:w="58" w:type="dxa"/>
            </w:tcMar>
            <w:vAlign w:val="center"/>
          </w:tcPr>
          <w:p w14:paraId="7A3A5A2A" w14:textId="77777777" w:rsidR="00D47B10" w:rsidRPr="00C62CB7" w:rsidRDefault="00D47B10" w:rsidP="00E14270">
            <w:pPr>
              <w:spacing w:line="240" w:lineRule="auto"/>
              <w:jc w:val="center"/>
              <w:rPr>
                <w:rFonts w:eastAsia="Calibri"/>
                <w:sz w:val="20"/>
                <w:szCs w:val="20"/>
              </w:rPr>
            </w:pPr>
          </w:p>
        </w:tc>
        <w:tc>
          <w:tcPr>
            <w:tcW w:w="1592" w:type="dxa"/>
            <w:tcBorders>
              <w:top w:val="nil"/>
              <w:left w:val="double" w:sz="4" w:space="0" w:color="auto"/>
              <w:bottom w:val="double" w:sz="4" w:space="0" w:color="auto"/>
            </w:tcBorders>
            <w:tcMar>
              <w:left w:w="58" w:type="dxa"/>
              <w:right w:w="58" w:type="dxa"/>
            </w:tcMar>
            <w:vAlign w:val="center"/>
          </w:tcPr>
          <w:p w14:paraId="2BA1E7BC"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&gt;15,000</w:t>
            </w:r>
          </w:p>
        </w:tc>
        <w:tc>
          <w:tcPr>
            <w:tcW w:w="1104" w:type="dxa"/>
            <w:tcBorders>
              <w:top w:val="nil"/>
              <w:bottom w:val="double" w:sz="4" w:space="0" w:color="auto"/>
              <w:right w:val="double" w:sz="4" w:space="0" w:color="auto"/>
            </w:tcBorders>
            <w:tcMar>
              <w:left w:w="58" w:type="dxa"/>
              <w:right w:w="58" w:type="dxa"/>
            </w:tcMar>
            <w:vAlign w:val="center"/>
          </w:tcPr>
          <w:p w14:paraId="7D43CF1D" w14:textId="77777777" w:rsidR="00D47B10" w:rsidRPr="00C62CB7" w:rsidRDefault="00D47B10" w:rsidP="00E14270">
            <w:pPr>
              <w:spacing w:line="240" w:lineRule="auto"/>
              <w:jc w:val="center"/>
              <w:rPr>
                <w:rFonts w:eastAsia="Calibri"/>
                <w:sz w:val="20"/>
                <w:szCs w:val="20"/>
              </w:rPr>
            </w:pPr>
            <w:r w:rsidRPr="00C62CB7">
              <w:rPr>
                <w:rFonts w:eastAsia="Calibri"/>
                <w:sz w:val="20"/>
                <w:szCs w:val="20"/>
              </w:rPr>
              <w:t>19.0</w:t>
            </w:r>
          </w:p>
        </w:tc>
        <w:tc>
          <w:tcPr>
            <w:tcW w:w="1431" w:type="dxa"/>
            <w:tcBorders>
              <w:top w:val="nil"/>
              <w:left w:val="double" w:sz="4" w:space="0" w:color="auto"/>
              <w:bottom w:val="double" w:sz="4" w:space="0" w:color="auto"/>
            </w:tcBorders>
            <w:tcMar>
              <w:left w:w="58" w:type="dxa"/>
              <w:right w:w="58" w:type="dxa"/>
            </w:tcMar>
            <w:vAlign w:val="center"/>
          </w:tcPr>
          <w:p w14:paraId="2D6D981A" w14:textId="77777777" w:rsidR="00D47B10" w:rsidRPr="00C62CB7" w:rsidRDefault="00D47B10" w:rsidP="00E14270">
            <w:pPr>
              <w:spacing w:line="240" w:lineRule="auto"/>
              <w:jc w:val="center"/>
              <w:rPr>
                <w:rFonts w:eastAsia="Calibri"/>
                <w:sz w:val="20"/>
                <w:szCs w:val="20"/>
              </w:rPr>
            </w:pPr>
          </w:p>
        </w:tc>
        <w:tc>
          <w:tcPr>
            <w:tcW w:w="1089" w:type="dxa"/>
            <w:tcBorders>
              <w:top w:val="nil"/>
              <w:bottom w:val="double" w:sz="4" w:space="0" w:color="auto"/>
              <w:right w:val="double" w:sz="4" w:space="0" w:color="auto"/>
            </w:tcBorders>
            <w:tcMar>
              <w:left w:w="58" w:type="dxa"/>
              <w:right w:w="58" w:type="dxa"/>
            </w:tcMar>
            <w:vAlign w:val="center"/>
          </w:tcPr>
          <w:p w14:paraId="6070EDFE" w14:textId="77777777" w:rsidR="00D47B10" w:rsidRPr="00C62CB7" w:rsidRDefault="00D47B10" w:rsidP="00E14270">
            <w:pPr>
              <w:spacing w:line="240" w:lineRule="auto"/>
              <w:jc w:val="center"/>
              <w:rPr>
                <w:rFonts w:eastAsia="Calibri"/>
                <w:sz w:val="20"/>
                <w:szCs w:val="20"/>
              </w:rPr>
            </w:pPr>
          </w:p>
        </w:tc>
        <w:tc>
          <w:tcPr>
            <w:tcW w:w="1275" w:type="dxa"/>
            <w:tcBorders>
              <w:top w:val="nil"/>
              <w:left w:val="double" w:sz="4" w:space="0" w:color="auto"/>
              <w:bottom w:val="double" w:sz="4" w:space="0" w:color="auto"/>
            </w:tcBorders>
            <w:tcMar>
              <w:left w:w="58" w:type="dxa"/>
              <w:right w:w="58" w:type="dxa"/>
            </w:tcMar>
            <w:vAlign w:val="center"/>
          </w:tcPr>
          <w:p w14:paraId="67670D3A" w14:textId="77777777" w:rsidR="00D47B10" w:rsidRPr="00C62CB7" w:rsidRDefault="00D47B10" w:rsidP="00E14270">
            <w:pPr>
              <w:spacing w:line="240" w:lineRule="auto"/>
              <w:jc w:val="center"/>
              <w:rPr>
                <w:rFonts w:eastAsia="Calibri"/>
                <w:sz w:val="20"/>
                <w:szCs w:val="20"/>
              </w:rPr>
            </w:pPr>
          </w:p>
        </w:tc>
        <w:tc>
          <w:tcPr>
            <w:tcW w:w="1065" w:type="dxa"/>
            <w:tcBorders>
              <w:top w:val="nil"/>
              <w:bottom w:val="double" w:sz="4" w:space="0" w:color="auto"/>
              <w:right w:val="double" w:sz="4" w:space="0" w:color="auto"/>
            </w:tcBorders>
            <w:tcMar>
              <w:left w:w="58" w:type="dxa"/>
              <w:right w:w="58" w:type="dxa"/>
            </w:tcMar>
            <w:vAlign w:val="center"/>
          </w:tcPr>
          <w:p w14:paraId="77734FBF" w14:textId="77777777" w:rsidR="00D47B10" w:rsidRPr="00C62CB7" w:rsidRDefault="00D47B10" w:rsidP="00E14270">
            <w:pPr>
              <w:spacing w:line="240" w:lineRule="auto"/>
              <w:jc w:val="center"/>
              <w:rPr>
                <w:rFonts w:eastAsia="Calibri"/>
                <w:sz w:val="20"/>
                <w:szCs w:val="20"/>
              </w:rPr>
            </w:pPr>
          </w:p>
        </w:tc>
        <w:tc>
          <w:tcPr>
            <w:tcW w:w="795" w:type="dxa"/>
            <w:tcBorders>
              <w:top w:val="nil"/>
              <w:left w:val="double" w:sz="4" w:space="0" w:color="auto"/>
              <w:bottom w:val="double" w:sz="4" w:space="0" w:color="auto"/>
            </w:tcBorders>
            <w:tcMar>
              <w:left w:w="58" w:type="dxa"/>
              <w:right w:w="58" w:type="dxa"/>
            </w:tcMar>
            <w:vAlign w:val="center"/>
          </w:tcPr>
          <w:p w14:paraId="1DC73EE3" w14:textId="77777777" w:rsidR="00D47B10" w:rsidRPr="00C62CB7" w:rsidRDefault="00D47B10" w:rsidP="00E14270">
            <w:pPr>
              <w:spacing w:line="240" w:lineRule="auto"/>
              <w:jc w:val="center"/>
              <w:rPr>
                <w:rFonts w:eastAsia="Calibri"/>
                <w:sz w:val="20"/>
                <w:szCs w:val="20"/>
              </w:rPr>
            </w:pPr>
          </w:p>
        </w:tc>
        <w:tc>
          <w:tcPr>
            <w:tcW w:w="1139" w:type="dxa"/>
            <w:tcBorders>
              <w:top w:val="nil"/>
              <w:bottom w:val="double" w:sz="4" w:space="0" w:color="auto"/>
              <w:right w:val="double" w:sz="4" w:space="0" w:color="auto"/>
            </w:tcBorders>
            <w:tcMar>
              <w:left w:w="58" w:type="dxa"/>
              <w:right w:w="58" w:type="dxa"/>
            </w:tcMar>
            <w:vAlign w:val="center"/>
          </w:tcPr>
          <w:p w14:paraId="7FC43E89" w14:textId="77777777" w:rsidR="00D47B10" w:rsidRPr="00C62CB7" w:rsidRDefault="00D47B10" w:rsidP="00E14270">
            <w:pPr>
              <w:spacing w:line="240" w:lineRule="auto"/>
              <w:jc w:val="center"/>
              <w:rPr>
                <w:rFonts w:eastAsia="Calibri"/>
                <w:sz w:val="20"/>
                <w:szCs w:val="20"/>
              </w:rPr>
            </w:pPr>
          </w:p>
        </w:tc>
        <w:tc>
          <w:tcPr>
            <w:tcW w:w="793" w:type="dxa"/>
            <w:tcBorders>
              <w:top w:val="nil"/>
              <w:left w:val="double" w:sz="4" w:space="0" w:color="auto"/>
              <w:bottom w:val="double" w:sz="4" w:space="0" w:color="auto"/>
            </w:tcBorders>
            <w:tcMar>
              <w:left w:w="58" w:type="dxa"/>
              <w:right w:w="58" w:type="dxa"/>
            </w:tcMar>
            <w:vAlign w:val="center"/>
          </w:tcPr>
          <w:p w14:paraId="26A01731" w14:textId="77777777" w:rsidR="00D47B10" w:rsidRPr="00C62CB7" w:rsidRDefault="00D47B10" w:rsidP="00E14270">
            <w:pPr>
              <w:spacing w:line="240" w:lineRule="auto"/>
              <w:jc w:val="center"/>
              <w:rPr>
                <w:rFonts w:eastAsia="Calibri"/>
                <w:sz w:val="20"/>
                <w:szCs w:val="20"/>
              </w:rPr>
            </w:pPr>
          </w:p>
        </w:tc>
        <w:tc>
          <w:tcPr>
            <w:tcW w:w="1120" w:type="dxa"/>
            <w:tcBorders>
              <w:top w:val="nil"/>
              <w:right w:val="double" w:sz="4" w:space="0" w:color="auto"/>
            </w:tcBorders>
            <w:tcMar>
              <w:left w:w="58" w:type="dxa"/>
              <w:right w:w="58" w:type="dxa"/>
            </w:tcMar>
            <w:vAlign w:val="center"/>
          </w:tcPr>
          <w:p w14:paraId="66A66B5F" w14:textId="77777777" w:rsidR="00D47B10" w:rsidRPr="00C62CB7" w:rsidRDefault="00D47B10" w:rsidP="00E14270">
            <w:pPr>
              <w:spacing w:line="240" w:lineRule="auto"/>
              <w:jc w:val="center"/>
              <w:rPr>
                <w:rFonts w:eastAsia="Calibri"/>
                <w:sz w:val="20"/>
                <w:szCs w:val="20"/>
              </w:rPr>
            </w:pPr>
          </w:p>
        </w:tc>
      </w:tr>
      <w:tr w:rsidR="00C62CB7" w:rsidRPr="00C62CB7" w14:paraId="581F00C6" w14:textId="77777777" w:rsidTr="001B69D9">
        <w:trPr>
          <w:trHeight w:val="288"/>
          <w:jc w:val="center"/>
        </w:trPr>
        <w:tc>
          <w:tcPr>
            <w:tcW w:w="13864" w:type="dxa"/>
            <w:gridSpan w:val="12"/>
            <w:tcBorders>
              <w:top w:val="double" w:sz="4" w:space="0" w:color="auto"/>
              <w:left w:val="double" w:sz="4" w:space="0" w:color="auto"/>
              <w:bottom w:val="double" w:sz="4" w:space="0" w:color="auto"/>
              <w:right w:val="double" w:sz="4" w:space="0" w:color="auto"/>
            </w:tcBorders>
            <w:tcMar>
              <w:left w:w="58" w:type="dxa"/>
              <w:right w:w="58" w:type="dxa"/>
            </w:tcMar>
            <w:vAlign w:val="center"/>
          </w:tcPr>
          <w:p w14:paraId="44AA662F" w14:textId="413B7D24" w:rsidR="00D47B10" w:rsidRPr="00C62CB7" w:rsidRDefault="00254B26" w:rsidP="00D47B10">
            <w:pPr>
              <w:spacing w:line="240" w:lineRule="auto"/>
              <w:jc w:val="center"/>
              <w:rPr>
                <w:rFonts w:eastAsia="Calibri"/>
                <w:b/>
                <w:sz w:val="20"/>
                <w:szCs w:val="20"/>
              </w:rPr>
            </w:pPr>
            <w:r w:rsidRPr="00C62CB7">
              <w:rPr>
                <w:rFonts w:eastAsia="Calibri"/>
                <w:b/>
                <w:sz w:val="20"/>
                <w:szCs w:val="20"/>
              </w:rPr>
              <w:t>Nominal/Binary Outcomes</w:t>
            </w:r>
          </w:p>
        </w:tc>
      </w:tr>
      <w:tr w:rsidR="00C62CB7" w:rsidRPr="00C62CB7" w14:paraId="03590955" w14:textId="77777777" w:rsidTr="001B69D9">
        <w:trPr>
          <w:trHeight w:val="288"/>
          <w:jc w:val="center"/>
        </w:trPr>
        <w:tc>
          <w:tcPr>
            <w:tcW w:w="1349" w:type="dxa"/>
            <w:vMerge w:val="restart"/>
            <w:tcBorders>
              <w:top w:val="double" w:sz="4" w:space="0" w:color="auto"/>
              <w:left w:val="double" w:sz="4" w:space="0" w:color="auto"/>
            </w:tcBorders>
            <w:tcMar>
              <w:left w:w="58" w:type="dxa"/>
              <w:right w:w="58" w:type="dxa"/>
            </w:tcMar>
            <w:vAlign w:val="center"/>
          </w:tcPr>
          <w:p w14:paraId="386D94C1"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Housing type</w:t>
            </w:r>
          </w:p>
        </w:tc>
        <w:tc>
          <w:tcPr>
            <w:tcW w:w="5239" w:type="dxa"/>
            <w:gridSpan w:val="4"/>
            <w:tcBorders>
              <w:top w:val="double" w:sz="4" w:space="0" w:color="auto"/>
              <w:bottom w:val="nil"/>
            </w:tcBorders>
            <w:tcMar>
              <w:left w:w="58" w:type="dxa"/>
              <w:right w:w="58" w:type="dxa"/>
            </w:tcMar>
            <w:vAlign w:val="center"/>
          </w:tcPr>
          <w:p w14:paraId="5EF08E5F" w14:textId="3986F036" w:rsidR="00D47B10" w:rsidRPr="00C62CB7" w:rsidRDefault="00254B26" w:rsidP="00D47B10">
            <w:pPr>
              <w:spacing w:line="240" w:lineRule="auto"/>
              <w:jc w:val="center"/>
              <w:rPr>
                <w:rFonts w:eastAsia="Calibri"/>
                <w:b/>
                <w:sz w:val="20"/>
                <w:szCs w:val="20"/>
              </w:rPr>
            </w:pPr>
            <w:r w:rsidRPr="00C62CB7">
              <w:rPr>
                <w:rFonts w:eastAsia="Calibri"/>
                <w:b/>
                <w:sz w:val="20"/>
                <w:szCs w:val="20"/>
              </w:rPr>
              <w:t>Single family d</w:t>
            </w:r>
            <w:r w:rsidR="00D47B10" w:rsidRPr="00C62CB7">
              <w:rPr>
                <w:rFonts w:eastAsia="Calibri"/>
                <w:b/>
                <w:sz w:val="20"/>
                <w:szCs w:val="20"/>
              </w:rPr>
              <w:t>etached</w:t>
            </w:r>
          </w:p>
        </w:tc>
        <w:tc>
          <w:tcPr>
            <w:tcW w:w="4224" w:type="dxa"/>
            <w:gridSpan w:val="4"/>
            <w:tcBorders>
              <w:top w:val="double" w:sz="4" w:space="0" w:color="auto"/>
              <w:bottom w:val="nil"/>
            </w:tcBorders>
            <w:tcMar>
              <w:left w:w="58" w:type="dxa"/>
              <w:right w:w="58" w:type="dxa"/>
            </w:tcMar>
            <w:vAlign w:val="center"/>
          </w:tcPr>
          <w:p w14:paraId="4D92BFAF" w14:textId="68021DD3" w:rsidR="00D47B10" w:rsidRPr="00C62CB7" w:rsidRDefault="00254B26" w:rsidP="00D47B10">
            <w:pPr>
              <w:spacing w:line="240" w:lineRule="auto"/>
              <w:jc w:val="center"/>
              <w:rPr>
                <w:rFonts w:eastAsia="Calibri"/>
                <w:b/>
                <w:sz w:val="20"/>
                <w:szCs w:val="20"/>
              </w:rPr>
            </w:pPr>
            <w:r w:rsidRPr="00C62CB7">
              <w:rPr>
                <w:rFonts w:eastAsia="Calibri"/>
                <w:b/>
                <w:sz w:val="20"/>
                <w:szCs w:val="20"/>
              </w:rPr>
              <w:t>Single family a</w:t>
            </w:r>
            <w:r w:rsidR="00D47B10" w:rsidRPr="00C62CB7">
              <w:rPr>
                <w:rFonts w:eastAsia="Calibri"/>
                <w:b/>
                <w:sz w:val="20"/>
                <w:szCs w:val="20"/>
              </w:rPr>
              <w:t>ttached</w:t>
            </w:r>
          </w:p>
        </w:tc>
        <w:tc>
          <w:tcPr>
            <w:tcW w:w="3052" w:type="dxa"/>
            <w:gridSpan w:val="3"/>
            <w:tcBorders>
              <w:top w:val="double" w:sz="4" w:space="0" w:color="auto"/>
              <w:bottom w:val="nil"/>
              <w:right w:val="double" w:sz="4" w:space="0" w:color="auto"/>
            </w:tcBorders>
            <w:tcMar>
              <w:left w:w="58" w:type="dxa"/>
              <w:right w:w="58" w:type="dxa"/>
            </w:tcMar>
            <w:vAlign w:val="center"/>
          </w:tcPr>
          <w:p w14:paraId="11D06901" w14:textId="343F0EE8" w:rsidR="00D47B10" w:rsidRPr="00C62CB7" w:rsidRDefault="00D47B10" w:rsidP="00D47B10">
            <w:pPr>
              <w:spacing w:line="240" w:lineRule="auto"/>
              <w:jc w:val="center"/>
              <w:rPr>
                <w:rFonts w:eastAsia="Calibri"/>
                <w:b/>
                <w:sz w:val="20"/>
                <w:szCs w:val="20"/>
              </w:rPr>
            </w:pPr>
            <w:r w:rsidRPr="00C62CB7">
              <w:rPr>
                <w:rFonts w:eastAsia="Calibri"/>
                <w:b/>
                <w:sz w:val="20"/>
                <w:szCs w:val="20"/>
              </w:rPr>
              <w:t>Apartment</w:t>
            </w:r>
            <w:r w:rsidR="00254B26" w:rsidRPr="00C62CB7">
              <w:rPr>
                <w:rFonts w:eastAsia="Calibri"/>
                <w:b/>
                <w:sz w:val="20"/>
                <w:szCs w:val="20"/>
              </w:rPr>
              <w:t xml:space="preserve"> complex</w:t>
            </w:r>
          </w:p>
        </w:tc>
      </w:tr>
      <w:tr w:rsidR="00C62CB7" w:rsidRPr="00C62CB7" w14:paraId="36F45CF3" w14:textId="77777777" w:rsidTr="001B69D9">
        <w:trPr>
          <w:trHeight w:val="288"/>
          <w:jc w:val="center"/>
        </w:trPr>
        <w:tc>
          <w:tcPr>
            <w:tcW w:w="1349" w:type="dxa"/>
            <w:vMerge/>
            <w:tcBorders>
              <w:left w:val="double" w:sz="4" w:space="0" w:color="auto"/>
              <w:bottom w:val="double" w:sz="4" w:space="0" w:color="auto"/>
            </w:tcBorders>
            <w:tcMar>
              <w:left w:w="58" w:type="dxa"/>
              <w:right w:w="58" w:type="dxa"/>
            </w:tcMar>
            <w:vAlign w:val="center"/>
          </w:tcPr>
          <w:p w14:paraId="09C7BDAD" w14:textId="77777777" w:rsidR="00D47B10" w:rsidRPr="00C62CB7" w:rsidRDefault="00D47B10" w:rsidP="00D47B10">
            <w:pPr>
              <w:spacing w:line="240" w:lineRule="auto"/>
              <w:jc w:val="center"/>
              <w:rPr>
                <w:rFonts w:eastAsia="Calibri"/>
                <w:b/>
                <w:sz w:val="20"/>
                <w:szCs w:val="20"/>
              </w:rPr>
            </w:pPr>
          </w:p>
        </w:tc>
        <w:tc>
          <w:tcPr>
            <w:tcW w:w="5239" w:type="dxa"/>
            <w:gridSpan w:val="4"/>
            <w:tcBorders>
              <w:top w:val="nil"/>
              <w:bottom w:val="double" w:sz="4" w:space="0" w:color="auto"/>
            </w:tcBorders>
            <w:tcMar>
              <w:left w:w="58" w:type="dxa"/>
              <w:right w:w="58" w:type="dxa"/>
            </w:tcMar>
            <w:vAlign w:val="center"/>
          </w:tcPr>
          <w:p w14:paraId="4EC44760" w14:textId="77777777" w:rsidR="00D47B10" w:rsidRPr="00C62CB7" w:rsidRDefault="00D47B10" w:rsidP="00D47B10">
            <w:pPr>
              <w:spacing w:line="240" w:lineRule="auto"/>
              <w:jc w:val="center"/>
              <w:rPr>
                <w:rFonts w:eastAsia="Calibri"/>
                <w:sz w:val="20"/>
                <w:szCs w:val="20"/>
              </w:rPr>
            </w:pPr>
            <w:r w:rsidRPr="00C62CB7">
              <w:rPr>
                <w:rFonts w:eastAsia="Calibri"/>
                <w:sz w:val="20"/>
                <w:szCs w:val="20"/>
              </w:rPr>
              <w:t>69.0</w:t>
            </w:r>
          </w:p>
        </w:tc>
        <w:tc>
          <w:tcPr>
            <w:tcW w:w="4224" w:type="dxa"/>
            <w:gridSpan w:val="4"/>
            <w:tcBorders>
              <w:top w:val="nil"/>
              <w:bottom w:val="double" w:sz="4" w:space="0" w:color="auto"/>
            </w:tcBorders>
            <w:tcMar>
              <w:left w:w="58" w:type="dxa"/>
              <w:right w:w="58" w:type="dxa"/>
            </w:tcMar>
            <w:vAlign w:val="center"/>
          </w:tcPr>
          <w:p w14:paraId="5AF30A2F" w14:textId="77777777" w:rsidR="00D47B10" w:rsidRPr="00C62CB7" w:rsidRDefault="00D47B10" w:rsidP="00D47B10">
            <w:pPr>
              <w:spacing w:line="240" w:lineRule="auto"/>
              <w:jc w:val="center"/>
              <w:rPr>
                <w:rFonts w:eastAsia="Calibri"/>
                <w:sz w:val="20"/>
                <w:szCs w:val="20"/>
              </w:rPr>
            </w:pPr>
            <w:r w:rsidRPr="00C62CB7">
              <w:rPr>
                <w:rFonts w:eastAsia="Calibri"/>
                <w:sz w:val="20"/>
                <w:szCs w:val="20"/>
              </w:rPr>
              <w:t>3.0</w:t>
            </w:r>
          </w:p>
        </w:tc>
        <w:tc>
          <w:tcPr>
            <w:tcW w:w="3052" w:type="dxa"/>
            <w:gridSpan w:val="3"/>
            <w:tcBorders>
              <w:top w:val="nil"/>
              <w:bottom w:val="double" w:sz="4" w:space="0" w:color="auto"/>
              <w:right w:val="double" w:sz="4" w:space="0" w:color="auto"/>
            </w:tcBorders>
            <w:tcMar>
              <w:left w:w="58" w:type="dxa"/>
              <w:right w:w="58" w:type="dxa"/>
            </w:tcMar>
            <w:vAlign w:val="center"/>
          </w:tcPr>
          <w:p w14:paraId="38DAA4E3" w14:textId="77777777" w:rsidR="00D47B10" w:rsidRPr="00C62CB7" w:rsidRDefault="00D47B10" w:rsidP="00D47B10">
            <w:pPr>
              <w:spacing w:line="240" w:lineRule="auto"/>
              <w:jc w:val="center"/>
              <w:rPr>
                <w:rFonts w:eastAsia="Calibri"/>
                <w:sz w:val="20"/>
                <w:szCs w:val="20"/>
              </w:rPr>
            </w:pPr>
            <w:r w:rsidRPr="00C62CB7">
              <w:rPr>
                <w:rFonts w:eastAsia="Calibri"/>
                <w:sz w:val="20"/>
                <w:szCs w:val="20"/>
              </w:rPr>
              <w:t>28.0</w:t>
            </w:r>
          </w:p>
        </w:tc>
      </w:tr>
      <w:tr w:rsidR="00C62CB7" w:rsidRPr="00C62CB7" w14:paraId="26C972C1" w14:textId="77777777" w:rsidTr="001B69D9">
        <w:trPr>
          <w:trHeight w:val="288"/>
          <w:jc w:val="center"/>
        </w:trPr>
        <w:tc>
          <w:tcPr>
            <w:tcW w:w="1349" w:type="dxa"/>
            <w:vMerge w:val="restart"/>
            <w:tcBorders>
              <w:top w:val="double" w:sz="4" w:space="0" w:color="auto"/>
              <w:left w:val="double" w:sz="4" w:space="0" w:color="auto"/>
            </w:tcBorders>
            <w:tcMar>
              <w:left w:w="58" w:type="dxa"/>
              <w:right w:w="58" w:type="dxa"/>
            </w:tcMar>
            <w:vAlign w:val="center"/>
          </w:tcPr>
          <w:p w14:paraId="579EB0DD"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Residential location</w:t>
            </w:r>
          </w:p>
        </w:tc>
        <w:tc>
          <w:tcPr>
            <w:tcW w:w="5239" w:type="dxa"/>
            <w:gridSpan w:val="4"/>
            <w:tcBorders>
              <w:top w:val="double" w:sz="4" w:space="0" w:color="auto"/>
              <w:bottom w:val="nil"/>
            </w:tcBorders>
            <w:tcMar>
              <w:left w:w="58" w:type="dxa"/>
              <w:right w:w="58" w:type="dxa"/>
            </w:tcMar>
            <w:vAlign w:val="center"/>
          </w:tcPr>
          <w:p w14:paraId="7DF3FF46" w14:textId="6446ADEE" w:rsidR="00D47B10" w:rsidRPr="00C62CB7" w:rsidRDefault="00D47B10" w:rsidP="00D47B10">
            <w:pPr>
              <w:spacing w:line="240" w:lineRule="auto"/>
              <w:jc w:val="center"/>
              <w:rPr>
                <w:rFonts w:eastAsia="Calibri"/>
                <w:b/>
                <w:sz w:val="20"/>
                <w:szCs w:val="20"/>
              </w:rPr>
            </w:pPr>
            <w:r w:rsidRPr="00C62CB7">
              <w:rPr>
                <w:rFonts w:eastAsia="Calibri"/>
                <w:b/>
                <w:sz w:val="20"/>
                <w:szCs w:val="20"/>
              </w:rPr>
              <w:t>Suburb of the MSA</w:t>
            </w:r>
            <w:r w:rsidR="001B69D9">
              <w:rPr>
                <w:rFonts w:eastAsia="Calibri"/>
                <w:b/>
                <w:sz w:val="20"/>
                <w:szCs w:val="20"/>
              </w:rPr>
              <w:t>*</w:t>
            </w:r>
          </w:p>
        </w:tc>
        <w:tc>
          <w:tcPr>
            <w:tcW w:w="4224" w:type="dxa"/>
            <w:gridSpan w:val="4"/>
            <w:tcBorders>
              <w:top w:val="double" w:sz="4" w:space="0" w:color="auto"/>
              <w:bottom w:val="nil"/>
            </w:tcBorders>
            <w:tcMar>
              <w:left w:w="58" w:type="dxa"/>
              <w:right w:w="58" w:type="dxa"/>
            </w:tcMar>
            <w:vAlign w:val="center"/>
          </w:tcPr>
          <w:p w14:paraId="14951D57" w14:textId="4A961094" w:rsidR="00D47B10" w:rsidRPr="00C62CB7" w:rsidRDefault="00D47B10" w:rsidP="00D47B10">
            <w:pPr>
              <w:spacing w:line="240" w:lineRule="auto"/>
              <w:jc w:val="center"/>
              <w:rPr>
                <w:rFonts w:eastAsia="Calibri"/>
                <w:b/>
                <w:sz w:val="20"/>
                <w:szCs w:val="20"/>
              </w:rPr>
            </w:pPr>
            <w:r w:rsidRPr="00C62CB7">
              <w:rPr>
                <w:rFonts w:eastAsia="Calibri"/>
                <w:b/>
                <w:sz w:val="20"/>
                <w:szCs w:val="20"/>
              </w:rPr>
              <w:t>Secondary central cities of the MSA</w:t>
            </w:r>
            <w:r w:rsidR="001B69D9">
              <w:rPr>
                <w:rFonts w:eastAsia="Calibri"/>
                <w:b/>
                <w:sz w:val="20"/>
                <w:szCs w:val="20"/>
              </w:rPr>
              <w:t>*</w:t>
            </w:r>
          </w:p>
        </w:tc>
        <w:tc>
          <w:tcPr>
            <w:tcW w:w="3052" w:type="dxa"/>
            <w:gridSpan w:val="3"/>
            <w:tcBorders>
              <w:top w:val="double" w:sz="4" w:space="0" w:color="auto"/>
              <w:bottom w:val="nil"/>
              <w:right w:val="double" w:sz="4" w:space="0" w:color="auto"/>
            </w:tcBorders>
            <w:tcMar>
              <w:left w:w="58" w:type="dxa"/>
              <w:right w:w="58" w:type="dxa"/>
            </w:tcMar>
            <w:vAlign w:val="center"/>
          </w:tcPr>
          <w:p w14:paraId="37933E4A" w14:textId="7A06E4CA" w:rsidR="00D47B10" w:rsidRPr="00C62CB7" w:rsidRDefault="00D47B10" w:rsidP="00D47B10">
            <w:pPr>
              <w:spacing w:line="240" w:lineRule="auto"/>
              <w:jc w:val="center"/>
              <w:rPr>
                <w:rFonts w:eastAsia="Calibri"/>
                <w:b/>
                <w:sz w:val="20"/>
                <w:szCs w:val="20"/>
              </w:rPr>
            </w:pPr>
            <w:r w:rsidRPr="00C62CB7">
              <w:rPr>
                <w:rFonts w:eastAsia="Calibri"/>
                <w:b/>
                <w:sz w:val="20"/>
                <w:szCs w:val="20"/>
              </w:rPr>
              <w:t>Primary central city of the MSA</w:t>
            </w:r>
            <w:r w:rsidR="001B69D9">
              <w:rPr>
                <w:rFonts w:eastAsia="Calibri"/>
                <w:b/>
                <w:sz w:val="20"/>
                <w:szCs w:val="20"/>
              </w:rPr>
              <w:t>*</w:t>
            </w:r>
          </w:p>
        </w:tc>
      </w:tr>
      <w:tr w:rsidR="00C62CB7" w:rsidRPr="00C62CB7" w14:paraId="66A0E03B" w14:textId="77777777" w:rsidTr="001B69D9">
        <w:trPr>
          <w:trHeight w:val="288"/>
          <w:jc w:val="center"/>
        </w:trPr>
        <w:tc>
          <w:tcPr>
            <w:tcW w:w="1349" w:type="dxa"/>
            <w:vMerge/>
            <w:tcBorders>
              <w:left w:val="double" w:sz="4" w:space="0" w:color="auto"/>
              <w:bottom w:val="double" w:sz="4" w:space="0" w:color="auto"/>
            </w:tcBorders>
            <w:tcMar>
              <w:left w:w="58" w:type="dxa"/>
              <w:right w:w="58" w:type="dxa"/>
            </w:tcMar>
          </w:tcPr>
          <w:p w14:paraId="19440FBC" w14:textId="77777777" w:rsidR="00D47B10" w:rsidRPr="00C62CB7" w:rsidRDefault="00D47B10" w:rsidP="00D47B10">
            <w:pPr>
              <w:spacing w:line="240" w:lineRule="auto"/>
              <w:rPr>
                <w:rFonts w:eastAsia="Calibri"/>
                <w:b/>
                <w:sz w:val="20"/>
                <w:szCs w:val="20"/>
              </w:rPr>
            </w:pPr>
          </w:p>
        </w:tc>
        <w:tc>
          <w:tcPr>
            <w:tcW w:w="5239" w:type="dxa"/>
            <w:gridSpan w:val="4"/>
            <w:tcBorders>
              <w:top w:val="nil"/>
              <w:bottom w:val="double" w:sz="4" w:space="0" w:color="auto"/>
            </w:tcBorders>
            <w:tcMar>
              <w:left w:w="58" w:type="dxa"/>
              <w:right w:w="58" w:type="dxa"/>
            </w:tcMar>
            <w:vAlign w:val="center"/>
          </w:tcPr>
          <w:p w14:paraId="631C6CEC" w14:textId="77777777" w:rsidR="00D47B10" w:rsidRPr="00C62CB7" w:rsidRDefault="00D47B10" w:rsidP="00D47B10">
            <w:pPr>
              <w:spacing w:line="240" w:lineRule="auto"/>
              <w:jc w:val="center"/>
              <w:rPr>
                <w:rFonts w:eastAsia="Calibri"/>
                <w:sz w:val="20"/>
                <w:szCs w:val="20"/>
              </w:rPr>
            </w:pPr>
            <w:r w:rsidRPr="00C62CB7">
              <w:rPr>
                <w:rFonts w:eastAsia="Calibri"/>
                <w:sz w:val="20"/>
                <w:szCs w:val="20"/>
              </w:rPr>
              <w:t>65.0</w:t>
            </w:r>
          </w:p>
        </w:tc>
        <w:tc>
          <w:tcPr>
            <w:tcW w:w="4224" w:type="dxa"/>
            <w:gridSpan w:val="4"/>
            <w:tcBorders>
              <w:top w:val="nil"/>
              <w:bottom w:val="double" w:sz="4" w:space="0" w:color="auto"/>
            </w:tcBorders>
            <w:tcMar>
              <w:left w:w="58" w:type="dxa"/>
              <w:right w:w="58" w:type="dxa"/>
            </w:tcMar>
            <w:vAlign w:val="center"/>
          </w:tcPr>
          <w:p w14:paraId="548B7A77" w14:textId="77777777" w:rsidR="00D47B10" w:rsidRPr="00C62CB7" w:rsidRDefault="00D47B10" w:rsidP="00D47B10">
            <w:pPr>
              <w:spacing w:line="240" w:lineRule="auto"/>
              <w:jc w:val="center"/>
              <w:rPr>
                <w:rFonts w:eastAsia="Calibri"/>
                <w:sz w:val="20"/>
                <w:szCs w:val="20"/>
              </w:rPr>
            </w:pPr>
            <w:r w:rsidRPr="00C62CB7">
              <w:rPr>
                <w:rFonts w:eastAsia="Calibri"/>
                <w:sz w:val="20"/>
                <w:szCs w:val="20"/>
              </w:rPr>
              <w:t>11.0</w:t>
            </w:r>
          </w:p>
        </w:tc>
        <w:tc>
          <w:tcPr>
            <w:tcW w:w="3052" w:type="dxa"/>
            <w:gridSpan w:val="3"/>
            <w:tcBorders>
              <w:top w:val="nil"/>
              <w:bottom w:val="double" w:sz="4" w:space="0" w:color="auto"/>
              <w:right w:val="double" w:sz="4" w:space="0" w:color="auto"/>
            </w:tcBorders>
            <w:tcMar>
              <w:left w:w="58" w:type="dxa"/>
              <w:right w:w="58" w:type="dxa"/>
            </w:tcMar>
            <w:vAlign w:val="center"/>
          </w:tcPr>
          <w:p w14:paraId="05E6142E" w14:textId="77777777" w:rsidR="00D47B10" w:rsidRPr="00C62CB7" w:rsidRDefault="00D47B10" w:rsidP="00D47B10">
            <w:pPr>
              <w:spacing w:line="240" w:lineRule="auto"/>
              <w:jc w:val="center"/>
              <w:rPr>
                <w:rFonts w:eastAsia="Calibri"/>
                <w:sz w:val="20"/>
                <w:szCs w:val="20"/>
              </w:rPr>
            </w:pPr>
            <w:r w:rsidRPr="00C62CB7">
              <w:rPr>
                <w:rFonts w:eastAsia="Calibri"/>
                <w:sz w:val="20"/>
                <w:szCs w:val="20"/>
              </w:rPr>
              <w:t>24.0</w:t>
            </w:r>
          </w:p>
        </w:tc>
      </w:tr>
      <w:tr w:rsidR="00C62CB7" w:rsidRPr="00C62CB7" w14:paraId="262CCFD0" w14:textId="77777777" w:rsidTr="001B69D9">
        <w:trPr>
          <w:trHeight w:val="288"/>
          <w:jc w:val="center"/>
        </w:trPr>
        <w:tc>
          <w:tcPr>
            <w:tcW w:w="1349" w:type="dxa"/>
            <w:vMerge w:val="restart"/>
            <w:tcBorders>
              <w:top w:val="double" w:sz="4" w:space="0" w:color="auto"/>
              <w:left w:val="double" w:sz="4" w:space="0" w:color="auto"/>
            </w:tcBorders>
            <w:tcMar>
              <w:left w:w="58" w:type="dxa"/>
              <w:right w:w="58" w:type="dxa"/>
            </w:tcMar>
            <w:vAlign w:val="center"/>
          </w:tcPr>
          <w:p w14:paraId="44C72820"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Tenure type</w:t>
            </w:r>
          </w:p>
        </w:tc>
        <w:tc>
          <w:tcPr>
            <w:tcW w:w="7603" w:type="dxa"/>
            <w:gridSpan w:val="6"/>
            <w:tcBorders>
              <w:top w:val="double" w:sz="4" w:space="0" w:color="auto"/>
              <w:bottom w:val="nil"/>
            </w:tcBorders>
            <w:tcMar>
              <w:left w:w="58" w:type="dxa"/>
              <w:right w:w="58" w:type="dxa"/>
            </w:tcMar>
            <w:vAlign w:val="center"/>
          </w:tcPr>
          <w:p w14:paraId="275B34A9"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Owning</w:t>
            </w:r>
          </w:p>
        </w:tc>
        <w:tc>
          <w:tcPr>
            <w:tcW w:w="4912" w:type="dxa"/>
            <w:gridSpan w:val="5"/>
            <w:tcBorders>
              <w:top w:val="double" w:sz="4" w:space="0" w:color="auto"/>
              <w:bottom w:val="nil"/>
              <w:right w:val="double" w:sz="4" w:space="0" w:color="auto"/>
            </w:tcBorders>
            <w:tcMar>
              <w:left w:w="58" w:type="dxa"/>
              <w:right w:w="58" w:type="dxa"/>
            </w:tcMar>
            <w:vAlign w:val="center"/>
          </w:tcPr>
          <w:p w14:paraId="70FFF37C"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Renting</w:t>
            </w:r>
          </w:p>
        </w:tc>
      </w:tr>
      <w:tr w:rsidR="00C62CB7" w:rsidRPr="00C62CB7" w14:paraId="369287F9" w14:textId="77777777" w:rsidTr="001B69D9">
        <w:trPr>
          <w:trHeight w:val="288"/>
          <w:jc w:val="center"/>
        </w:trPr>
        <w:tc>
          <w:tcPr>
            <w:tcW w:w="1349" w:type="dxa"/>
            <w:vMerge/>
            <w:tcBorders>
              <w:left w:val="double" w:sz="4" w:space="0" w:color="auto"/>
              <w:bottom w:val="double" w:sz="4" w:space="0" w:color="auto"/>
            </w:tcBorders>
            <w:tcMar>
              <w:left w:w="58" w:type="dxa"/>
              <w:right w:w="58" w:type="dxa"/>
            </w:tcMar>
            <w:vAlign w:val="center"/>
          </w:tcPr>
          <w:p w14:paraId="202D2A78" w14:textId="77777777" w:rsidR="00D47B10" w:rsidRPr="00C62CB7" w:rsidRDefault="00D47B10" w:rsidP="00D47B10">
            <w:pPr>
              <w:spacing w:line="240" w:lineRule="auto"/>
              <w:jc w:val="center"/>
              <w:rPr>
                <w:rFonts w:eastAsia="Calibri"/>
                <w:b/>
                <w:sz w:val="20"/>
                <w:szCs w:val="20"/>
              </w:rPr>
            </w:pPr>
          </w:p>
        </w:tc>
        <w:tc>
          <w:tcPr>
            <w:tcW w:w="7603" w:type="dxa"/>
            <w:gridSpan w:val="6"/>
            <w:tcBorders>
              <w:top w:val="nil"/>
              <w:bottom w:val="double" w:sz="4" w:space="0" w:color="auto"/>
            </w:tcBorders>
            <w:tcMar>
              <w:left w:w="58" w:type="dxa"/>
              <w:right w:w="58" w:type="dxa"/>
            </w:tcMar>
            <w:vAlign w:val="center"/>
          </w:tcPr>
          <w:p w14:paraId="7FC2F124" w14:textId="77777777" w:rsidR="00D47B10" w:rsidRPr="00C62CB7" w:rsidRDefault="00D47B10" w:rsidP="00D47B10">
            <w:pPr>
              <w:spacing w:line="240" w:lineRule="auto"/>
              <w:jc w:val="center"/>
              <w:rPr>
                <w:rFonts w:eastAsia="Calibri"/>
                <w:sz w:val="20"/>
                <w:szCs w:val="20"/>
              </w:rPr>
            </w:pPr>
            <w:r w:rsidRPr="00C62CB7">
              <w:rPr>
                <w:rFonts w:eastAsia="Calibri"/>
                <w:sz w:val="20"/>
                <w:szCs w:val="20"/>
              </w:rPr>
              <w:t>65.0</w:t>
            </w:r>
          </w:p>
        </w:tc>
        <w:tc>
          <w:tcPr>
            <w:tcW w:w="4912" w:type="dxa"/>
            <w:gridSpan w:val="5"/>
            <w:tcBorders>
              <w:top w:val="nil"/>
              <w:bottom w:val="double" w:sz="4" w:space="0" w:color="auto"/>
              <w:right w:val="double" w:sz="4" w:space="0" w:color="auto"/>
            </w:tcBorders>
            <w:tcMar>
              <w:left w:w="58" w:type="dxa"/>
              <w:right w:w="58" w:type="dxa"/>
            </w:tcMar>
            <w:vAlign w:val="center"/>
          </w:tcPr>
          <w:p w14:paraId="74A9F114" w14:textId="77777777" w:rsidR="00D47B10" w:rsidRPr="00C62CB7" w:rsidRDefault="00D47B10" w:rsidP="00D47B10">
            <w:pPr>
              <w:spacing w:line="240" w:lineRule="auto"/>
              <w:jc w:val="center"/>
              <w:rPr>
                <w:rFonts w:eastAsia="Calibri"/>
                <w:sz w:val="20"/>
                <w:szCs w:val="20"/>
              </w:rPr>
            </w:pPr>
            <w:r w:rsidRPr="00C62CB7">
              <w:rPr>
                <w:rFonts w:eastAsia="Calibri"/>
                <w:sz w:val="20"/>
                <w:szCs w:val="20"/>
              </w:rPr>
              <w:t>35.0</w:t>
            </w:r>
          </w:p>
        </w:tc>
      </w:tr>
      <w:tr w:rsidR="00C62CB7" w:rsidRPr="00C62CB7" w14:paraId="25171ABB" w14:textId="77777777" w:rsidTr="001B69D9">
        <w:trPr>
          <w:trHeight w:val="288"/>
          <w:jc w:val="center"/>
        </w:trPr>
        <w:tc>
          <w:tcPr>
            <w:tcW w:w="1349" w:type="dxa"/>
            <w:vMerge w:val="restart"/>
            <w:tcBorders>
              <w:top w:val="double" w:sz="4" w:space="0" w:color="auto"/>
              <w:left w:val="double" w:sz="4" w:space="0" w:color="auto"/>
            </w:tcBorders>
            <w:tcMar>
              <w:left w:w="58" w:type="dxa"/>
              <w:right w:w="58" w:type="dxa"/>
            </w:tcMar>
            <w:vAlign w:val="center"/>
          </w:tcPr>
          <w:p w14:paraId="2E77311A" w14:textId="77777777" w:rsidR="00D47B10" w:rsidRPr="00C62CB7" w:rsidRDefault="00D47B10" w:rsidP="00D47B10">
            <w:pPr>
              <w:spacing w:line="240" w:lineRule="auto"/>
              <w:jc w:val="center"/>
              <w:rPr>
                <w:rFonts w:eastAsia="Calibri"/>
                <w:b/>
                <w:sz w:val="20"/>
                <w:szCs w:val="20"/>
              </w:rPr>
            </w:pPr>
            <w:proofErr w:type="spellStart"/>
            <w:r w:rsidRPr="00C62CB7">
              <w:rPr>
                <w:rFonts w:eastAsia="Calibri"/>
                <w:b/>
                <w:sz w:val="20"/>
                <w:szCs w:val="20"/>
              </w:rPr>
              <w:t>Storey</w:t>
            </w:r>
            <w:proofErr w:type="spellEnd"/>
            <w:r w:rsidRPr="00C62CB7">
              <w:rPr>
                <w:rFonts w:eastAsia="Calibri"/>
                <w:b/>
                <w:sz w:val="20"/>
                <w:szCs w:val="20"/>
              </w:rPr>
              <w:t xml:space="preserve"> type</w:t>
            </w:r>
          </w:p>
        </w:tc>
        <w:tc>
          <w:tcPr>
            <w:tcW w:w="7603" w:type="dxa"/>
            <w:gridSpan w:val="6"/>
            <w:tcBorders>
              <w:top w:val="double" w:sz="4" w:space="0" w:color="auto"/>
              <w:bottom w:val="nil"/>
            </w:tcBorders>
            <w:tcMar>
              <w:left w:w="58" w:type="dxa"/>
              <w:right w:w="58" w:type="dxa"/>
            </w:tcMar>
            <w:vAlign w:val="center"/>
          </w:tcPr>
          <w:p w14:paraId="2DA37D86"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Single-</w:t>
            </w:r>
            <w:proofErr w:type="spellStart"/>
            <w:r w:rsidRPr="00C62CB7">
              <w:rPr>
                <w:rFonts w:eastAsia="Calibri"/>
                <w:b/>
                <w:sz w:val="20"/>
                <w:szCs w:val="20"/>
              </w:rPr>
              <w:t>storey</w:t>
            </w:r>
            <w:proofErr w:type="spellEnd"/>
          </w:p>
        </w:tc>
        <w:tc>
          <w:tcPr>
            <w:tcW w:w="4912" w:type="dxa"/>
            <w:gridSpan w:val="5"/>
            <w:tcBorders>
              <w:top w:val="double" w:sz="4" w:space="0" w:color="auto"/>
              <w:bottom w:val="nil"/>
              <w:right w:val="double" w:sz="4" w:space="0" w:color="auto"/>
            </w:tcBorders>
            <w:tcMar>
              <w:left w:w="58" w:type="dxa"/>
              <w:right w:w="58" w:type="dxa"/>
            </w:tcMar>
            <w:vAlign w:val="center"/>
          </w:tcPr>
          <w:p w14:paraId="741357AA" w14:textId="77777777" w:rsidR="00D47B10" w:rsidRPr="00C62CB7" w:rsidRDefault="00D47B10" w:rsidP="00D47B10">
            <w:pPr>
              <w:spacing w:line="240" w:lineRule="auto"/>
              <w:jc w:val="center"/>
              <w:rPr>
                <w:rFonts w:eastAsia="Calibri"/>
                <w:b/>
                <w:sz w:val="20"/>
                <w:szCs w:val="20"/>
              </w:rPr>
            </w:pPr>
            <w:r w:rsidRPr="00C62CB7">
              <w:rPr>
                <w:rFonts w:eastAsia="Calibri"/>
                <w:b/>
                <w:sz w:val="20"/>
                <w:szCs w:val="20"/>
              </w:rPr>
              <w:t>Multi-</w:t>
            </w:r>
            <w:proofErr w:type="spellStart"/>
            <w:r w:rsidRPr="00C62CB7">
              <w:rPr>
                <w:rFonts w:eastAsia="Calibri"/>
                <w:b/>
                <w:sz w:val="20"/>
                <w:szCs w:val="20"/>
              </w:rPr>
              <w:t>storey</w:t>
            </w:r>
            <w:proofErr w:type="spellEnd"/>
          </w:p>
        </w:tc>
      </w:tr>
      <w:tr w:rsidR="00C62CB7" w:rsidRPr="00C62CB7" w14:paraId="59BC43F3" w14:textId="77777777" w:rsidTr="001B69D9">
        <w:trPr>
          <w:trHeight w:val="288"/>
          <w:jc w:val="center"/>
        </w:trPr>
        <w:tc>
          <w:tcPr>
            <w:tcW w:w="1349" w:type="dxa"/>
            <w:vMerge/>
            <w:tcBorders>
              <w:left w:val="double" w:sz="4" w:space="0" w:color="auto"/>
              <w:bottom w:val="double" w:sz="4" w:space="0" w:color="auto"/>
            </w:tcBorders>
            <w:tcMar>
              <w:left w:w="58" w:type="dxa"/>
              <w:right w:w="58" w:type="dxa"/>
            </w:tcMar>
          </w:tcPr>
          <w:p w14:paraId="02694916" w14:textId="77777777" w:rsidR="00D47B10" w:rsidRPr="00C62CB7" w:rsidRDefault="00D47B10" w:rsidP="00D47B10">
            <w:pPr>
              <w:spacing w:line="240" w:lineRule="auto"/>
              <w:rPr>
                <w:rFonts w:eastAsia="Calibri"/>
                <w:sz w:val="20"/>
                <w:szCs w:val="20"/>
              </w:rPr>
            </w:pPr>
          </w:p>
        </w:tc>
        <w:tc>
          <w:tcPr>
            <w:tcW w:w="7603" w:type="dxa"/>
            <w:gridSpan w:val="6"/>
            <w:tcBorders>
              <w:top w:val="nil"/>
              <w:bottom w:val="double" w:sz="4" w:space="0" w:color="auto"/>
            </w:tcBorders>
            <w:tcMar>
              <w:left w:w="58" w:type="dxa"/>
              <w:right w:w="58" w:type="dxa"/>
            </w:tcMar>
            <w:vAlign w:val="center"/>
          </w:tcPr>
          <w:p w14:paraId="1C25799B" w14:textId="465409A6" w:rsidR="00D47B10" w:rsidRPr="00C62CB7" w:rsidRDefault="00927CA5" w:rsidP="00D47B10">
            <w:pPr>
              <w:spacing w:line="240" w:lineRule="auto"/>
              <w:jc w:val="center"/>
              <w:rPr>
                <w:rFonts w:eastAsia="Calibri"/>
                <w:sz w:val="20"/>
                <w:szCs w:val="20"/>
              </w:rPr>
            </w:pPr>
            <w:r w:rsidRPr="00C62CB7">
              <w:rPr>
                <w:rFonts w:eastAsia="Calibri"/>
                <w:sz w:val="20"/>
                <w:szCs w:val="20"/>
              </w:rPr>
              <w:t>48</w:t>
            </w:r>
            <w:r w:rsidR="00D47B10" w:rsidRPr="00C62CB7">
              <w:rPr>
                <w:rFonts w:eastAsia="Calibri"/>
                <w:sz w:val="20"/>
                <w:szCs w:val="20"/>
              </w:rPr>
              <w:t>.0</w:t>
            </w:r>
          </w:p>
        </w:tc>
        <w:tc>
          <w:tcPr>
            <w:tcW w:w="4912" w:type="dxa"/>
            <w:gridSpan w:val="5"/>
            <w:tcBorders>
              <w:top w:val="nil"/>
              <w:bottom w:val="double" w:sz="4" w:space="0" w:color="auto"/>
              <w:right w:val="double" w:sz="4" w:space="0" w:color="auto"/>
            </w:tcBorders>
            <w:tcMar>
              <w:left w:w="58" w:type="dxa"/>
              <w:right w:w="58" w:type="dxa"/>
            </w:tcMar>
            <w:vAlign w:val="center"/>
          </w:tcPr>
          <w:p w14:paraId="64B6F405" w14:textId="3CBF652B" w:rsidR="00D47B10" w:rsidRPr="00C62CB7" w:rsidRDefault="00927CA5" w:rsidP="00D47B10">
            <w:pPr>
              <w:spacing w:line="240" w:lineRule="auto"/>
              <w:jc w:val="center"/>
              <w:rPr>
                <w:rFonts w:eastAsia="Calibri"/>
                <w:sz w:val="20"/>
                <w:szCs w:val="20"/>
              </w:rPr>
            </w:pPr>
            <w:r w:rsidRPr="00C62CB7">
              <w:rPr>
                <w:rFonts w:eastAsia="Calibri"/>
                <w:sz w:val="20"/>
                <w:szCs w:val="20"/>
              </w:rPr>
              <w:t>52</w:t>
            </w:r>
            <w:r w:rsidR="00D47B10" w:rsidRPr="00C62CB7">
              <w:rPr>
                <w:rFonts w:eastAsia="Calibri"/>
                <w:sz w:val="20"/>
                <w:szCs w:val="20"/>
              </w:rPr>
              <w:t>.0</w:t>
            </w:r>
          </w:p>
        </w:tc>
      </w:tr>
    </w:tbl>
    <w:p w14:paraId="7C1C65AF" w14:textId="05515BBA" w:rsidR="00D47B10" w:rsidRPr="00C62CB7" w:rsidRDefault="003C1E3E" w:rsidP="003C1E3E">
      <w:pPr>
        <w:rPr>
          <w:b/>
          <w:noProof/>
          <w:sz w:val="20"/>
          <w:szCs w:val="20"/>
        </w:rPr>
      </w:pPr>
      <w:r w:rsidRPr="001B69D9">
        <w:rPr>
          <w:noProof/>
          <w:sz w:val="20"/>
          <w:szCs w:val="20"/>
        </w:rPr>
        <w:t>*MSA:</w:t>
      </w:r>
      <w:r w:rsidRPr="00C62CB7">
        <w:rPr>
          <w:b/>
          <w:noProof/>
          <w:sz w:val="20"/>
          <w:szCs w:val="20"/>
        </w:rPr>
        <w:t xml:space="preserve"> </w:t>
      </w:r>
      <w:r w:rsidRPr="00C62CB7">
        <w:rPr>
          <w:sz w:val="20"/>
          <w:szCs w:val="20"/>
        </w:rPr>
        <w:t>Metropolitan Statistical Area</w:t>
      </w:r>
    </w:p>
    <w:p w14:paraId="5F49ED5C" w14:textId="77777777" w:rsidR="00194720" w:rsidRPr="002F5F8A" w:rsidRDefault="00194720" w:rsidP="00D740EB">
      <w:pPr>
        <w:jc w:val="center"/>
        <w:rPr>
          <w:b/>
          <w:noProof/>
        </w:rPr>
        <w:sectPr w:rsidR="00194720" w:rsidRPr="002F5F8A" w:rsidSect="00194720">
          <w:pgSz w:w="15840" w:h="12240" w:orient="landscape"/>
          <w:pgMar w:top="1440" w:right="1440" w:bottom="1440" w:left="1440" w:header="720" w:footer="720" w:gutter="0"/>
          <w:cols w:space="720"/>
          <w:docGrid w:linePitch="360"/>
        </w:sectPr>
      </w:pPr>
    </w:p>
    <w:p w14:paraId="0D512AF6" w14:textId="77777777" w:rsidR="00596496" w:rsidRDefault="00596496" w:rsidP="00D740EB">
      <w:pPr>
        <w:jc w:val="center"/>
        <w:rPr>
          <w:b/>
        </w:rPr>
      </w:pPr>
    </w:p>
    <w:p w14:paraId="7DE9DAEF" w14:textId="77777777" w:rsidR="00596496" w:rsidRDefault="00596496" w:rsidP="00D740EB">
      <w:pPr>
        <w:jc w:val="center"/>
        <w:rPr>
          <w:b/>
        </w:rPr>
      </w:pPr>
    </w:p>
    <w:p w14:paraId="68A2E232" w14:textId="7CB41E08" w:rsidR="00D740EB" w:rsidRDefault="00E14270" w:rsidP="00D740EB">
      <w:pPr>
        <w:jc w:val="center"/>
        <w:rPr>
          <w:b/>
        </w:rPr>
      </w:pPr>
      <w:proofErr w:type="gramStart"/>
      <w:r>
        <w:rPr>
          <w:b/>
        </w:rPr>
        <w:t>Table 2.</w:t>
      </w:r>
      <w:proofErr w:type="gramEnd"/>
      <w:r w:rsidR="00D740EB" w:rsidRPr="00417C1C">
        <w:rPr>
          <w:b/>
        </w:rPr>
        <w:t xml:space="preserve"> </w:t>
      </w:r>
      <w:r w:rsidR="00D740EB">
        <w:rPr>
          <w:b/>
        </w:rPr>
        <w:t xml:space="preserve">Estimation Results of </w:t>
      </w:r>
      <w:r w:rsidR="00D740EB" w:rsidRPr="00417C1C">
        <w:rPr>
          <w:b/>
        </w:rPr>
        <w:t xml:space="preserve">Structural Equation </w:t>
      </w:r>
    </w:p>
    <w:tbl>
      <w:tblPr>
        <w:tblStyle w:val="TableGrid7"/>
        <w:tblW w:w="8987" w:type="dxa"/>
        <w:jc w:val="center"/>
        <w:tblLook w:val="04A0" w:firstRow="1" w:lastRow="0" w:firstColumn="1" w:lastColumn="0" w:noHBand="0" w:noVBand="1"/>
      </w:tblPr>
      <w:tblGrid>
        <w:gridCol w:w="6768"/>
        <w:gridCol w:w="1149"/>
        <w:gridCol w:w="1070"/>
      </w:tblGrid>
      <w:tr w:rsidR="00F31DD9" w:rsidRPr="00C62CB7" w14:paraId="11FD3DC8" w14:textId="77777777" w:rsidTr="00596496">
        <w:trPr>
          <w:trHeight w:val="360"/>
          <w:jc w:val="center"/>
        </w:trPr>
        <w:tc>
          <w:tcPr>
            <w:tcW w:w="6768" w:type="dxa"/>
            <w:tcBorders>
              <w:top w:val="double" w:sz="4" w:space="0" w:color="auto"/>
              <w:left w:val="double" w:sz="4" w:space="0" w:color="auto"/>
              <w:bottom w:val="double" w:sz="4" w:space="0" w:color="auto"/>
              <w:right w:val="double" w:sz="4" w:space="0" w:color="auto"/>
            </w:tcBorders>
            <w:vAlign w:val="center"/>
          </w:tcPr>
          <w:p w14:paraId="78A84AB4" w14:textId="77777777" w:rsidR="00F31DD9" w:rsidRPr="00C62CB7" w:rsidRDefault="00F31DD9" w:rsidP="00596496">
            <w:pPr>
              <w:spacing w:line="240" w:lineRule="auto"/>
              <w:jc w:val="center"/>
              <w:rPr>
                <w:rFonts w:eastAsia="Calibri"/>
                <w:b/>
                <w:sz w:val="20"/>
                <w:szCs w:val="20"/>
              </w:rPr>
            </w:pPr>
            <w:r w:rsidRPr="00C62CB7">
              <w:rPr>
                <w:rFonts w:eastAsia="Calibri"/>
                <w:b/>
                <w:sz w:val="20"/>
                <w:szCs w:val="20"/>
              </w:rPr>
              <w:t>Variables</w:t>
            </w:r>
          </w:p>
        </w:tc>
        <w:tc>
          <w:tcPr>
            <w:tcW w:w="0" w:type="auto"/>
            <w:tcBorders>
              <w:top w:val="double" w:sz="4" w:space="0" w:color="auto"/>
              <w:left w:val="double" w:sz="4" w:space="0" w:color="auto"/>
              <w:bottom w:val="double" w:sz="4" w:space="0" w:color="auto"/>
              <w:right w:val="double" w:sz="4" w:space="0" w:color="auto"/>
            </w:tcBorders>
            <w:vAlign w:val="center"/>
          </w:tcPr>
          <w:p w14:paraId="6B46C69C" w14:textId="77777777" w:rsidR="00F31DD9" w:rsidRPr="00C62CB7" w:rsidRDefault="00F31DD9" w:rsidP="00596496">
            <w:pPr>
              <w:spacing w:line="240" w:lineRule="auto"/>
              <w:jc w:val="center"/>
              <w:rPr>
                <w:rFonts w:eastAsia="Calibri"/>
                <w:b/>
                <w:sz w:val="20"/>
                <w:szCs w:val="20"/>
              </w:rPr>
            </w:pPr>
            <w:r w:rsidRPr="00C62CB7">
              <w:rPr>
                <w:rFonts w:eastAsia="Calibri"/>
                <w:b/>
                <w:sz w:val="20"/>
                <w:szCs w:val="20"/>
              </w:rPr>
              <w:t>Coefficient</w:t>
            </w:r>
          </w:p>
        </w:tc>
        <w:tc>
          <w:tcPr>
            <w:tcW w:w="1070" w:type="dxa"/>
            <w:tcBorders>
              <w:top w:val="double" w:sz="4" w:space="0" w:color="auto"/>
              <w:left w:val="double" w:sz="4" w:space="0" w:color="auto"/>
              <w:right w:val="double" w:sz="4" w:space="0" w:color="auto"/>
            </w:tcBorders>
            <w:vAlign w:val="center"/>
          </w:tcPr>
          <w:p w14:paraId="153E4C2E" w14:textId="77777777" w:rsidR="00F31DD9" w:rsidRPr="00C62CB7" w:rsidRDefault="00F31DD9" w:rsidP="00596496">
            <w:pPr>
              <w:spacing w:line="240" w:lineRule="auto"/>
              <w:jc w:val="center"/>
              <w:rPr>
                <w:rFonts w:eastAsia="Calibri"/>
                <w:b/>
                <w:sz w:val="20"/>
                <w:szCs w:val="20"/>
              </w:rPr>
            </w:pPr>
            <w:r w:rsidRPr="00C62CB7">
              <w:rPr>
                <w:rFonts w:eastAsia="Calibri"/>
                <w:b/>
                <w:sz w:val="20"/>
                <w:szCs w:val="20"/>
              </w:rPr>
              <w:t>T-stat</w:t>
            </w:r>
          </w:p>
        </w:tc>
      </w:tr>
      <w:tr w:rsidR="00F31DD9" w:rsidRPr="00C62CB7" w14:paraId="682EE890" w14:textId="77777777" w:rsidTr="00596496">
        <w:trPr>
          <w:trHeight w:val="360"/>
          <w:jc w:val="center"/>
        </w:trPr>
        <w:tc>
          <w:tcPr>
            <w:tcW w:w="8987" w:type="dxa"/>
            <w:gridSpan w:val="3"/>
            <w:tcBorders>
              <w:top w:val="double" w:sz="4" w:space="0" w:color="auto"/>
              <w:left w:val="double" w:sz="4" w:space="0" w:color="auto"/>
              <w:bottom w:val="double" w:sz="4" w:space="0" w:color="auto"/>
              <w:right w:val="double" w:sz="4" w:space="0" w:color="auto"/>
            </w:tcBorders>
            <w:vAlign w:val="center"/>
          </w:tcPr>
          <w:p w14:paraId="3B37D68E" w14:textId="77777777" w:rsidR="00F31DD9" w:rsidRPr="00C62CB7" w:rsidRDefault="00F31DD9" w:rsidP="00596496">
            <w:pPr>
              <w:spacing w:line="240" w:lineRule="auto"/>
              <w:rPr>
                <w:rFonts w:eastAsia="Calibri"/>
                <w:b/>
                <w:sz w:val="20"/>
                <w:szCs w:val="20"/>
              </w:rPr>
            </w:pPr>
            <w:r w:rsidRPr="00C62CB7">
              <w:rPr>
                <w:rFonts w:eastAsia="Calibri"/>
                <w:b/>
                <w:sz w:val="20"/>
                <w:szCs w:val="20"/>
              </w:rPr>
              <w:t>Green Lifestyle Propensity</w:t>
            </w:r>
          </w:p>
        </w:tc>
      </w:tr>
      <w:tr w:rsidR="00F31DD9" w:rsidRPr="00C62CB7" w14:paraId="0F4434B5" w14:textId="77777777" w:rsidTr="00596496">
        <w:trPr>
          <w:trHeight w:val="360"/>
          <w:jc w:val="center"/>
        </w:trPr>
        <w:tc>
          <w:tcPr>
            <w:tcW w:w="6768" w:type="dxa"/>
            <w:tcBorders>
              <w:top w:val="double" w:sz="4" w:space="0" w:color="auto"/>
              <w:left w:val="double" w:sz="4" w:space="0" w:color="auto"/>
              <w:bottom w:val="nil"/>
              <w:right w:val="double" w:sz="4" w:space="0" w:color="auto"/>
            </w:tcBorders>
            <w:vAlign w:val="center"/>
          </w:tcPr>
          <w:p w14:paraId="6A9CDA7D" w14:textId="1CB94F7F" w:rsidR="00F31DD9" w:rsidRPr="00C62CB7" w:rsidRDefault="00F31DD9" w:rsidP="00596496">
            <w:pPr>
              <w:spacing w:line="240" w:lineRule="auto"/>
              <w:rPr>
                <w:rFonts w:eastAsia="Calibri"/>
                <w:i/>
                <w:sz w:val="20"/>
                <w:szCs w:val="20"/>
              </w:rPr>
            </w:pPr>
            <w:r w:rsidRPr="00C62CB7">
              <w:rPr>
                <w:rFonts w:eastAsia="Calibri"/>
                <w:i/>
                <w:sz w:val="20"/>
                <w:szCs w:val="20"/>
              </w:rPr>
              <w:t xml:space="preserve">Education status (base: fraction of adults with </w:t>
            </w:r>
            <w:r w:rsidR="00254B26" w:rsidRPr="00C62CB7">
              <w:rPr>
                <w:rFonts w:eastAsia="Calibri"/>
                <w:i/>
                <w:sz w:val="20"/>
                <w:szCs w:val="20"/>
              </w:rPr>
              <w:t>less than a bachelor’s degree</w:t>
            </w:r>
            <w:r w:rsidRPr="00C62CB7">
              <w:rPr>
                <w:rFonts w:eastAsia="Calibri"/>
                <w:i/>
                <w:sz w:val="20"/>
                <w:szCs w:val="20"/>
              </w:rPr>
              <w:t xml:space="preserve">) </w:t>
            </w:r>
          </w:p>
        </w:tc>
        <w:tc>
          <w:tcPr>
            <w:tcW w:w="0" w:type="auto"/>
            <w:tcBorders>
              <w:left w:val="double" w:sz="4" w:space="0" w:color="auto"/>
              <w:bottom w:val="nil"/>
              <w:right w:val="double" w:sz="4" w:space="0" w:color="auto"/>
            </w:tcBorders>
            <w:vAlign w:val="center"/>
          </w:tcPr>
          <w:p w14:paraId="1E76E91E" w14:textId="77777777" w:rsidR="00F31DD9" w:rsidRPr="00C62CB7" w:rsidRDefault="00F31DD9" w:rsidP="00596496">
            <w:pPr>
              <w:spacing w:line="240" w:lineRule="auto"/>
              <w:jc w:val="center"/>
              <w:rPr>
                <w:rFonts w:eastAsia="Calibri"/>
                <w:sz w:val="20"/>
                <w:szCs w:val="20"/>
              </w:rPr>
            </w:pPr>
          </w:p>
        </w:tc>
        <w:tc>
          <w:tcPr>
            <w:tcW w:w="1070" w:type="dxa"/>
            <w:tcBorders>
              <w:left w:val="double" w:sz="4" w:space="0" w:color="auto"/>
              <w:bottom w:val="nil"/>
              <w:right w:val="double" w:sz="4" w:space="0" w:color="auto"/>
            </w:tcBorders>
            <w:vAlign w:val="center"/>
          </w:tcPr>
          <w:p w14:paraId="52D9F977" w14:textId="77777777" w:rsidR="00F31DD9" w:rsidRPr="00C62CB7" w:rsidRDefault="00F31DD9" w:rsidP="00596496">
            <w:pPr>
              <w:spacing w:line="240" w:lineRule="auto"/>
              <w:jc w:val="center"/>
              <w:rPr>
                <w:rFonts w:eastAsia="Calibri"/>
                <w:sz w:val="20"/>
                <w:szCs w:val="20"/>
              </w:rPr>
            </w:pPr>
          </w:p>
        </w:tc>
      </w:tr>
      <w:tr w:rsidR="00F31DD9" w:rsidRPr="00C62CB7" w14:paraId="7C33C34F" w14:textId="77777777" w:rsidTr="00596496">
        <w:trPr>
          <w:trHeight w:val="360"/>
          <w:jc w:val="center"/>
        </w:trPr>
        <w:tc>
          <w:tcPr>
            <w:tcW w:w="6768" w:type="dxa"/>
            <w:tcBorders>
              <w:top w:val="nil"/>
              <w:left w:val="double" w:sz="4" w:space="0" w:color="auto"/>
              <w:bottom w:val="nil"/>
              <w:right w:val="double" w:sz="4" w:space="0" w:color="auto"/>
            </w:tcBorders>
            <w:vAlign w:val="center"/>
          </w:tcPr>
          <w:p w14:paraId="46A6BB80" w14:textId="77777777" w:rsidR="00F31DD9" w:rsidRPr="00C62CB7" w:rsidRDefault="00F31DD9" w:rsidP="00596496">
            <w:pPr>
              <w:spacing w:line="240" w:lineRule="auto"/>
              <w:rPr>
                <w:rFonts w:eastAsia="Calibri"/>
                <w:sz w:val="20"/>
                <w:szCs w:val="20"/>
              </w:rPr>
            </w:pPr>
            <w:r w:rsidRPr="00C62CB7">
              <w:rPr>
                <w:rFonts w:eastAsia="Calibri"/>
                <w:sz w:val="20"/>
                <w:szCs w:val="20"/>
              </w:rPr>
              <w:t xml:space="preserve">   Fraction of adults with bachelor’s or master’s degree in the household</w:t>
            </w:r>
          </w:p>
        </w:tc>
        <w:tc>
          <w:tcPr>
            <w:tcW w:w="0" w:type="auto"/>
            <w:tcBorders>
              <w:top w:val="nil"/>
              <w:left w:val="double" w:sz="4" w:space="0" w:color="auto"/>
              <w:bottom w:val="nil"/>
              <w:right w:val="double" w:sz="4" w:space="0" w:color="auto"/>
            </w:tcBorders>
            <w:vAlign w:val="center"/>
          </w:tcPr>
          <w:p w14:paraId="0573FCBD"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0.755</w:t>
            </w:r>
          </w:p>
        </w:tc>
        <w:tc>
          <w:tcPr>
            <w:tcW w:w="1070" w:type="dxa"/>
            <w:tcBorders>
              <w:top w:val="nil"/>
              <w:left w:val="double" w:sz="4" w:space="0" w:color="auto"/>
              <w:bottom w:val="nil"/>
              <w:right w:val="double" w:sz="4" w:space="0" w:color="auto"/>
            </w:tcBorders>
            <w:vAlign w:val="center"/>
          </w:tcPr>
          <w:p w14:paraId="4DB38CF7"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18.593</w:t>
            </w:r>
          </w:p>
        </w:tc>
      </w:tr>
      <w:tr w:rsidR="00F31DD9" w:rsidRPr="00C62CB7" w14:paraId="5F25EADC" w14:textId="77777777" w:rsidTr="00596496">
        <w:trPr>
          <w:trHeight w:val="360"/>
          <w:jc w:val="center"/>
        </w:trPr>
        <w:tc>
          <w:tcPr>
            <w:tcW w:w="6768" w:type="dxa"/>
            <w:tcBorders>
              <w:top w:val="nil"/>
              <w:left w:val="double" w:sz="4" w:space="0" w:color="auto"/>
              <w:bottom w:val="single" w:sz="4" w:space="0" w:color="auto"/>
              <w:right w:val="double" w:sz="4" w:space="0" w:color="auto"/>
            </w:tcBorders>
            <w:vAlign w:val="center"/>
          </w:tcPr>
          <w:p w14:paraId="68D896E5" w14:textId="77777777" w:rsidR="00F31DD9" w:rsidRPr="00C62CB7" w:rsidRDefault="00F31DD9" w:rsidP="00596496">
            <w:pPr>
              <w:spacing w:line="240" w:lineRule="auto"/>
              <w:rPr>
                <w:rFonts w:eastAsia="Calibri"/>
                <w:sz w:val="20"/>
                <w:szCs w:val="20"/>
              </w:rPr>
            </w:pPr>
            <w:r w:rsidRPr="00C62CB7">
              <w:rPr>
                <w:rFonts w:eastAsia="Calibri"/>
                <w:sz w:val="20"/>
                <w:szCs w:val="20"/>
              </w:rPr>
              <w:t xml:space="preserve">   Fraction of adults with PhD degree in the household</w:t>
            </w:r>
          </w:p>
        </w:tc>
        <w:tc>
          <w:tcPr>
            <w:tcW w:w="0" w:type="auto"/>
            <w:tcBorders>
              <w:top w:val="nil"/>
              <w:left w:val="double" w:sz="4" w:space="0" w:color="auto"/>
              <w:bottom w:val="single" w:sz="4" w:space="0" w:color="auto"/>
              <w:right w:val="double" w:sz="4" w:space="0" w:color="auto"/>
            </w:tcBorders>
            <w:vAlign w:val="center"/>
          </w:tcPr>
          <w:p w14:paraId="5821D04B"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1.629</w:t>
            </w:r>
          </w:p>
        </w:tc>
        <w:tc>
          <w:tcPr>
            <w:tcW w:w="1070" w:type="dxa"/>
            <w:tcBorders>
              <w:top w:val="nil"/>
              <w:left w:val="double" w:sz="4" w:space="0" w:color="auto"/>
              <w:bottom w:val="single" w:sz="4" w:space="0" w:color="auto"/>
              <w:right w:val="double" w:sz="4" w:space="0" w:color="auto"/>
            </w:tcBorders>
            <w:vAlign w:val="center"/>
          </w:tcPr>
          <w:p w14:paraId="2440A5D0"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16.706</w:t>
            </w:r>
          </w:p>
        </w:tc>
      </w:tr>
      <w:tr w:rsidR="00F31DD9" w:rsidRPr="00C62CB7" w14:paraId="40145AF6" w14:textId="77777777" w:rsidTr="00596496">
        <w:trPr>
          <w:trHeight w:val="360"/>
          <w:jc w:val="center"/>
        </w:trPr>
        <w:tc>
          <w:tcPr>
            <w:tcW w:w="6768" w:type="dxa"/>
            <w:tcBorders>
              <w:left w:val="double" w:sz="4" w:space="0" w:color="auto"/>
              <w:bottom w:val="nil"/>
              <w:right w:val="double" w:sz="4" w:space="0" w:color="auto"/>
            </w:tcBorders>
            <w:vAlign w:val="center"/>
          </w:tcPr>
          <w:p w14:paraId="4CAFF301" w14:textId="77777777" w:rsidR="00F31DD9" w:rsidRPr="00C62CB7" w:rsidRDefault="00F31DD9" w:rsidP="00596496">
            <w:pPr>
              <w:spacing w:line="240" w:lineRule="auto"/>
              <w:rPr>
                <w:rFonts w:eastAsia="Calibri"/>
                <w:i/>
                <w:sz w:val="20"/>
                <w:szCs w:val="20"/>
              </w:rPr>
            </w:pPr>
            <w:r w:rsidRPr="00C62CB7">
              <w:rPr>
                <w:rFonts w:eastAsia="Calibri"/>
                <w:i/>
                <w:sz w:val="20"/>
                <w:szCs w:val="20"/>
              </w:rPr>
              <w:t xml:space="preserve">Race </w:t>
            </w:r>
            <w:r w:rsidRPr="00C62CB7">
              <w:rPr>
                <w:rFonts w:eastAsia="Calibri"/>
                <w:sz w:val="20"/>
                <w:szCs w:val="20"/>
              </w:rPr>
              <w:t>(</w:t>
            </w:r>
            <w:r w:rsidRPr="00C62CB7">
              <w:rPr>
                <w:rFonts w:eastAsia="Calibri"/>
                <w:i/>
                <w:sz w:val="20"/>
                <w:szCs w:val="20"/>
              </w:rPr>
              <w:t xml:space="preserve">base: Caucasian or Asian </w:t>
            </w:r>
            <w:r w:rsidRPr="00C62CB7">
              <w:rPr>
                <w:rFonts w:eastAsia="Calibri"/>
                <w:sz w:val="20"/>
                <w:szCs w:val="20"/>
              </w:rPr>
              <w:t>)</w:t>
            </w:r>
          </w:p>
        </w:tc>
        <w:tc>
          <w:tcPr>
            <w:tcW w:w="0" w:type="auto"/>
            <w:tcBorders>
              <w:left w:val="double" w:sz="4" w:space="0" w:color="auto"/>
              <w:bottom w:val="nil"/>
              <w:right w:val="double" w:sz="4" w:space="0" w:color="auto"/>
            </w:tcBorders>
            <w:vAlign w:val="center"/>
          </w:tcPr>
          <w:p w14:paraId="150A5B96" w14:textId="77777777" w:rsidR="00F31DD9" w:rsidRPr="00C62CB7" w:rsidRDefault="00F31DD9" w:rsidP="00596496">
            <w:pPr>
              <w:spacing w:line="240" w:lineRule="auto"/>
              <w:jc w:val="center"/>
              <w:rPr>
                <w:rFonts w:eastAsia="Calibri"/>
                <w:sz w:val="20"/>
                <w:szCs w:val="20"/>
              </w:rPr>
            </w:pPr>
          </w:p>
        </w:tc>
        <w:tc>
          <w:tcPr>
            <w:tcW w:w="1070" w:type="dxa"/>
            <w:tcBorders>
              <w:left w:val="double" w:sz="4" w:space="0" w:color="auto"/>
              <w:bottom w:val="nil"/>
              <w:right w:val="double" w:sz="4" w:space="0" w:color="auto"/>
            </w:tcBorders>
            <w:vAlign w:val="center"/>
          </w:tcPr>
          <w:p w14:paraId="49684463" w14:textId="77777777" w:rsidR="00F31DD9" w:rsidRPr="00C62CB7" w:rsidRDefault="00F31DD9" w:rsidP="00596496">
            <w:pPr>
              <w:spacing w:line="240" w:lineRule="auto"/>
              <w:jc w:val="center"/>
              <w:rPr>
                <w:rFonts w:eastAsia="Calibri"/>
                <w:sz w:val="20"/>
                <w:szCs w:val="20"/>
              </w:rPr>
            </w:pPr>
          </w:p>
        </w:tc>
      </w:tr>
      <w:tr w:rsidR="00F31DD9" w:rsidRPr="00C62CB7" w14:paraId="47BE6656" w14:textId="77777777" w:rsidTr="00596496">
        <w:trPr>
          <w:trHeight w:val="360"/>
          <w:jc w:val="center"/>
        </w:trPr>
        <w:tc>
          <w:tcPr>
            <w:tcW w:w="6768" w:type="dxa"/>
            <w:tcBorders>
              <w:top w:val="nil"/>
              <w:left w:val="double" w:sz="4" w:space="0" w:color="auto"/>
              <w:bottom w:val="single" w:sz="4" w:space="0" w:color="auto"/>
              <w:right w:val="double" w:sz="4" w:space="0" w:color="auto"/>
            </w:tcBorders>
            <w:vAlign w:val="center"/>
          </w:tcPr>
          <w:p w14:paraId="67F276C4" w14:textId="77777777" w:rsidR="00F31DD9" w:rsidRPr="00C62CB7" w:rsidRDefault="00F31DD9" w:rsidP="00596496">
            <w:pPr>
              <w:tabs>
                <w:tab w:val="left" w:pos="357"/>
                <w:tab w:val="left" w:pos="732"/>
              </w:tabs>
              <w:spacing w:line="240" w:lineRule="auto"/>
              <w:rPr>
                <w:rFonts w:eastAsia="Calibri"/>
                <w:sz w:val="20"/>
                <w:szCs w:val="20"/>
              </w:rPr>
            </w:pPr>
            <w:r w:rsidRPr="00C62CB7">
              <w:rPr>
                <w:rFonts w:eastAsia="Calibri"/>
                <w:sz w:val="20"/>
                <w:szCs w:val="20"/>
              </w:rPr>
              <w:t xml:space="preserve">   African-American or other</w:t>
            </w:r>
          </w:p>
        </w:tc>
        <w:tc>
          <w:tcPr>
            <w:tcW w:w="0" w:type="auto"/>
            <w:tcBorders>
              <w:top w:val="nil"/>
              <w:left w:val="double" w:sz="4" w:space="0" w:color="auto"/>
              <w:bottom w:val="single" w:sz="4" w:space="0" w:color="auto"/>
              <w:right w:val="double" w:sz="4" w:space="0" w:color="auto"/>
            </w:tcBorders>
            <w:vAlign w:val="center"/>
          </w:tcPr>
          <w:p w14:paraId="5BC33084"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0.167</w:t>
            </w:r>
          </w:p>
        </w:tc>
        <w:tc>
          <w:tcPr>
            <w:tcW w:w="1070" w:type="dxa"/>
            <w:tcBorders>
              <w:top w:val="nil"/>
              <w:left w:val="double" w:sz="4" w:space="0" w:color="auto"/>
              <w:bottom w:val="single" w:sz="4" w:space="0" w:color="auto"/>
              <w:right w:val="double" w:sz="4" w:space="0" w:color="auto"/>
            </w:tcBorders>
            <w:vAlign w:val="center"/>
          </w:tcPr>
          <w:p w14:paraId="6A2926B2"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5.156</w:t>
            </w:r>
          </w:p>
        </w:tc>
      </w:tr>
      <w:tr w:rsidR="00F31DD9" w:rsidRPr="00C62CB7" w14:paraId="58E24CB4" w14:textId="77777777" w:rsidTr="00596496">
        <w:trPr>
          <w:trHeight w:val="360"/>
          <w:jc w:val="center"/>
        </w:trPr>
        <w:tc>
          <w:tcPr>
            <w:tcW w:w="6768" w:type="dxa"/>
            <w:tcBorders>
              <w:left w:val="double" w:sz="4" w:space="0" w:color="auto"/>
              <w:bottom w:val="nil"/>
              <w:right w:val="double" w:sz="4" w:space="0" w:color="auto"/>
            </w:tcBorders>
            <w:vAlign w:val="center"/>
          </w:tcPr>
          <w:p w14:paraId="6E68CBC1" w14:textId="77777777" w:rsidR="00F31DD9" w:rsidRPr="00C62CB7" w:rsidRDefault="00F31DD9" w:rsidP="00596496">
            <w:pPr>
              <w:spacing w:line="240" w:lineRule="auto"/>
              <w:rPr>
                <w:rFonts w:eastAsia="Calibri"/>
                <w:i/>
                <w:sz w:val="20"/>
                <w:szCs w:val="20"/>
              </w:rPr>
            </w:pPr>
            <w:r w:rsidRPr="00C62CB7">
              <w:rPr>
                <w:rFonts w:eastAsia="Calibri"/>
                <w:i/>
                <w:sz w:val="20"/>
                <w:szCs w:val="20"/>
              </w:rPr>
              <w:t xml:space="preserve">Gender (base: fraction of male adults in the household) </w:t>
            </w:r>
          </w:p>
        </w:tc>
        <w:tc>
          <w:tcPr>
            <w:tcW w:w="0" w:type="auto"/>
            <w:tcBorders>
              <w:left w:val="double" w:sz="4" w:space="0" w:color="auto"/>
              <w:bottom w:val="nil"/>
              <w:right w:val="double" w:sz="4" w:space="0" w:color="auto"/>
            </w:tcBorders>
            <w:vAlign w:val="center"/>
          </w:tcPr>
          <w:p w14:paraId="455D9523" w14:textId="77777777" w:rsidR="00F31DD9" w:rsidRPr="00C62CB7" w:rsidRDefault="00F31DD9" w:rsidP="00596496">
            <w:pPr>
              <w:spacing w:line="240" w:lineRule="auto"/>
              <w:jc w:val="center"/>
              <w:rPr>
                <w:rFonts w:eastAsia="Calibri"/>
                <w:color w:val="000000"/>
                <w:sz w:val="20"/>
                <w:szCs w:val="20"/>
              </w:rPr>
            </w:pPr>
          </w:p>
        </w:tc>
        <w:tc>
          <w:tcPr>
            <w:tcW w:w="1070" w:type="dxa"/>
            <w:tcBorders>
              <w:left w:val="double" w:sz="4" w:space="0" w:color="auto"/>
              <w:bottom w:val="nil"/>
              <w:right w:val="double" w:sz="4" w:space="0" w:color="auto"/>
            </w:tcBorders>
            <w:vAlign w:val="center"/>
          </w:tcPr>
          <w:p w14:paraId="322F3A74" w14:textId="77777777" w:rsidR="00F31DD9" w:rsidRPr="00C62CB7" w:rsidRDefault="00F31DD9" w:rsidP="00596496">
            <w:pPr>
              <w:spacing w:line="240" w:lineRule="auto"/>
              <w:jc w:val="center"/>
              <w:rPr>
                <w:rFonts w:eastAsia="Calibri"/>
                <w:color w:val="000000"/>
                <w:sz w:val="20"/>
                <w:szCs w:val="20"/>
              </w:rPr>
            </w:pPr>
          </w:p>
        </w:tc>
      </w:tr>
      <w:tr w:rsidR="00F31DD9" w:rsidRPr="00C62CB7" w14:paraId="12A7A86C" w14:textId="77777777" w:rsidTr="00596496">
        <w:trPr>
          <w:trHeight w:val="360"/>
          <w:jc w:val="center"/>
        </w:trPr>
        <w:tc>
          <w:tcPr>
            <w:tcW w:w="6768" w:type="dxa"/>
            <w:tcBorders>
              <w:top w:val="nil"/>
              <w:left w:val="double" w:sz="4" w:space="0" w:color="auto"/>
              <w:bottom w:val="double" w:sz="4" w:space="0" w:color="auto"/>
              <w:right w:val="double" w:sz="4" w:space="0" w:color="auto"/>
            </w:tcBorders>
            <w:vAlign w:val="center"/>
          </w:tcPr>
          <w:p w14:paraId="7CA58A0D" w14:textId="77777777" w:rsidR="00F31DD9" w:rsidRPr="00C62CB7" w:rsidRDefault="00F31DD9" w:rsidP="00596496">
            <w:pPr>
              <w:spacing w:line="240" w:lineRule="auto"/>
              <w:rPr>
                <w:rFonts w:eastAsia="Calibri"/>
                <w:sz w:val="20"/>
                <w:szCs w:val="20"/>
              </w:rPr>
            </w:pPr>
            <w:r w:rsidRPr="00C62CB7">
              <w:rPr>
                <w:rFonts w:eastAsia="Calibri"/>
                <w:sz w:val="20"/>
                <w:szCs w:val="20"/>
              </w:rPr>
              <w:t xml:space="preserve">   Fraction of female adults in the household</w:t>
            </w:r>
          </w:p>
        </w:tc>
        <w:tc>
          <w:tcPr>
            <w:tcW w:w="0" w:type="auto"/>
            <w:tcBorders>
              <w:top w:val="nil"/>
              <w:left w:val="double" w:sz="4" w:space="0" w:color="auto"/>
              <w:bottom w:val="double" w:sz="4" w:space="0" w:color="auto"/>
              <w:right w:val="double" w:sz="4" w:space="0" w:color="auto"/>
            </w:tcBorders>
            <w:vAlign w:val="center"/>
          </w:tcPr>
          <w:p w14:paraId="75AE0DCE"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0.167</w:t>
            </w:r>
          </w:p>
        </w:tc>
        <w:tc>
          <w:tcPr>
            <w:tcW w:w="1070" w:type="dxa"/>
            <w:tcBorders>
              <w:top w:val="nil"/>
              <w:left w:val="double" w:sz="4" w:space="0" w:color="auto"/>
              <w:right w:val="double" w:sz="4" w:space="0" w:color="auto"/>
            </w:tcBorders>
            <w:vAlign w:val="center"/>
          </w:tcPr>
          <w:p w14:paraId="3154860F"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7.216</w:t>
            </w:r>
          </w:p>
        </w:tc>
      </w:tr>
      <w:tr w:rsidR="00F31DD9" w:rsidRPr="00C62CB7" w14:paraId="02953D07" w14:textId="77777777" w:rsidTr="00596496">
        <w:trPr>
          <w:trHeight w:val="360"/>
          <w:jc w:val="center"/>
        </w:trPr>
        <w:tc>
          <w:tcPr>
            <w:tcW w:w="8987" w:type="dxa"/>
            <w:gridSpan w:val="3"/>
            <w:tcBorders>
              <w:top w:val="double" w:sz="4" w:space="0" w:color="auto"/>
              <w:left w:val="double" w:sz="4" w:space="0" w:color="auto"/>
              <w:bottom w:val="double" w:sz="4" w:space="0" w:color="auto"/>
              <w:right w:val="double" w:sz="4" w:space="0" w:color="auto"/>
            </w:tcBorders>
            <w:vAlign w:val="center"/>
          </w:tcPr>
          <w:p w14:paraId="44F4E8D6" w14:textId="77777777" w:rsidR="00F31DD9" w:rsidRPr="00C62CB7" w:rsidRDefault="00F31DD9" w:rsidP="00596496">
            <w:pPr>
              <w:spacing w:line="240" w:lineRule="auto"/>
              <w:rPr>
                <w:rFonts w:eastAsia="Calibri"/>
                <w:b/>
                <w:sz w:val="20"/>
                <w:szCs w:val="20"/>
              </w:rPr>
            </w:pPr>
            <w:r w:rsidRPr="00C62CB7">
              <w:rPr>
                <w:rFonts w:eastAsia="Calibri"/>
                <w:b/>
                <w:sz w:val="20"/>
                <w:szCs w:val="20"/>
              </w:rPr>
              <w:t>Luxury Lifestyle Propensity</w:t>
            </w:r>
          </w:p>
        </w:tc>
      </w:tr>
      <w:tr w:rsidR="00F31DD9" w:rsidRPr="00C62CB7" w14:paraId="3FA0D722" w14:textId="77777777" w:rsidTr="00596496">
        <w:trPr>
          <w:trHeight w:val="360"/>
          <w:jc w:val="center"/>
        </w:trPr>
        <w:tc>
          <w:tcPr>
            <w:tcW w:w="6768" w:type="dxa"/>
            <w:tcBorders>
              <w:top w:val="double" w:sz="4" w:space="0" w:color="auto"/>
              <w:left w:val="double" w:sz="4" w:space="0" w:color="auto"/>
              <w:bottom w:val="nil"/>
              <w:right w:val="double" w:sz="4" w:space="0" w:color="auto"/>
            </w:tcBorders>
            <w:vAlign w:val="center"/>
          </w:tcPr>
          <w:p w14:paraId="3252DC82" w14:textId="731DCB24" w:rsidR="00F31DD9" w:rsidRPr="00C62CB7" w:rsidRDefault="00F31DD9" w:rsidP="00596496">
            <w:pPr>
              <w:spacing w:line="240" w:lineRule="auto"/>
              <w:rPr>
                <w:rFonts w:eastAsia="Calibri"/>
                <w:i/>
                <w:sz w:val="20"/>
                <w:szCs w:val="20"/>
              </w:rPr>
            </w:pPr>
            <w:r w:rsidRPr="00C62CB7">
              <w:rPr>
                <w:rFonts w:eastAsia="Calibri"/>
                <w:i/>
                <w:sz w:val="20"/>
                <w:szCs w:val="20"/>
              </w:rPr>
              <w:t xml:space="preserve">Household income (base: less than </w:t>
            </w:r>
            <w:r w:rsidR="005E1FBA">
              <w:rPr>
                <w:rFonts w:eastAsia="Calibri"/>
                <w:i/>
                <w:sz w:val="20"/>
                <w:szCs w:val="20"/>
              </w:rPr>
              <w:t>$</w:t>
            </w:r>
            <w:r w:rsidRPr="00C62CB7">
              <w:rPr>
                <w:rFonts w:eastAsia="Calibri"/>
                <w:i/>
                <w:sz w:val="20"/>
                <w:szCs w:val="20"/>
              </w:rPr>
              <w:t>30,000)</w:t>
            </w:r>
          </w:p>
        </w:tc>
        <w:tc>
          <w:tcPr>
            <w:tcW w:w="0" w:type="auto"/>
            <w:tcBorders>
              <w:left w:val="double" w:sz="4" w:space="0" w:color="auto"/>
              <w:bottom w:val="nil"/>
              <w:right w:val="double" w:sz="4" w:space="0" w:color="auto"/>
            </w:tcBorders>
            <w:vAlign w:val="center"/>
          </w:tcPr>
          <w:p w14:paraId="2FE22C17" w14:textId="77777777" w:rsidR="00F31DD9" w:rsidRPr="00C62CB7" w:rsidRDefault="00F31DD9" w:rsidP="00596496">
            <w:pPr>
              <w:spacing w:line="240" w:lineRule="auto"/>
              <w:jc w:val="center"/>
              <w:rPr>
                <w:rFonts w:eastAsia="Calibri"/>
                <w:sz w:val="20"/>
                <w:szCs w:val="20"/>
              </w:rPr>
            </w:pPr>
          </w:p>
        </w:tc>
        <w:tc>
          <w:tcPr>
            <w:tcW w:w="1070" w:type="dxa"/>
            <w:tcBorders>
              <w:left w:val="double" w:sz="4" w:space="0" w:color="auto"/>
              <w:bottom w:val="nil"/>
              <w:right w:val="double" w:sz="4" w:space="0" w:color="auto"/>
            </w:tcBorders>
            <w:vAlign w:val="center"/>
          </w:tcPr>
          <w:p w14:paraId="12C23611" w14:textId="77777777" w:rsidR="00F31DD9" w:rsidRPr="00C62CB7" w:rsidRDefault="00F31DD9" w:rsidP="00596496">
            <w:pPr>
              <w:spacing w:line="240" w:lineRule="auto"/>
              <w:jc w:val="center"/>
              <w:rPr>
                <w:rFonts w:eastAsia="Calibri"/>
                <w:sz w:val="20"/>
                <w:szCs w:val="20"/>
              </w:rPr>
            </w:pPr>
          </w:p>
        </w:tc>
      </w:tr>
      <w:tr w:rsidR="00F31DD9" w:rsidRPr="00C62CB7" w14:paraId="3B8E43F0" w14:textId="77777777" w:rsidTr="00596496">
        <w:trPr>
          <w:trHeight w:val="360"/>
          <w:jc w:val="center"/>
        </w:trPr>
        <w:tc>
          <w:tcPr>
            <w:tcW w:w="6768" w:type="dxa"/>
            <w:tcBorders>
              <w:top w:val="nil"/>
              <w:left w:val="double" w:sz="4" w:space="0" w:color="auto"/>
              <w:bottom w:val="nil"/>
              <w:right w:val="double" w:sz="4" w:space="0" w:color="auto"/>
            </w:tcBorders>
            <w:vAlign w:val="center"/>
          </w:tcPr>
          <w:p w14:paraId="186A0C98" w14:textId="77777777" w:rsidR="00F31DD9" w:rsidRPr="00C62CB7" w:rsidRDefault="00F31DD9" w:rsidP="00596496">
            <w:pPr>
              <w:spacing w:line="240" w:lineRule="auto"/>
              <w:rPr>
                <w:rFonts w:eastAsia="Calibri"/>
                <w:sz w:val="20"/>
                <w:szCs w:val="20"/>
              </w:rPr>
            </w:pPr>
            <w:r w:rsidRPr="00C62CB7">
              <w:rPr>
                <w:rFonts w:eastAsia="Calibri"/>
                <w:sz w:val="20"/>
                <w:szCs w:val="20"/>
              </w:rPr>
              <w:t xml:space="preserve">    30,000 – 50,000</w:t>
            </w:r>
          </w:p>
        </w:tc>
        <w:tc>
          <w:tcPr>
            <w:tcW w:w="0" w:type="auto"/>
            <w:tcBorders>
              <w:top w:val="nil"/>
              <w:left w:val="double" w:sz="4" w:space="0" w:color="auto"/>
              <w:bottom w:val="nil"/>
              <w:right w:val="double" w:sz="4" w:space="0" w:color="auto"/>
            </w:tcBorders>
            <w:vAlign w:val="center"/>
          </w:tcPr>
          <w:p w14:paraId="3771E382"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1.326</w:t>
            </w:r>
          </w:p>
        </w:tc>
        <w:tc>
          <w:tcPr>
            <w:tcW w:w="1070" w:type="dxa"/>
            <w:tcBorders>
              <w:top w:val="nil"/>
              <w:left w:val="double" w:sz="4" w:space="0" w:color="auto"/>
              <w:bottom w:val="nil"/>
              <w:right w:val="double" w:sz="4" w:space="0" w:color="auto"/>
            </w:tcBorders>
            <w:vAlign w:val="center"/>
          </w:tcPr>
          <w:p w14:paraId="2731C639"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4.596</w:t>
            </w:r>
          </w:p>
        </w:tc>
      </w:tr>
      <w:tr w:rsidR="00F31DD9" w:rsidRPr="00C62CB7" w14:paraId="2DB7FA1E" w14:textId="77777777" w:rsidTr="00596496">
        <w:trPr>
          <w:trHeight w:val="360"/>
          <w:jc w:val="center"/>
        </w:trPr>
        <w:tc>
          <w:tcPr>
            <w:tcW w:w="6768" w:type="dxa"/>
            <w:tcBorders>
              <w:top w:val="nil"/>
              <w:left w:val="double" w:sz="4" w:space="0" w:color="auto"/>
              <w:bottom w:val="nil"/>
              <w:right w:val="double" w:sz="4" w:space="0" w:color="auto"/>
            </w:tcBorders>
            <w:vAlign w:val="center"/>
          </w:tcPr>
          <w:p w14:paraId="5BD10FC0" w14:textId="77777777" w:rsidR="00F31DD9" w:rsidRPr="00C62CB7" w:rsidRDefault="00F31DD9" w:rsidP="00596496">
            <w:pPr>
              <w:spacing w:line="240" w:lineRule="auto"/>
              <w:rPr>
                <w:rFonts w:eastAsia="Calibri"/>
                <w:sz w:val="20"/>
                <w:szCs w:val="20"/>
              </w:rPr>
            </w:pPr>
            <w:r w:rsidRPr="00C62CB7">
              <w:rPr>
                <w:rFonts w:eastAsia="Calibri"/>
                <w:sz w:val="20"/>
                <w:szCs w:val="20"/>
              </w:rPr>
              <w:t xml:space="preserve">    50,001 – 75,000</w:t>
            </w:r>
          </w:p>
        </w:tc>
        <w:tc>
          <w:tcPr>
            <w:tcW w:w="0" w:type="auto"/>
            <w:tcBorders>
              <w:top w:val="nil"/>
              <w:left w:val="double" w:sz="4" w:space="0" w:color="auto"/>
              <w:bottom w:val="nil"/>
              <w:right w:val="double" w:sz="4" w:space="0" w:color="auto"/>
            </w:tcBorders>
            <w:vAlign w:val="center"/>
          </w:tcPr>
          <w:p w14:paraId="7E56101D"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2.525</w:t>
            </w:r>
          </w:p>
        </w:tc>
        <w:tc>
          <w:tcPr>
            <w:tcW w:w="1070" w:type="dxa"/>
            <w:tcBorders>
              <w:top w:val="nil"/>
              <w:left w:val="double" w:sz="4" w:space="0" w:color="auto"/>
              <w:bottom w:val="nil"/>
              <w:right w:val="double" w:sz="4" w:space="0" w:color="auto"/>
            </w:tcBorders>
            <w:vAlign w:val="center"/>
          </w:tcPr>
          <w:p w14:paraId="46B520CC"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4.700</w:t>
            </w:r>
          </w:p>
        </w:tc>
      </w:tr>
      <w:tr w:rsidR="00F31DD9" w:rsidRPr="00C62CB7" w14:paraId="16BC9B44" w14:textId="77777777" w:rsidTr="00596496">
        <w:trPr>
          <w:trHeight w:val="360"/>
          <w:jc w:val="center"/>
        </w:trPr>
        <w:tc>
          <w:tcPr>
            <w:tcW w:w="6768" w:type="dxa"/>
            <w:tcBorders>
              <w:top w:val="nil"/>
              <w:left w:val="double" w:sz="4" w:space="0" w:color="auto"/>
              <w:bottom w:val="nil"/>
              <w:right w:val="double" w:sz="4" w:space="0" w:color="auto"/>
            </w:tcBorders>
            <w:vAlign w:val="center"/>
          </w:tcPr>
          <w:p w14:paraId="060319BC" w14:textId="061A7EF6" w:rsidR="00F31DD9" w:rsidRPr="00C62CB7" w:rsidRDefault="00F31DD9" w:rsidP="00FC2CB9">
            <w:pPr>
              <w:spacing w:line="240" w:lineRule="auto"/>
              <w:rPr>
                <w:rFonts w:eastAsia="Calibri"/>
                <w:sz w:val="20"/>
                <w:szCs w:val="20"/>
              </w:rPr>
            </w:pPr>
            <w:r w:rsidRPr="00C62CB7">
              <w:rPr>
                <w:rFonts w:eastAsia="Calibri"/>
                <w:sz w:val="20"/>
                <w:szCs w:val="20"/>
              </w:rPr>
              <w:t xml:space="preserve">    75,00</w:t>
            </w:r>
            <w:r w:rsidR="00FC2CB9">
              <w:rPr>
                <w:rFonts w:eastAsia="Calibri"/>
                <w:sz w:val="20"/>
                <w:szCs w:val="20"/>
              </w:rPr>
              <w:t>1</w:t>
            </w:r>
            <w:r w:rsidRPr="00C62CB7">
              <w:rPr>
                <w:rFonts w:eastAsia="Calibri"/>
                <w:sz w:val="20"/>
                <w:szCs w:val="20"/>
              </w:rPr>
              <w:t xml:space="preserve"> – 10</w:t>
            </w:r>
            <w:r w:rsidR="00FC2CB9">
              <w:rPr>
                <w:rFonts w:eastAsia="Calibri"/>
                <w:sz w:val="20"/>
                <w:szCs w:val="20"/>
              </w:rPr>
              <w:t>0</w:t>
            </w:r>
            <w:r w:rsidRPr="00C62CB7">
              <w:rPr>
                <w:rFonts w:eastAsia="Calibri"/>
                <w:sz w:val="20"/>
                <w:szCs w:val="20"/>
              </w:rPr>
              <w:t>,000</w:t>
            </w:r>
          </w:p>
        </w:tc>
        <w:tc>
          <w:tcPr>
            <w:tcW w:w="0" w:type="auto"/>
            <w:tcBorders>
              <w:top w:val="nil"/>
              <w:left w:val="double" w:sz="4" w:space="0" w:color="auto"/>
              <w:bottom w:val="nil"/>
              <w:right w:val="double" w:sz="4" w:space="0" w:color="auto"/>
            </w:tcBorders>
            <w:vAlign w:val="center"/>
          </w:tcPr>
          <w:p w14:paraId="3FFEE3B0"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3.632</w:t>
            </w:r>
          </w:p>
        </w:tc>
        <w:tc>
          <w:tcPr>
            <w:tcW w:w="1070" w:type="dxa"/>
            <w:tcBorders>
              <w:top w:val="nil"/>
              <w:left w:val="double" w:sz="4" w:space="0" w:color="auto"/>
              <w:bottom w:val="nil"/>
              <w:right w:val="double" w:sz="4" w:space="0" w:color="auto"/>
            </w:tcBorders>
            <w:vAlign w:val="center"/>
          </w:tcPr>
          <w:p w14:paraId="3071BF17"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4.700</w:t>
            </w:r>
          </w:p>
        </w:tc>
      </w:tr>
      <w:tr w:rsidR="00F31DD9" w:rsidRPr="00C62CB7" w14:paraId="66FCAC5D" w14:textId="77777777" w:rsidTr="00596496">
        <w:trPr>
          <w:trHeight w:val="360"/>
          <w:jc w:val="center"/>
        </w:trPr>
        <w:tc>
          <w:tcPr>
            <w:tcW w:w="6768" w:type="dxa"/>
            <w:tcBorders>
              <w:top w:val="nil"/>
              <w:left w:val="double" w:sz="4" w:space="0" w:color="auto"/>
              <w:bottom w:val="nil"/>
              <w:right w:val="double" w:sz="4" w:space="0" w:color="auto"/>
            </w:tcBorders>
            <w:vAlign w:val="center"/>
          </w:tcPr>
          <w:p w14:paraId="5C9D453C" w14:textId="613BD14B" w:rsidR="00F31DD9" w:rsidRPr="00C62CB7" w:rsidRDefault="001C1FFC" w:rsidP="00596496">
            <w:pPr>
              <w:spacing w:line="240" w:lineRule="auto"/>
              <w:rPr>
                <w:rFonts w:eastAsia="Calibri"/>
                <w:sz w:val="20"/>
                <w:szCs w:val="20"/>
              </w:rPr>
            </w:pPr>
            <w:r>
              <w:rPr>
                <w:rFonts w:eastAsia="Calibri"/>
                <w:sz w:val="20"/>
                <w:szCs w:val="20"/>
              </w:rPr>
              <w:t xml:space="preserve">    1</w:t>
            </w:r>
            <w:r w:rsidR="00F31DD9" w:rsidRPr="00C62CB7">
              <w:rPr>
                <w:rFonts w:eastAsia="Calibri"/>
                <w:sz w:val="20"/>
                <w:szCs w:val="20"/>
              </w:rPr>
              <w:t>0</w:t>
            </w:r>
            <w:r w:rsidR="00FC2CB9">
              <w:rPr>
                <w:rFonts w:eastAsia="Calibri"/>
                <w:sz w:val="20"/>
                <w:szCs w:val="20"/>
              </w:rPr>
              <w:t>0</w:t>
            </w:r>
            <w:r>
              <w:rPr>
                <w:rFonts w:eastAsia="Calibri"/>
                <w:sz w:val="20"/>
                <w:szCs w:val="20"/>
              </w:rPr>
              <w:t>,001 – 1</w:t>
            </w:r>
            <w:r w:rsidR="00F31DD9" w:rsidRPr="00C62CB7">
              <w:rPr>
                <w:rFonts w:eastAsia="Calibri"/>
                <w:sz w:val="20"/>
                <w:szCs w:val="20"/>
              </w:rPr>
              <w:t>25,000</w:t>
            </w:r>
          </w:p>
        </w:tc>
        <w:tc>
          <w:tcPr>
            <w:tcW w:w="0" w:type="auto"/>
            <w:tcBorders>
              <w:top w:val="nil"/>
              <w:left w:val="double" w:sz="4" w:space="0" w:color="auto"/>
              <w:bottom w:val="nil"/>
              <w:right w:val="double" w:sz="4" w:space="0" w:color="auto"/>
            </w:tcBorders>
            <w:vAlign w:val="center"/>
          </w:tcPr>
          <w:p w14:paraId="1875FE38"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4.754</w:t>
            </w:r>
          </w:p>
        </w:tc>
        <w:tc>
          <w:tcPr>
            <w:tcW w:w="1070" w:type="dxa"/>
            <w:tcBorders>
              <w:top w:val="nil"/>
              <w:left w:val="double" w:sz="4" w:space="0" w:color="auto"/>
              <w:bottom w:val="nil"/>
              <w:right w:val="double" w:sz="4" w:space="0" w:color="auto"/>
            </w:tcBorders>
            <w:vAlign w:val="center"/>
          </w:tcPr>
          <w:p w14:paraId="01A661A5"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4.717</w:t>
            </w:r>
          </w:p>
        </w:tc>
      </w:tr>
      <w:tr w:rsidR="00F31DD9" w:rsidRPr="00C62CB7" w14:paraId="7C77A5EA" w14:textId="77777777" w:rsidTr="00596496">
        <w:trPr>
          <w:trHeight w:val="360"/>
          <w:jc w:val="center"/>
        </w:trPr>
        <w:tc>
          <w:tcPr>
            <w:tcW w:w="6768" w:type="dxa"/>
            <w:tcBorders>
              <w:top w:val="nil"/>
              <w:left w:val="double" w:sz="4" w:space="0" w:color="auto"/>
              <w:bottom w:val="nil"/>
              <w:right w:val="double" w:sz="4" w:space="0" w:color="auto"/>
            </w:tcBorders>
            <w:vAlign w:val="center"/>
          </w:tcPr>
          <w:p w14:paraId="066D592F" w14:textId="363D0A5D" w:rsidR="00F31DD9" w:rsidRPr="00C62CB7" w:rsidRDefault="001C1FFC" w:rsidP="00596496">
            <w:pPr>
              <w:spacing w:line="240" w:lineRule="auto"/>
              <w:rPr>
                <w:rFonts w:eastAsia="Calibri"/>
                <w:sz w:val="20"/>
                <w:szCs w:val="20"/>
              </w:rPr>
            </w:pPr>
            <w:r>
              <w:rPr>
                <w:rFonts w:eastAsia="Calibri"/>
                <w:sz w:val="20"/>
                <w:szCs w:val="20"/>
              </w:rPr>
              <w:t xml:space="preserve">    1</w:t>
            </w:r>
            <w:r w:rsidR="00F31DD9" w:rsidRPr="00C62CB7">
              <w:rPr>
                <w:rFonts w:eastAsia="Calibri"/>
                <w:sz w:val="20"/>
                <w:szCs w:val="20"/>
              </w:rPr>
              <w:t>25</w:t>
            </w:r>
            <w:r>
              <w:rPr>
                <w:rFonts w:eastAsia="Calibri"/>
                <w:sz w:val="20"/>
                <w:szCs w:val="20"/>
              </w:rPr>
              <w:t>,001 – 2</w:t>
            </w:r>
            <w:r w:rsidR="00F31DD9" w:rsidRPr="00C62CB7">
              <w:rPr>
                <w:rFonts w:eastAsia="Calibri"/>
                <w:sz w:val="20"/>
                <w:szCs w:val="20"/>
              </w:rPr>
              <w:t>0</w:t>
            </w:r>
            <w:r w:rsidR="00FC2CB9">
              <w:rPr>
                <w:rFonts w:eastAsia="Calibri"/>
                <w:sz w:val="20"/>
                <w:szCs w:val="20"/>
              </w:rPr>
              <w:t>0</w:t>
            </w:r>
            <w:r w:rsidR="00F31DD9" w:rsidRPr="00C62CB7">
              <w:rPr>
                <w:rFonts w:eastAsia="Calibri"/>
                <w:sz w:val="20"/>
                <w:szCs w:val="20"/>
              </w:rPr>
              <w:t>,000</w:t>
            </w:r>
          </w:p>
        </w:tc>
        <w:tc>
          <w:tcPr>
            <w:tcW w:w="0" w:type="auto"/>
            <w:tcBorders>
              <w:top w:val="nil"/>
              <w:left w:val="double" w:sz="4" w:space="0" w:color="auto"/>
              <w:bottom w:val="nil"/>
              <w:right w:val="double" w:sz="4" w:space="0" w:color="auto"/>
            </w:tcBorders>
            <w:vAlign w:val="center"/>
          </w:tcPr>
          <w:p w14:paraId="2C032682"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5.374</w:t>
            </w:r>
          </w:p>
        </w:tc>
        <w:tc>
          <w:tcPr>
            <w:tcW w:w="1070" w:type="dxa"/>
            <w:tcBorders>
              <w:top w:val="nil"/>
              <w:left w:val="double" w:sz="4" w:space="0" w:color="auto"/>
              <w:bottom w:val="nil"/>
              <w:right w:val="double" w:sz="4" w:space="0" w:color="auto"/>
            </w:tcBorders>
            <w:vAlign w:val="center"/>
          </w:tcPr>
          <w:p w14:paraId="0FE9192E"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4.709</w:t>
            </w:r>
          </w:p>
        </w:tc>
      </w:tr>
      <w:tr w:rsidR="00F31DD9" w:rsidRPr="00C62CB7" w14:paraId="0E0BD1FD" w14:textId="77777777" w:rsidTr="00596496">
        <w:trPr>
          <w:trHeight w:val="360"/>
          <w:jc w:val="center"/>
        </w:trPr>
        <w:tc>
          <w:tcPr>
            <w:tcW w:w="6768" w:type="dxa"/>
            <w:tcBorders>
              <w:top w:val="nil"/>
              <w:left w:val="double" w:sz="4" w:space="0" w:color="auto"/>
              <w:bottom w:val="double" w:sz="4" w:space="0" w:color="auto"/>
              <w:right w:val="double" w:sz="4" w:space="0" w:color="auto"/>
            </w:tcBorders>
            <w:vAlign w:val="center"/>
          </w:tcPr>
          <w:p w14:paraId="152508A8" w14:textId="0BC65DCD" w:rsidR="00F31DD9" w:rsidRPr="00C62CB7" w:rsidRDefault="001C1FFC" w:rsidP="00596496">
            <w:pPr>
              <w:spacing w:line="240" w:lineRule="auto"/>
              <w:rPr>
                <w:rFonts w:eastAsia="Calibri"/>
                <w:sz w:val="20"/>
                <w:szCs w:val="20"/>
              </w:rPr>
            </w:pPr>
            <w:r>
              <w:rPr>
                <w:rFonts w:eastAsia="Calibri"/>
                <w:sz w:val="20"/>
                <w:szCs w:val="20"/>
              </w:rPr>
              <w:t xml:space="preserve">    2</w:t>
            </w:r>
            <w:r w:rsidR="00F31DD9" w:rsidRPr="00C62CB7">
              <w:rPr>
                <w:rFonts w:eastAsia="Calibri"/>
                <w:sz w:val="20"/>
                <w:szCs w:val="20"/>
              </w:rPr>
              <w:t>0</w:t>
            </w:r>
            <w:r w:rsidR="00FC2CB9">
              <w:rPr>
                <w:rFonts w:eastAsia="Calibri"/>
                <w:sz w:val="20"/>
                <w:szCs w:val="20"/>
              </w:rPr>
              <w:t>0</w:t>
            </w:r>
            <w:r w:rsidR="00F31DD9" w:rsidRPr="00C62CB7">
              <w:rPr>
                <w:rFonts w:eastAsia="Calibri"/>
                <w:sz w:val="20"/>
                <w:szCs w:val="20"/>
              </w:rPr>
              <w:t>,001 and above</w:t>
            </w:r>
          </w:p>
        </w:tc>
        <w:tc>
          <w:tcPr>
            <w:tcW w:w="0" w:type="auto"/>
            <w:tcBorders>
              <w:top w:val="nil"/>
              <w:left w:val="double" w:sz="4" w:space="0" w:color="auto"/>
              <w:bottom w:val="double" w:sz="4" w:space="0" w:color="auto"/>
              <w:right w:val="double" w:sz="4" w:space="0" w:color="auto"/>
            </w:tcBorders>
            <w:vAlign w:val="center"/>
          </w:tcPr>
          <w:p w14:paraId="48C9D83E"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6.790</w:t>
            </w:r>
          </w:p>
        </w:tc>
        <w:tc>
          <w:tcPr>
            <w:tcW w:w="1070" w:type="dxa"/>
            <w:tcBorders>
              <w:top w:val="nil"/>
              <w:left w:val="double" w:sz="4" w:space="0" w:color="auto"/>
              <w:bottom w:val="double" w:sz="4" w:space="0" w:color="auto"/>
              <w:right w:val="double" w:sz="4" w:space="0" w:color="auto"/>
            </w:tcBorders>
            <w:vAlign w:val="center"/>
          </w:tcPr>
          <w:p w14:paraId="027999BE"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4.701</w:t>
            </w:r>
          </w:p>
        </w:tc>
      </w:tr>
      <w:tr w:rsidR="00F31DD9" w:rsidRPr="00C62CB7" w14:paraId="3371D9D0" w14:textId="77777777" w:rsidTr="00E14270">
        <w:trPr>
          <w:trHeight w:val="576"/>
          <w:jc w:val="center"/>
        </w:trPr>
        <w:tc>
          <w:tcPr>
            <w:tcW w:w="6768" w:type="dxa"/>
            <w:tcBorders>
              <w:top w:val="double" w:sz="4" w:space="0" w:color="auto"/>
              <w:left w:val="double" w:sz="4" w:space="0" w:color="auto"/>
              <w:bottom w:val="double" w:sz="4" w:space="0" w:color="auto"/>
              <w:right w:val="double" w:sz="4" w:space="0" w:color="auto"/>
            </w:tcBorders>
            <w:vAlign w:val="center"/>
          </w:tcPr>
          <w:p w14:paraId="768380B8" w14:textId="77777777" w:rsidR="00F31DD9" w:rsidRPr="00C62CB7" w:rsidRDefault="00F31DD9" w:rsidP="00596496">
            <w:pPr>
              <w:spacing w:line="240" w:lineRule="auto"/>
              <w:rPr>
                <w:rFonts w:eastAsia="Calibri"/>
                <w:sz w:val="20"/>
                <w:szCs w:val="20"/>
              </w:rPr>
            </w:pPr>
            <w:r w:rsidRPr="00C62CB7">
              <w:rPr>
                <w:rFonts w:eastAsia="Calibri"/>
                <w:sz w:val="20"/>
                <w:szCs w:val="20"/>
              </w:rPr>
              <w:t xml:space="preserve">Correlation coefficient between ‘Green Lifestyle Propensity’ and ‘Luxury Lifestyle Propensity’ latent constructs </w:t>
            </w:r>
          </w:p>
        </w:tc>
        <w:tc>
          <w:tcPr>
            <w:tcW w:w="0" w:type="auto"/>
            <w:tcBorders>
              <w:top w:val="double" w:sz="4" w:space="0" w:color="auto"/>
              <w:left w:val="double" w:sz="4" w:space="0" w:color="auto"/>
              <w:bottom w:val="double" w:sz="4" w:space="0" w:color="auto"/>
              <w:right w:val="double" w:sz="4" w:space="0" w:color="auto"/>
            </w:tcBorders>
            <w:vAlign w:val="center"/>
          </w:tcPr>
          <w:p w14:paraId="2DEE1153" w14:textId="77777777"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-0.621</w:t>
            </w:r>
          </w:p>
        </w:tc>
        <w:tc>
          <w:tcPr>
            <w:tcW w:w="1070" w:type="dxa"/>
            <w:tcBorders>
              <w:top w:val="double" w:sz="4" w:space="0" w:color="auto"/>
              <w:left w:val="double" w:sz="4" w:space="0" w:color="auto"/>
              <w:bottom w:val="double" w:sz="4" w:space="0" w:color="auto"/>
              <w:right w:val="double" w:sz="4" w:space="0" w:color="auto"/>
            </w:tcBorders>
            <w:vAlign w:val="center"/>
          </w:tcPr>
          <w:p w14:paraId="211B6802" w14:textId="0F80EC2D" w:rsidR="00F31DD9" w:rsidRPr="00C62CB7" w:rsidRDefault="00F31DD9" w:rsidP="00596496">
            <w:pPr>
              <w:spacing w:line="240" w:lineRule="auto"/>
              <w:jc w:val="center"/>
              <w:rPr>
                <w:rFonts w:eastAsia="Calibri"/>
                <w:color w:val="000000"/>
                <w:sz w:val="20"/>
                <w:szCs w:val="20"/>
              </w:rPr>
            </w:pPr>
            <w:r w:rsidRPr="00C62CB7">
              <w:rPr>
                <w:rFonts w:eastAsia="Calibri"/>
                <w:color w:val="000000"/>
                <w:sz w:val="20"/>
                <w:szCs w:val="20"/>
              </w:rPr>
              <w:t>-3.735</w:t>
            </w:r>
          </w:p>
        </w:tc>
      </w:tr>
    </w:tbl>
    <w:p w14:paraId="681E28F3" w14:textId="77777777" w:rsidR="00C93276" w:rsidRPr="00417C1C" w:rsidRDefault="00C93276" w:rsidP="00D740EB">
      <w:pPr>
        <w:jc w:val="center"/>
      </w:pPr>
    </w:p>
    <w:p w14:paraId="2D575461" w14:textId="77777777" w:rsidR="00D740EB" w:rsidRPr="00417C1C" w:rsidRDefault="00D740EB" w:rsidP="00D740EB">
      <w:pPr>
        <w:jc w:val="center"/>
      </w:pPr>
    </w:p>
    <w:p w14:paraId="0A4CCE0E" w14:textId="77777777" w:rsidR="00D740EB" w:rsidRDefault="00D740EB" w:rsidP="00D740EB">
      <w:pPr>
        <w:jc w:val="center"/>
        <w:rPr>
          <w:b/>
        </w:rPr>
        <w:sectPr w:rsidR="00D740EB">
          <w:pgSz w:w="12240" w:h="15840"/>
          <w:pgMar w:top="1440" w:right="1440" w:bottom="1440" w:left="1440" w:header="720" w:footer="720" w:gutter="0"/>
          <w:cols w:space="720"/>
          <w:docGrid w:linePitch="360"/>
        </w:sectPr>
      </w:pPr>
    </w:p>
    <w:p w14:paraId="40795DA5" w14:textId="77777777" w:rsidR="00596496" w:rsidRDefault="00596496" w:rsidP="00194720">
      <w:pPr>
        <w:jc w:val="center"/>
        <w:rPr>
          <w:b/>
        </w:rPr>
      </w:pPr>
    </w:p>
    <w:p w14:paraId="2953C249" w14:textId="77777777" w:rsidR="00596496" w:rsidRDefault="00596496" w:rsidP="00194720">
      <w:pPr>
        <w:jc w:val="center"/>
        <w:rPr>
          <w:b/>
        </w:rPr>
      </w:pPr>
    </w:p>
    <w:p w14:paraId="59CFC1DB" w14:textId="50501562" w:rsidR="00194720" w:rsidRPr="00194720" w:rsidRDefault="00E14270" w:rsidP="00194720">
      <w:pPr>
        <w:jc w:val="center"/>
        <w:rPr>
          <w:b/>
        </w:rPr>
      </w:pPr>
      <w:proofErr w:type="gramStart"/>
      <w:r>
        <w:rPr>
          <w:b/>
        </w:rPr>
        <w:t>Table 3.</w:t>
      </w:r>
      <w:proofErr w:type="gramEnd"/>
      <w:r w:rsidR="00194720" w:rsidRPr="00194720">
        <w:rPr>
          <w:b/>
        </w:rPr>
        <w:t xml:space="preserve"> Measurement Equation Estimates</w:t>
      </w:r>
    </w:p>
    <w:tbl>
      <w:tblPr>
        <w:tblStyle w:val="TableGrid8"/>
        <w:tblW w:w="13680" w:type="dxa"/>
        <w:jc w:val="center"/>
        <w:tblLayout w:type="fixed"/>
        <w:tblLook w:val="04A0" w:firstRow="1" w:lastRow="0" w:firstColumn="1" w:lastColumn="0" w:noHBand="0" w:noVBand="1"/>
      </w:tblPr>
      <w:tblGrid>
        <w:gridCol w:w="3312"/>
        <w:gridCol w:w="864"/>
        <w:gridCol w:w="846"/>
        <w:gridCol w:w="966"/>
        <w:gridCol w:w="828"/>
        <w:gridCol w:w="864"/>
        <w:gridCol w:w="828"/>
        <w:gridCol w:w="864"/>
        <w:gridCol w:w="888"/>
        <w:gridCol w:w="840"/>
        <w:gridCol w:w="870"/>
        <w:gridCol w:w="858"/>
        <w:gridCol w:w="852"/>
      </w:tblGrid>
      <w:tr w:rsidR="00596496" w:rsidRPr="00596496" w14:paraId="22297D52" w14:textId="77777777" w:rsidTr="00FC2CB9">
        <w:trPr>
          <w:trHeight w:val="555"/>
          <w:jc w:val="center"/>
        </w:trPr>
        <w:tc>
          <w:tcPr>
            <w:tcW w:w="3312" w:type="dxa"/>
            <w:vMerge w:val="restart"/>
            <w:tcBorders>
              <w:top w:val="double" w:sz="4" w:space="0" w:color="auto"/>
              <w:left w:val="double" w:sz="4" w:space="0" w:color="auto"/>
              <w:right w:val="double" w:sz="4" w:space="0" w:color="auto"/>
            </w:tcBorders>
            <w:vAlign w:val="center"/>
          </w:tcPr>
          <w:p w14:paraId="0D996D37" w14:textId="77777777" w:rsidR="00C476B8" w:rsidRPr="00596496" w:rsidRDefault="00C476B8" w:rsidP="00C476B8">
            <w:pPr>
              <w:spacing w:line="240" w:lineRule="auto"/>
              <w:jc w:val="center"/>
              <w:rPr>
                <w:rFonts w:eastAsia="Calibri"/>
                <w:b/>
                <w:sz w:val="20"/>
                <w:szCs w:val="20"/>
              </w:rPr>
            </w:pPr>
            <w:r w:rsidRPr="00596496">
              <w:rPr>
                <w:rFonts w:eastAsia="Calibri"/>
                <w:b/>
                <w:sz w:val="20"/>
                <w:szCs w:val="20"/>
              </w:rPr>
              <w:t>Dependent Variables</w:t>
            </w:r>
          </w:p>
        </w:tc>
        <w:tc>
          <w:tcPr>
            <w:tcW w:w="6948" w:type="dxa"/>
            <w:gridSpan w:val="8"/>
            <w:tcBorders>
              <w:top w:val="double" w:sz="4" w:space="0" w:color="auto"/>
              <w:left w:val="double" w:sz="4" w:space="0" w:color="auto"/>
              <w:right w:val="double" w:sz="4" w:space="0" w:color="auto"/>
            </w:tcBorders>
            <w:vAlign w:val="center"/>
          </w:tcPr>
          <w:p w14:paraId="1D53003E" w14:textId="77777777" w:rsidR="00C476B8" w:rsidRPr="00596496" w:rsidRDefault="00C476B8" w:rsidP="00C476B8">
            <w:pPr>
              <w:spacing w:line="240" w:lineRule="auto"/>
              <w:jc w:val="center"/>
              <w:rPr>
                <w:rFonts w:eastAsia="Calibri"/>
                <w:sz w:val="20"/>
                <w:szCs w:val="20"/>
              </w:rPr>
            </w:pPr>
            <w:r w:rsidRPr="00596496">
              <w:rPr>
                <w:rFonts w:eastAsia="Calibri"/>
                <w:sz w:val="20"/>
                <w:szCs w:val="20"/>
              </w:rPr>
              <w:t xml:space="preserve">Family structure of the household </w:t>
            </w:r>
          </w:p>
          <w:p w14:paraId="51FF903A" w14:textId="143CFFA7" w:rsidR="00C476B8" w:rsidRPr="00596496" w:rsidRDefault="00C476B8" w:rsidP="00C476B8">
            <w:pPr>
              <w:spacing w:line="240" w:lineRule="auto"/>
              <w:jc w:val="center"/>
              <w:rPr>
                <w:rFonts w:eastAsia="Calibri"/>
                <w:sz w:val="20"/>
                <w:szCs w:val="20"/>
              </w:rPr>
            </w:pPr>
            <w:r w:rsidRPr="00596496">
              <w:rPr>
                <w:rFonts w:eastAsia="Calibri"/>
                <w:sz w:val="20"/>
                <w:szCs w:val="20"/>
              </w:rPr>
              <w:t>(base: married couple with no children)</w:t>
            </w:r>
          </w:p>
        </w:tc>
        <w:tc>
          <w:tcPr>
            <w:tcW w:w="3420" w:type="dxa"/>
            <w:gridSpan w:val="4"/>
            <w:tcBorders>
              <w:top w:val="double" w:sz="4" w:space="0" w:color="auto"/>
              <w:left w:val="double" w:sz="4" w:space="0" w:color="auto"/>
              <w:right w:val="double" w:sz="4" w:space="0" w:color="auto"/>
            </w:tcBorders>
            <w:vAlign w:val="center"/>
          </w:tcPr>
          <w:p w14:paraId="3C6511B5" w14:textId="77777777" w:rsidR="00C476B8" w:rsidRPr="00596496" w:rsidRDefault="00C476B8" w:rsidP="00C476B8">
            <w:pPr>
              <w:spacing w:line="240" w:lineRule="auto"/>
              <w:jc w:val="center"/>
              <w:rPr>
                <w:rFonts w:eastAsia="Calibri"/>
                <w:sz w:val="20"/>
                <w:szCs w:val="20"/>
              </w:rPr>
            </w:pPr>
            <w:r w:rsidRPr="00596496">
              <w:rPr>
                <w:rFonts w:eastAsia="Calibri"/>
                <w:sz w:val="20"/>
                <w:szCs w:val="20"/>
              </w:rPr>
              <w:t xml:space="preserve">Number of children </w:t>
            </w:r>
          </w:p>
          <w:p w14:paraId="71036150" w14:textId="0C6517E9" w:rsidR="00C476B8" w:rsidRPr="00596496" w:rsidRDefault="00C476B8" w:rsidP="00C476B8">
            <w:pPr>
              <w:spacing w:line="240" w:lineRule="auto"/>
              <w:jc w:val="center"/>
              <w:rPr>
                <w:rFonts w:eastAsia="Calibri"/>
                <w:sz w:val="20"/>
                <w:szCs w:val="20"/>
              </w:rPr>
            </w:pPr>
            <w:r w:rsidRPr="00596496">
              <w:rPr>
                <w:rFonts w:eastAsia="Calibri"/>
                <w:sz w:val="20"/>
                <w:szCs w:val="20"/>
              </w:rPr>
              <w:t>(base: no children)</w:t>
            </w:r>
          </w:p>
        </w:tc>
      </w:tr>
      <w:tr w:rsidR="00596496" w:rsidRPr="00596496" w14:paraId="1300C85C" w14:textId="77777777" w:rsidTr="00FC2CB9">
        <w:trPr>
          <w:trHeight w:val="780"/>
          <w:jc w:val="center"/>
        </w:trPr>
        <w:tc>
          <w:tcPr>
            <w:tcW w:w="3312" w:type="dxa"/>
            <w:vMerge/>
            <w:tcBorders>
              <w:top w:val="double" w:sz="4" w:space="0" w:color="auto"/>
              <w:left w:val="double" w:sz="4" w:space="0" w:color="auto"/>
              <w:right w:val="double" w:sz="4" w:space="0" w:color="auto"/>
            </w:tcBorders>
            <w:vAlign w:val="center"/>
          </w:tcPr>
          <w:p w14:paraId="2CB97780" w14:textId="77777777" w:rsidR="00C476B8" w:rsidRPr="00596496" w:rsidRDefault="00C476B8" w:rsidP="00C476B8">
            <w:pPr>
              <w:spacing w:line="240" w:lineRule="auto"/>
              <w:jc w:val="center"/>
              <w:rPr>
                <w:rFonts w:eastAsia="Calibri"/>
                <w:b/>
                <w:sz w:val="20"/>
                <w:szCs w:val="20"/>
              </w:rPr>
            </w:pPr>
          </w:p>
        </w:tc>
        <w:tc>
          <w:tcPr>
            <w:tcW w:w="1710" w:type="dxa"/>
            <w:gridSpan w:val="2"/>
            <w:tcBorders>
              <w:top w:val="double" w:sz="4" w:space="0" w:color="auto"/>
              <w:left w:val="double" w:sz="4" w:space="0" w:color="auto"/>
              <w:right w:val="double" w:sz="4" w:space="0" w:color="auto"/>
            </w:tcBorders>
            <w:vAlign w:val="center"/>
          </w:tcPr>
          <w:p w14:paraId="622A32A1" w14:textId="3A70D886" w:rsidR="00C476B8" w:rsidRPr="00596496" w:rsidRDefault="00C476B8" w:rsidP="00C476B8">
            <w:pPr>
              <w:spacing w:line="240" w:lineRule="auto"/>
              <w:jc w:val="center"/>
              <w:rPr>
                <w:rFonts w:eastAsia="Calibri"/>
                <w:sz w:val="20"/>
                <w:szCs w:val="20"/>
              </w:rPr>
            </w:pPr>
            <w:r w:rsidRPr="00596496">
              <w:rPr>
                <w:rFonts w:eastAsia="Calibri"/>
                <w:sz w:val="20"/>
                <w:szCs w:val="20"/>
              </w:rPr>
              <w:t>Single person never married (NM) household</w:t>
            </w:r>
          </w:p>
        </w:tc>
        <w:tc>
          <w:tcPr>
            <w:tcW w:w="1794" w:type="dxa"/>
            <w:gridSpan w:val="2"/>
            <w:tcBorders>
              <w:top w:val="double" w:sz="4" w:space="0" w:color="auto"/>
              <w:left w:val="double" w:sz="4" w:space="0" w:color="auto"/>
              <w:right w:val="double" w:sz="4" w:space="0" w:color="auto"/>
            </w:tcBorders>
            <w:vAlign w:val="center"/>
          </w:tcPr>
          <w:p w14:paraId="07E52F1F" w14:textId="2A153365" w:rsidR="00C476B8" w:rsidRPr="00596496" w:rsidRDefault="00C476B8" w:rsidP="00C476B8">
            <w:pPr>
              <w:spacing w:line="240" w:lineRule="auto"/>
              <w:jc w:val="center"/>
              <w:rPr>
                <w:rFonts w:eastAsia="Calibri"/>
                <w:sz w:val="20"/>
                <w:szCs w:val="20"/>
              </w:rPr>
            </w:pPr>
            <w:r w:rsidRPr="00596496">
              <w:rPr>
                <w:rFonts w:eastAsia="Calibri"/>
                <w:sz w:val="20"/>
                <w:szCs w:val="20"/>
              </w:rPr>
              <w:t>Single person separated/divorced (S/D) household</w:t>
            </w:r>
          </w:p>
        </w:tc>
        <w:tc>
          <w:tcPr>
            <w:tcW w:w="1692" w:type="dxa"/>
            <w:gridSpan w:val="2"/>
            <w:tcBorders>
              <w:top w:val="double" w:sz="4" w:space="0" w:color="auto"/>
              <w:left w:val="double" w:sz="4" w:space="0" w:color="auto"/>
              <w:right w:val="double" w:sz="4" w:space="0" w:color="auto"/>
            </w:tcBorders>
            <w:vAlign w:val="center"/>
          </w:tcPr>
          <w:p w14:paraId="7E4D6990" w14:textId="7CE64C97" w:rsidR="00C476B8" w:rsidRPr="00596496" w:rsidRDefault="00C476B8" w:rsidP="00C476B8">
            <w:pPr>
              <w:spacing w:line="240" w:lineRule="auto"/>
              <w:jc w:val="center"/>
              <w:rPr>
                <w:rFonts w:eastAsia="Calibri"/>
                <w:sz w:val="20"/>
                <w:szCs w:val="20"/>
              </w:rPr>
            </w:pPr>
            <w:r w:rsidRPr="00596496">
              <w:rPr>
                <w:rFonts w:eastAsia="Calibri"/>
                <w:sz w:val="20"/>
                <w:szCs w:val="20"/>
              </w:rPr>
              <w:t>Nuclear family household</w:t>
            </w:r>
          </w:p>
        </w:tc>
        <w:tc>
          <w:tcPr>
            <w:tcW w:w="1752" w:type="dxa"/>
            <w:gridSpan w:val="2"/>
            <w:tcBorders>
              <w:top w:val="double" w:sz="4" w:space="0" w:color="auto"/>
              <w:left w:val="double" w:sz="4" w:space="0" w:color="auto"/>
              <w:right w:val="double" w:sz="4" w:space="0" w:color="auto"/>
            </w:tcBorders>
            <w:vAlign w:val="center"/>
          </w:tcPr>
          <w:p w14:paraId="7AD7A714" w14:textId="0346DBAE" w:rsidR="00C476B8" w:rsidRPr="00596496" w:rsidRDefault="00C476B8" w:rsidP="00C476B8">
            <w:pPr>
              <w:spacing w:line="240" w:lineRule="auto"/>
              <w:jc w:val="center"/>
              <w:rPr>
                <w:rFonts w:eastAsia="Calibri"/>
                <w:sz w:val="20"/>
                <w:szCs w:val="20"/>
              </w:rPr>
            </w:pPr>
            <w:r w:rsidRPr="00596496">
              <w:rPr>
                <w:rFonts w:eastAsia="Calibri"/>
                <w:sz w:val="20"/>
                <w:szCs w:val="20"/>
              </w:rPr>
              <w:t>Other households</w:t>
            </w:r>
          </w:p>
        </w:tc>
        <w:tc>
          <w:tcPr>
            <w:tcW w:w="1710" w:type="dxa"/>
            <w:gridSpan w:val="2"/>
            <w:tcBorders>
              <w:top w:val="double" w:sz="4" w:space="0" w:color="auto"/>
              <w:left w:val="double" w:sz="4" w:space="0" w:color="auto"/>
              <w:right w:val="double" w:sz="4" w:space="0" w:color="auto"/>
            </w:tcBorders>
            <w:vAlign w:val="center"/>
          </w:tcPr>
          <w:p w14:paraId="026D8A98" w14:textId="4613AEC4" w:rsidR="00C476B8" w:rsidRPr="00596496" w:rsidRDefault="00C476B8" w:rsidP="00C476B8">
            <w:pPr>
              <w:spacing w:line="240" w:lineRule="auto"/>
              <w:jc w:val="center"/>
              <w:rPr>
                <w:rFonts w:eastAsia="Calibri"/>
                <w:sz w:val="20"/>
                <w:szCs w:val="20"/>
              </w:rPr>
            </w:pPr>
            <w:r w:rsidRPr="00596496">
              <w:rPr>
                <w:rFonts w:eastAsia="Calibri"/>
                <w:sz w:val="20"/>
                <w:szCs w:val="20"/>
              </w:rPr>
              <w:t xml:space="preserve"> # of children ≤ 10 years old  </w:t>
            </w:r>
          </w:p>
        </w:tc>
        <w:tc>
          <w:tcPr>
            <w:tcW w:w="1710" w:type="dxa"/>
            <w:gridSpan w:val="2"/>
            <w:tcBorders>
              <w:top w:val="double" w:sz="4" w:space="0" w:color="auto"/>
              <w:left w:val="double" w:sz="4" w:space="0" w:color="auto"/>
              <w:right w:val="double" w:sz="4" w:space="0" w:color="auto"/>
            </w:tcBorders>
            <w:vAlign w:val="center"/>
          </w:tcPr>
          <w:p w14:paraId="41171ECC" w14:textId="076145A0" w:rsidR="00C476B8" w:rsidRPr="00596496" w:rsidRDefault="00C476B8" w:rsidP="00C476B8">
            <w:pPr>
              <w:spacing w:line="240" w:lineRule="auto"/>
              <w:jc w:val="center"/>
              <w:rPr>
                <w:rFonts w:eastAsia="Calibri"/>
                <w:sz w:val="20"/>
                <w:szCs w:val="20"/>
              </w:rPr>
            </w:pPr>
            <w:r w:rsidRPr="00596496">
              <w:rPr>
                <w:rFonts w:eastAsia="Calibri"/>
                <w:sz w:val="20"/>
                <w:szCs w:val="20"/>
              </w:rPr>
              <w:t># of children 11-16 years old</w:t>
            </w:r>
          </w:p>
        </w:tc>
      </w:tr>
      <w:tr w:rsidR="00596496" w:rsidRPr="00596496" w14:paraId="3731036E" w14:textId="77777777" w:rsidTr="00FC2CB9">
        <w:trPr>
          <w:trHeight w:val="371"/>
          <w:jc w:val="center"/>
        </w:trPr>
        <w:tc>
          <w:tcPr>
            <w:tcW w:w="3312" w:type="dxa"/>
            <w:vMerge/>
            <w:tcBorders>
              <w:left w:val="double" w:sz="4" w:space="0" w:color="auto"/>
              <w:bottom w:val="double" w:sz="4" w:space="0" w:color="auto"/>
              <w:right w:val="double" w:sz="4" w:space="0" w:color="auto"/>
            </w:tcBorders>
            <w:vAlign w:val="center"/>
          </w:tcPr>
          <w:p w14:paraId="20133310" w14:textId="77777777" w:rsidR="00C476B8" w:rsidRPr="00596496" w:rsidRDefault="00C476B8" w:rsidP="00C476B8">
            <w:pPr>
              <w:spacing w:line="240" w:lineRule="auto"/>
              <w:jc w:val="center"/>
              <w:rPr>
                <w:rFonts w:eastAsia="Calibri"/>
                <w:b/>
                <w:sz w:val="20"/>
                <w:szCs w:val="20"/>
              </w:rPr>
            </w:pPr>
          </w:p>
        </w:tc>
        <w:tc>
          <w:tcPr>
            <w:tcW w:w="864" w:type="dxa"/>
            <w:tcBorders>
              <w:left w:val="double" w:sz="4" w:space="0" w:color="auto"/>
              <w:bottom w:val="double" w:sz="4" w:space="0" w:color="auto"/>
            </w:tcBorders>
            <w:vAlign w:val="center"/>
          </w:tcPr>
          <w:p w14:paraId="1B9AA4C9" w14:textId="77777777" w:rsidR="00C476B8" w:rsidRPr="00596496" w:rsidRDefault="00C476B8" w:rsidP="00C476B8">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846" w:type="dxa"/>
            <w:tcBorders>
              <w:bottom w:val="double" w:sz="4" w:space="0" w:color="auto"/>
              <w:right w:val="double" w:sz="4" w:space="0" w:color="auto"/>
            </w:tcBorders>
            <w:vAlign w:val="center"/>
          </w:tcPr>
          <w:p w14:paraId="16B080CC" w14:textId="77777777" w:rsidR="00C476B8" w:rsidRPr="00596496" w:rsidRDefault="00C476B8" w:rsidP="00C476B8">
            <w:pPr>
              <w:spacing w:line="240" w:lineRule="auto"/>
              <w:jc w:val="center"/>
              <w:rPr>
                <w:rFonts w:eastAsia="Calibri"/>
                <w:b/>
                <w:sz w:val="20"/>
                <w:szCs w:val="20"/>
              </w:rPr>
            </w:pPr>
            <w:r w:rsidRPr="00596496">
              <w:rPr>
                <w:rFonts w:eastAsia="Calibri"/>
                <w:b/>
                <w:sz w:val="20"/>
                <w:szCs w:val="20"/>
              </w:rPr>
              <w:t>T-stat</w:t>
            </w:r>
          </w:p>
        </w:tc>
        <w:tc>
          <w:tcPr>
            <w:tcW w:w="966" w:type="dxa"/>
            <w:tcBorders>
              <w:left w:val="double" w:sz="4" w:space="0" w:color="auto"/>
              <w:bottom w:val="double" w:sz="4" w:space="0" w:color="auto"/>
            </w:tcBorders>
            <w:vAlign w:val="center"/>
          </w:tcPr>
          <w:p w14:paraId="0C49DA6B" w14:textId="77777777" w:rsidR="00C476B8" w:rsidRPr="00596496" w:rsidRDefault="00C476B8" w:rsidP="00C476B8">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828" w:type="dxa"/>
            <w:tcBorders>
              <w:bottom w:val="double" w:sz="4" w:space="0" w:color="auto"/>
              <w:right w:val="double" w:sz="4" w:space="0" w:color="auto"/>
            </w:tcBorders>
            <w:vAlign w:val="center"/>
          </w:tcPr>
          <w:p w14:paraId="084CF937" w14:textId="77777777" w:rsidR="00C476B8" w:rsidRPr="00596496" w:rsidRDefault="00C476B8" w:rsidP="00C476B8">
            <w:pPr>
              <w:spacing w:line="240" w:lineRule="auto"/>
              <w:jc w:val="center"/>
              <w:rPr>
                <w:rFonts w:eastAsia="Calibri"/>
                <w:b/>
                <w:sz w:val="20"/>
                <w:szCs w:val="20"/>
              </w:rPr>
            </w:pPr>
            <w:r w:rsidRPr="00596496">
              <w:rPr>
                <w:rFonts w:eastAsia="Calibri"/>
                <w:b/>
                <w:sz w:val="20"/>
                <w:szCs w:val="20"/>
              </w:rPr>
              <w:t>T-stat</w:t>
            </w:r>
          </w:p>
        </w:tc>
        <w:tc>
          <w:tcPr>
            <w:tcW w:w="864" w:type="dxa"/>
            <w:tcBorders>
              <w:left w:val="double" w:sz="4" w:space="0" w:color="auto"/>
              <w:bottom w:val="double" w:sz="4" w:space="0" w:color="auto"/>
            </w:tcBorders>
            <w:vAlign w:val="center"/>
          </w:tcPr>
          <w:p w14:paraId="0C016B41" w14:textId="77777777" w:rsidR="00C476B8" w:rsidRPr="00596496" w:rsidRDefault="00C476B8" w:rsidP="00C476B8">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828" w:type="dxa"/>
            <w:tcBorders>
              <w:bottom w:val="double" w:sz="4" w:space="0" w:color="auto"/>
              <w:right w:val="double" w:sz="4" w:space="0" w:color="auto"/>
            </w:tcBorders>
            <w:vAlign w:val="center"/>
          </w:tcPr>
          <w:p w14:paraId="2D7C5FE6" w14:textId="77777777" w:rsidR="00C476B8" w:rsidRPr="00596496" w:rsidRDefault="00C476B8" w:rsidP="00C476B8">
            <w:pPr>
              <w:spacing w:line="240" w:lineRule="auto"/>
              <w:jc w:val="center"/>
              <w:rPr>
                <w:rFonts w:eastAsia="Calibri"/>
                <w:b/>
                <w:sz w:val="20"/>
                <w:szCs w:val="20"/>
              </w:rPr>
            </w:pPr>
            <w:r w:rsidRPr="00596496">
              <w:rPr>
                <w:rFonts w:eastAsia="Calibri"/>
                <w:b/>
                <w:sz w:val="20"/>
                <w:szCs w:val="20"/>
              </w:rPr>
              <w:t>T-stat</w:t>
            </w:r>
          </w:p>
        </w:tc>
        <w:tc>
          <w:tcPr>
            <w:tcW w:w="864" w:type="dxa"/>
            <w:tcBorders>
              <w:left w:val="double" w:sz="4" w:space="0" w:color="auto"/>
              <w:bottom w:val="double" w:sz="4" w:space="0" w:color="auto"/>
            </w:tcBorders>
            <w:vAlign w:val="center"/>
          </w:tcPr>
          <w:p w14:paraId="1777D8BE" w14:textId="77777777" w:rsidR="00C476B8" w:rsidRPr="00596496" w:rsidRDefault="00C476B8" w:rsidP="00C476B8">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888" w:type="dxa"/>
            <w:tcBorders>
              <w:bottom w:val="double" w:sz="4" w:space="0" w:color="auto"/>
              <w:right w:val="double" w:sz="4" w:space="0" w:color="auto"/>
            </w:tcBorders>
            <w:vAlign w:val="center"/>
          </w:tcPr>
          <w:p w14:paraId="6BC2B0DC" w14:textId="2DE0D200" w:rsidR="00C476B8" w:rsidRPr="00596496" w:rsidRDefault="00C476B8" w:rsidP="00C476B8">
            <w:pPr>
              <w:spacing w:line="240" w:lineRule="auto"/>
              <w:jc w:val="center"/>
              <w:rPr>
                <w:rFonts w:eastAsia="Calibri"/>
                <w:b/>
                <w:sz w:val="20"/>
                <w:szCs w:val="20"/>
              </w:rPr>
            </w:pPr>
            <w:r w:rsidRPr="00596496">
              <w:rPr>
                <w:rFonts w:eastAsia="Calibri"/>
                <w:b/>
                <w:sz w:val="20"/>
                <w:szCs w:val="20"/>
              </w:rPr>
              <w:t>T-stat</w:t>
            </w:r>
          </w:p>
        </w:tc>
        <w:tc>
          <w:tcPr>
            <w:tcW w:w="840" w:type="dxa"/>
            <w:tcBorders>
              <w:bottom w:val="double" w:sz="4" w:space="0" w:color="auto"/>
            </w:tcBorders>
            <w:vAlign w:val="center"/>
          </w:tcPr>
          <w:p w14:paraId="2FDD9210" w14:textId="26198714" w:rsidR="00C476B8" w:rsidRPr="00596496" w:rsidRDefault="00C476B8" w:rsidP="00C476B8">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870" w:type="dxa"/>
            <w:tcBorders>
              <w:bottom w:val="double" w:sz="4" w:space="0" w:color="auto"/>
              <w:right w:val="double" w:sz="4" w:space="0" w:color="auto"/>
            </w:tcBorders>
            <w:vAlign w:val="center"/>
          </w:tcPr>
          <w:p w14:paraId="77AE2E79" w14:textId="3C5FDB7D" w:rsidR="00C476B8" w:rsidRPr="00596496" w:rsidRDefault="00C476B8" w:rsidP="00C476B8">
            <w:pPr>
              <w:spacing w:line="240" w:lineRule="auto"/>
              <w:jc w:val="center"/>
              <w:rPr>
                <w:rFonts w:eastAsia="Calibri"/>
                <w:b/>
                <w:sz w:val="20"/>
                <w:szCs w:val="20"/>
              </w:rPr>
            </w:pPr>
            <w:r w:rsidRPr="00596496">
              <w:rPr>
                <w:rFonts w:eastAsia="Calibri"/>
                <w:b/>
                <w:sz w:val="20"/>
                <w:szCs w:val="20"/>
              </w:rPr>
              <w:t>T-stat</w:t>
            </w:r>
          </w:p>
        </w:tc>
        <w:tc>
          <w:tcPr>
            <w:tcW w:w="858" w:type="dxa"/>
            <w:tcBorders>
              <w:left w:val="double" w:sz="4" w:space="0" w:color="auto"/>
              <w:bottom w:val="double" w:sz="4" w:space="0" w:color="auto"/>
            </w:tcBorders>
            <w:vAlign w:val="center"/>
          </w:tcPr>
          <w:p w14:paraId="4BCC51E0" w14:textId="4474205A" w:rsidR="00C476B8" w:rsidRPr="00596496" w:rsidRDefault="00C476B8" w:rsidP="00C476B8">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852" w:type="dxa"/>
            <w:tcBorders>
              <w:bottom w:val="double" w:sz="4" w:space="0" w:color="auto"/>
              <w:right w:val="double" w:sz="4" w:space="0" w:color="auto"/>
            </w:tcBorders>
            <w:vAlign w:val="center"/>
          </w:tcPr>
          <w:p w14:paraId="78C9D898" w14:textId="360A03A6" w:rsidR="00C476B8" w:rsidRPr="00596496" w:rsidRDefault="00C476B8" w:rsidP="00C476B8">
            <w:pPr>
              <w:spacing w:line="240" w:lineRule="auto"/>
              <w:jc w:val="center"/>
              <w:rPr>
                <w:rFonts w:eastAsia="Calibri"/>
                <w:b/>
                <w:sz w:val="20"/>
                <w:szCs w:val="20"/>
              </w:rPr>
            </w:pPr>
            <w:r w:rsidRPr="00596496">
              <w:rPr>
                <w:rFonts w:eastAsia="Calibri"/>
                <w:b/>
                <w:sz w:val="20"/>
                <w:szCs w:val="20"/>
              </w:rPr>
              <w:t>T-stat</w:t>
            </w:r>
          </w:p>
        </w:tc>
      </w:tr>
      <w:tr w:rsidR="00596496" w:rsidRPr="00596496" w14:paraId="06042CAD" w14:textId="77777777" w:rsidTr="00FC2CB9">
        <w:trPr>
          <w:trHeight w:val="270"/>
          <w:jc w:val="center"/>
        </w:trPr>
        <w:tc>
          <w:tcPr>
            <w:tcW w:w="3312" w:type="dxa"/>
            <w:tcBorders>
              <w:top w:val="double" w:sz="4" w:space="0" w:color="auto"/>
              <w:left w:val="double" w:sz="4" w:space="0" w:color="auto"/>
              <w:right w:val="double" w:sz="4" w:space="0" w:color="auto"/>
            </w:tcBorders>
            <w:vAlign w:val="center"/>
          </w:tcPr>
          <w:p w14:paraId="6E5D551F" w14:textId="34438742" w:rsidR="00C476B8" w:rsidRPr="00596496" w:rsidRDefault="00C476B8" w:rsidP="00E14270">
            <w:pPr>
              <w:spacing w:line="240" w:lineRule="auto"/>
              <w:rPr>
                <w:rFonts w:eastAsia="Calibri"/>
                <w:b/>
                <w:sz w:val="20"/>
                <w:szCs w:val="20"/>
              </w:rPr>
            </w:pPr>
            <w:r w:rsidRPr="00596496">
              <w:rPr>
                <w:rFonts w:eastAsia="Calibri"/>
                <w:b/>
                <w:sz w:val="20"/>
                <w:szCs w:val="20"/>
              </w:rPr>
              <w:t xml:space="preserve">Housing type (base: single family)   </w:t>
            </w:r>
          </w:p>
        </w:tc>
        <w:tc>
          <w:tcPr>
            <w:tcW w:w="864" w:type="dxa"/>
            <w:tcBorders>
              <w:top w:val="double" w:sz="4" w:space="0" w:color="auto"/>
              <w:left w:val="double" w:sz="4" w:space="0" w:color="auto"/>
            </w:tcBorders>
            <w:vAlign w:val="center"/>
          </w:tcPr>
          <w:p w14:paraId="0D976F04" w14:textId="77777777" w:rsidR="00C476B8" w:rsidRPr="00596496" w:rsidRDefault="00C476B8" w:rsidP="00E14270">
            <w:pPr>
              <w:spacing w:line="240" w:lineRule="auto"/>
              <w:jc w:val="center"/>
              <w:rPr>
                <w:rFonts w:eastAsia="Calibri"/>
                <w:sz w:val="20"/>
                <w:szCs w:val="20"/>
              </w:rPr>
            </w:pPr>
          </w:p>
        </w:tc>
        <w:tc>
          <w:tcPr>
            <w:tcW w:w="846" w:type="dxa"/>
            <w:tcBorders>
              <w:top w:val="double" w:sz="4" w:space="0" w:color="auto"/>
              <w:right w:val="double" w:sz="4" w:space="0" w:color="auto"/>
            </w:tcBorders>
            <w:vAlign w:val="center"/>
          </w:tcPr>
          <w:p w14:paraId="058A9D89" w14:textId="77777777" w:rsidR="00C476B8" w:rsidRPr="00596496" w:rsidRDefault="00C476B8" w:rsidP="00E14270">
            <w:pPr>
              <w:spacing w:line="240" w:lineRule="auto"/>
              <w:jc w:val="center"/>
              <w:rPr>
                <w:rFonts w:eastAsia="Calibri"/>
                <w:sz w:val="20"/>
                <w:szCs w:val="20"/>
              </w:rPr>
            </w:pPr>
          </w:p>
        </w:tc>
        <w:tc>
          <w:tcPr>
            <w:tcW w:w="966" w:type="dxa"/>
            <w:tcBorders>
              <w:top w:val="double" w:sz="4" w:space="0" w:color="auto"/>
              <w:left w:val="double" w:sz="4" w:space="0" w:color="auto"/>
            </w:tcBorders>
            <w:vAlign w:val="center"/>
          </w:tcPr>
          <w:p w14:paraId="31CA4346" w14:textId="77777777" w:rsidR="00C476B8" w:rsidRPr="00596496" w:rsidRDefault="00C476B8" w:rsidP="00E14270">
            <w:pPr>
              <w:spacing w:line="240" w:lineRule="auto"/>
              <w:jc w:val="center"/>
              <w:rPr>
                <w:rFonts w:eastAsia="Calibri"/>
                <w:sz w:val="20"/>
                <w:szCs w:val="20"/>
              </w:rPr>
            </w:pPr>
          </w:p>
        </w:tc>
        <w:tc>
          <w:tcPr>
            <w:tcW w:w="828" w:type="dxa"/>
            <w:tcBorders>
              <w:top w:val="double" w:sz="4" w:space="0" w:color="auto"/>
              <w:right w:val="double" w:sz="4" w:space="0" w:color="auto"/>
            </w:tcBorders>
            <w:vAlign w:val="center"/>
          </w:tcPr>
          <w:p w14:paraId="3783983E" w14:textId="77777777" w:rsidR="00C476B8" w:rsidRPr="00596496" w:rsidRDefault="00C476B8" w:rsidP="00E14270">
            <w:pPr>
              <w:spacing w:line="240" w:lineRule="auto"/>
              <w:jc w:val="center"/>
              <w:rPr>
                <w:rFonts w:eastAsia="Calibri"/>
                <w:sz w:val="20"/>
                <w:szCs w:val="20"/>
              </w:rPr>
            </w:pPr>
          </w:p>
        </w:tc>
        <w:tc>
          <w:tcPr>
            <w:tcW w:w="864" w:type="dxa"/>
            <w:tcBorders>
              <w:top w:val="double" w:sz="4" w:space="0" w:color="auto"/>
              <w:left w:val="double" w:sz="4" w:space="0" w:color="auto"/>
            </w:tcBorders>
            <w:vAlign w:val="center"/>
          </w:tcPr>
          <w:p w14:paraId="4E7444C2" w14:textId="77777777" w:rsidR="00C476B8" w:rsidRPr="00596496" w:rsidRDefault="00C476B8" w:rsidP="00E14270">
            <w:pPr>
              <w:spacing w:line="240" w:lineRule="auto"/>
              <w:jc w:val="center"/>
              <w:rPr>
                <w:rFonts w:eastAsia="Calibri"/>
                <w:sz w:val="20"/>
                <w:szCs w:val="20"/>
              </w:rPr>
            </w:pPr>
          </w:p>
        </w:tc>
        <w:tc>
          <w:tcPr>
            <w:tcW w:w="828" w:type="dxa"/>
            <w:tcBorders>
              <w:top w:val="double" w:sz="4" w:space="0" w:color="auto"/>
              <w:right w:val="double" w:sz="4" w:space="0" w:color="auto"/>
            </w:tcBorders>
            <w:vAlign w:val="center"/>
          </w:tcPr>
          <w:p w14:paraId="5D7EB631" w14:textId="77777777" w:rsidR="00C476B8" w:rsidRPr="00596496" w:rsidRDefault="00C476B8" w:rsidP="00E14270">
            <w:pPr>
              <w:spacing w:line="240" w:lineRule="auto"/>
              <w:jc w:val="center"/>
              <w:rPr>
                <w:rFonts w:eastAsia="Calibri"/>
                <w:sz w:val="20"/>
                <w:szCs w:val="20"/>
              </w:rPr>
            </w:pPr>
          </w:p>
        </w:tc>
        <w:tc>
          <w:tcPr>
            <w:tcW w:w="864" w:type="dxa"/>
            <w:tcBorders>
              <w:top w:val="double" w:sz="4" w:space="0" w:color="auto"/>
              <w:left w:val="double" w:sz="4" w:space="0" w:color="auto"/>
            </w:tcBorders>
            <w:vAlign w:val="center"/>
          </w:tcPr>
          <w:p w14:paraId="61206F55" w14:textId="77777777" w:rsidR="00C476B8" w:rsidRPr="00596496" w:rsidRDefault="00C476B8" w:rsidP="00E14270">
            <w:pPr>
              <w:spacing w:line="240" w:lineRule="auto"/>
              <w:jc w:val="center"/>
              <w:rPr>
                <w:rFonts w:eastAsia="Calibri"/>
                <w:sz w:val="20"/>
                <w:szCs w:val="20"/>
              </w:rPr>
            </w:pPr>
          </w:p>
        </w:tc>
        <w:tc>
          <w:tcPr>
            <w:tcW w:w="888" w:type="dxa"/>
            <w:tcBorders>
              <w:top w:val="double" w:sz="4" w:space="0" w:color="auto"/>
              <w:right w:val="double" w:sz="4" w:space="0" w:color="auto"/>
            </w:tcBorders>
            <w:vAlign w:val="center"/>
          </w:tcPr>
          <w:p w14:paraId="345C018C" w14:textId="77777777" w:rsidR="00C476B8" w:rsidRPr="00596496" w:rsidRDefault="00C476B8" w:rsidP="00E14270">
            <w:pPr>
              <w:spacing w:line="240" w:lineRule="auto"/>
              <w:jc w:val="center"/>
              <w:rPr>
                <w:rFonts w:eastAsia="Calibri"/>
                <w:sz w:val="20"/>
                <w:szCs w:val="20"/>
              </w:rPr>
            </w:pPr>
          </w:p>
        </w:tc>
        <w:tc>
          <w:tcPr>
            <w:tcW w:w="840" w:type="dxa"/>
            <w:tcBorders>
              <w:top w:val="double" w:sz="4" w:space="0" w:color="auto"/>
            </w:tcBorders>
            <w:vAlign w:val="center"/>
          </w:tcPr>
          <w:p w14:paraId="49A62A88" w14:textId="77777777" w:rsidR="00C476B8" w:rsidRPr="00596496" w:rsidRDefault="00C476B8" w:rsidP="00E14270">
            <w:pPr>
              <w:spacing w:line="240" w:lineRule="auto"/>
              <w:jc w:val="center"/>
              <w:rPr>
                <w:rFonts w:eastAsia="Calibri"/>
                <w:sz w:val="20"/>
                <w:szCs w:val="20"/>
              </w:rPr>
            </w:pPr>
          </w:p>
        </w:tc>
        <w:tc>
          <w:tcPr>
            <w:tcW w:w="870" w:type="dxa"/>
            <w:tcBorders>
              <w:top w:val="double" w:sz="4" w:space="0" w:color="auto"/>
              <w:right w:val="double" w:sz="4" w:space="0" w:color="auto"/>
            </w:tcBorders>
            <w:vAlign w:val="center"/>
          </w:tcPr>
          <w:p w14:paraId="764BCCE2" w14:textId="62394202" w:rsidR="00C476B8" w:rsidRPr="00596496" w:rsidRDefault="00C476B8" w:rsidP="00E14270">
            <w:pPr>
              <w:spacing w:line="240" w:lineRule="auto"/>
              <w:jc w:val="center"/>
              <w:rPr>
                <w:rFonts w:eastAsia="Calibri"/>
                <w:sz w:val="20"/>
                <w:szCs w:val="20"/>
              </w:rPr>
            </w:pPr>
          </w:p>
        </w:tc>
        <w:tc>
          <w:tcPr>
            <w:tcW w:w="858" w:type="dxa"/>
            <w:tcBorders>
              <w:top w:val="double" w:sz="4" w:space="0" w:color="auto"/>
              <w:left w:val="double" w:sz="4" w:space="0" w:color="auto"/>
            </w:tcBorders>
            <w:vAlign w:val="center"/>
          </w:tcPr>
          <w:p w14:paraId="2796D877" w14:textId="7039D921" w:rsidR="00C476B8" w:rsidRPr="00596496" w:rsidRDefault="00C476B8" w:rsidP="00E14270">
            <w:pPr>
              <w:spacing w:line="240" w:lineRule="auto"/>
              <w:jc w:val="center"/>
              <w:rPr>
                <w:rFonts w:eastAsia="Calibri"/>
                <w:sz w:val="20"/>
                <w:szCs w:val="20"/>
              </w:rPr>
            </w:pPr>
          </w:p>
        </w:tc>
        <w:tc>
          <w:tcPr>
            <w:tcW w:w="852" w:type="dxa"/>
            <w:tcBorders>
              <w:top w:val="double" w:sz="4" w:space="0" w:color="auto"/>
              <w:right w:val="double" w:sz="4" w:space="0" w:color="auto"/>
            </w:tcBorders>
            <w:vAlign w:val="center"/>
          </w:tcPr>
          <w:p w14:paraId="4984C4D0" w14:textId="786DCE78" w:rsidR="00C476B8" w:rsidRPr="00596496" w:rsidRDefault="00C476B8" w:rsidP="00E14270">
            <w:pPr>
              <w:spacing w:line="240" w:lineRule="auto"/>
              <w:jc w:val="center"/>
              <w:rPr>
                <w:rFonts w:eastAsia="Calibri"/>
                <w:sz w:val="20"/>
                <w:szCs w:val="20"/>
              </w:rPr>
            </w:pPr>
          </w:p>
        </w:tc>
      </w:tr>
      <w:tr w:rsidR="00596496" w:rsidRPr="00596496" w14:paraId="0AF0AE0E" w14:textId="77777777" w:rsidTr="00FC2CB9">
        <w:trPr>
          <w:trHeight w:val="286"/>
          <w:jc w:val="center"/>
        </w:trPr>
        <w:tc>
          <w:tcPr>
            <w:tcW w:w="3312" w:type="dxa"/>
            <w:tcBorders>
              <w:left w:val="double" w:sz="4" w:space="0" w:color="auto"/>
              <w:right w:val="double" w:sz="4" w:space="0" w:color="auto"/>
            </w:tcBorders>
            <w:vAlign w:val="center"/>
          </w:tcPr>
          <w:p w14:paraId="6932AD41" w14:textId="77777777" w:rsidR="00C476B8" w:rsidRPr="00596496" w:rsidRDefault="00C476B8" w:rsidP="00E14270">
            <w:pPr>
              <w:spacing w:line="240" w:lineRule="auto"/>
              <w:rPr>
                <w:rFonts w:eastAsia="Calibri"/>
                <w:sz w:val="20"/>
                <w:szCs w:val="20"/>
              </w:rPr>
            </w:pPr>
            <w:r w:rsidRPr="00596496">
              <w:rPr>
                <w:rFonts w:eastAsia="Calibri"/>
                <w:sz w:val="20"/>
                <w:szCs w:val="20"/>
              </w:rPr>
              <w:t xml:space="preserve">   Apartment</w:t>
            </w:r>
          </w:p>
        </w:tc>
        <w:tc>
          <w:tcPr>
            <w:tcW w:w="864" w:type="dxa"/>
            <w:tcBorders>
              <w:left w:val="double" w:sz="4" w:space="0" w:color="auto"/>
            </w:tcBorders>
            <w:vAlign w:val="center"/>
          </w:tcPr>
          <w:p w14:paraId="582D9098" w14:textId="77777777" w:rsidR="00C476B8" w:rsidRPr="00596496" w:rsidRDefault="00C476B8" w:rsidP="00E14270">
            <w:pPr>
              <w:spacing w:line="240" w:lineRule="auto"/>
              <w:jc w:val="center"/>
              <w:rPr>
                <w:rFonts w:eastAsia="Calibri"/>
                <w:sz w:val="20"/>
                <w:szCs w:val="20"/>
              </w:rPr>
            </w:pPr>
            <w:r w:rsidRPr="00596496">
              <w:rPr>
                <w:rFonts w:eastAsia="Calibri"/>
                <w:sz w:val="20"/>
                <w:szCs w:val="20"/>
              </w:rPr>
              <w:t>1.103</w:t>
            </w:r>
          </w:p>
        </w:tc>
        <w:tc>
          <w:tcPr>
            <w:tcW w:w="846" w:type="dxa"/>
            <w:tcBorders>
              <w:right w:val="double" w:sz="4" w:space="0" w:color="auto"/>
            </w:tcBorders>
            <w:vAlign w:val="center"/>
          </w:tcPr>
          <w:p w14:paraId="67110C54" w14:textId="77777777" w:rsidR="00C476B8" w:rsidRPr="00596496" w:rsidRDefault="00C476B8" w:rsidP="00E14270">
            <w:pPr>
              <w:spacing w:line="240" w:lineRule="auto"/>
              <w:jc w:val="center"/>
              <w:rPr>
                <w:rFonts w:eastAsia="Calibri"/>
                <w:sz w:val="20"/>
                <w:szCs w:val="20"/>
              </w:rPr>
            </w:pPr>
            <w:r w:rsidRPr="00596496">
              <w:rPr>
                <w:rFonts w:eastAsia="Calibri"/>
                <w:sz w:val="20"/>
                <w:szCs w:val="20"/>
              </w:rPr>
              <w:t>32.288</w:t>
            </w:r>
          </w:p>
        </w:tc>
        <w:tc>
          <w:tcPr>
            <w:tcW w:w="966" w:type="dxa"/>
            <w:tcBorders>
              <w:left w:val="double" w:sz="4" w:space="0" w:color="auto"/>
            </w:tcBorders>
            <w:vAlign w:val="center"/>
          </w:tcPr>
          <w:p w14:paraId="1412EF0D" w14:textId="1D12804C" w:rsidR="00C476B8" w:rsidRPr="00596496" w:rsidRDefault="00C476B8" w:rsidP="00E14270">
            <w:pPr>
              <w:spacing w:line="240" w:lineRule="auto"/>
              <w:jc w:val="center"/>
              <w:rPr>
                <w:rFonts w:eastAsia="Calibri"/>
                <w:sz w:val="20"/>
                <w:szCs w:val="20"/>
              </w:rPr>
            </w:pPr>
            <w:r w:rsidRPr="00596496">
              <w:rPr>
                <w:rFonts w:eastAsia="Calibri"/>
                <w:sz w:val="20"/>
                <w:szCs w:val="20"/>
              </w:rPr>
              <w:t>0.627</w:t>
            </w:r>
          </w:p>
        </w:tc>
        <w:tc>
          <w:tcPr>
            <w:tcW w:w="828" w:type="dxa"/>
            <w:tcBorders>
              <w:right w:val="double" w:sz="4" w:space="0" w:color="auto"/>
            </w:tcBorders>
            <w:vAlign w:val="center"/>
          </w:tcPr>
          <w:p w14:paraId="356974DB" w14:textId="073D3F3F" w:rsidR="00C476B8" w:rsidRPr="00596496" w:rsidRDefault="00C476B8" w:rsidP="00E14270">
            <w:pPr>
              <w:spacing w:line="240" w:lineRule="auto"/>
              <w:jc w:val="center"/>
              <w:rPr>
                <w:rFonts w:eastAsia="Calibri"/>
                <w:sz w:val="20"/>
                <w:szCs w:val="20"/>
              </w:rPr>
            </w:pPr>
            <w:r w:rsidRPr="00596496">
              <w:rPr>
                <w:rFonts w:eastAsia="Calibri"/>
                <w:sz w:val="20"/>
                <w:szCs w:val="20"/>
              </w:rPr>
              <w:t>15.900</w:t>
            </w:r>
          </w:p>
        </w:tc>
        <w:tc>
          <w:tcPr>
            <w:tcW w:w="864" w:type="dxa"/>
            <w:tcBorders>
              <w:left w:val="double" w:sz="4" w:space="0" w:color="auto"/>
            </w:tcBorders>
            <w:vAlign w:val="center"/>
          </w:tcPr>
          <w:p w14:paraId="29B4B2B4" w14:textId="1921BDE8" w:rsidR="00C476B8" w:rsidRPr="00596496" w:rsidRDefault="00C476B8" w:rsidP="00E14270">
            <w:pPr>
              <w:spacing w:line="240" w:lineRule="auto"/>
              <w:jc w:val="center"/>
              <w:rPr>
                <w:rFonts w:eastAsia="Calibri"/>
                <w:sz w:val="20"/>
                <w:szCs w:val="20"/>
              </w:rPr>
            </w:pPr>
            <w:r w:rsidRPr="00596496">
              <w:rPr>
                <w:rFonts w:eastAsia="Calibri"/>
                <w:sz w:val="20"/>
                <w:szCs w:val="20"/>
              </w:rPr>
              <w:t>-0.500</w:t>
            </w:r>
          </w:p>
        </w:tc>
        <w:tc>
          <w:tcPr>
            <w:tcW w:w="828" w:type="dxa"/>
            <w:tcBorders>
              <w:right w:val="double" w:sz="4" w:space="0" w:color="auto"/>
            </w:tcBorders>
            <w:vAlign w:val="center"/>
          </w:tcPr>
          <w:p w14:paraId="14385F43" w14:textId="3E7F2062" w:rsidR="00C476B8" w:rsidRPr="00596496" w:rsidRDefault="00C476B8" w:rsidP="00E14270">
            <w:pPr>
              <w:spacing w:line="240" w:lineRule="auto"/>
              <w:jc w:val="center"/>
              <w:rPr>
                <w:rFonts w:eastAsia="Calibri"/>
                <w:sz w:val="20"/>
                <w:szCs w:val="20"/>
              </w:rPr>
            </w:pPr>
            <w:r w:rsidRPr="00596496">
              <w:rPr>
                <w:rFonts w:eastAsia="Calibri"/>
                <w:sz w:val="20"/>
                <w:szCs w:val="20"/>
              </w:rPr>
              <w:t>-8.600</w:t>
            </w:r>
          </w:p>
        </w:tc>
        <w:tc>
          <w:tcPr>
            <w:tcW w:w="864" w:type="dxa"/>
            <w:tcBorders>
              <w:left w:val="double" w:sz="4" w:space="0" w:color="auto"/>
            </w:tcBorders>
            <w:vAlign w:val="center"/>
          </w:tcPr>
          <w:p w14:paraId="51AB45D6" w14:textId="77777777" w:rsidR="00C476B8" w:rsidRPr="00596496" w:rsidRDefault="00C476B8" w:rsidP="00E14270">
            <w:pPr>
              <w:spacing w:line="240" w:lineRule="auto"/>
              <w:jc w:val="center"/>
              <w:rPr>
                <w:rFonts w:eastAsia="Calibri"/>
                <w:sz w:val="20"/>
                <w:szCs w:val="20"/>
              </w:rPr>
            </w:pPr>
            <w:r w:rsidRPr="00596496">
              <w:rPr>
                <w:rFonts w:eastAsia="Calibri"/>
                <w:sz w:val="20"/>
                <w:szCs w:val="20"/>
              </w:rPr>
              <w:t>0.210</w:t>
            </w:r>
          </w:p>
        </w:tc>
        <w:tc>
          <w:tcPr>
            <w:tcW w:w="888" w:type="dxa"/>
            <w:tcBorders>
              <w:right w:val="double" w:sz="4" w:space="0" w:color="auto"/>
            </w:tcBorders>
            <w:vAlign w:val="center"/>
          </w:tcPr>
          <w:p w14:paraId="32A2FAEF" w14:textId="77777777" w:rsidR="00C476B8" w:rsidRPr="00596496" w:rsidRDefault="00C476B8" w:rsidP="00E14270">
            <w:pPr>
              <w:spacing w:line="240" w:lineRule="auto"/>
              <w:jc w:val="center"/>
              <w:rPr>
                <w:rFonts w:eastAsia="Calibri"/>
                <w:sz w:val="20"/>
                <w:szCs w:val="20"/>
              </w:rPr>
            </w:pPr>
            <w:r w:rsidRPr="00596496">
              <w:rPr>
                <w:rFonts w:eastAsia="Calibri"/>
                <w:sz w:val="20"/>
                <w:szCs w:val="20"/>
              </w:rPr>
              <w:t>5.575</w:t>
            </w:r>
          </w:p>
        </w:tc>
        <w:tc>
          <w:tcPr>
            <w:tcW w:w="840" w:type="dxa"/>
            <w:vAlign w:val="center"/>
          </w:tcPr>
          <w:p w14:paraId="3B132F2E" w14:textId="71F32D3F"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70" w:type="dxa"/>
            <w:tcBorders>
              <w:right w:val="double" w:sz="4" w:space="0" w:color="auto"/>
            </w:tcBorders>
            <w:vAlign w:val="center"/>
          </w:tcPr>
          <w:p w14:paraId="78DC6EFB" w14:textId="191BCC7D"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58" w:type="dxa"/>
            <w:tcBorders>
              <w:left w:val="double" w:sz="4" w:space="0" w:color="auto"/>
            </w:tcBorders>
            <w:vAlign w:val="center"/>
          </w:tcPr>
          <w:p w14:paraId="1DD1B251" w14:textId="5A80A1F6"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52" w:type="dxa"/>
            <w:tcBorders>
              <w:right w:val="double" w:sz="4" w:space="0" w:color="auto"/>
            </w:tcBorders>
            <w:vAlign w:val="center"/>
          </w:tcPr>
          <w:p w14:paraId="7B4E8728" w14:textId="13D2504F"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r>
      <w:tr w:rsidR="00596496" w:rsidRPr="00596496" w14:paraId="1B3B0772" w14:textId="77777777" w:rsidTr="00FC2CB9">
        <w:trPr>
          <w:trHeight w:val="270"/>
          <w:jc w:val="center"/>
        </w:trPr>
        <w:tc>
          <w:tcPr>
            <w:tcW w:w="3312" w:type="dxa"/>
            <w:tcBorders>
              <w:left w:val="double" w:sz="4" w:space="0" w:color="auto"/>
              <w:right w:val="double" w:sz="4" w:space="0" w:color="auto"/>
            </w:tcBorders>
            <w:vAlign w:val="center"/>
          </w:tcPr>
          <w:p w14:paraId="4E51F539" w14:textId="77777777" w:rsidR="00C476B8" w:rsidRPr="00596496" w:rsidRDefault="00C476B8" w:rsidP="00E14270">
            <w:pPr>
              <w:spacing w:line="240" w:lineRule="auto"/>
              <w:rPr>
                <w:rFonts w:eastAsia="Calibri"/>
                <w:b/>
                <w:sz w:val="20"/>
                <w:szCs w:val="20"/>
              </w:rPr>
            </w:pPr>
            <w:r w:rsidRPr="00596496">
              <w:rPr>
                <w:rFonts w:eastAsia="Calibri"/>
                <w:b/>
                <w:sz w:val="20"/>
                <w:szCs w:val="20"/>
              </w:rPr>
              <w:t>Housing cost (dollars)</w:t>
            </w:r>
          </w:p>
        </w:tc>
        <w:tc>
          <w:tcPr>
            <w:tcW w:w="864" w:type="dxa"/>
            <w:tcBorders>
              <w:left w:val="double" w:sz="4" w:space="0" w:color="auto"/>
            </w:tcBorders>
            <w:vAlign w:val="center"/>
          </w:tcPr>
          <w:p w14:paraId="39397701" w14:textId="065F966F"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46" w:type="dxa"/>
            <w:tcBorders>
              <w:right w:val="double" w:sz="4" w:space="0" w:color="auto"/>
            </w:tcBorders>
            <w:vAlign w:val="center"/>
          </w:tcPr>
          <w:p w14:paraId="6C973F65" w14:textId="1C1AC87D"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966" w:type="dxa"/>
            <w:tcBorders>
              <w:left w:val="double" w:sz="4" w:space="0" w:color="auto"/>
            </w:tcBorders>
            <w:vAlign w:val="center"/>
          </w:tcPr>
          <w:p w14:paraId="01680453" w14:textId="4A8A24AC"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28" w:type="dxa"/>
            <w:tcBorders>
              <w:right w:val="double" w:sz="4" w:space="0" w:color="auto"/>
            </w:tcBorders>
            <w:vAlign w:val="center"/>
          </w:tcPr>
          <w:p w14:paraId="0E7A96BB" w14:textId="30ADBC58"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64" w:type="dxa"/>
            <w:tcBorders>
              <w:left w:val="double" w:sz="4" w:space="0" w:color="auto"/>
            </w:tcBorders>
            <w:vAlign w:val="center"/>
          </w:tcPr>
          <w:p w14:paraId="0FF54EB7" w14:textId="141F37FD"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28" w:type="dxa"/>
            <w:tcBorders>
              <w:right w:val="double" w:sz="4" w:space="0" w:color="auto"/>
            </w:tcBorders>
            <w:vAlign w:val="center"/>
          </w:tcPr>
          <w:p w14:paraId="50D98C19" w14:textId="0CB3AB59"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64" w:type="dxa"/>
            <w:tcBorders>
              <w:left w:val="double" w:sz="4" w:space="0" w:color="auto"/>
            </w:tcBorders>
            <w:vAlign w:val="center"/>
          </w:tcPr>
          <w:p w14:paraId="44E07376" w14:textId="63C11EEA"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88" w:type="dxa"/>
            <w:tcBorders>
              <w:right w:val="double" w:sz="4" w:space="0" w:color="auto"/>
            </w:tcBorders>
            <w:vAlign w:val="center"/>
          </w:tcPr>
          <w:p w14:paraId="71BA45E3" w14:textId="02CBEFF2"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40" w:type="dxa"/>
            <w:vAlign w:val="center"/>
          </w:tcPr>
          <w:p w14:paraId="7C3F2026" w14:textId="64C0D0D5"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70" w:type="dxa"/>
            <w:tcBorders>
              <w:right w:val="double" w:sz="4" w:space="0" w:color="auto"/>
            </w:tcBorders>
            <w:vAlign w:val="center"/>
          </w:tcPr>
          <w:p w14:paraId="31494ED7" w14:textId="541864E1"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58" w:type="dxa"/>
            <w:tcBorders>
              <w:left w:val="double" w:sz="4" w:space="0" w:color="auto"/>
            </w:tcBorders>
            <w:vAlign w:val="center"/>
          </w:tcPr>
          <w:p w14:paraId="2E498A16" w14:textId="46E2F2FD"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52" w:type="dxa"/>
            <w:tcBorders>
              <w:right w:val="double" w:sz="4" w:space="0" w:color="auto"/>
            </w:tcBorders>
            <w:vAlign w:val="center"/>
          </w:tcPr>
          <w:p w14:paraId="470D77EC" w14:textId="0B90B94B"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r>
      <w:tr w:rsidR="00596496" w:rsidRPr="00596496" w14:paraId="6439B2C6" w14:textId="77777777" w:rsidTr="00FC2CB9">
        <w:trPr>
          <w:trHeight w:val="270"/>
          <w:jc w:val="center"/>
        </w:trPr>
        <w:tc>
          <w:tcPr>
            <w:tcW w:w="3312" w:type="dxa"/>
            <w:tcBorders>
              <w:left w:val="double" w:sz="4" w:space="0" w:color="auto"/>
              <w:right w:val="double" w:sz="4" w:space="0" w:color="auto"/>
            </w:tcBorders>
            <w:vAlign w:val="center"/>
          </w:tcPr>
          <w:p w14:paraId="42996905" w14:textId="1151D78F" w:rsidR="00C476B8" w:rsidRPr="00596496" w:rsidRDefault="00C476B8" w:rsidP="001B69D9">
            <w:pPr>
              <w:spacing w:line="240" w:lineRule="auto"/>
              <w:rPr>
                <w:rFonts w:eastAsia="Calibri"/>
                <w:b/>
                <w:sz w:val="20"/>
                <w:szCs w:val="20"/>
              </w:rPr>
            </w:pPr>
            <w:r w:rsidRPr="00596496">
              <w:rPr>
                <w:rFonts w:eastAsia="Calibri"/>
                <w:b/>
                <w:sz w:val="20"/>
                <w:szCs w:val="20"/>
              </w:rPr>
              <w:t xml:space="preserve">Square footage of </w:t>
            </w:r>
            <w:r w:rsidR="001B69D9">
              <w:rPr>
                <w:rFonts w:eastAsia="Calibri"/>
                <w:b/>
                <w:sz w:val="20"/>
                <w:szCs w:val="20"/>
              </w:rPr>
              <w:t>the dwelling unit</w:t>
            </w:r>
          </w:p>
        </w:tc>
        <w:tc>
          <w:tcPr>
            <w:tcW w:w="864" w:type="dxa"/>
            <w:tcBorders>
              <w:left w:val="double" w:sz="4" w:space="0" w:color="auto"/>
            </w:tcBorders>
            <w:vAlign w:val="center"/>
          </w:tcPr>
          <w:p w14:paraId="125EBF08" w14:textId="4A211C81"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46" w:type="dxa"/>
            <w:tcBorders>
              <w:right w:val="double" w:sz="4" w:space="0" w:color="auto"/>
            </w:tcBorders>
            <w:vAlign w:val="center"/>
          </w:tcPr>
          <w:p w14:paraId="57D3640E" w14:textId="734F6BC8"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966" w:type="dxa"/>
            <w:tcBorders>
              <w:left w:val="double" w:sz="4" w:space="0" w:color="auto"/>
            </w:tcBorders>
            <w:vAlign w:val="center"/>
          </w:tcPr>
          <w:p w14:paraId="63B2583B" w14:textId="48E6DF93"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28" w:type="dxa"/>
            <w:tcBorders>
              <w:right w:val="double" w:sz="4" w:space="0" w:color="auto"/>
            </w:tcBorders>
            <w:vAlign w:val="center"/>
          </w:tcPr>
          <w:p w14:paraId="4BEFC5E5" w14:textId="5C1BF746"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64" w:type="dxa"/>
            <w:tcBorders>
              <w:left w:val="double" w:sz="4" w:space="0" w:color="auto"/>
            </w:tcBorders>
            <w:vAlign w:val="center"/>
          </w:tcPr>
          <w:p w14:paraId="4887C2B3" w14:textId="37EA0F59"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28" w:type="dxa"/>
            <w:tcBorders>
              <w:right w:val="double" w:sz="4" w:space="0" w:color="auto"/>
            </w:tcBorders>
            <w:vAlign w:val="center"/>
          </w:tcPr>
          <w:p w14:paraId="1B452512" w14:textId="295B97C9"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64" w:type="dxa"/>
            <w:tcBorders>
              <w:left w:val="double" w:sz="4" w:space="0" w:color="auto"/>
            </w:tcBorders>
            <w:vAlign w:val="center"/>
          </w:tcPr>
          <w:p w14:paraId="46ABE76D" w14:textId="39DAB450"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88" w:type="dxa"/>
            <w:tcBorders>
              <w:right w:val="double" w:sz="4" w:space="0" w:color="auto"/>
            </w:tcBorders>
            <w:vAlign w:val="center"/>
          </w:tcPr>
          <w:p w14:paraId="4BDA09CD" w14:textId="1644470B"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40" w:type="dxa"/>
            <w:vAlign w:val="center"/>
          </w:tcPr>
          <w:p w14:paraId="409EDB06" w14:textId="560A8849" w:rsidR="00C476B8" w:rsidRPr="00596496" w:rsidRDefault="00C476B8" w:rsidP="00E14270">
            <w:pPr>
              <w:spacing w:line="240" w:lineRule="auto"/>
              <w:jc w:val="center"/>
              <w:rPr>
                <w:rFonts w:eastAsia="Calibri"/>
                <w:sz w:val="20"/>
                <w:szCs w:val="20"/>
              </w:rPr>
            </w:pPr>
            <w:r w:rsidRPr="00596496">
              <w:rPr>
                <w:rFonts w:eastAsia="Calibri"/>
                <w:sz w:val="20"/>
                <w:szCs w:val="20"/>
              </w:rPr>
              <w:t>0.026</w:t>
            </w:r>
          </w:p>
        </w:tc>
        <w:tc>
          <w:tcPr>
            <w:tcW w:w="870" w:type="dxa"/>
            <w:tcBorders>
              <w:right w:val="double" w:sz="4" w:space="0" w:color="auto"/>
            </w:tcBorders>
            <w:vAlign w:val="center"/>
          </w:tcPr>
          <w:p w14:paraId="2CB6720C" w14:textId="6D1B495C" w:rsidR="00C476B8" w:rsidRPr="00596496" w:rsidRDefault="00C476B8" w:rsidP="00E14270">
            <w:pPr>
              <w:spacing w:line="240" w:lineRule="auto"/>
              <w:jc w:val="center"/>
              <w:rPr>
                <w:rFonts w:eastAsia="Calibri"/>
                <w:sz w:val="20"/>
                <w:szCs w:val="20"/>
              </w:rPr>
            </w:pPr>
            <w:r w:rsidRPr="00596496">
              <w:rPr>
                <w:rFonts w:eastAsia="Calibri"/>
                <w:sz w:val="20"/>
                <w:szCs w:val="20"/>
              </w:rPr>
              <w:t>3.037</w:t>
            </w:r>
          </w:p>
        </w:tc>
        <w:tc>
          <w:tcPr>
            <w:tcW w:w="858" w:type="dxa"/>
            <w:tcBorders>
              <w:left w:val="double" w:sz="4" w:space="0" w:color="auto"/>
            </w:tcBorders>
            <w:vAlign w:val="center"/>
          </w:tcPr>
          <w:p w14:paraId="6D3612E9" w14:textId="4ADA3D64" w:rsidR="00C476B8" w:rsidRPr="00596496" w:rsidRDefault="00C476B8" w:rsidP="00E14270">
            <w:pPr>
              <w:spacing w:line="240" w:lineRule="auto"/>
              <w:jc w:val="center"/>
              <w:rPr>
                <w:rFonts w:eastAsia="Calibri"/>
                <w:sz w:val="20"/>
                <w:szCs w:val="20"/>
              </w:rPr>
            </w:pPr>
            <w:r w:rsidRPr="00596496">
              <w:rPr>
                <w:rFonts w:eastAsia="Calibri"/>
                <w:sz w:val="20"/>
                <w:szCs w:val="20"/>
              </w:rPr>
              <w:t>0.056</w:t>
            </w:r>
          </w:p>
        </w:tc>
        <w:tc>
          <w:tcPr>
            <w:tcW w:w="852" w:type="dxa"/>
            <w:tcBorders>
              <w:right w:val="double" w:sz="4" w:space="0" w:color="auto"/>
            </w:tcBorders>
            <w:vAlign w:val="center"/>
          </w:tcPr>
          <w:p w14:paraId="26D9A79A" w14:textId="3171FF9E" w:rsidR="00C476B8" w:rsidRPr="00596496" w:rsidRDefault="00C476B8" w:rsidP="00E14270">
            <w:pPr>
              <w:spacing w:line="240" w:lineRule="auto"/>
              <w:jc w:val="center"/>
              <w:rPr>
                <w:rFonts w:eastAsia="Calibri"/>
                <w:sz w:val="20"/>
                <w:szCs w:val="20"/>
              </w:rPr>
            </w:pPr>
            <w:r w:rsidRPr="00596496">
              <w:rPr>
                <w:rFonts w:eastAsia="Calibri"/>
                <w:sz w:val="20"/>
                <w:szCs w:val="20"/>
              </w:rPr>
              <w:t>7.595</w:t>
            </w:r>
          </w:p>
        </w:tc>
      </w:tr>
      <w:tr w:rsidR="00596496" w:rsidRPr="00596496" w14:paraId="561A05A9" w14:textId="77777777" w:rsidTr="00FC2CB9">
        <w:trPr>
          <w:trHeight w:val="270"/>
          <w:jc w:val="center"/>
        </w:trPr>
        <w:tc>
          <w:tcPr>
            <w:tcW w:w="3312" w:type="dxa"/>
            <w:tcBorders>
              <w:left w:val="double" w:sz="4" w:space="0" w:color="auto"/>
              <w:right w:val="double" w:sz="4" w:space="0" w:color="auto"/>
            </w:tcBorders>
            <w:vAlign w:val="center"/>
          </w:tcPr>
          <w:p w14:paraId="148C3039" w14:textId="1DA8CB71" w:rsidR="00C476B8" w:rsidRPr="00596496" w:rsidRDefault="00C476B8" w:rsidP="00E14270">
            <w:pPr>
              <w:spacing w:line="240" w:lineRule="auto"/>
              <w:rPr>
                <w:rFonts w:eastAsia="Calibri"/>
                <w:b/>
                <w:sz w:val="20"/>
                <w:szCs w:val="20"/>
              </w:rPr>
            </w:pPr>
            <w:r w:rsidRPr="00596496">
              <w:rPr>
                <w:rFonts w:eastAsia="Calibri"/>
                <w:b/>
                <w:sz w:val="20"/>
                <w:szCs w:val="20"/>
              </w:rPr>
              <w:t>Residential location (base: suburb)</w:t>
            </w:r>
          </w:p>
        </w:tc>
        <w:tc>
          <w:tcPr>
            <w:tcW w:w="864" w:type="dxa"/>
            <w:tcBorders>
              <w:left w:val="double" w:sz="4" w:space="0" w:color="auto"/>
            </w:tcBorders>
            <w:vAlign w:val="center"/>
          </w:tcPr>
          <w:p w14:paraId="6122A976" w14:textId="77777777" w:rsidR="00C476B8" w:rsidRPr="00596496" w:rsidRDefault="00C476B8" w:rsidP="00E14270">
            <w:pPr>
              <w:spacing w:line="240" w:lineRule="auto"/>
              <w:jc w:val="center"/>
              <w:rPr>
                <w:rFonts w:eastAsia="Calibri"/>
                <w:sz w:val="20"/>
                <w:szCs w:val="20"/>
              </w:rPr>
            </w:pPr>
          </w:p>
        </w:tc>
        <w:tc>
          <w:tcPr>
            <w:tcW w:w="846" w:type="dxa"/>
            <w:tcBorders>
              <w:right w:val="double" w:sz="4" w:space="0" w:color="auto"/>
            </w:tcBorders>
            <w:vAlign w:val="center"/>
          </w:tcPr>
          <w:p w14:paraId="09CBFAE6" w14:textId="77777777" w:rsidR="00C476B8" w:rsidRPr="00596496" w:rsidRDefault="00C476B8" w:rsidP="00E14270">
            <w:pPr>
              <w:spacing w:line="240" w:lineRule="auto"/>
              <w:jc w:val="center"/>
              <w:rPr>
                <w:rFonts w:eastAsia="Calibri"/>
                <w:sz w:val="20"/>
                <w:szCs w:val="20"/>
              </w:rPr>
            </w:pPr>
          </w:p>
        </w:tc>
        <w:tc>
          <w:tcPr>
            <w:tcW w:w="966" w:type="dxa"/>
            <w:tcBorders>
              <w:left w:val="double" w:sz="4" w:space="0" w:color="auto"/>
            </w:tcBorders>
            <w:vAlign w:val="center"/>
          </w:tcPr>
          <w:p w14:paraId="7164F3A9" w14:textId="77777777" w:rsidR="00C476B8" w:rsidRPr="00596496" w:rsidRDefault="00C476B8" w:rsidP="00E14270">
            <w:pPr>
              <w:spacing w:line="240" w:lineRule="auto"/>
              <w:jc w:val="center"/>
              <w:rPr>
                <w:rFonts w:eastAsia="Calibri"/>
                <w:sz w:val="20"/>
                <w:szCs w:val="20"/>
              </w:rPr>
            </w:pPr>
          </w:p>
        </w:tc>
        <w:tc>
          <w:tcPr>
            <w:tcW w:w="828" w:type="dxa"/>
            <w:tcBorders>
              <w:right w:val="double" w:sz="4" w:space="0" w:color="auto"/>
            </w:tcBorders>
            <w:vAlign w:val="center"/>
          </w:tcPr>
          <w:p w14:paraId="48E49DBE" w14:textId="77777777" w:rsidR="00C476B8" w:rsidRPr="00596496" w:rsidRDefault="00C476B8" w:rsidP="00E14270">
            <w:pPr>
              <w:spacing w:line="240" w:lineRule="auto"/>
              <w:jc w:val="center"/>
              <w:rPr>
                <w:rFonts w:eastAsia="Calibri"/>
                <w:sz w:val="20"/>
                <w:szCs w:val="20"/>
              </w:rPr>
            </w:pPr>
          </w:p>
        </w:tc>
        <w:tc>
          <w:tcPr>
            <w:tcW w:w="864" w:type="dxa"/>
            <w:tcBorders>
              <w:left w:val="double" w:sz="4" w:space="0" w:color="auto"/>
            </w:tcBorders>
            <w:vAlign w:val="center"/>
          </w:tcPr>
          <w:p w14:paraId="05846BE7" w14:textId="77777777" w:rsidR="00C476B8" w:rsidRPr="00596496" w:rsidRDefault="00C476B8" w:rsidP="00E14270">
            <w:pPr>
              <w:spacing w:line="240" w:lineRule="auto"/>
              <w:jc w:val="center"/>
              <w:rPr>
                <w:rFonts w:eastAsia="Calibri"/>
                <w:sz w:val="20"/>
                <w:szCs w:val="20"/>
              </w:rPr>
            </w:pPr>
          </w:p>
        </w:tc>
        <w:tc>
          <w:tcPr>
            <w:tcW w:w="828" w:type="dxa"/>
            <w:tcBorders>
              <w:right w:val="double" w:sz="4" w:space="0" w:color="auto"/>
            </w:tcBorders>
            <w:vAlign w:val="center"/>
          </w:tcPr>
          <w:p w14:paraId="442C2348" w14:textId="77777777" w:rsidR="00C476B8" w:rsidRPr="00596496" w:rsidRDefault="00C476B8" w:rsidP="00E14270">
            <w:pPr>
              <w:spacing w:line="240" w:lineRule="auto"/>
              <w:jc w:val="center"/>
              <w:rPr>
                <w:rFonts w:eastAsia="Calibri"/>
                <w:sz w:val="20"/>
                <w:szCs w:val="20"/>
              </w:rPr>
            </w:pPr>
          </w:p>
        </w:tc>
        <w:tc>
          <w:tcPr>
            <w:tcW w:w="864" w:type="dxa"/>
            <w:tcBorders>
              <w:left w:val="double" w:sz="4" w:space="0" w:color="auto"/>
            </w:tcBorders>
            <w:vAlign w:val="center"/>
          </w:tcPr>
          <w:p w14:paraId="6C525AFE" w14:textId="77777777" w:rsidR="00C476B8" w:rsidRPr="00596496" w:rsidRDefault="00C476B8" w:rsidP="00E14270">
            <w:pPr>
              <w:spacing w:line="240" w:lineRule="auto"/>
              <w:jc w:val="center"/>
              <w:rPr>
                <w:rFonts w:eastAsia="Calibri"/>
                <w:sz w:val="20"/>
                <w:szCs w:val="20"/>
              </w:rPr>
            </w:pPr>
          </w:p>
        </w:tc>
        <w:tc>
          <w:tcPr>
            <w:tcW w:w="888" w:type="dxa"/>
            <w:tcBorders>
              <w:right w:val="double" w:sz="4" w:space="0" w:color="auto"/>
            </w:tcBorders>
            <w:vAlign w:val="center"/>
          </w:tcPr>
          <w:p w14:paraId="2E79BA4F" w14:textId="77777777" w:rsidR="00C476B8" w:rsidRPr="00596496" w:rsidRDefault="00C476B8" w:rsidP="00E14270">
            <w:pPr>
              <w:spacing w:line="240" w:lineRule="auto"/>
              <w:jc w:val="center"/>
              <w:rPr>
                <w:rFonts w:eastAsia="Calibri"/>
                <w:sz w:val="20"/>
                <w:szCs w:val="20"/>
              </w:rPr>
            </w:pPr>
          </w:p>
        </w:tc>
        <w:tc>
          <w:tcPr>
            <w:tcW w:w="840" w:type="dxa"/>
            <w:vAlign w:val="center"/>
          </w:tcPr>
          <w:p w14:paraId="62F2649E" w14:textId="77777777" w:rsidR="00C476B8" w:rsidRPr="00596496" w:rsidRDefault="00C476B8" w:rsidP="00E14270">
            <w:pPr>
              <w:spacing w:line="240" w:lineRule="auto"/>
              <w:jc w:val="center"/>
              <w:rPr>
                <w:rFonts w:eastAsia="Calibri"/>
                <w:sz w:val="20"/>
                <w:szCs w:val="20"/>
              </w:rPr>
            </w:pPr>
          </w:p>
        </w:tc>
        <w:tc>
          <w:tcPr>
            <w:tcW w:w="870" w:type="dxa"/>
            <w:tcBorders>
              <w:right w:val="double" w:sz="4" w:space="0" w:color="auto"/>
            </w:tcBorders>
            <w:vAlign w:val="center"/>
          </w:tcPr>
          <w:p w14:paraId="748607F3" w14:textId="29454EF2" w:rsidR="00C476B8" w:rsidRPr="00596496" w:rsidRDefault="00C476B8" w:rsidP="00E14270">
            <w:pPr>
              <w:spacing w:line="240" w:lineRule="auto"/>
              <w:jc w:val="center"/>
              <w:rPr>
                <w:rFonts w:eastAsia="Calibri"/>
                <w:sz w:val="20"/>
                <w:szCs w:val="20"/>
              </w:rPr>
            </w:pPr>
          </w:p>
        </w:tc>
        <w:tc>
          <w:tcPr>
            <w:tcW w:w="858" w:type="dxa"/>
            <w:tcBorders>
              <w:left w:val="double" w:sz="4" w:space="0" w:color="auto"/>
            </w:tcBorders>
            <w:vAlign w:val="center"/>
          </w:tcPr>
          <w:p w14:paraId="3120B9CE" w14:textId="6E41FCA4" w:rsidR="00C476B8" w:rsidRPr="00596496" w:rsidRDefault="00C476B8" w:rsidP="00E14270">
            <w:pPr>
              <w:spacing w:line="240" w:lineRule="auto"/>
              <w:jc w:val="center"/>
              <w:rPr>
                <w:rFonts w:eastAsia="Calibri"/>
                <w:sz w:val="20"/>
                <w:szCs w:val="20"/>
              </w:rPr>
            </w:pPr>
          </w:p>
        </w:tc>
        <w:tc>
          <w:tcPr>
            <w:tcW w:w="852" w:type="dxa"/>
            <w:tcBorders>
              <w:right w:val="double" w:sz="4" w:space="0" w:color="auto"/>
            </w:tcBorders>
            <w:vAlign w:val="center"/>
          </w:tcPr>
          <w:p w14:paraId="15225961" w14:textId="4E80754C" w:rsidR="00C476B8" w:rsidRPr="00596496" w:rsidRDefault="00C476B8" w:rsidP="00E14270">
            <w:pPr>
              <w:spacing w:line="240" w:lineRule="auto"/>
              <w:jc w:val="center"/>
              <w:rPr>
                <w:rFonts w:eastAsia="Calibri"/>
                <w:sz w:val="20"/>
                <w:szCs w:val="20"/>
              </w:rPr>
            </w:pPr>
          </w:p>
        </w:tc>
      </w:tr>
      <w:tr w:rsidR="00596496" w:rsidRPr="00596496" w14:paraId="6B98AC37" w14:textId="77777777" w:rsidTr="00FC2CB9">
        <w:trPr>
          <w:trHeight w:val="270"/>
          <w:jc w:val="center"/>
        </w:trPr>
        <w:tc>
          <w:tcPr>
            <w:tcW w:w="3312" w:type="dxa"/>
            <w:tcBorders>
              <w:left w:val="double" w:sz="4" w:space="0" w:color="auto"/>
              <w:right w:val="double" w:sz="4" w:space="0" w:color="auto"/>
            </w:tcBorders>
            <w:vAlign w:val="center"/>
          </w:tcPr>
          <w:p w14:paraId="3F58177C" w14:textId="77777777" w:rsidR="00C476B8" w:rsidRPr="00596496" w:rsidRDefault="00C476B8" w:rsidP="00E14270">
            <w:pPr>
              <w:spacing w:line="240" w:lineRule="auto"/>
              <w:rPr>
                <w:rFonts w:eastAsia="Calibri"/>
                <w:sz w:val="20"/>
                <w:szCs w:val="20"/>
              </w:rPr>
            </w:pPr>
            <w:r w:rsidRPr="00596496">
              <w:rPr>
                <w:rFonts w:eastAsia="Calibri"/>
                <w:sz w:val="20"/>
                <w:szCs w:val="20"/>
              </w:rPr>
              <w:t xml:space="preserve">   Secondary city</w:t>
            </w:r>
          </w:p>
        </w:tc>
        <w:tc>
          <w:tcPr>
            <w:tcW w:w="864" w:type="dxa"/>
            <w:tcBorders>
              <w:left w:val="double" w:sz="4" w:space="0" w:color="auto"/>
            </w:tcBorders>
            <w:vAlign w:val="center"/>
          </w:tcPr>
          <w:p w14:paraId="3189C9E3" w14:textId="77777777" w:rsidR="00C476B8" w:rsidRPr="00596496" w:rsidRDefault="00C476B8" w:rsidP="00E14270">
            <w:pPr>
              <w:spacing w:line="240" w:lineRule="auto"/>
              <w:jc w:val="center"/>
              <w:rPr>
                <w:rFonts w:eastAsia="Calibri"/>
                <w:sz w:val="20"/>
                <w:szCs w:val="20"/>
              </w:rPr>
            </w:pPr>
            <w:r w:rsidRPr="00596496">
              <w:rPr>
                <w:rFonts w:eastAsia="Calibri"/>
                <w:sz w:val="20"/>
                <w:szCs w:val="20"/>
              </w:rPr>
              <w:t>0.371</w:t>
            </w:r>
          </w:p>
        </w:tc>
        <w:tc>
          <w:tcPr>
            <w:tcW w:w="846" w:type="dxa"/>
            <w:tcBorders>
              <w:right w:val="double" w:sz="4" w:space="0" w:color="auto"/>
            </w:tcBorders>
            <w:vAlign w:val="center"/>
          </w:tcPr>
          <w:p w14:paraId="0E12DB24" w14:textId="77777777" w:rsidR="00C476B8" w:rsidRPr="00596496" w:rsidRDefault="00C476B8" w:rsidP="00E14270">
            <w:pPr>
              <w:spacing w:line="240" w:lineRule="auto"/>
              <w:jc w:val="center"/>
              <w:rPr>
                <w:rFonts w:eastAsia="Calibri"/>
                <w:sz w:val="20"/>
                <w:szCs w:val="20"/>
              </w:rPr>
            </w:pPr>
            <w:r w:rsidRPr="00596496">
              <w:rPr>
                <w:rFonts w:eastAsia="Calibri"/>
                <w:sz w:val="20"/>
                <w:szCs w:val="20"/>
              </w:rPr>
              <w:t>7.166</w:t>
            </w:r>
          </w:p>
        </w:tc>
        <w:tc>
          <w:tcPr>
            <w:tcW w:w="966" w:type="dxa"/>
            <w:tcBorders>
              <w:left w:val="double" w:sz="4" w:space="0" w:color="auto"/>
            </w:tcBorders>
            <w:vAlign w:val="center"/>
          </w:tcPr>
          <w:p w14:paraId="046DA71C" w14:textId="54662CA3"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28" w:type="dxa"/>
            <w:tcBorders>
              <w:right w:val="double" w:sz="4" w:space="0" w:color="auto"/>
            </w:tcBorders>
            <w:vAlign w:val="center"/>
          </w:tcPr>
          <w:p w14:paraId="7DB08508" w14:textId="6ECB5988"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64" w:type="dxa"/>
            <w:tcBorders>
              <w:left w:val="double" w:sz="4" w:space="0" w:color="auto"/>
            </w:tcBorders>
            <w:vAlign w:val="center"/>
          </w:tcPr>
          <w:p w14:paraId="77EC7605" w14:textId="0A369AF7"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28" w:type="dxa"/>
            <w:tcBorders>
              <w:right w:val="double" w:sz="4" w:space="0" w:color="auto"/>
            </w:tcBorders>
            <w:vAlign w:val="center"/>
          </w:tcPr>
          <w:p w14:paraId="4578903B" w14:textId="6BE3A010"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64" w:type="dxa"/>
            <w:tcBorders>
              <w:left w:val="double" w:sz="4" w:space="0" w:color="auto"/>
            </w:tcBorders>
            <w:vAlign w:val="center"/>
          </w:tcPr>
          <w:p w14:paraId="3D420F5C" w14:textId="168077B5"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88" w:type="dxa"/>
            <w:tcBorders>
              <w:right w:val="double" w:sz="4" w:space="0" w:color="auto"/>
            </w:tcBorders>
            <w:vAlign w:val="center"/>
          </w:tcPr>
          <w:p w14:paraId="2A5413CA" w14:textId="597D11D3"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40" w:type="dxa"/>
            <w:vAlign w:val="center"/>
          </w:tcPr>
          <w:p w14:paraId="24165E7F" w14:textId="2E21B8E6"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70" w:type="dxa"/>
            <w:tcBorders>
              <w:right w:val="double" w:sz="4" w:space="0" w:color="auto"/>
            </w:tcBorders>
            <w:vAlign w:val="center"/>
          </w:tcPr>
          <w:p w14:paraId="7B5D7F9E" w14:textId="5EBF22F3"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58" w:type="dxa"/>
            <w:tcBorders>
              <w:left w:val="double" w:sz="4" w:space="0" w:color="auto"/>
            </w:tcBorders>
            <w:vAlign w:val="center"/>
          </w:tcPr>
          <w:p w14:paraId="36E456F2" w14:textId="65ACA47C"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52" w:type="dxa"/>
            <w:tcBorders>
              <w:right w:val="double" w:sz="4" w:space="0" w:color="auto"/>
            </w:tcBorders>
            <w:vAlign w:val="center"/>
          </w:tcPr>
          <w:p w14:paraId="58BED55E" w14:textId="2B2F0B94" w:rsidR="00C476B8" w:rsidRPr="00596496" w:rsidRDefault="00596496" w:rsidP="00E14270">
            <w:pPr>
              <w:spacing w:line="240" w:lineRule="auto"/>
              <w:jc w:val="center"/>
              <w:rPr>
                <w:rFonts w:eastAsia="Calibri"/>
                <w:sz w:val="20"/>
                <w:szCs w:val="20"/>
              </w:rPr>
            </w:pPr>
            <w:r w:rsidRPr="00596496">
              <w:rPr>
                <w:rFonts w:eastAsia="Calibri"/>
                <w:sz w:val="20"/>
                <w:szCs w:val="20"/>
              </w:rPr>
              <w:t>-</w:t>
            </w:r>
          </w:p>
        </w:tc>
      </w:tr>
      <w:tr w:rsidR="00596496" w:rsidRPr="00596496" w14:paraId="1FDCC76C" w14:textId="77777777" w:rsidTr="00FC2CB9">
        <w:trPr>
          <w:trHeight w:val="270"/>
          <w:jc w:val="center"/>
        </w:trPr>
        <w:tc>
          <w:tcPr>
            <w:tcW w:w="3312" w:type="dxa"/>
            <w:tcBorders>
              <w:left w:val="double" w:sz="4" w:space="0" w:color="auto"/>
              <w:right w:val="double" w:sz="4" w:space="0" w:color="auto"/>
            </w:tcBorders>
            <w:vAlign w:val="center"/>
          </w:tcPr>
          <w:p w14:paraId="5B13AD38" w14:textId="77777777" w:rsidR="00596496" w:rsidRPr="00596496" w:rsidRDefault="00596496" w:rsidP="00E14270">
            <w:pPr>
              <w:spacing w:line="240" w:lineRule="auto"/>
              <w:rPr>
                <w:rFonts w:eastAsia="Calibri"/>
                <w:sz w:val="20"/>
                <w:szCs w:val="20"/>
              </w:rPr>
            </w:pPr>
            <w:r w:rsidRPr="00596496">
              <w:rPr>
                <w:rFonts w:eastAsia="Calibri"/>
                <w:sz w:val="20"/>
                <w:szCs w:val="20"/>
              </w:rPr>
              <w:t xml:space="preserve">   Primary city</w:t>
            </w:r>
          </w:p>
        </w:tc>
        <w:tc>
          <w:tcPr>
            <w:tcW w:w="864" w:type="dxa"/>
            <w:tcBorders>
              <w:left w:val="double" w:sz="4" w:space="0" w:color="auto"/>
            </w:tcBorders>
            <w:vAlign w:val="center"/>
          </w:tcPr>
          <w:p w14:paraId="1CE92546" w14:textId="77777777" w:rsidR="00596496" w:rsidRPr="00596496" w:rsidRDefault="00596496" w:rsidP="00E14270">
            <w:pPr>
              <w:spacing w:line="240" w:lineRule="auto"/>
              <w:jc w:val="center"/>
              <w:rPr>
                <w:rFonts w:eastAsia="Calibri"/>
                <w:sz w:val="20"/>
                <w:szCs w:val="20"/>
              </w:rPr>
            </w:pPr>
            <w:r w:rsidRPr="00596496">
              <w:rPr>
                <w:rFonts w:eastAsia="Calibri"/>
                <w:sz w:val="20"/>
                <w:szCs w:val="20"/>
              </w:rPr>
              <w:t>1.001</w:t>
            </w:r>
          </w:p>
        </w:tc>
        <w:tc>
          <w:tcPr>
            <w:tcW w:w="846" w:type="dxa"/>
            <w:tcBorders>
              <w:right w:val="double" w:sz="4" w:space="0" w:color="auto"/>
            </w:tcBorders>
            <w:vAlign w:val="center"/>
          </w:tcPr>
          <w:p w14:paraId="37479F6F" w14:textId="77777777" w:rsidR="00596496" w:rsidRPr="00596496" w:rsidRDefault="00596496" w:rsidP="00E14270">
            <w:pPr>
              <w:spacing w:line="240" w:lineRule="auto"/>
              <w:jc w:val="center"/>
              <w:rPr>
                <w:rFonts w:eastAsia="Calibri"/>
                <w:sz w:val="20"/>
                <w:szCs w:val="20"/>
              </w:rPr>
            </w:pPr>
            <w:r w:rsidRPr="00596496">
              <w:rPr>
                <w:rFonts w:eastAsia="Calibri"/>
                <w:sz w:val="20"/>
                <w:szCs w:val="20"/>
              </w:rPr>
              <w:t>2.814</w:t>
            </w:r>
          </w:p>
        </w:tc>
        <w:tc>
          <w:tcPr>
            <w:tcW w:w="966" w:type="dxa"/>
            <w:tcBorders>
              <w:left w:val="double" w:sz="4" w:space="0" w:color="auto"/>
            </w:tcBorders>
            <w:vAlign w:val="center"/>
          </w:tcPr>
          <w:p w14:paraId="51BC3738" w14:textId="03DAF2B1" w:rsidR="00596496"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28" w:type="dxa"/>
            <w:tcBorders>
              <w:right w:val="double" w:sz="4" w:space="0" w:color="auto"/>
            </w:tcBorders>
            <w:vAlign w:val="center"/>
          </w:tcPr>
          <w:p w14:paraId="3C9F4DA4" w14:textId="019D219C" w:rsidR="00596496"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64" w:type="dxa"/>
            <w:tcBorders>
              <w:left w:val="double" w:sz="4" w:space="0" w:color="auto"/>
            </w:tcBorders>
            <w:vAlign w:val="center"/>
          </w:tcPr>
          <w:p w14:paraId="46724E71" w14:textId="041EFEB8" w:rsidR="00596496"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28" w:type="dxa"/>
            <w:tcBorders>
              <w:right w:val="double" w:sz="4" w:space="0" w:color="auto"/>
            </w:tcBorders>
            <w:vAlign w:val="center"/>
          </w:tcPr>
          <w:p w14:paraId="2A3811EE" w14:textId="341E904B" w:rsidR="00596496"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64" w:type="dxa"/>
            <w:tcBorders>
              <w:left w:val="double" w:sz="4" w:space="0" w:color="auto"/>
            </w:tcBorders>
            <w:vAlign w:val="center"/>
          </w:tcPr>
          <w:p w14:paraId="441498E0" w14:textId="13925C1C" w:rsidR="00596496"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88" w:type="dxa"/>
            <w:tcBorders>
              <w:right w:val="double" w:sz="4" w:space="0" w:color="auto"/>
            </w:tcBorders>
            <w:vAlign w:val="center"/>
          </w:tcPr>
          <w:p w14:paraId="653992CE" w14:textId="70E46B9C" w:rsidR="00596496"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40" w:type="dxa"/>
            <w:vAlign w:val="center"/>
          </w:tcPr>
          <w:p w14:paraId="2A8D85BB" w14:textId="0601222B" w:rsidR="00596496"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70" w:type="dxa"/>
            <w:tcBorders>
              <w:right w:val="double" w:sz="4" w:space="0" w:color="auto"/>
            </w:tcBorders>
            <w:vAlign w:val="center"/>
          </w:tcPr>
          <w:p w14:paraId="0B64EBBC" w14:textId="74888949" w:rsidR="00596496"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58" w:type="dxa"/>
            <w:tcBorders>
              <w:left w:val="double" w:sz="4" w:space="0" w:color="auto"/>
            </w:tcBorders>
            <w:vAlign w:val="center"/>
          </w:tcPr>
          <w:p w14:paraId="1D9BE6B6" w14:textId="3507A22B" w:rsidR="00596496" w:rsidRPr="00596496" w:rsidRDefault="00596496" w:rsidP="00E14270">
            <w:pPr>
              <w:spacing w:line="240" w:lineRule="auto"/>
              <w:jc w:val="center"/>
              <w:rPr>
                <w:rFonts w:eastAsia="Calibri"/>
                <w:sz w:val="20"/>
                <w:szCs w:val="20"/>
              </w:rPr>
            </w:pPr>
            <w:r w:rsidRPr="00596496">
              <w:rPr>
                <w:rFonts w:eastAsia="Calibri"/>
                <w:sz w:val="20"/>
                <w:szCs w:val="20"/>
              </w:rPr>
              <w:t>-</w:t>
            </w:r>
          </w:p>
        </w:tc>
        <w:tc>
          <w:tcPr>
            <w:tcW w:w="852" w:type="dxa"/>
            <w:tcBorders>
              <w:right w:val="double" w:sz="4" w:space="0" w:color="auto"/>
            </w:tcBorders>
            <w:vAlign w:val="center"/>
          </w:tcPr>
          <w:p w14:paraId="72464C27" w14:textId="00E50DA3" w:rsidR="00596496" w:rsidRPr="00596496" w:rsidRDefault="00596496" w:rsidP="00E14270">
            <w:pPr>
              <w:spacing w:line="240" w:lineRule="auto"/>
              <w:jc w:val="center"/>
              <w:rPr>
                <w:rFonts w:eastAsia="Calibri"/>
                <w:sz w:val="20"/>
                <w:szCs w:val="20"/>
              </w:rPr>
            </w:pPr>
            <w:r w:rsidRPr="00596496">
              <w:rPr>
                <w:rFonts w:eastAsia="Calibri"/>
                <w:sz w:val="20"/>
                <w:szCs w:val="20"/>
              </w:rPr>
              <w:t>-</w:t>
            </w:r>
          </w:p>
        </w:tc>
      </w:tr>
      <w:tr w:rsidR="00596496" w:rsidRPr="00596496" w14:paraId="4043100E" w14:textId="77777777" w:rsidTr="00FC2CB9">
        <w:trPr>
          <w:trHeight w:val="270"/>
          <w:jc w:val="center"/>
        </w:trPr>
        <w:tc>
          <w:tcPr>
            <w:tcW w:w="3312" w:type="dxa"/>
            <w:tcBorders>
              <w:left w:val="double" w:sz="4" w:space="0" w:color="auto"/>
              <w:right w:val="double" w:sz="4" w:space="0" w:color="auto"/>
            </w:tcBorders>
            <w:vAlign w:val="center"/>
          </w:tcPr>
          <w:p w14:paraId="73DB3187" w14:textId="6F916712" w:rsidR="00C476B8" w:rsidRPr="00596496" w:rsidRDefault="00C476B8" w:rsidP="00E14270">
            <w:pPr>
              <w:spacing w:line="240" w:lineRule="auto"/>
              <w:rPr>
                <w:rFonts w:eastAsia="Calibri"/>
                <w:b/>
                <w:sz w:val="20"/>
                <w:szCs w:val="20"/>
              </w:rPr>
            </w:pPr>
            <w:r w:rsidRPr="00596496">
              <w:rPr>
                <w:rFonts w:eastAsia="Calibri"/>
                <w:b/>
                <w:sz w:val="20"/>
                <w:szCs w:val="20"/>
              </w:rPr>
              <w:t>Tenure type (base: owned)</w:t>
            </w:r>
          </w:p>
        </w:tc>
        <w:tc>
          <w:tcPr>
            <w:tcW w:w="864" w:type="dxa"/>
            <w:tcBorders>
              <w:left w:val="double" w:sz="4" w:space="0" w:color="auto"/>
            </w:tcBorders>
            <w:vAlign w:val="center"/>
          </w:tcPr>
          <w:p w14:paraId="3B080A32" w14:textId="77777777" w:rsidR="00C476B8" w:rsidRPr="00596496" w:rsidRDefault="00C476B8" w:rsidP="00E14270">
            <w:pPr>
              <w:spacing w:line="240" w:lineRule="auto"/>
              <w:jc w:val="center"/>
              <w:rPr>
                <w:rFonts w:eastAsia="Calibri"/>
                <w:sz w:val="20"/>
                <w:szCs w:val="20"/>
              </w:rPr>
            </w:pPr>
          </w:p>
        </w:tc>
        <w:tc>
          <w:tcPr>
            <w:tcW w:w="846" w:type="dxa"/>
            <w:tcBorders>
              <w:right w:val="double" w:sz="4" w:space="0" w:color="auto"/>
            </w:tcBorders>
            <w:vAlign w:val="center"/>
          </w:tcPr>
          <w:p w14:paraId="3E7BE745" w14:textId="77777777" w:rsidR="00C476B8" w:rsidRPr="00596496" w:rsidRDefault="00C476B8" w:rsidP="00E14270">
            <w:pPr>
              <w:spacing w:line="240" w:lineRule="auto"/>
              <w:jc w:val="center"/>
              <w:rPr>
                <w:rFonts w:eastAsia="Calibri"/>
                <w:sz w:val="20"/>
                <w:szCs w:val="20"/>
              </w:rPr>
            </w:pPr>
          </w:p>
        </w:tc>
        <w:tc>
          <w:tcPr>
            <w:tcW w:w="966" w:type="dxa"/>
            <w:tcBorders>
              <w:left w:val="double" w:sz="4" w:space="0" w:color="auto"/>
            </w:tcBorders>
            <w:vAlign w:val="center"/>
          </w:tcPr>
          <w:p w14:paraId="32642A5E" w14:textId="77777777" w:rsidR="00C476B8" w:rsidRPr="00596496" w:rsidRDefault="00C476B8" w:rsidP="00E14270">
            <w:pPr>
              <w:spacing w:line="240" w:lineRule="auto"/>
              <w:jc w:val="center"/>
              <w:rPr>
                <w:rFonts w:eastAsia="Calibri"/>
                <w:sz w:val="20"/>
                <w:szCs w:val="20"/>
              </w:rPr>
            </w:pPr>
          </w:p>
        </w:tc>
        <w:tc>
          <w:tcPr>
            <w:tcW w:w="828" w:type="dxa"/>
            <w:tcBorders>
              <w:right w:val="double" w:sz="4" w:space="0" w:color="auto"/>
            </w:tcBorders>
            <w:vAlign w:val="center"/>
          </w:tcPr>
          <w:p w14:paraId="47BA2BFE" w14:textId="77777777" w:rsidR="00C476B8" w:rsidRPr="00596496" w:rsidRDefault="00C476B8" w:rsidP="00E14270">
            <w:pPr>
              <w:spacing w:line="240" w:lineRule="auto"/>
              <w:jc w:val="center"/>
              <w:rPr>
                <w:rFonts w:eastAsia="Calibri"/>
                <w:sz w:val="20"/>
                <w:szCs w:val="20"/>
              </w:rPr>
            </w:pPr>
          </w:p>
        </w:tc>
        <w:tc>
          <w:tcPr>
            <w:tcW w:w="864" w:type="dxa"/>
            <w:tcBorders>
              <w:left w:val="double" w:sz="4" w:space="0" w:color="auto"/>
            </w:tcBorders>
            <w:vAlign w:val="center"/>
          </w:tcPr>
          <w:p w14:paraId="4C3692ED" w14:textId="77777777" w:rsidR="00C476B8" w:rsidRPr="00596496" w:rsidRDefault="00C476B8" w:rsidP="00E14270">
            <w:pPr>
              <w:spacing w:line="240" w:lineRule="auto"/>
              <w:jc w:val="center"/>
              <w:rPr>
                <w:rFonts w:eastAsia="Calibri"/>
                <w:sz w:val="20"/>
                <w:szCs w:val="20"/>
              </w:rPr>
            </w:pPr>
          </w:p>
        </w:tc>
        <w:tc>
          <w:tcPr>
            <w:tcW w:w="828" w:type="dxa"/>
            <w:tcBorders>
              <w:right w:val="double" w:sz="4" w:space="0" w:color="auto"/>
            </w:tcBorders>
            <w:vAlign w:val="center"/>
          </w:tcPr>
          <w:p w14:paraId="64AF7E43" w14:textId="77777777" w:rsidR="00C476B8" w:rsidRPr="00596496" w:rsidRDefault="00C476B8" w:rsidP="00E14270">
            <w:pPr>
              <w:spacing w:line="240" w:lineRule="auto"/>
              <w:jc w:val="center"/>
              <w:rPr>
                <w:rFonts w:eastAsia="Calibri"/>
                <w:sz w:val="20"/>
                <w:szCs w:val="20"/>
              </w:rPr>
            </w:pPr>
          </w:p>
        </w:tc>
        <w:tc>
          <w:tcPr>
            <w:tcW w:w="864" w:type="dxa"/>
            <w:tcBorders>
              <w:left w:val="double" w:sz="4" w:space="0" w:color="auto"/>
            </w:tcBorders>
            <w:vAlign w:val="center"/>
          </w:tcPr>
          <w:p w14:paraId="3B8BCD52" w14:textId="77777777" w:rsidR="00C476B8" w:rsidRPr="00596496" w:rsidRDefault="00C476B8" w:rsidP="00E14270">
            <w:pPr>
              <w:spacing w:line="240" w:lineRule="auto"/>
              <w:jc w:val="center"/>
              <w:rPr>
                <w:rFonts w:eastAsia="Calibri"/>
                <w:sz w:val="20"/>
                <w:szCs w:val="20"/>
              </w:rPr>
            </w:pPr>
          </w:p>
        </w:tc>
        <w:tc>
          <w:tcPr>
            <w:tcW w:w="888" w:type="dxa"/>
            <w:tcBorders>
              <w:right w:val="double" w:sz="4" w:space="0" w:color="auto"/>
            </w:tcBorders>
            <w:vAlign w:val="center"/>
          </w:tcPr>
          <w:p w14:paraId="7D509BBA" w14:textId="77777777" w:rsidR="00C476B8" w:rsidRPr="00596496" w:rsidRDefault="00C476B8" w:rsidP="00E14270">
            <w:pPr>
              <w:spacing w:line="240" w:lineRule="auto"/>
              <w:jc w:val="center"/>
              <w:rPr>
                <w:rFonts w:eastAsia="Calibri"/>
                <w:sz w:val="20"/>
                <w:szCs w:val="20"/>
              </w:rPr>
            </w:pPr>
          </w:p>
        </w:tc>
        <w:tc>
          <w:tcPr>
            <w:tcW w:w="840" w:type="dxa"/>
            <w:vAlign w:val="center"/>
          </w:tcPr>
          <w:p w14:paraId="247286E5" w14:textId="77777777" w:rsidR="00C476B8" w:rsidRPr="00596496" w:rsidRDefault="00C476B8" w:rsidP="00E14270">
            <w:pPr>
              <w:spacing w:line="240" w:lineRule="auto"/>
              <w:jc w:val="center"/>
              <w:rPr>
                <w:rFonts w:eastAsia="Calibri"/>
                <w:sz w:val="20"/>
                <w:szCs w:val="20"/>
              </w:rPr>
            </w:pPr>
          </w:p>
        </w:tc>
        <w:tc>
          <w:tcPr>
            <w:tcW w:w="870" w:type="dxa"/>
            <w:tcBorders>
              <w:right w:val="double" w:sz="4" w:space="0" w:color="auto"/>
            </w:tcBorders>
            <w:vAlign w:val="center"/>
          </w:tcPr>
          <w:p w14:paraId="54E70BEF" w14:textId="12500F95" w:rsidR="00C476B8" w:rsidRPr="00596496" w:rsidRDefault="00C476B8" w:rsidP="00E14270">
            <w:pPr>
              <w:spacing w:line="240" w:lineRule="auto"/>
              <w:jc w:val="center"/>
              <w:rPr>
                <w:rFonts w:eastAsia="Calibri"/>
                <w:sz w:val="20"/>
                <w:szCs w:val="20"/>
              </w:rPr>
            </w:pPr>
          </w:p>
        </w:tc>
        <w:tc>
          <w:tcPr>
            <w:tcW w:w="858" w:type="dxa"/>
            <w:tcBorders>
              <w:left w:val="double" w:sz="4" w:space="0" w:color="auto"/>
            </w:tcBorders>
            <w:vAlign w:val="center"/>
          </w:tcPr>
          <w:p w14:paraId="597E67C5" w14:textId="39B44C7C" w:rsidR="00C476B8" w:rsidRPr="00596496" w:rsidRDefault="00C476B8" w:rsidP="00E14270">
            <w:pPr>
              <w:spacing w:line="240" w:lineRule="auto"/>
              <w:jc w:val="center"/>
              <w:rPr>
                <w:rFonts w:eastAsia="Calibri"/>
                <w:sz w:val="20"/>
                <w:szCs w:val="20"/>
              </w:rPr>
            </w:pPr>
          </w:p>
        </w:tc>
        <w:tc>
          <w:tcPr>
            <w:tcW w:w="852" w:type="dxa"/>
            <w:tcBorders>
              <w:right w:val="double" w:sz="4" w:space="0" w:color="auto"/>
            </w:tcBorders>
            <w:vAlign w:val="center"/>
          </w:tcPr>
          <w:p w14:paraId="0FA799D1" w14:textId="00EE8559" w:rsidR="00C476B8" w:rsidRPr="00596496" w:rsidRDefault="00C476B8" w:rsidP="00E14270">
            <w:pPr>
              <w:spacing w:line="240" w:lineRule="auto"/>
              <w:jc w:val="center"/>
              <w:rPr>
                <w:rFonts w:eastAsia="Calibri"/>
                <w:sz w:val="20"/>
                <w:szCs w:val="20"/>
              </w:rPr>
            </w:pPr>
          </w:p>
        </w:tc>
      </w:tr>
      <w:tr w:rsidR="00596496" w:rsidRPr="00596496" w14:paraId="1D17228F" w14:textId="77777777" w:rsidTr="00FC2CB9">
        <w:trPr>
          <w:trHeight w:val="270"/>
          <w:jc w:val="center"/>
        </w:trPr>
        <w:tc>
          <w:tcPr>
            <w:tcW w:w="3312" w:type="dxa"/>
            <w:tcBorders>
              <w:left w:val="double" w:sz="4" w:space="0" w:color="auto"/>
              <w:right w:val="double" w:sz="4" w:space="0" w:color="auto"/>
            </w:tcBorders>
            <w:vAlign w:val="center"/>
          </w:tcPr>
          <w:p w14:paraId="67CBB07E" w14:textId="77777777" w:rsidR="00C476B8" w:rsidRPr="00596496" w:rsidRDefault="00C476B8" w:rsidP="00E14270">
            <w:pPr>
              <w:spacing w:line="240" w:lineRule="auto"/>
              <w:rPr>
                <w:rFonts w:eastAsia="Calibri"/>
                <w:sz w:val="20"/>
                <w:szCs w:val="20"/>
              </w:rPr>
            </w:pPr>
            <w:r w:rsidRPr="00596496">
              <w:rPr>
                <w:rFonts w:eastAsia="Calibri"/>
                <w:sz w:val="20"/>
                <w:szCs w:val="20"/>
              </w:rPr>
              <w:t xml:space="preserve">   Rented</w:t>
            </w:r>
          </w:p>
        </w:tc>
        <w:tc>
          <w:tcPr>
            <w:tcW w:w="864" w:type="dxa"/>
            <w:tcBorders>
              <w:left w:val="double" w:sz="4" w:space="0" w:color="auto"/>
            </w:tcBorders>
            <w:vAlign w:val="center"/>
          </w:tcPr>
          <w:p w14:paraId="0C3EAF96" w14:textId="6106EA98" w:rsidR="00C476B8" w:rsidRPr="00596496" w:rsidRDefault="00C476B8" w:rsidP="00E14270">
            <w:pPr>
              <w:spacing w:line="240" w:lineRule="auto"/>
              <w:jc w:val="center"/>
              <w:rPr>
                <w:rFonts w:eastAsia="Calibri"/>
                <w:sz w:val="20"/>
                <w:szCs w:val="20"/>
              </w:rPr>
            </w:pPr>
            <w:r w:rsidRPr="00596496">
              <w:rPr>
                <w:rFonts w:eastAsia="Calibri"/>
                <w:sz w:val="20"/>
                <w:szCs w:val="20"/>
              </w:rPr>
              <w:t>0.119</w:t>
            </w:r>
          </w:p>
        </w:tc>
        <w:tc>
          <w:tcPr>
            <w:tcW w:w="846" w:type="dxa"/>
            <w:tcBorders>
              <w:right w:val="double" w:sz="4" w:space="0" w:color="auto"/>
            </w:tcBorders>
            <w:vAlign w:val="center"/>
          </w:tcPr>
          <w:p w14:paraId="5BE2D0DA" w14:textId="6162BD22" w:rsidR="00C476B8" w:rsidRPr="00596496" w:rsidRDefault="00C476B8" w:rsidP="00E14270">
            <w:pPr>
              <w:spacing w:line="240" w:lineRule="auto"/>
              <w:jc w:val="center"/>
              <w:rPr>
                <w:rFonts w:eastAsia="Calibri"/>
                <w:sz w:val="20"/>
                <w:szCs w:val="20"/>
              </w:rPr>
            </w:pPr>
            <w:r w:rsidRPr="00596496">
              <w:rPr>
                <w:rFonts w:eastAsia="Calibri"/>
                <w:sz w:val="20"/>
                <w:szCs w:val="20"/>
              </w:rPr>
              <w:t>3.145</w:t>
            </w:r>
          </w:p>
        </w:tc>
        <w:tc>
          <w:tcPr>
            <w:tcW w:w="966" w:type="dxa"/>
            <w:tcBorders>
              <w:left w:val="double" w:sz="4" w:space="0" w:color="auto"/>
            </w:tcBorders>
            <w:vAlign w:val="center"/>
          </w:tcPr>
          <w:p w14:paraId="2773205A" w14:textId="23FE9B1E" w:rsidR="00C476B8" w:rsidRPr="00596496" w:rsidRDefault="00C476B8" w:rsidP="00E14270">
            <w:pPr>
              <w:spacing w:line="240" w:lineRule="auto"/>
              <w:jc w:val="center"/>
              <w:rPr>
                <w:rFonts w:eastAsia="Calibri"/>
                <w:sz w:val="20"/>
                <w:szCs w:val="20"/>
              </w:rPr>
            </w:pPr>
            <w:r w:rsidRPr="00596496">
              <w:rPr>
                <w:rFonts w:eastAsia="Calibri"/>
                <w:sz w:val="20"/>
                <w:szCs w:val="20"/>
              </w:rPr>
              <w:t>0.362</w:t>
            </w:r>
          </w:p>
        </w:tc>
        <w:tc>
          <w:tcPr>
            <w:tcW w:w="828" w:type="dxa"/>
            <w:tcBorders>
              <w:right w:val="double" w:sz="4" w:space="0" w:color="auto"/>
            </w:tcBorders>
            <w:vAlign w:val="center"/>
          </w:tcPr>
          <w:p w14:paraId="06ACD86B" w14:textId="79919899" w:rsidR="00C476B8" w:rsidRPr="00596496" w:rsidRDefault="00C476B8" w:rsidP="00E14270">
            <w:pPr>
              <w:spacing w:line="240" w:lineRule="auto"/>
              <w:jc w:val="center"/>
              <w:rPr>
                <w:rFonts w:eastAsia="Calibri"/>
                <w:sz w:val="20"/>
                <w:szCs w:val="20"/>
              </w:rPr>
            </w:pPr>
            <w:r w:rsidRPr="00596496">
              <w:rPr>
                <w:rFonts w:eastAsia="Calibri"/>
                <w:sz w:val="20"/>
                <w:szCs w:val="20"/>
              </w:rPr>
              <w:t>8.779</w:t>
            </w:r>
          </w:p>
        </w:tc>
        <w:tc>
          <w:tcPr>
            <w:tcW w:w="864" w:type="dxa"/>
            <w:tcBorders>
              <w:left w:val="double" w:sz="4" w:space="0" w:color="auto"/>
            </w:tcBorders>
            <w:vAlign w:val="center"/>
          </w:tcPr>
          <w:p w14:paraId="2FF72B6F" w14:textId="6E48DAAA"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28" w:type="dxa"/>
            <w:tcBorders>
              <w:right w:val="double" w:sz="4" w:space="0" w:color="auto"/>
            </w:tcBorders>
            <w:vAlign w:val="center"/>
          </w:tcPr>
          <w:p w14:paraId="3849FB65" w14:textId="7BF98B4A"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64" w:type="dxa"/>
            <w:tcBorders>
              <w:left w:val="double" w:sz="4" w:space="0" w:color="auto"/>
            </w:tcBorders>
            <w:vAlign w:val="center"/>
          </w:tcPr>
          <w:p w14:paraId="093E22C4" w14:textId="61982974" w:rsidR="00C476B8" w:rsidRPr="00596496" w:rsidRDefault="00C476B8" w:rsidP="00E14270">
            <w:pPr>
              <w:spacing w:line="240" w:lineRule="auto"/>
              <w:jc w:val="center"/>
              <w:rPr>
                <w:rFonts w:eastAsia="Calibri"/>
                <w:sz w:val="20"/>
                <w:szCs w:val="20"/>
              </w:rPr>
            </w:pPr>
            <w:r w:rsidRPr="00596496">
              <w:rPr>
                <w:rFonts w:eastAsia="Calibri"/>
                <w:sz w:val="20"/>
                <w:szCs w:val="20"/>
              </w:rPr>
              <w:t>0.625</w:t>
            </w:r>
          </w:p>
        </w:tc>
        <w:tc>
          <w:tcPr>
            <w:tcW w:w="888" w:type="dxa"/>
            <w:tcBorders>
              <w:right w:val="double" w:sz="4" w:space="0" w:color="auto"/>
            </w:tcBorders>
            <w:vAlign w:val="center"/>
          </w:tcPr>
          <w:p w14:paraId="2FC88136" w14:textId="30CE3C0E" w:rsidR="00C476B8" w:rsidRPr="00596496" w:rsidRDefault="00C476B8" w:rsidP="00E14270">
            <w:pPr>
              <w:spacing w:line="240" w:lineRule="auto"/>
              <w:jc w:val="center"/>
              <w:rPr>
                <w:rFonts w:eastAsia="Calibri"/>
                <w:sz w:val="20"/>
                <w:szCs w:val="20"/>
              </w:rPr>
            </w:pPr>
            <w:r w:rsidRPr="00596496">
              <w:rPr>
                <w:rFonts w:eastAsia="Calibri"/>
                <w:sz w:val="20"/>
                <w:szCs w:val="20"/>
              </w:rPr>
              <w:t>14.574</w:t>
            </w:r>
          </w:p>
        </w:tc>
        <w:tc>
          <w:tcPr>
            <w:tcW w:w="840" w:type="dxa"/>
            <w:vAlign w:val="center"/>
          </w:tcPr>
          <w:p w14:paraId="1DFC15A5" w14:textId="2F6191E4"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70" w:type="dxa"/>
            <w:tcBorders>
              <w:right w:val="double" w:sz="4" w:space="0" w:color="auto"/>
            </w:tcBorders>
            <w:vAlign w:val="center"/>
          </w:tcPr>
          <w:p w14:paraId="287C7A93" w14:textId="4D26A2FB"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58" w:type="dxa"/>
            <w:tcBorders>
              <w:left w:val="double" w:sz="4" w:space="0" w:color="auto"/>
            </w:tcBorders>
            <w:vAlign w:val="center"/>
          </w:tcPr>
          <w:p w14:paraId="341B46F3" w14:textId="5E475824"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52" w:type="dxa"/>
            <w:tcBorders>
              <w:right w:val="double" w:sz="4" w:space="0" w:color="auto"/>
            </w:tcBorders>
            <w:vAlign w:val="center"/>
          </w:tcPr>
          <w:p w14:paraId="32443D7E" w14:textId="720D3890" w:rsidR="00C476B8" w:rsidRPr="00596496" w:rsidRDefault="00596496" w:rsidP="00E14270">
            <w:pPr>
              <w:spacing w:line="240" w:lineRule="auto"/>
              <w:jc w:val="center"/>
              <w:rPr>
                <w:rFonts w:eastAsia="Calibri"/>
                <w:sz w:val="20"/>
                <w:szCs w:val="20"/>
              </w:rPr>
            </w:pPr>
            <w:r>
              <w:rPr>
                <w:rFonts w:eastAsia="Calibri"/>
                <w:sz w:val="20"/>
                <w:szCs w:val="20"/>
              </w:rPr>
              <w:t>-</w:t>
            </w:r>
          </w:p>
        </w:tc>
      </w:tr>
      <w:tr w:rsidR="00596496" w:rsidRPr="00596496" w14:paraId="393B9528" w14:textId="77777777" w:rsidTr="00FC2CB9">
        <w:trPr>
          <w:trHeight w:val="270"/>
          <w:jc w:val="center"/>
        </w:trPr>
        <w:tc>
          <w:tcPr>
            <w:tcW w:w="3312" w:type="dxa"/>
            <w:tcBorders>
              <w:left w:val="double" w:sz="4" w:space="0" w:color="auto"/>
              <w:right w:val="double" w:sz="4" w:space="0" w:color="auto"/>
            </w:tcBorders>
            <w:vAlign w:val="center"/>
          </w:tcPr>
          <w:p w14:paraId="1B958DDC" w14:textId="382C0025" w:rsidR="00C476B8" w:rsidRPr="00596496" w:rsidRDefault="00C476B8" w:rsidP="00E14270">
            <w:pPr>
              <w:spacing w:line="240" w:lineRule="auto"/>
              <w:rPr>
                <w:rFonts w:eastAsia="Calibri"/>
                <w:b/>
                <w:sz w:val="20"/>
                <w:szCs w:val="20"/>
              </w:rPr>
            </w:pPr>
            <w:proofErr w:type="spellStart"/>
            <w:r w:rsidRPr="00596496">
              <w:rPr>
                <w:rFonts w:eastAsia="Calibri"/>
                <w:b/>
                <w:sz w:val="20"/>
                <w:szCs w:val="20"/>
              </w:rPr>
              <w:t>Storey</w:t>
            </w:r>
            <w:proofErr w:type="spellEnd"/>
            <w:r w:rsidRPr="00596496">
              <w:rPr>
                <w:rFonts w:eastAsia="Calibri"/>
                <w:b/>
                <w:sz w:val="20"/>
                <w:szCs w:val="20"/>
              </w:rPr>
              <w:t xml:space="preserve"> type (base: multi-</w:t>
            </w:r>
            <w:proofErr w:type="spellStart"/>
            <w:r w:rsidRPr="00596496">
              <w:rPr>
                <w:rFonts w:eastAsia="Calibri"/>
                <w:b/>
                <w:sz w:val="20"/>
                <w:szCs w:val="20"/>
              </w:rPr>
              <w:t>storey</w:t>
            </w:r>
            <w:proofErr w:type="spellEnd"/>
            <w:r w:rsidRPr="00596496">
              <w:rPr>
                <w:rFonts w:eastAsia="Calibri"/>
                <w:b/>
                <w:sz w:val="20"/>
                <w:szCs w:val="20"/>
              </w:rPr>
              <w:t>)</w:t>
            </w:r>
          </w:p>
        </w:tc>
        <w:tc>
          <w:tcPr>
            <w:tcW w:w="864" w:type="dxa"/>
            <w:tcBorders>
              <w:left w:val="double" w:sz="4" w:space="0" w:color="auto"/>
            </w:tcBorders>
            <w:vAlign w:val="center"/>
          </w:tcPr>
          <w:p w14:paraId="536FF674" w14:textId="77777777" w:rsidR="00C476B8" w:rsidRPr="00596496" w:rsidRDefault="00C476B8" w:rsidP="00E14270">
            <w:pPr>
              <w:spacing w:line="240" w:lineRule="auto"/>
              <w:jc w:val="center"/>
              <w:rPr>
                <w:rFonts w:eastAsia="Calibri"/>
                <w:sz w:val="20"/>
                <w:szCs w:val="20"/>
              </w:rPr>
            </w:pPr>
          </w:p>
        </w:tc>
        <w:tc>
          <w:tcPr>
            <w:tcW w:w="846" w:type="dxa"/>
            <w:tcBorders>
              <w:right w:val="double" w:sz="4" w:space="0" w:color="auto"/>
            </w:tcBorders>
            <w:vAlign w:val="center"/>
          </w:tcPr>
          <w:p w14:paraId="094EAF90" w14:textId="77777777" w:rsidR="00C476B8" w:rsidRPr="00596496" w:rsidRDefault="00C476B8" w:rsidP="00E14270">
            <w:pPr>
              <w:spacing w:line="240" w:lineRule="auto"/>
              <w:jc w:val="center"/>
              <w:rPr>
                <w:rFonts w:eastAsia="Calibri"/>
                <w:sz w:val="20"/>
                <w:szCs w:val="20"/>
              </w:rPr>
            </w:pPr>
          </w:p>
        </w:tc>
        <w:tc>
          <w:tcPr>
            <w:tcW w:w="966" w:type="dxa"/>
            <w:tcBorders>
              <w:left w:val="double" w:sz="4" w:space="0" w:color="auto"/>
            </w:tcBorders>
            <w:vAlign w:val="center"/>
          </w:tcPr>
          <w:p w14:paraId="2AB1DE9C" w14:textId="77777777" w:rsidR="00C476B8" w:rsidRPr="00596496" w:rsidRDefault="00C476B8" w:rsidP="00E14270">
            <w:pPr>
              <w:spacing w:line="240" w:lineRule="auto"/>
              <w:jc w:val="center"/>
              <w:rPr>
                <w:rFonts w:eastAsia="Calibri"/>
                <w:sz w:val="20"/>
                <w:szCs w:val="20"/>
              </w:rPr>
            </w:pPr>
          </w:p>
        </w:tc>
        <w:tc>
          <w:tcPr>
            <w:tcW w:w="828" w:type="dxa"/>
            <w:tcBorders>
              <w:right w:val="double" w:sz="4" w:space="0" w:color="auto"/>
            </w:tcBorders>
            <w:vAlign w:val="center"/>
          </w:tcPr>
          <w:p w14:paraId="04B5E277" w14:textId="77777777" w:rsidR="00C476B8" w:rsidRPr="00596496" w:rsidRDefault="00C476B8" w:rsidP="00E14270">
            <w:pPr>
              <w:spacing w:line="240" w:lineRule="auto"/>
              <w:jc w:val="center"/>
              <w:rPr>
                <w:rFonts w:eastAsia="Calibri"/>
                <w:sz w:val="20"/>
                <w:szCs w:val="20"/>
              </w:rPr>
            </w:pPr>
          </w:p>
        </w:tc>
        <w:tc>
          <w:tcPr>
            <w:tcW w:w="864" w:type="dxa"/>
            <w:tcBorders>
              <w:left w:val="double" w:sz="4" w:space="0" w:color="auto"/>
            </w:tcBorders>
            <w:vAlign w:val="center"/>
          </w:tcPr>
          <w:p w14:paraId="50BD8FE6" w14:textId="77777777" w:rsidR="00C476B8" w:rsidRPr="00596496" w:rsidRDefault="00C476B8" w:rsidP="00E14270">
            <w:pPr>
              <w:spacing w:line="240" w:lineRule="auto"/>
              <w:jc w:val="center"/>
              <w:rPr>
                <w:rFonts w:eastAsia="Calibri"/>
                <w:sz w:val="20"/>
                <w:szCs w:val="20"/>
              </w:rPr>
            </w:pPr>
          </w:p>
        </w:tc>
        <w:tc>
          <w:tcPr>
            <w:tcW w:w="828" w:type="dxa"/>
            <w:tcBorders>
              <w:right w:val="double" w:sz="4" w:space="0" w:color="auto"/>
            </w:tcBorders>
            <w:vAlign w:val="center"/>
          </w:tcPr>
          <w:p w14:paraId="13464BE4" w14:textId="77777777" w:rsidR="00C476B8" w:rsidRPr="00596496" w:rsidRDefault="00C476B8" w:rsidP="00E14270">
            <w:pPr>
              <w:spacing w:line="240" w:lineRule="auto"/>
              <w:jc w:val="center"/>
              <w:rPr>
                <w:rFonts w:eastAsia="Calibri"/>
                <w:sz w:val="20"/>
                <w:szCs w:val="20"/>
              </w:rPr>
            </w:pPr>
          </w:p>
        </w:tc>
        <w:tc>
          <w:tcPr>
            <w:tcW w:w="864" w:type="dxa"/>
            <w:tcBorders>
              <w:left w:val="double" w:sz="4" w:space="0" w:color="auto"/>
            </w:tcBorders>
            <w:vAlign w:val="center"/>
          </w:tcPr>
          <w:p w14:paraId="0ADA1B6F" w14:textId="77777777" w:rsidR="00C476B8" w:rsidRPr="00596496" w:rsidRDefault="00C476B8" w:rsidP="00E14270">
            <w:pPr>
              <w:spacing w:line="240" w:lineRule="auto"/>
              <w:jc w:val="center"/>
              <w:rPr>
                <w:rFonts w:eastAsia="Calibri"/>
                <w:sz w:val="20"/>
                <w:szCs w:val="20"/>
              </w:rPr>
            </w:pPr>
          </w:p>
        </w:tc>
        <w:tc>
          <w:tcPr>
            <w:tcW w:w="888" w:type="dxa"/>
            <w:tcBorders>
              <w:right w:val="double" w:sz="4" w:space="0" w:color="auto"/>
            </w:tcBorders>
            <w:vAlign w:val="center"/>
          </w:tcPr>
          <w:p w14:paraId="6C5B2E3D" w14:textId="77777777" w:rsidR="00C476B8" w:rsidRPr="00596496" w:rsidRDefault="00C476B8" w:rsidP="00E14270">
            <w:pPr>
              <w:spacing w:line="240" w:lineRule="auto"/>
              <w:jc w:val="center"/>
              <w:rPr>
                <w:rFonts w:eastAsia="Calibri"/>
                <w:sz w:val="20"/>
                <w:szCs w:val="20"/>
              </w:rPr>
            </w:pPr>
          </w:p>
        </w:tc>
        <w:tc>
          <w:tcPr>
            <w:tcW w:w="840" w:type="dxa"/>
            <w:vAlign w:val="center"/>
          </w:tcPr>
          <w:p w14:paraId="5908BCC1" w14:textId="77777777" w:rsidR="00C476B8" w:rsidRPr="00596496" w:rsidRDefault="00C476B8" w:rsidP="00E14270">
            <w:pPr>
              <w:spacing w:line="240" w:lineRule="auto"/>
              <w:jc w:val="center"/>
              <w:rPr>
                <w:rFonts w:eastAsia="Calibri"/>
                <w:sz w:val="20"/>
                <w:szCs w:val="20"/>
              </w:rPr>
            </w:pPr>
          </w:p>
        </w:tc>
        <w:tc>
          <w:tcPr>
            <w:tcW w:w="870" w:type="dxa"/>
            <w:tcBorders>
              <w:right w:val="double" w:sz="4" w:space="0" w:color="auto"/>
            </w:tcBorders>
            <w:vAlign w:val="center"/>
          </w:tcPr>
          <w:p w14:paraId="59014E30" w14:textId="6AD719E1" w:rsidR="00C476B8" w:rsidRPr="00596496" w:rsidRDefault="00C476B8" w:rsidP="00E14270">
            <w:pPr>
              <w:spacing w:line="240" w:lineRule="auto"/>
              <w:jc w:val="center"/>
              <w:rPr>
                <w:rFonts w:eastAsia="Calibri"/>
                <w:sz w:val="20"/>
                <w:szCs w:val="20"/>
              </w:rPr>
            </w:pPr>
          </w:p>
        </w:tc>
        <w:tc>
          <w:tcPr>
            <w:tcW w:w="858" w:type="dxa"/>
            <w:tcBorders>
              <w:left w:val="double" w:sz="4" w:space="0" w:color="auto"/>
            </w:tcBorders>
            <w:vAlign w:val="center"/>
          </w:tcPr>
          <w:p w14:paraId="132C8ECE" w14:textId="4A772CDF" w:rsidR="00C476B8" w:rsidRPr="00596496" w:rsidRDefault="00C476B8" w:rsidP="00E14270">
            <w:pPr>
              <w:spacing w:line="240" w:lineRule="auto"/>
              <w:jc w:val="center"/>
              <w:rPr>
                <w:rFonts w:eastAsia="Calibri"/>
                <w:sz w:val="20"/>
                <w:szCs w:val="20"/>
              </w:rPr>
            </w:pPr>
          </w:p>
        </w:tc>
        <w:tc>
          <w:tcPr>
            <w:tcW w:w="852" w:type="dxa"/>
            <w:tcBorders>
              <w:right w:val="double" w:sz="4" w:space="0" w:color="auto"/>
            </w:tcBorders>
            <w:vAlign w:val="center"/>
          </w:tcPr>
          <w:p w14:paraId="0752097A" w14:textId="157DB8F0" w:rsidR="00C476B8" w:rsidRPr="00596496" w:rsidRDefault="00C476B8" w:rsidP="00E14270">
            <w:pPr>
              <w:spacing w:line="240" w:lineRule="auto"/>
              <w:jc w:val="center"/>
              <w:rPr>
                <w:rFonts w:eastAsia="Calibri"/>
                <w:sz w:val="20"/>
                <w:szCs w:val="20"/>
              </w:rPr>
            </w:pPr>
          </w:p>
        </w:tc>
      </w:tr>
      <w:tr w:rsidR="00596496" w:rsidRPr="00596496" w14:paraId="26F6105D" w14:textId="77777777" w:rsidTr="00FC2CB9">
        <w:trPr>
          <w:trHeight w:val="270"/>
          <w:jc w:val="center"/>
        </w:trPr>
        <w:tc>
          <w:tcPr>
            <w:tcW w:w="3312" w:type="dxa"/>
            <w:tcBorders>
              <w:left w:val="double" w:sz="4" w:space="0" w:color="auto"/>
              <w:right w:val="double" w:sz="4" w:space="0" w:color="auto"/>
            </w:tcBorders>
            <w:vAlign w:val="center"/>
          </w:tcPr>
          <w:p w14:paraId="3DD5E118" w14:textId="77777777" w:rsidR="00C476B8" w:rsidRPr="00596496" w:rsidRDefault="00C476B8" w:rsidP="00E14270">
            <w:pPr>
              <w:spacing w:line="240" w:lineRule="auto"/>
              <w:rPr>
                <w:rFonts w:eastAsia="Calibri"/>
                <w:sz w:val="20"/>
                <w:szCs w:val="20"/>
              </w:rPr>
            </w:pPr>
            <w:r w:rsidRPr="00596496">
              <w:rPr>
                <w:rFonts w:eastAsia="Calibri"/>
                <w:sz w:val="20"/>
                <w:szCs w:val="20"/>
              </w:rPr>
              <w:t xml:space="preserve">   Single-</w:t>
            </w:r>
            <w:proofErr w:type="spellStart"/>
            <w:r w:rsidRPr="00596496">
              <w:rPr>
                <w:rFonts w:eastAsia="Calibri"/>
                <w:sz w:val="20"/>
                <w:szCs w:val="20"/>
              </w:rPr>
              <w:t>storey</w:t>
            </w:r>
            <w:proofErr w:type="spellEnd"/>
          </w:p>
        </w:tc>
        <w:tc>
          <w:tcPr>
            <w:tcW w:w="864" w:type="dxa"/>
            <w:tcBorders>
              <w:left w:val="double" w:sz="4" w:space="0" w:color="auto"/>
            </w:tcBorders>
            <w:vAlign w:val="center"/>
          </w:tcPr>
          <w:p w14:paraId="51292D16" w14:textId="77777777" w:rsidR="00C476B8" w:rsidRPr="00596496" w:rsidRDefault="00C476B8" w:rsidP="00E14270">
            <w:pPr>
              <w:spacing w:line="240" w:lineRule="auto"/>
              <w:jc w:val="center"/>
              <w:rPr>
                <w:rFonts w:eastAsia="Calibri"/>
                <w:sz w:val="20"/>
                <w:szCs w:val="20"/>
              </w:rPr>
            </w:pPr>
            <w:r w:rsidRPr="00596496">
              <w:rPr>
                <w:rFonts w:eastAsia="Calibri"/>
                <w:sz w:val="20"/>
                <w:szCs w:val="20"/>
              </w:rPr>
              <w:t>0.194</w:t>
            </w:r>
          </w:p>
        </w:tc>
        <w:tc>
          <w:tcPr>
            <w:tcW w:w="846" w:type="dxa"/>
            <w:tcBorders>
              <w:right w:val="double" w:sz="4" w:space="0" w:color="auto"/>
            </w:tcBorders>
            <w:vAlign w:val="center"/>
          </w:tcPr>
          <w:p w14:paraId="33B376E4" w14:textId="77777777" w:rsidR="00C476B8" w:rsidRPr="00596496" w:rsidRDefault="00C476B8" w:rsidP="00E14270">
            <w:pPr>
              <w:spacing w:line="240" w:lineRule="auto"/>
              <w:jc w:val="center"/>
              <w:rPr>
                <w:rFonts w:eastAsia="Calibri"/>
                <w:sz w:val="20"/>
                <w:szCs w:val="20"/>
              </w:rPr>
            </w:pPr>
            <w:r w:rsidRPr="00596496">
              <w:rPr>
                <w:rFonts w:eastAsia="Calibri"/>
                <w:sz w:val="20"/>
                <w:szCs w:val="20"/>
              </w:rPr>
              <w:t>4.780</w:t>
            </w:r>
          </w:p>
        </w:tc>
        <w:tc>
          <w:tcPr>
            <w:tcW w:w="966" w:type="dxa"/>
            <w:tcBorders>
              <w:left w:val="double" w:sz="4" w:space="0" w:color="auto"/>
            </w:tcBorders>
            <w:vAlign w:val="center"/>
          </w:tcPr>
          <w:p w14:paraId="06E4D0C3" w14:textId="003FE434"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28" w:type="dxa"/>
            <w:tcBorders>
              <w:right w:val="double" w:sz="4" w:space="0" w:color="auto"/>
            </w:tcBorders>
            <w:vAlign w:val="center"/>
          </w:tcPr>
          <w:p w14:paraId="13298AB4" w14:textId="2E2243FB"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64" w:type="dxa"/>
            <w:tcBorders>
              <w:left w:val="double" w:sz="4" w:space="0" w:color="auto"/>
            </w:tcBorders>
            <w:vAlign w:val="center"/>
          </w:tcPr>
          <w:p w14:paraId="3BBAE845" w14:textId="7396CAA6"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28" w:type="dxa"/>
            <w:tcBorders>
              <w:right w:val="double" w:sz="4" w:space="0" w:color="auto"/>
            </w:tcBorders>
            <w:vAlign w:val="center"/>
          </w:tcPr>
          <w:p w14:paraId="0C6D607B" w14:textId="7AE9420E"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64" w:type="dxa"/>
            <w:tcBorders>
              <w:left w:val="double" w:sz="4" w:space="0" w:color="auto"/>
            </w:tcBorders>
            <w:vAlign w:val="center"/>
          </w:tcPr>
          <w:p w14:paraId="5B1B181D" w14:textId="77777777" w:rsidR="00C476B8" w:rsidRPr="00596496" w:rsidRDefault="00C476B8" w:rsidP="00E14270">
            <w:pPr>
              <w:spacing w:line="240" w:lineRule="auto"/>
              <w:jc w:val="center"/>
              <w:rPr>
                <w:rFonts w:eastAsia="Calibri"/>
                <w:sz w:val="20"/>
                <w:szCs w:val="20"/>
              </w:rPr>
            </w:pPr>
            <w:r w:rsidRPr="00596496">
              <w:rPr>
                <w:rFonts w:eastAsia="Calibri"/>
                <w:sz w:val="20"/>
                <w:szCs w:val="20"/>
              </w:rPr>
              <w:t>0.261</w:t>
            </w:r>
          </w:p>
        </w:tc>
        <w:tc>
          <w:tcPr>
            <w:tcW w:w="888" w:type="dxa"/>
            <w:tcBorders>
              <w:right w:val="double" w:sz="4" w:space="0" w:color="auto"/>
            </w:tcBorders>
            <w:vAlign w:val="center"/>
          </w:tcPr>
          <w:p w14:paraId="3978EAAD" w14:textId="77777777" w:rsidR="00C476B8" w:rsidRPr="00596496" w:rsidRDefault="00C476B8" w:rsidP="00E14270">
            <w:pPr>
              <w:spacing w:line="240" w:lineRule="auto"/>
              <w:jc w:val="center"/>
              <w:rPr>
                <w:rFonts w:eastAsia="Calibri"/>
                <w:sz w:val="20"/>
                <w:szCs w:val="20"/>
              </w:rPr>
            </w:pPr>
            <w:r w:rsidRPr="00596496">
              <w:rPr>
                <w:rFonts w:eastAsia="Calibri"/>
                <w:sz w:val="20"/>
                <w:szCs w:val="20"/>
              </w:rPr>
              <w:t>5.995</w:t>
            </w:r>
          </w:p>
        </w:tc>
        <w:tc>
          <w:tcPr>
            <w:tcW w:w="840" w:type="dxa"/>
            <w:vAlign w:val="center"/>
          </w:tcPr>
          <w:p w14:paraId="4E73EA95" w14:textId="619807BF"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70" w:type="dxa"/>
            <w:tcBorders>
              <w:right w:val="double" w:sz="4" w:space="0" w:color="auto"/>
            </w:tcBorders>
            <w:vAlign w:val="center"/>
          </w:tcPr>
          <w:p w14:paraId="764D0A93" w14:textId="206E238C"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58" w:type="dxa"/>
            <w:tcBorders>
              <w:left w:val="double" w:sz="4" w:space="0" w:color="auto"/>
            </w:tcBorders>
            <w:vAlign w:val="center"/>
          </w:tcPr>
          <w:p w14:paraId="57A3A8A3" w14:textId="3C5680AF"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52" w:type="dxa"/>
            <w:tcBorders>
              <w:right w:val="double" w:sz="4" w:space="0" w:color="auto"/>
            </w:tcBorders>
            <w:vAlign w:val="center"/>
          </w:tcPr>
          <w:p w14:paraId="177D0F9C" w14:textId="5D9396B5" w:rsidR="00C476B8" w:rsidRPr="00596496" w:rsidRDefault="00596496" w:rsidP="00E14270">
            <w:pPr>
              <w:spacing w:line="240" w:lineRule="auto"/>
              <w:jc w:val="center"/>
              <w:rPr>
                <w:rFonts w:eastAsia="Calibri"/>
                <w:sz w:val="20"/>
                <w:szCs w:val="20"/>
              </w:rPr>
            </w:pPr>
            <w:r>
              <w:rPr>
                <w:rFonts w:eastAsia="Calibri"/>
                <w:sz w:val="20"/>
                <w:szCs w:val="20"/>
              </w:rPr>
              <w:t>-</w:t>
            </w:r>
          </w:p>
        </w:tc>
      </w:tr>
      <w:tr w:rsidR="00596496" w:rsidRPr="00596496" w14:paraId="0BC72290" w14:textId="77777777" w:rsidTr="00FC2CB9">
        <w:trPr>
          <w:trHeight w:val="270"/>
          <w:jc w:val="center"/>
        </w:trPr>
        <w:tc>
          <w:tcPr>
            <w:tcW w:w="3312" w:type="dxa"/>
            <w:tcBorders>
              <w:left w:val="double" w:sz="4" w:space="0" w:color="auto"/>
              <w:right w:val="double" w:sz="4" w:space="0" w:color="auto"/>
            </w:tcBorders>
            <w:vAlign w:val="center"/>
          </w:tcPr>
          <w:p w14:paraId="48DE846B" w14:textId="77777777" w:rsidR="00C476B8" w:rsidRPr="00596496" w:rsidRDefault="00C476B8" w:rsidP="00E14270">
            <w:pPr>
              <w:spacing w:line="240" w:lineRule="auto"/>
              <w:rPr>
                <w:rFonts w:eastAsia="Calibri"/>
                <w:b/>
                <w:sz w:val="20"/>
                <w:szCs w:val="20"/>
              </w:rPr>
            </w:pPr>
            <w:r w:rsidRPr="00596496">
              <w:rPr>
                <w:rFonts w:eastAsia="Calibri"/>
                <w:b/>
                <w:sz w:val="20"/>
                <w:szCs w:val="20"/>
              </w:rPr>
              <w:t>Lot size (sq. feet)</w:t>
            </w:r>
          </w:p>
        </w:tc>
        <w:tc>
          <w:tcPr>
            <w:tcW w:w="864" w:type="dxa"/>
            <w:tcBorders>
              <w:left w:val="double" w:sz="4" w:space="0" w:color="auto"/>
            </w:tcBorders>
            <w:vAlign w:val="center"/>
          </w:tcPr>
          <w:p w14:paraId="1B8AE566" w14:textId="0209957E"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46" w:type="dxa"/>
            <w:tcBorders>
              <w:right w:val="double" w:sz="4" w:space="0" w:color="auto"/>
            </w:tcBorders>
            <w:vAlign w:val="center"/>
          </w:tcPr>
          <w:p w14:paraId="3A8F3C71" w14:textId="44B8C04A"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966" w:type="dxa"/>
            <w:tcBorders>
              <w:left w:val="double" w:sz="4" w:space="0" w:color="auto"/>
            </w:tcBorders>
            <w:vAlign w:val="center"/>
          </w:tcPr>
          <w:p w14:paraId="240E9258" w14:textId="7EB5B597"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28" w:type="dxa"/>
            <w:tcBorders>
              <w:right w:val="double" w:sz="4" w:space="0" w:color="auto"/>
            </w:tcBorders>
            <w:vAlign w:val="center"/>
          </w:tcPr>
          <w:p w14:paraId="5E1104E5" w14:textId="1C04697A"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64" w:type="dxa"/>
            <w:tcBorders>
              <w:left w:val="double" w:sz="4" w:space="0" w:color="auto"/>
            </w:tcBorders>
            <w:vAlign w:val="center"/>
          </w:tcPr>
          <w:p w14:paraId="4DF5B79B" w14:textId="704F3E51"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28" w:type="dxa"/>
            <w:tcBorders>
              <w:right w:val="double" w:sz="4" w:space="0" w:color="auto"/>
            </w:tcBorders>
            <w:vAlign w:val="center"/>
          </w:tcPr>
          <w:p w14:paraId="66919D28" w14:textId="2B1690D4"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64" w:type="dxa"/>
            <w:tcBorders>
              <w:left w:val="double" w:sz="4" w:space="0" w:color="auto"/>
            </w:tcBorders>
            <w:vAlign w:val="center"/>
          </w:tcPr>
          <w:p w14:paraId="7B46FE4A" w14:textId="1BBEE1F8"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88" w:type="dxa"/>
            <w:tcBorders>
              <w:right w:val="double" w:sz="4" w:space="0" w:color="auto"/>
            </w:tcBorders>
            <w:vAlign w:val="center"/>
          </w:tcPr>
          <w:p w14:paraId="6D965943" w14:textId="04EFAF7A" w:rsidR="00C476B8" w:rsidRPr="00596496" w:rsidRDefault="00596496" w:rsidP="00E14270">
            <w:pPr>
              <w:spacing w:line="240" w:lineRule="auto"/>
              <w:jc w:val="center"/>
              <w:rPr>
                <w:rFonts w:eastAsia="Calibri"/>
                <w:sz w:val="20"/>
                <w:szCs w:val="20"/>
              </w:rPr>
            </w:pPr>
            <w:r>
              <w:rPr>
                <w:rFonts w:eastAsia="Calibri"/>
                <w:sz w:val="20"/>
                <w:szCs w:val="20"/>
              </w:rPr>
              <w:t>-</w:t>
            </w:r>
          </w:p>
        </w:tc>
        <w:tc>
          <w:tcPr>
            <w:tcW w:w="840" w:type="dxa"/>
            <w:vAlign w:val="center"/>
          </w:tcPr>
          <w:p w14:paraId="752F2EF3" w14:textId="7D682583" w:rsidR="00C476B8" w:rsidRPr="00596496" w:rsidRDefault="00C476B8" w:rsidP="00E14270">
            <w:pPr>
              <w:spacing w:line="240" w:lineRule="auto"/>
              <w:jc w:val="center"/>
              <w:rPr>
                <w:rFonts w:eastAsia="Calibri"/>
                <w:sz w:val="20"/>
                <w:szCs w:val="20"/>
              </w:rPr>
            </w:pPr>
            <w:r w:rsidRPr="00596496">
              <w:rPr>
                <w:rFonts w:eastAsia="Calibri"/>
                <w:sz w:val="20"/>
                <w:szCs w:val="20"/>
              </w:rPr>
              <w:t>0.043</w:t>
            </w:r>
          </w:p>
        </w:tc>
        <w:tc>
          <w:tcPr>
            <w:tcW w:w="870" w:type="dxa"/>
            <w:tcBorders>
              <w:right w:val="double" w:sz="4" w:space="0" w:color="auto"/>
            </w:tcBorders>
            <w:vAlign w:val="center"/>
          </w:tcPr>
          <w:p w14:paraId="5F87B65B" w14:textId="1F741FFB" w:rsidR="00C476B8" w:rsidRPr="00596496" w:rsidRDefault="00C476B8" w:rsidP="00E14270">
            <w:pPr>
              <w:spacing w:line="240" w:lineRule="auto"/>
              <w:jc w:val="center"/>
              <w:rPr>
                <w:rFonts w:eastAsia="Calibri"/>
                <w:sz w:val="20"/>
                <w:szCs w:val="20"/>
              </w:rPr>
            </w:pPr>
            <w:r w:rsidRPr="00596496">
              <w:rPr>
                <w:rFonts w:eastAsia="Calibri"/>
                <w:sz w:val="20"/>
                <w:szCs w:val="20"/>
              </w:rPr>
              <w:t>3.531</w:t>
            </w:r>
          </w:p>
        </w:tc>
        <w:tc>
          <w:tcPr>
            <w:tcW w:w="858" w:type="dxa"/>
            <w:tcBorders>
              <w:left w:val="double" w:sz="4" w:space="0" w:color="auto"/>
            </w:tcBorders>
            <w:vAlign w:val="center"/>
          </w:tcPr>
          <w:p w14:paraId="7C45AB43" w14:textId="44FBB0BB" w:rsidR="00C476B8" w:rsidRPr="00596496" w:rsidRDefault="00C476B8" w:rsidP="00E14270">
            <w:pPr>
              <w:spacing w:line="240" w:lineRule="auto"/>
              <w:jc w:val="center"/>
              <w:rPr>
                <w:rFonts w:eastAsia="Calibri"/>
                <w:sz w:val="20"/>
                <w:szCs w:val="20"/>
              </w:rPr>
            </w:pPr>
            <w:r w:rsidRPr="00596496">
              <w:rPr>
                <w:rFonts w:eastAsia="Calibri"/>
                <w:sz w:val="20"/>
                <w:szCs w:val="20"/>
              </w:rPr>
              <w:t>0.043</w:t>
            </w:r>
          </w:p>
        </w:tc>
        <w:tc>
          <w:tcPr>
            <w:tcW w:w="852" w:type="dxa"/>
            <w:tcBorders>
              <w:right w:val="double" w:sz="4" w:space="0" w:color="auto"/>
            </w:tcBorders>
            <w:vAlign w:val="center"/>
          </w:tcPr>
          <w:p w14:paraId="49BCBF37" w14:textId="06B7D9E4" w:rsidR="00C476B8" w:rsidRPr="00596496" w:rsidRDefault="00C476B8" w:rsidP="00E14270">
            <w:pPr>
              <w:spacing w:line="240" w:lineRule="auto"/>
              <w:jc w:val="center"/>
              <w:rPr>
                <w:rFonts w:eastAsia="Calibri"/>
                <w:sz w:val="20"/>
                <w:szCs w:val="20"/>
              </w:rPr>
            </w:pPr>
            <w:r w:rsidRPr="00596496">
              <w:rPr>
                <w:rFonts w:eastAsia="Calibri"/>
                <w:sz w:val="20"/>
                <w:szCs w:val="20"/>
              </w:rPr>
              <w:t>3.531</w:t>
            </w:r>
          </w:p>
        </w:tc>
      </w:tr>
      <w:tr w:rsidR="00596496" w:rsidRPr="00596496" w14:paraId="7D07D8C3" w14:textId="77777777" w:rsidTr="00FC2CB9">
        <w:trPr>
          <w:trHeight w:val="270"/>
          <w:jc w:val="center"/>
        </w:trPr>
        <w:tc>
          <w:tcPr>
            <w:tcW w:w="3312" w:type="dxa"/>
            <w:tcBorders>
              <w:left w:val="double" w:sz="4" w:space="0" w:color="auto"/>
              <w:right w:val="double" w:sz="4" w:space="0" w:color="auto"/>
            </w:tcBorders>
            <w:vAlign w:val="center"/>
          </w:tcPr>
          <w:p w14:paraId="7185A9BA" w14:textId="77777777" w:rsidR="00596496" w:rsidRPr="00596496" w:rsidRDefault="00596496" w:rsidP="00E14270">
            <w:pPr>
              <w:spacing w:line="240" w:lineRule="auto"/>
              <w:rPr>
                <w:rFonts w:eastAsia="Calibri"/>
                <w:b/>
                <w:sz w:val="20"/>
                <w:szCs w:val="20"/>
              </w:rPr>
            </w:pPr>
            <w:r w:rsidRPr="00596496">
              <w:rPr>
                <w:rFonts w:eastAsia="Calibri"/>
                <w:b/>
                <w:sz w:val="20"/>
                <w:szCs w:val="20"/>
              </w:rPr>
              <w:t># of bedrooms</w:t>
            </w:r>
          </w:p>
        </w:tc>
        <w:tc>
          <w:tcPr>
            <w:tcW w:w="864" w:type="dxa"/>
            <w:tcBorders>
              <w:left w:val="double" w:sz="4" w:space="0" w:color="auto"/>
            </w:tcBorders>
            <w:vAlign w:val="center"/>
          </w:tcPr>
          <w:p w14:paraId="2FCD4659" w14:textId="3EB5C517"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46" w:type="dxa"/>
            <w:tcBorders>
              <w:right w:val="double" w:sz="4" w:space="0" w:color="auto"/>
            </w:tcBorders>
            <w:vAlign w:val="center"/>
          </w:tcPr>
          <w:p w14:paraId="71108EE2" w14:textId="5E56D972"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966" w:type="dxa"/>
            <w:tcBorders>
              <w:left w:val="double" w:sz="4" w:space="0" w:color="auto"/>
            </w:tcBorders>
            <w:vAlign w:val="center"/>
          </w:tcPr>
          <w:p w14:paraId="23466A0A" w14:textId="44E0DF4D"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28" w:type="dxa"/>
            <w:tcBorders>
              <w:right w:val="double" w:sz="4" w:space="0" w:color="auto"/>
            </w:tcBorders>
            <w:vAlign w:val="center"/>
          </w:tcPr>
          <w:p w14:paraId="5F5ED7E0" w14:textId="01E3749A"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64" w:type="dxa"/>
            <w:tcBorders>
              <w:left w:val="double" w:sz="4" w:space="0" w:color="auto"/>
            </w:tcBorders>
            <w:vAlign w:val="center"/>
          </w:tcPr>
          <w:p w14:paraId="548C88D6" w14:textId="0DFCF371"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28" w:type="dxa"/>
            <w:tcBorders>
              <w:right w:val="double" w:sz="4" w:space="0" w:color="auto"/>
            </w:tcBorders>
            <w:vAlign w:val="center"/>
          </w:tcPr>
          <w:p w14:paraId="2E6A5921" w14:textId="3C13F212"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64" w:type="dxa"/>
            <w:tcBorders>
              <w:left w:val="double" w:sz="4" w:space="0" w:color="auto"/>
            </w:tcBorders>
            <w:vAlign w:val="center"/>
          </w:tcPr>
          <w:p w14:paraId="40EA033B" w14:textId="643A79F9"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88" w:type="dxa"/>
            <w:tcBorders>
              <w:right w:val="double" w:sz="4" w:space="0" w:color="auto"/>
            </w:tcBorders>
            <w:vAlign w:val="center"/>
          </w:tcPr>
          <w:p w14:paraId="6C8AC9C5" w14:textId="326632B4"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40" w:type="dxa"/>
            <w:vAlign w:val="center"/>
          </w:tcPr>
          <w:p w14:paraId="784BFD65" w14:textId="562EBF24" w:rsidR="00596496" w:rsidRPr="00596496" w:rsidRDefault="00596496" w:rsidP="00E14270">
            <w:pPr>
              <w:spacing w:line="240" w:lineRule="auto"/>
              <w:jc w:val="center"/>
              <w:rPr>
                <w:rFonts w:eastAsia="Calibri"/>
                <w:sz w:val="20"/>
                <w:szCs w:val="20"/>
              </w:rPr>
            </w:pPr>
            <w:r w:rsidRPr="00596496">
              <w:rPr>
                <w:rFonts w:eastAsia="Calibri"/>
                <w:sz w:val="20"/>
                <w:szCs w:val="20"/>
              </w:rPr>
              <w:t>0.090</w:t>
            </w:r>
          </w:p>
        </w:tc>
        <w:tc>
          <w:tcPr>
            <w:tcW w:w="870" w:type="dxa"/>
            <w:tcBorders>
              <w:right w:val="double" w:sz="4" w:space="0" w:color="auto"/>
            </w:tcBorders>
            <w:vAlign w:val="center"/>
          </w:tcPr>
          <w:p w14:paraId="5F531907" w14:textId="5A67B493" w:rsidR="00596496" w:rsidRPr="00596496" w:rsidRDefault="00596496" w:rsidP="00E14270">
            <w:pPr>
              <w:spacing w:line="240" w:lineRule="auto"/>
              <w:jc w:val="center"/>
              <w:rPr>
                <w:rFonts w:eastAsia="Calibri"/>
                <w:sz w:val="20"/>
                <w:szCs w:val="20"/>
              </w:rPr>
            </w:pPr>
            <w:r w:rsidRPr="00596496">
              <w:rPr>
                <w:rFonts w:eastAsia="Calibri"/>
                <w:sz w:val="20"/>
                <w:szCs w:val="20"/>
              </w:rPr>
              <w:t>7.717</w:t>
            </w:r>
          </w:p>
        </w:tc>
        <w:tc>
          <w:tcPr>
            <w:tcW w:w="858" w:type="dxa"/>
            <w:tcBorders>
              <w:left w:val="double" w:sz="4" w:space="0" w:color="auto"/>
            </w:tcBorders>
            <w:vAlign w:val="center"/>
          </w:tcPr>
          <w:p w14:paraId="72C983DE" w14:textId="578745D7" w:rsidR="00596496" w:rsidRPr="00596496" w:rsidRDefault="00596496" w:rsidP="00E14270">
            <w:pPr>
              <w:spacing w:line="240" w:lineRule="auto"/>
              <w:jc w:val="center"/>
              <w:rPr>
                <w:rFonts w:eastAsia="Calibri"/>
                <w:sz w:val="20"/>
                <w:szCs w:val="20"/>
              </w:rPr>
            </w:pPr>
            <w:r w:rsidRPr="00596496">
              <w:rPr>
                <w:rFonts w:eastAsia="Calibri"/>
                <w:sz w:val="20"/>
                <w:szCs w:val="20"/>
              </w:rPr>
              <w:t>0.140</w:t>
            </w:r>
          </w:p>
        </w:tc>
        <w:tc>
          <w:tcPr>
            <w:tcW w:w="852" w:type="dxa"/>
            <w:tcBorders>
              <w:right w:val="double" w:sz="4" w:space="0" w:color="auto"/>
            </w:tcBorders>
            <w:vAlign w:val="center"/>
          </w:tcPr>
          <w:p w14:paraId="54408745" w14:textId="257B3B5B" w:rsidR="00596496" w:rsidRPr="00596496" w:rsidRDefault="00596496" w:rsidP="00E14270">
            <w:pPr>
              <w:spacing w:line="240" w:lineRule="auto"/>
              <w:jc w:val="center"/>
              <w:rPr>
                <w:rFonts w:eastAsia="Calibri"/>
                <w:sz w:val="20"/>
                <w:szCs w:val="20"/>
              </w:rPr>
            </w:pPr>
            <w:r w:rsidRPr="00596496">
              <w:rPr>
                <w:rFonts w:eastAsia="Calibri"/>
                <w:sz w:val="20"/>
                <w:szCs w:val="20"/>
              </w:rPr>
              <w:t>14.221</w:t>
            </w:r>
          </w:p>
        </w:tc>
      </w:tr>
      <w:tr w:rsidR="00596496" w:rsidRPr="00596496" w14:paraId="1B053B6D" w14:textId="77777777" w:rsidTr="00FC2CB9">
        <w:trPr>
          <w:trHeight w:val="270"/>
          <w:jc w:val="center"/>
        </w:trPr>
        <w:tc>
          <w:tcPr>
            <w:tcW w:w="3312" w:type="dxa"/>
            <w:tcBorders>
              <w:left w:val="double" w:sz="4" w:space="0" w:color="auto"/>
              <w:right w:val="double" w:sz="4" w:space="0" w:color="auto"/>
            </w:tcBorders>
            <w:vAlign w:val="center"/>
          </w:tcPr>
          <w:p w14:paraId="3113A129" w14:textId="77777777" w:rsidR="00596496" w:rsidRPr="00596496" w:rsidRDefault="00596496" w:rsidP="00E14270">
            <w:pPr>
              <w:spacing w:line="240" w:lineRule="auto"/>
              <w:rPr>
                <w:rFonts w:eastAsia="Calibri"/>
                <w:b/>
                <w:sz w:val="20"/>
                <w:szCs w:val="20"/>
              </w:rPr>
            </w:pPr>
            <w:r w:rsidRPr="00596496">
              <w:rPr>
                <w:rFonts w:eastAsia="Calibri"/>
                <w:b/>
                <w:sz w:val="20"/>
                <w:szCs w:val="20"/>
              </w:rPr>
              <w:t># of bathrooms</w:t>
            </w:r>
          </w:p>
        </w:tc>
        <w:tc>
          <w:tcPr>
            <w:tcW w:w="864" w:type="dxa"/>
            <w:tcBorders>
              <w:left w:val="double" w:sz="4" w:space="0" w:color="auto"/>
            </w:tcBorders>
            <w:vAlign w:val="center"/>
          </w:tcPr>
          <w:p w14:paraId="591A6029" w14:textId="56006F22"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46" w:type="dxa"/>
            <w:tcBorders>
              <w:right w:val="double" w:sz="4" w:space="0" w:color="auto"/>
            </w:tcBorders>
            <w:vAlign w:val="center"/>
          </w:tcPr>
          <w:p w14:paraId="63E7DC8F" w14:textId="69B43EAB"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966" w:type="dxa"/>
            <w:tcBorders>
              <w:left w:val="double" w:sz="4" w:space="0" w:color="auto"/>
            </w:tcBorders>
            <w:vAlign w:val="center"/>
          </w:tcPr>
          <w:p w14:paraId="510547B8" w14:textId="42D525B9"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28" w:type="dxa"/>
            <w:tcBorders>
              <w:right w:val="double" w:sz="4" w:space="0" w:color="auto"/>
            </w:tcBorders>
            <w:vAlign w:val="center"/>
          </w:tcPr>
          <w:p w14:paraId="529D3BA7" w14:textId="061510DD"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64" w:type="dxa"/>
            <w:tcBorders>
              <w:left w:val="double" w:sz="4" w:space="0" w:color="auto"/>
            </w:tcBorders>
            <w:vAlign w:val="center"/>
          </w:tcPr>
          <w:p w14:paraId="75065F64" w14:textId="71349BEA"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28" w:type="dxa"/>
            <w:tcBorders>
              <w:right w:val="double" w:sz="4" w:space="0" w:color="auto"/>
            </w:tcBorders>
            <w:vAlign w:val="center"/>
          </w:tcPr>
          <w:p w14:paraId="1086647C" w14:textId="0A4E519A"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64" w:type="dxa"/>
            <w:tcBorders>
              <w:left w:val="double" w:sz="4" w:space="0" w:color="auto"/>
            </w:tcBorders>
            <w:vAlign w:val="center"/>
          </w:tcPr>
          <w:p w14:paraId="0EC9A4EB" w14:textId="799D4281"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88" w:type="dxa"/>
            <w:tcBorders>
              <w:right w:val="double" w:sz="4" w:space="0" w:color="auto"/>
            </w:tcBorders>
            <w:vAlign w:val="center"/>
          </w:tcPr>
          <w:p w14:paraId="68C883DD" w14:textId="210D4C98"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40" w:type="dxa"/>
            <w:vAlign w:val="center"/>
          </w:tcPr>
          <w:p w14:paraId="733C3278" w14:textId="3E9DFFAE" w:rsidR="00596496" w:rsidRPr="00596496" w:rsidRDefault="00596496" w:rsidP="00E14270">
            <w:pPr>
              <w:spacing w:line="240" w:lineRule="auto"/>
              <w:jc w:val="center"/>
              <w:rPr>
                <w:rFonts w:eastAsia="Calibri"/>
                <w:sz w:val="20"/>
                <w:szCs w:val="20"/>
              </w:rPr>
            </w:pPr>
            <w:r w:rsidRPr="00596496">
              <w:rPr>
                <w:rFonts w:eastAsia="Calibri"/>
                <w:sz w:val="20"/>
                <w:szCs w:val="20"/>
              </w:rPr>
              <w:t>0.048</w:t>
            </w:r>
          </w:p>
        </w:tc>
        <w:tc>
          <w:tcPr>
            <w:tcW w:w="870" w:type="dxa"/>
            <w:tcBorders>
              <w:right w:val="double" w:sz="4" w:space="0" w:color="auto"/>
            </w:tcBorders>
            <w:vAlign w:val="center"/>
          </w:tcPr>
          <w:p w14:paraId="58F12569" w14:textId="4E668782" w:rsidR="00596496" w:rsidRPr="00596496" w:rsidRDefault="00596496" w:rsidP="00E14270">
            <w:pPr>
              <w:spacing w:line="240" w:lineRule="auto"/>
              <w:jc w:val="center"/>
              <w:rPr>
                <w:rFonts w:eastAsia="Calibri"/>
                <w:sz w:val="20"/>
                <w:szCs w:val="20"/>
              </w:rPr>
            </w:pPr>
            <w:r w:rsidRPr="00596496">
              <w:rPr>
                <w:rFonts w:eastAsia="Calibri"/>
                <w:sz w:val="20"/>
                <w:szCs w:val="20"/>
              </w:rPr>
              <w:t>2.973</w:t>
            </w:r>
          </w:p>
        </w:tc>
        <w:tc>
          <w:tcPr>
            <w:tcW w:w="858" w:type="dxa"/>
            <w:tcBorders>
              <w:left w:val="double" w:sz="4" w:space="0" w:color="auto"/>
            </w:tcBorders>
            <w:vAlign w:val="center"/>
          </w:tcPr>
          <w:p w14:paraId="792BCC95" w14:textId="4E696323" w:rsidR="00596496" w:rsidRPr="00596496" w:rsidRDefault="00596496" w:rsidP="00E14270">
            <w:pPr>
              <w:spacing w:line="240" w:lineRule="auto"/>
              <w:jc w:val="center"/>
              <w:rPr>
                <w:rFonts w:eastAsia="Calibri"/>
                <w:sz w:val="20"/>
                <w:szCs w:val="20"/>
              </w:rPr>
            </w:pPr>
            <w:r w:rsidRPr="00596496">
              <w:rPr>
                <w:rFonts w:eastAsia="Calibri"/>
                <w:sz w:val="20"/>
                <w:szCs w:val="20"/>
              </w:rPr>
              <w:t>0.048</w:t>
            </w:r>
          </w:p>
        </w:tc>
        <w:tc>
          <w:tcPr>
            <w:tcW w:w="852" w:type="dxa"/>
            <w:tcBorders>
              <w:right w:val="double" w:sz="4" w:space="0" w:color="auto"/>
            </w:tcBorders>
            <w:vAlign w:val="center"/>
          </w:tcPr>
          <w:p w14:paraId="65EBD224" w14:textId="3C0D188C" w:rsidR="00596496" w:rsidRPr="00596496" w:rsidRDefault="00596496" w:rsidP="00E14270">
            <w:pPr>
              <w:spacing w:line="240" w:lineRule="auto"/>
              <w:jc w:val="center"/>
              <w:rPr>
                <w:rFonts w:eastAsia="Calibri"/>
                <w:sz w:val="20"/>
                <w:szCs w:val="20"/>
              </w:rPr>
            </w:pPr>
            <w:r w:rsidRPr="00596496">
              <w:rPr>
                <w:rFonts w:eastAsia="Calibri"/>
                <w:sz w:val="20"/>
                <w:szCs w:val="20"/>
              </w:rPr>
              <w:t>2.973</w:t>
            </w:r>
          </w:p>
        </w:tc>
      </w:tr>
      <w:tr w:rsidR="00596496" w:rsidRPr="00596496" w14:paraId="2BF7703F" w14:textId="77777777" w:rsidTr="00FC2CB9">
        <w:trPr>
          <w:trHeight w:val="270"/>
          <w:jc w:val="center"/>
        </w:trPr>
        <w:tc>
          <w:tcPr>
            <w:tcW w:w="3312" w:type="dxa"/>
            <w:tcBorders>
              <w:left w:val="double" w:sz="4" w:space="0" w:color="auto"/>
              <w:bottom w:val="double" w:sz="4" w:space="0" w:color="auto"/>
              <w:right w:val="double" w:sz="4" w:space="0" w:color="auto"/>
            </w:tcBorders>
            <w:vAlign w:val="center"/>
          </w:tcPr>
          <w:p w14:paraId="32C58A95" w14:textId="77777777" w:rsidR="00596496" w:rsidRPr="00596496" w:rsidRDefault="00596496" w:rsidP="00E14270">
            <w:pPr>
              <w:spacing w:line="240" w:lineRule="auto"/>
              <w:rPr>
                <w:rFonts w:eastAsia="Calibri"/>
                <w:b/>
                <w:sz w:val="20"/>
                <w:szCs w:val="20"/>
              </w:rPr>
            </w:pPr>
            <w:r w:rsidRPr="00596496">
              <w:rPr>
                <w:rFonts w:eastAsia="Calibri"/>
                <w:b/>
                <w:sz w:val="20"/>
                <w:szCs w:val="20"/>
              </w:rPr>
              <w:t>Household average commute distance (miles)</w:t>
            </w:r>
          </w:p>
        </w:tc>
        <w:tc>
          <w:tcPr>
            <w:tcW w:w="864" w:type="dxa"/>
            <w:tcBorders>
              <w:left w:val="double" w:sz="4" w:space="0" w:color="auto"/>
              <w:bottom w:val="double" w:sz="4" w:space="0" w:color="auto"/>
            </w:tcBorders>
            <w:vAlign w:val="center"/>
          </w:tcPr>
          <w:p w14:paraId="5F6242A1" w14:textId="1640351E"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46" w:type="dxa"/>
            <w:tcBorders>
              <w:bottom w:val="double" w:sz="4" w:space="0" w:color="auto"/>
              <w:right w:val="double" w:sz="4" w:space="0" w:color="auto"/>
            </w:tcBorders>
            <w:vAlign w:val="center"/>
          </w:tcPr>
          <w:p w14:paraId="57A305C9" w14:textId="384287D5"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966" w:type="dxa"/>
            <w:tcBorders>
              <w:left w:val="double" w:sz="4" w:space="0" w:color="auto"/>
              <w:bottom w:val="double" w:sz="4" w:space="0" w:color="auto"/>
            </w:tcBorders>
            <w:vAlign w:val="center"/>
          </w:tcPr>
          <w:p w14:paraId="2421CE0E" w14:textId="6B61B83D"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28" w:type="dxa"/>
            <w:tcBorders>
              <w:bottom w:val="double" w:sz="4" w:space="0" w:color="auto"/>
              <w:right w:val="double" w:sz="4" w:space="0" w:color="auto"/>
            </w:tcBorders>
            <w:vAlign w:val="center"/>
          </w:tcPr>
          <w:p w14:paraId="3FEAC75A" w14:textId="1EE5EF67"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64" w:type="dxa"/>
            <w:tcBorders>
              <w:left w:val="double" w:sz="4" w:space="0" w:color="auto"/>
              <w:bottom w:val="double" w:sz="4" w:space="0" w:color="auto"/>
            </w:tcBorders>
            <w:vAlign w:val="center"/>
          </w:tcPr>
          <w:p w14:paraId="2CEEA07D" w14:textId="761E03D4"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28" w:type="dxa"/>
            <w:tcBorders>
              <w:bottom w:val="double" w:sz="4" w:space="0" w:color="auto"/>
              <w:right w:val="double" w:sz="4" w:space="0" w:color="auto"/>
            </w:tcBorders>
            <w:vAlign w:val="center"/>
          </w:tcPr>
          <w:p w14:paraId="598F9840" w14:textId="7885CBCE"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64" w:type="dxa"/>
            <w:tcBorders>
              <w:left w:val="double" w:sz="4" w:space="0" w:color="auto"/>
              <w:bottom w:val="double" w:sz="4" w:space="0" w:color="auto"/>
            </w:tcBorders>
            <w:vAlign w:val="center"/>
          </w:tcPr>
          <w:p w14:paraId="74D0BBF8" w14:textId="3FE89E57"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88" w:type="dxa"/>
            <w:tcBorders>
              <w:bottom w:val="double" w:sz="4" w:space="0" w:color="auto"/>
              <w:right w:val="double" w:sz="4" w:space="0" w:color="auto"/>
            </w:tcBorders>
            <w:vAlign w:val="center"/>
          </w:tcPr>
          <w:p w14:paraId="06C80871" w14:textId="5A0F36DC"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40" w:type="dxa"/>
            <w:tcBorders>
              <w:bottom w:val="double" w:sz="4" w:space="0" w:color="auto"/>
            </w:tcBorders>
            <w:vAlign w:val="center"/>
          </w:tcPr>
          <w:p w14:paraId="4909A734" w14:textId="14B88C29"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70" w:type="dxa"/>
            <w:tcBorders>
              <w:bottom w:val="double" w:sz="4" w:space="0" w:color="auto"/>
              <w:right w:val="double" w:sz="4" w:space="0" w:color="auto"/>
            </w:tcBorders>
            <w:vAlign w:val="center"/>
          </w:tcPr>
          <w:p w14:paraId="2B26058C" w14:textId="06E5CC80"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58" w:type="dxa"/>
            <w:tcBorders>
              <w:left w:val="double" w:sz="4" w:space="0" w:color="auto"/>
              <w:bottom w:val="double" w:sz="4" w:space="0" w:color="auto"/>
            </w:tcBorders>
            <w:vAlign w:val="center"/>
          </w:tcPr>
          <w:p w14:paraId="635A938E" w14:textId="38E3088B" w:rsidR="00596496" w:rsidRPr="00596496" w:rsidRDefault="00596496" w:rsidP="00E14270">
            <w:pPr>
              <w:spacing w:line="240" w:lineRule="auto"/>
              <w:jc w:val="center"/>
              <w:rPr>
                <w:rFonts w:eastAsia="Calibri"/>
                <w:sz w:val="20"/>
                <w:szCs w:val="20"/>
              </w:rPr>
            </w:pPr>
            <w:r>
              <w:rPr>
                <w:rFonts w:eastAsia="Calibri"/>
                <w:sz w:val="20"/>
                <w:szCs w:val="20"/>
              </w:rPr>
              <w:t>-</w:t>
            </w:r>
          </w:p>
        </w:tc>
        <w:tc>
          <w:tcPr>
            <w:tcW w:w="852" w:type="dxa"/>
            <w:tcBorders>
              <w:bottom w:val="double" w:sz="4" w:space="0" w:color="auto"/>
              <w:right w:val="double" w:sz="4" w:space="0" w:color="auto"/>
            </w:tcBorders>
            <w:vAlign w:val="center"/>
          </w:tcPr>
          <w:p w14:paraId="79A5B272" w14:textId="78CB7F41" w:rsidR="00596496" w:rsidRPr="00596496" w:rsidRDefault="00596496" w:rsidP="00E14270">
            <w:pPr>
              <w:spacing w:line="240" w:lineRule="auto"/>
              <w:jc w:val="center"/>
              <w:rPr>
                <w:rFonts w:eastAsia="Calibri"/>
                <w:sz w:val="20"/>
                <w:szCs w:val="20"/>
              </w:rPr>
            </w:pPr>
            <w:r>
              <w:rPr>
                <w:rFonts w:eastAsia="Calibri"/>
                <w:sz w:val="20"/>
                <w:szCs w:val="20"/>
              </w:rPr>
              <w:t>-</w:t>
            </w:r>
          </w:p>
        </w:tc>
      </w:tr>
    </w:tbl>
    <w:p w14:paraId="4A0BAE8B" w14:textId="77777777" w:rsidR="00D47B10" w:rsidRDefault="00D47B10" w:rsidP="00194720">
      <w:pPr>
        <w:jc w:val="center"/>
        <w:rPr>
          <w:b/>
        </w:rPr>
      </w:pPr>
    </w:p>
    <w:p w14:paraId="3D33F2F2" w14:textId="77777777" w:rsidR="00D47B10" w:rsidRDefault="00D47B10" w:rsidP="00194720">
      <w:pPr>
        <w:jc w:val="center"/>
        <w:rPr>
          <w:b/>
        </w:rPr>
      </w:pPr>
    </w:p>
    <w:p w14:paraId="369E048D" w14:textId="77777777" w:rsidR="00CD2BFF" w:rsidRDefault="00CD2BFF" w:rsidP="00194720">
      <w:pPr>
        <w:jc w:val="center"/>
        <w:rPr>
          <w:b/>
        </w:rPr>
      </w:pPr>
    </w:p>
    <w:p w14:paraId="67215E5A" w14:textId="77777777" w:rsidR="00CD2BFF" w:rsidRDefault="00CD2BFF" w:rsidP="00194720">
      <w:pPr>
        <w:jc w:val="center"/>
        <w:rPr>
          <w:b/>
        </w:rPr>
      </w:pPr>
    </w:p>
    <w:p w14:paraId="062D8754" w14:textId="77777777" w:rsidR="00CD2BFF" w:rsidRDefault="00CD2BFF" w:rsidP="00194720">
      <w:pPr>
        <w:jc w:val="center"/>
        <w:rPr>
          <w:b/>
        </w:rPr>
      </w:pPr>
    </w:p>
    <w:p w14:paraId="1BAD52D2" w14:textId="77777777" w:rsidR="00CD2BFF" w:rsidRDefault="00CD2BFF" w:rsidP="00194720">
      <w:pPr>
        <w:jc w:val="center"/>
        <w:rPr>
          <w:b/>
        </w:rPr>
      </w:pPr>
    </w:p>
    <w:p w14:paraId="443E3228" w14:textId="271D607C" w:rsidR="00194720" w:rsidRPr="005E06BF" w:rsidRDefault="00E14270" w:rsidP="00194720">
      <w:pPr>
        <w:jc w:val="center"/>
        <w:rPr>
          <w:b/>
        </w:rPr>
      </w:pPr>
      <w:r>
        <w:rPr>
          <w:b/>
        </w:rPr>
        <w:t>Table 3 (Cont.)</w:t>
      </w:r>
      <w:r w:rsidR="00194720" w:rsidRPr="005E06BF">
        <w:rPr>
          <w:b/>
        </w:rPr>
        <w:t xml:space="preserve"> Measurement Equation Estimates</w:t>
      </w:r>
    </w:p>
    <w:tbl>
      <w:tblPr>
        <w:tblStyle w:val="TableGrid8"/>
        <w:tblW w:w="12142" w:type="dxa"/>
        <w:jc w:val="center"/>
        <w:tblLayout w:type="fixed"/>
        <w:tblLook w:val="04A0" w:firstRow="1" w:lastRow="0" w:firstColumn="1" w:lastColumn="0" w:noHBand="0" w:noVBand="1"/>
      </w:tblPr>
      <w:tblGrid>
        <w:gridCol w:w="3312"/>
        <w:gridCol w:w="864"/>
        <w:gridCol w:w="847"/>
        <w:gridCol w:w="881"/>
        <w:gridCol w:w="955"/>
        <w:gridCol w:w="899"/>
        <w:gridCol w:w="874"/>
        <w:gridCol w:w="927"/>
        <w:gridCol w:w="873"/>
        <w:gridCol w:w="855"/>
        <w:gridCol w:w="855"/>
      </w:tblGrid>
      <w:tr w:rsidR="00C476B8" w:rsidRPr="00C476B8" w14:paraId="36FC4D7D" w14:textId="3C78D4A3" w:rsidTr="00596496">
        <w:trPr>
          <w:trHeight w:val="473"/>
          <w:jc w:val="center"/>
        </w:trPr>
        <w:tc>
          <w:tcPr>
            <w:tcW w:w="3312" w:type="dxa"/>
            <w:vMerge w:val="restart"/>
            <w:tcBorders>
              <w:top w:val="double" w:sz="4" w:space="0" w:color="auto"/>
              <w:left w:val="double" w:sz="4" w:space="0" w:color="auto"/>
              <w:right w:val="double" w:sz="4" w:space="0" w:color="auto"/>
            </w:tcBorders>
            <w:vAlign w:val="center"/>
          </w:tcPr>
          <w:p w14:paraId="0314A8E9" w14:textId="77777777" w:rsidR="00C476B8" w:rsidRPr="00C476B8" w:rsidRDefault="00C476B8" w:rsidP="00C476B8">
            <w:pPr>
              <w:spacing w:line="240" w:lineRule="auto"/>
              <w:jc w:val="center"/>
              <w:rPr>
                <w:rFonts w:eastAsia="Calibri"/>
                <w:b/>
                <w:sz w:val="20"/>
                <w:szCs w:val="20"/>
              </w:rPr>
            </w:pPr>
            <w:r w:rsidRPr="00C476B8">
              <w:rPr>
                <w:rFonts w:eastAsia="Calibri"/>
                <w:b/>
                <w:sz w:val="20"/>
                <w:szCs w:val="20"/>
              </w:rPr>
              <w:t>Dependent Variables</w:t>
            </w:r>
          </w:p>
        </w:tc>
        <w:tc>
          <w:tcPr>
            <w:tcW w:w="1711" w:type="dxa"/>
            <w:gridSpan w:val="2"/>
            <w:vMerge w:val="restart"/>
            <w:tcBorders>
              <w:top w:val="double" w:sz="4" w:space="0" w:color="auto"/>
              <w:left w:val="double" w:sz="4" w:space="0" w:color="auto"/>
              <w:right w:val="double" w:sz="4" w:space="0" w:color="auto"/>
            </w:tcBorders>
            <w:vAlign w:val="center"/>
          </w:tcPr>
          <w:p w14:paraId="11A9F293" w14:textId="77777777" w:rsidR="00C476B8" w:rsidRPr="00C476B8" w:rsidRDefault="00C476B8" w:rsidP="00C476B8">
            <w:pPr>
              <w:spacing w:line="240" w:lineRule="auto"/>
              <w:jc w:val="center"/>
              <w:rPr>
                <w:rFonts w:eastAsia="Calibri"/>
                <w:sz w:val="20"/>
                <w:szCs w:val="20"/>
              </w:rPr>
            </w:pPr>
            <w:r w:rsidRPr="00C476B8">
              <w:rPr>
                <w:rFonts w:eastAsia="Calibri"/>
                <w:sz w:val="20"/>
                <w:szCs w:val="20"/>
              </w:rPr>
              <w:t>Number of adults (17 and above)</w:t>
            </w:r>
          </w:p>
        </w:tc>
        <w:tc>
          <w:tcPr>
            <w:tcW w:w="1836" w:type="dxa"/>
            <w:gridSpan w:val="2"/>
            <w:vMerge w:val="restart"/>
            <w:tcBorders>
              <w:top w:val="double" w:sz="4" w:space="0" w:color="auto"/>
              <w:left w:val="double" w:sz="4" w:space="0" w:color="auto"/>
              <w:right w:val="double" w:sz="4" w:space="0" w:color="auto"/>
            </w:tcBorders>
            <w:vAlign w:val="center"/>
          </w:tcPr>
          <w:p w14:paraId="3FCBB1B1" w14:textId="54D75E65" w:rsidR="00C476B8" w:rsidRPr="00C476B8" w:rsidRDefault="00C476B8" w:rsidP="00C476B8">
            <w:pPr>
              <w:spacing w:line="240" w:lineRule="auto"/>
              <w:jc w:val="center"/>
              <w:rPr>
                <w:rFonts w:eastAsia="Calibri"/>
                <w:sz w:val="20"/>
                <w:szCs w:val="20"/>
              </w:rPr>
            </w:pPr>
            <w:r w:rsidRPr="00C476B8">
              <w:rPr>
                <w:rFonts w:eastAsia="Calibri"/>
                <w:sz w:val="20"/>
                <w:szCs w:val="20"/>
              </w:rPr>
              <w:t>Presence of seniors (65 and above) (Yes=1, No=0)</w:t>
            </w:r>
          </w:p>
        </w:tc>
        <w:tc>
          <w:tcPr>
            <w:tcW w:w="1773" w:type="dxa"/>
            <w:gridSpan w:val="2"/>
            <w:vMerge w:val="restart"/>
            <w:tcBorders>
              <w:top w:val="double" w:sz="4" w:space="0" w:color="auto"/>
              <w:left w:val="double" w:sz="4" w:space="0" w:color="auto"/>
              <w:right w:val="double" w:sz="4" w:space="0" w:color="auto"/>
            </w:tcBorders>
            <w:vAlign w:val="center"/>
          </w:tcPr>
          <w:p w14:paraId="046CA74D" w14:textId="654D2500" w:rsidR="00C476B8" w:rsidRPr="00C476B8" w:rsidRDefault="00C476B8" w:rsidP="00C476B8">
            <w:pPr>
              <w:spacing w:line="240" w:lineRule="auto"/>
              <w:jc w:val="center"/>
              <w:rPr>
                <w:rFonts w:eastAsia="Calibri"/>
                <w:sz w:val="20"/>
                <w:szCs w:val="20"/>
              </w:rPr>
            </w:pPr>
            <w:r w:rsidRPr="00C476B8">
              <w:rPr>
                <w:rFonts w:eastAsia="Calibri"/>
                <w:sz w:val="20"/>
                <w:szCs w:val="20"/>
              </w:rPr>
              <w:t>Presence of a disabled person (Yes=1, No=0)</w:t>
            </w:r>
          </w:p>
        </w:tc>
        <w:tc>
          <w:tcPr>
            <w:tcW w:w="1800" w:type="dxa"/>
            <w:gridSpan w:val="2"/>
            <w:vMerge w:val="restart"/>
            <w:tcBorders>
              <w:top w:val="double" w:sz="4" w:space="0" w:color="auto"/>
              <w:left w:val="double" w:sz="4" w:space="0" w:color="auto"/>
              <w:right w:val="double" w:sz="4" w:space="0" w:color="auto"/>
            </w:tcBorders>
            <w:vAlign w:val="center"/>
          </w:tcPr>
          <w:p w14:paraId="575AD9D6" w14:textId="77777777" w:rsidR="00C476B8" w:rsidRPr="00C476B8" w:rsidRDefault="00C476B8" w:rsidP="00C476B8">
            <w:pPr>
              <w:spacing w:line="240" w:lineRule="auto"/>
              <w:jc w:val="center"/>
              <w:rPr>
                <w:rFonts w:eastAsia="Calibri"/>
                <w:sz w:val="20"/>
                <w:szCs w:val="20"/>
              </w:rPr>
            </w:pPr>
            <w:r w:rsidRPr="00C476B8">
              <w:rPr>
                <w:rFonts w:eastAsia="Calibri"/>
                <w:sz w:val="20"/>
                <w:szCs w:val="20"/>
              </w:rPr>
              <w:t>Number of full time workers</w:t>
            </w:r>
          </w:p>
        </w:tc>
        <w:tc>
          <w:tcPr>
            <w:tcW w:w="1710" w:type="dxa"/>
            <w:gridSpan w:val="2"/>
            <w:vMerge w:val="restart"/>
            <w:tcBorders>
              <w:top w:val="double" w:sz="4" w:space="0" w:color="auto"/>
              <w:left w:val="double" w:sz="4" w:space="0" w:color="auto"/>
              <w:right w:val="double" w:sz="4" w:space="0" w:color="auto"/>
            </w:tcBorders>
            <w:vAlign w:val="center"/>
          </w:tcPr>
          <w:p w14:paraId="5363CEAB" w14:textId="77777777" w:rsidR="00C476B8" w:rsidRPr="00C476B8" w:rsidRDefault="00C476B8" w:rsidP="00C476B8">
            <w:pPr>
              <w:spacing w:line="240" w:lineRule="auto"/>
              <w:jc w:val="center"/>
              <w:rPr>
                <w:rFonts w:eastAsia="Calibri"/>
                <w:sz w:val="20"/>
                <w:szCs w:val="20"/>
              </w:rPr>
            </w:pPr>
            <w:r w:rsidRPr="00C476B8">
              <w:rPr>
                <w:rFonts w:eastAsia="Calibri"/>
                <w:sz w:val="20"/>
                <w:szCs w:val="20"/>
              </w:rPr>
              <w:t>Number of workers with the option to work from home</w:t>
            </w:r>
          </w:p>
        </w:tc>
      </w:tr>
      <w:tr w:rsidR="00C476B8" w:rsidRPr="00C476B8" w14:paraId="65881441" w14:textId="591385F3" w:rsidTr="00596496">
        <w:trPr>
          <w:trHeight w:val="665"/>
          <w:jc w:val="center"/>
        </w:trPr>
        <w:tc>
          <w:tcPr>
            <w:tcW w:w="3312" w:type="dxa"/>
            <w:vMerge/>
            <w:tcBorders>
              <w:top w:val="double" w:sz="4" w:space="0" w:color="auto"/>
              <w:left w:val="double" w:sz="4" w:space="0" w:color="auto"/>
              <w:right w:val="double" w:sz="4" w:space="0" w:color="auto"/>
            </w:tcBorders>
            <w:vAlign w:val="center"/>
          </w:tcPr>
          <w:p w14:paraId="0835864F" w14:textId="77777777" w:rsidR="00C476B8" w:rsidRPr="00C476B8" w:rsidRDefault="00C476B8" w:rsidP="00C476B8">
            <w:pPr>
              <w:spacing w:line="240" w:lineRule="auto"/>
              <w:jc w:val="center"/>
              <w:rPr>
                <w:rFonts w:eastAsia="Calibri"/>
                <w:b/>
                <w:sz w:val="20"/>
                <w:szCs w:val="20"/>
              </w:rPr>
            </w:pPr>
          </w:p>
        </w:tc>
        <w:tc>
          <w:tcPr>
            <w:tcW w:w="1711" w:type="dxa"/>
            <w:gridSpan w:val="2"/>
            <w:vMerge/>
            <w:tcBorders>
              <w:left w:val="double" w:sz="4" w:space="0" w:color="auto"/>
              <w:right w:val="double" w:sz="4" w:space="0" w:color="auto"/>
            </w:tcBorders>
          </w:tcPr>
          <w:p w14:paraId="3781CD5C" w14:textId="77777777" w:rsidR="00C476B8" w:rsidRPr="00C476B8" w:rsidRDefault="00C476B8" w:rsidP="00C476B8">
            <w:pPr>
              <w:spacing w:line="240" w:lineRule="auto"/>
              <w:jc w:val="center"/>
              <w:rPr>
                <w:rFonts w:eastAsia="Calibri"/>
                <w:sz w:val="20"/>
                <w:szCs w:val="20"/>
              </w:rPr>
            </w:pPr>
          </w:p>
        </w:tc>
        <w:tc>
          <w:tcPr>
            <w:tcW w:w="1836" w:type="dxa"/>
            <w:gridSpan w:val="2"/>
            <w:vMerge/>
            <w:tcBorders>
              <w:left w:val="double" w:sz="4" w:space="0" w:color="auto"/>
              <w:right w:val="double" w:sz="4" w:space="0" w:color="auto"/>
            </w:tcBorders>
          </w:tcPr>
          <w:p w14:paraId="09B003D7" w14:textId="77777777" w:rsidR="00C476B8" w:rsidRPr="00C476B8" w:rsidRDefault="00C476B8" w:rsidP="00C476B8">
            <w:pPr>
              <w:spacing w:line="240" w:lineRule="auto"/>
              <w:jc w:val="center"/>
              <w:rPr>
                <w:rFonts w:eastAsia="Calibri"/>
                <w:sz w:val="20"/>
                <w:szCs w:val="20"/>
              </w:rPr>
            </w:pPr>
          </w:p>
        </w:tc>
        <w:tc>
          <w:tcPr>
            <w:tcW w:w="1773" w:type="dxa"/>
            <w:gridSpan w:val="2"/>
            <w:vMerge/>
            <w:tcBorders>
              <w:left w:val="double" w:sz="4" w:space="0" w:color="auto"/>
              <w:right w:val="double" w:sz="4" w:space="0" w:color="auto"/>
            </w:tcBorders>
          </w:tcPr>
          <w:p w14:paraId="408FF22C" w14:textId="77777777" w:rsidR="00C476B8" w:rsidRPr="00C476B8" w:rsidRDefault="00C476B8" w:rsidP="00C476B8">
            <w:pPr>
              <w:spacing w:line="240" w:lineRule="auto"/>
              <w:jc w:val="center"/>
              <w:rPr>
                <w:rFonts w:eastAsia="Calibri"/>
                <w:sz w:val="20"/>
                <w:szCs w:val="20"/>
              </w:rPr>
            </w:pPr>
          </w:p>
        </w:tc>
        <w:tc>
          <w:tcPr>
            <w:tcW w:w="1800" w:type="dxa"/>
            <w:gridSpan w:val="2"/>
            <w:vMerge/>
            <w:tcBorders>
              <w:left w:val="double" w:sz="4" w:space="0" w:color="auto"/>
              <w:right w:val="double" w:sz="4" w:space="0" w:color="auto"/>
            </w:tcBorders>
          </w:tcPr>
          <w:p w14:paraId="6D4A5C1F" w14:textId="77777777" w:rsidR="00C476B8" w:rsidRPr="00C476B8" w:rsidRDefault="00C476B8" w:rsidP="00C476B8">
            <w:pPr>
              <w:spacing w:line="240" w:lineRule="auto"/>
              <w:jc w:val="center"/>
              <w:rPr>
                <w:rFonts w:eastAsia="Calibri"/>
                <w:sz w:val="20"/>
                <w:szCs w:val="20"/>
              </w:rPr>
            </w:pPr>
          </w:p>
        </w:tc>
        <w:tc>
          <w:tcPr>
            <w:tcW w:w="1710" w:type="dxa"/>
            <w:gridSpan w:val="2"/>
            <w:vMerge/>
            <w:tcBorders>
              <w:left w:val="double" w:sz="4" w:space="0" w:color="auto"/>
              <w:right w:val="double" w:sz="4" w:space="0" w:color="auto"/>
            </w:tcBorders>
          </w:tcPr>
          <w:p w14:paraId="58BCFECE" w14:textId="77777777" w:rsidR="00C476B8" w:rsidRPr="00C476B8" w:rsidRDefault="00C476B8" w:rsidP="00C476B8">
            <w:pPr>
              <w:spacing w:line="240" w:lineRule="auto"/>
              <w:jc w:val="center"/>
              <w:rPr>
                <w:rFonts w:eastAsia="Calibri"/>
                <w:sz w:val="20"/>
                <w:szCs w:val="20"/>
              </w:rPr>
            </w:pPr>
          </w:p>
        </w:tc>
      </w:tr>
      <w:tr w:rsidR="00C476B8" w:rsidRPr="00C476B8" w14:paraId="27D75412" w14:textId="62E96DAC" w:rsidTr="00596496">
        <w:trPr>
          <w:trHeight w:val="383"/>
          <w:jc w:val="center"/>
        </w:trPr>
        <w:tc>
          <w:tcPr>
            <w:tcW w:w="3312" w:type="dxa"/>
            <w:vMerge/>
            <w:tcBorders>
              <w:left w:val="double" w:sz="4" w:space="0" w:color="auto"/>
              <w:bottom w:val="double" w:sz="4" w:space="0" w:color="auto"/>
              <w:right w:val="double" w:sz="4" w:space="0" w:color="auto"/>
            </w:tcBorders>
            <w:vAlign w:val="center"/>
          </w:tcPr>
          <w:p w14:paraId="307DDF46" w14:textId="77777777" w:rsidR="00C476B8" w:rsidRPr="00C476B8" w:rsidRDefault="00C476B8" w:rsidP="00C476B8">
            <w:pPr>
              <w:spacing w:line="240" w:lineRule="auto"/>
              <w:jc w:val="center"/>
              <w:rPr>
                <w:rFonts w:eastAsia="Calibri"/>
                <w:b/>
                <w:sz w:val="20"/>
                <w:szCs w:val="20"/>
              </w:rPr>
            </w:pPr>
          </w:p>
        </w:tc>
        <w:tc>
          <w:tcPr>
            <w:tcW w:w="864" w:type="dxa"/>
            <w:tcBorders>
              <w:left w:val="double" w:sz="4" w:space="0" w:color="auto"/>
              <w:bottom w:val="double" w:sz="4" w:space="0" w:color="auto"/>
              <w:right w:val="single" w:sz="4" w:space="0" w:color="auto"/>
            </w:tcBorders>
            <w:vAlign w:val="center"/>
          </w:tcPr>
          <w:p w14:paraId="3840A3A0" w14:textId="77777777" w:rsidR="00C476B8" w:rsidRPr="00C476B8" w:rsidRDefault="00C476B8" w:rsidP="00C476B8">
            <w:pPr>
              <w:spacing w:line="240" w:lineRule="auto"/>
              <w:jc w:val="center"/>
              <w:rPr>
                <w:rFonts w:eastAsia="Calibri"/>
                <w:b/>
                <w:sz w:val="20"/>
                <w:szCs w:val="20"/>
              </w:rPr>
            </w:pPr>
            <w:proofErr w:type="spellStart"/>
            <w:r w:rsidRPr="00C476B8">
              <w:rPr>
                <w:rFonts w:eastAsia="Calibri"/>
                <w:b/>
                <w:sz w:val="20"/>
                <w:szCs w:val="20"/>
              </w:rPr>
              <w:t>Coeff</w:t>
            </w:r>
            <w:proofErr w:type="spellEnd"/>
          </w:p>
        </w:tc>
        <w:tc>
          <w:tcPr>
            <w:tcW w:w="847" w:type="dxa"/>
            <w:tcBorders>
              <w:left w:val="single" w:sz="4" w:space="0" w:color="auto"/>
              <w:bottom w:val="double" w:sz="4" w:space="0" w:color="auto"/>
              <w:right w:val="double" w:sz="4" w:space="0" w:color="auto"/>
            </w:tcBorders>
            <w:vAlign w:val="center"/>
          </w:tcPr>
          <w:p w14:paraId="22D1FE74" w14:textId="77777777" w:rsidR="00C476B8" w:rsidRPr="00C476B8" w:rsidRDefault="00C476B8" w:rsidP="00C476B8">
            <w:pPr>
              <w:spacing w:line="240" w:lineRule="auto"/>
              <w:jc w:val="center"/>
              <w:rPr>
                <w:rFonts w:eastAsia="Calibri"/>
                <w:b/>
                <w:sz w:val="20"/>
                <w:szCs w:val="20"/>
              </w:rPr>
            </w:pPr>
            <w:r w:rsidRPr="00C476B8">
              <w:rPr>
                <w:rFonts w:eastAsia="Calibri"/>
                <w:b/>
                <w:sz w:val="20"/>
                <w:szCs w:val="20"/>
              </w:rPr>
              <w:t>T-stat</w:t>
            </w:r>
          </w:p>
        </w:tc>
        <w:tc>
          <w:tcPr>
            <w:tcW w:w="881" w:type="dxa"/>
            <w:tcBorders>
              <w:left w:val="double" w:sz="4" w:space="0" w:color="auto"/>
              <w:bottom w:val="double" w:sz="4" w:space="0" w:color="auto"/>
              <w:right w:val="single" w:sz="4" w:space="0" w:color="auto"/>
            </w:tcBorders>
            <w:vAlign w:val="center"/>
          </w:tcPr>
          <w:p w14:paraId="6D1B6CFF" w14:textId="77777777" w:rsidR="00C476B8" w:rsidRPr="00C476B8" w:rsidRDefault="00C476B8" w:rsidP="00C476B8">
            <w:pPr>
              <w:spacing w:line="240" w:lineRule="auto"/>
              <w:jc w:val="center"/>
              <w:rPr>
                <w:rFonts w:eastAsia="Calibri"/>
                <w:b/>
                <w:sz w:val="20"/>
                <w:szCs w:val="20"/>
              </w:rPr>
            </w:pPr>
            <w:proofErr w:type="spellStart"/>
            <w:r w:rsidRPr="00C476B8">
              <w:rPr>
                <w:rFonts w:eastAsia="Calibri"/>
                <w:b/>
                <w:sz w:val="20"/>
                <w:szCs w:val="20"/>
              </w:rPr>
              <w:t>Coeff</w:t>
            </w:r>
            <w:proofErr w:type="spellEnd"/>
          </w:p>
        </w:tc>
        <w:tc>
          <w:tcPr>
            <w:tcW w:w="955" w:type="dxa"/>
            <w:tcBorders>
              <w:left w:val="single" w:sz="4" w:space="0" w:color="auto"/>
              <w:bottom w:val="double" w:sz="4" w:space="0" w:color="auto"/>
              <w:right w:val="double" w:sz="4" w:space="0" w:color="auto"/>
            </w:tcBorders>
            <w:vAlign w:val="center"/>
          </w:tcPr>
          <w:p w14:paraId="50317011" w14:textId="77777777" w:rsidR="00C476B8" w:rsidRPr="00C476B8" w:rsidRDefault="00C476B8" w:rsidP="00C476B8">
            <w:pPr>
              <w:spacing w:line="240" w:lineRule="auto"/>
              <w:jc w:val="center"/>
              <w:rPr>
                <w:rFonts w:eastAsia="Calibri"/>
                <w:b/>
                <w:sz w:val="20"/>
                <w:szCs w:val="20"/>
              </w:rPr>
            </w:pPr>
            <w:r w:rsidRPr="00C476B8">
              <w:rPr>
                <w:rFonts w:eastAsia="Calibri"/>
                <w:b/>
                <w:sz w:val="20"/>
                <w:szCs w:val="20"/>
              </w:rPr>
              <w:t>T-stat</w:t>
            </w:r>
          </w:p>
        </w:tc>
        <w:tc>
          <w:tcPr>
            <w:tcW w:w="899" w:type="dxa"/>
            <w:tcBorders>
              <w:left w:val="double" w:sz="4" w:space="0" w:color="auto"/>
              <w:bottom w:val="double" w:sz="4" w:space="0" w:color="auto"/>
              <w:right w:val="single" w:sz="4" w:space="0" w:color="auto"/>
            </w:tcBorders>
            <w:vAlign w:val="center"/>
          </w:tcPr>
          <w:p w14:paraId="13A518B7" w14:textId="77777777" w:rsidR="00C476B8" w:rsidRPr="00C476B8" w:rsidRDefault="00C476B8" w:rsidP="00C476B8">
            <w:pPr>
              <w:spacing w:line="240" w:lineRule="auto"/>
              <w:jc w:val="center"/>
              <w:rPr>
                <w:rFonts w:eastAsia="Calibri"/>
                <w:b/>
                <w:sz w:val="20"/>
                <w:szCs w:val="20"/>
              </w:rPr>
            </w:pPr>
            <w:proofErr w:type="spellStart"/>
            <w:r w:rsidRPr="00C476B8">
              <w:rPr>
                <w:rFonts w:eastAsia="Calibri"/>
                <w:b/>
                <w:sz w:val="20"/>
                <w:szCs w:val="20"/>
              </w:rPr>
              <w:t>Coeff</w:t>
            </w:r>
            <w:proofErr w:type="spellEnd"/>
          </w:p>
        </w:tc>
        <w:tc>
          <w:tcPr>
            <w:tcW w:w="874" w:type="dxa"/>
            <w:tcBorders>
              <w:left w:val="single" w:sz="4" w:space="0" w:color="auto"/>
              <w:bottom w:val="double" w:sz="4" w:space="0" w:color="auto"/>
              <w:right w:val="double" w:sz="4" w:space="0" w:color="auto"/>
            </w:tcBorders>
            <w:vAlign w:val="center"/>
          </w:tcPr>
          <w:p w14:paraId="3FB1E478" w14:textId="77777777" w:rsidR="00C476B8" w:rsidRPr="00C476B8" w:rsidRDefault="00C476B8" w:rsidP="00C476B8">
            <w:pPr>
              <w:spacing w:line="240" w:lineRule="auto"/>
              <w:jc w:val="center"/>
              <w:rPr>
                <w:rFonts w:eastAsia="Calibri"/>
                <w:b/>
                <w:sz w:val="20"/>
                <w:szCs w:val="20"/>
              </w:rPr>
            </w:pPr>
            <w:r w:rsidRPr="00C476B8">
              <w:rPr>
                <w:rFonts w:eastAsia="Calibri"/>
                <w:b/>
                <w:sz w:val="20"/>
                <w:szCs w:val="20"/>
              </w:rPr>
              <w:t>T-stat</w:t>
            </w:r>
          </w:p>
        </w:tc>
        <w:tc>
          <w:tcPr>
            <w:tcW w:w="927" w:type="dxa"/>
            <w:tcBorders>
              <w:left w:val="double" w:sz="4" w:space="0" w:color="auto"/>
              <w:bottom w:val="double" w:sz="4" w:space="0" w:color="auto"/>
              <w:right w:val="single" w:sz="4" w:space="0" w:color="auto"/>
            </w:tcBorders>
            <w:vAlign w:val="center"/>
          </w:tcPr>
          <w:p w14:paraId="2696AE15" w14:textId="77777777" w:rsidR="00C476B8" w:rsidRPr="00C476B8" w:rsidRDefault="00C476B8" w:rsidP="00C476B8">
            <w:pPr>
              <w:spacing w:line="240" w:lineRule="auto"/>
              <w:jc w:val="center"/>
              <w:rPr>
                <w:rFonts w:eastAsia="Calibri"/>
                <w:b/>
                <w:sz w:val="20"/>
                <w:szCs w:val="20"/>
              </w:rPr>
            </w:pPr>
            <w:proofErr w:type="spellStart"/>
            <w:r w:rsidRPr="00C476B8">
              <w:rPr>
                <w:rFonts w:eastAsia="Calibri"/>
                <w:b/>
                <w:sz w:val="20"/>
                <w:szCs w:val="20"/>
              </w:rPr>
              <w:t>Coeff</w:t>
            </w:r>
            <w:proofErr w:type="spellEnd"/>
          </w:p>
        </w:tc>
        <w:tc>
          <w:tcPr>
            <w:tcW w:w="873" w:type="dxa"/>
            <w:tcBorders>
              <w:left w:val="single" w:sz="4" w:space="0" w:color="auto"/>
              <w:bottom w:val="double" w:sz="4" w:space="0" w:color="auto"/>
              <w:right w:val="double" w:sz="4" w:space="0" w:color="auto"/>
            </w:tcBorders>
            <w:vAlign w:val="center"/>
          </w:tcPr>
          <w:p w14:paraId="7DA110F9" w14:textId="77777777" w:rsidR="00C476B8" w:rsidRPr="00C476B8" w:rsidRDefault="00C476B8" w:rsidP="00C476B8">
            <w:pPr>
              <w:spacing w:line="240" w:lineRule="auto"/>
              <w:jc w:val="center"/>
              <w:rPr>
                <w:rFonts w:eastAsia="Calibri"/>
                <w:b/>
                <w:sz w:val="20"/>
                <w:szCs w:val="20"/>
              </w:rPr>
            </w:pPr>
            <w:r w:rsidRPr="00C476B8">
              <w:rPr>
                <w:rFonts w:eastAsia="Calibri"/>
                <w:b/>
                <w:sz w:val="20"/>
                <w:szCs w:val="20"/>
              </w:rPr>
              <w:t>T-stat</w:t>
            </w:r>
          </w:p>
        </w:tc>
        <w:tc>
          <w:tcPr>
            <w:tcW w:w="855" w:type="dxa"/>
            <w:tcBorders>
              <w:left w:val="double" w:sz="4" w:space="0" w:color="auto"/>
              <w:bottom w:val="double" w:sz="4" w:space="0" w:color="auto"/>
              <w:right w:val="single" w:sz="4" w:space="0" w:color="auto"/>
            </w:tcBorders>
            <w:vAlign w:val="center"/>
          </w:tcPr>
          <w:p w14:paraId="27152D40" w14:textId="77777777" w:rsidR="00C476B8" w:rsidRPr="00C476B8" w:rsidRDefault="00C476B8" w:rsidP="00C476B8">
            <w:pPr>
              <w:spacing w:line="240" w:lineRule="auto"/>
              <w:jc w:val="center"/>
              <w:rPr>
                <w:rFonts w:eastAsia="Calibri"/>
                <w:b/>
                <w:sz w:val="20"/>
                <w:szCs w:val="20"/>
              </w:rPr>
            </w:pPr>
            <w:proofErr w:type="spellStart"/>
            <w:r w:rsidRPr="00C476B8">
              <w:rPr>
                <w:rFonts w:eastAsia="Calibri"/>
                <w:b/>
                <w:sz w:val="20"/>
                <w:szCs w:val="20"/>
              </w:rPr>
              <w:t>Coeff</w:t>
            </w:r>
            <w:proofErr w:type="spellEnd"/>
          </w:p>
        </w:tc>
        <w:tc>
          <w:tcPr>
            <w:tcW w:w="855" w:type="dxa"/>
            <w:tcBorders>
              <w:left w:val="single" w:sz="4" w:space="0" w:color="auto"/>
              <w:bottom w:val="double" w:sz="4" w:space="0" w:color="auto"/>
              <w:right w:val="double" w:sz="4" w:space="0" w:color="auto"/>
            </w:tcBorders>
            <w:vAlign w:val="center"/>
          </w:tcPr>
          <w:p w14:paraId="7275AF69" w14:textId="77777777" w:rsidR="00C476B8" w:rsidRPr="00C476B8" w:rsidRDefault="00C476B8" w:rsidP="00C476B8">
            <w:pPr>
              <w:spacing w:line="240" w:lineRule="auto"/>
              <w:jc w:val="center"/>
              <w:rPr>
                <w:rFonts w:eastAsia="Calibri"/>
                <w:b/>
                <w:sz w:val="20"/>
                <w:szCs w:val="20"/>
              </w:rPr>
            </w:pPr>
            <w:r w:rsidRPr="00C476B8">
              <w:rPr>
                <w:rFonts w:eastAsia="Calibri"/>
                <w:b/>
                <w:sz w:val="20"/>
                <w:szCs w:val="20"/>
              </w:rPr>
              <w:t>T-stat</w:t>
            </w:r>
          </w:p>
        </w:tc>
      </w:tr>
      <w:tr w:rsidR="00596496" w:rsidRPr="00C476B8" w14:paraId="4A11A5B9" w14:textId="07F9BBCC" w:rsidTr="00E14270">
        <w:trPr>
          <w:trHeight w:val="278"/>
          <w:jc w:val="center"/>
        </w:trPr>
        <w:tc>
          <w:tcPr>
            <w:tcW w:w="3312" w:type="dxa"/>
            <w:tcBorders>
              <w:top w:val="double" w:sz="4" w:space="0" w:color="auto"/>
              <w:left w:val="double" w:sz="4" w:space="0" w:color="auto"/>
              <w:right w:val="double" w:sz="4" w:space="0" w:color="auto"/>
            </w:tcBorders>
            <w:vAlign w:val="center"/>
          </w:tcPr>
          <w:p w14:paraId="0AC0F303" w14:textId="58F7CB7D" w:rsidR="00596496" w:rsidRPr="00596496" w:rsidRDefault="00596496" w:rsidP="00E14270">
            <w:pPr>
              <w:spacing w:line="240" w:lineRule="auto"/>
              <w:rPr>
                <w:rFonts w:eastAsia="Calibri"/>
                <w:b/>
                <w:sz w:val="20"/>
                <w:szCs w:val="20"/>
              </w:rPr>
            </w:pPr>
            <w:r w:rsidRPr="00596496">
              <w:rPr>
                <w:rFonts w:eastAsia="Calibri"/>
                <w:b/>
                <w:sz w:val="20"/>
                <w:szCs w:val="20"/>
              </w:rPr>
              <w:t xml:space="preserve">Housing type (base: single family)   </w:t>
            </w:r>
          </w:p>
        </w:tc>
        <w:tc>
          <w:tcPr>
            <w:tcW w:w="864" w:type="dxa"/>
            <w:tcBorders>
              <w:top w:val="double" w:sz="4" w:space="0" w:color="auto"/>
              <w:left w:val="double" w:sz="4" w:space="0" w:color="auto"/>
              <w:right w:val="single" w:sz="4" w:space="0" w:color="auto"/>
            </w:tcBorders>
            <w:vAlign w:val="center"/>
          </w:tcPr>
          <w:p w14:paraId="0076E77C" w14:textId="77777777" w:rsidR="00596496" w:rsidRPr="00C476B8" w:rsidRDefault="00596496" w:rsidP="00E14270">
            <w:pPr>
              <w:spacing w:line="240" w:lineRule="auto"/>
              <w:jc w:val="center"/>
              <w:rPr>
                <w:rFonts w:eastAsia="Calibri"/>
                <w:sz w:val="20"/>
                <w:szCs w:val="20"/>
              </w:rPr>
            </w:pPr>
          </w:p>
        </w:tc>
        <w:tc>
          <w:tcPr>
            <w:tcW w:w="847" w:type="dxa"/>
            <w:tcBorders>
              <w:top w:val="double" w:sz="4" w:space="0" w:color="auto"/>
              <w:left w:val="single" w:sz="4" w:space="0" w:color="auto"/>
              <w:right w:val="double" w:sz="4" w:space="0" w:color="auto"/>
            </w:tcBorders>
            <w:vAlign w:val="center"/>
          </w:tcPr>
          <w:p w14:paraId="6C9B352B" w14:textId="77777777" w:rsidR="00596496" w:rsidRPr="00C476B8" w:rsidRDefault="00596496" w:rsidP="00E14270">
            <w:pPr>
              <w:spacing w:line="240" w:lineRule="auto"/>
              <w:jc w:val="center"/>
              <w:rPr>
                <w:rFonts w:eastAsia="Calibri"/>
                <w:sz w:val="20"/>
                <w:szCs w:val="20"/>
              </w:rPr>
            </w:pPr>
          </w:p>
        </w:tc>
        <w:tc>
          <w:tcPr>
            <w:tcW w:w="881" w:type="dxa"/>
            <w:tcBorders>
              <w:top w:val="double" w:sz="4" w:space="0" w:color="auto"/>
              <w:left w:val="double" w:sz="4" w:space="0" w:color="auto"/>
              <w:right w:val="single" w:sz="4" w:space="0" w:color="auto"/>
            </w:tcBorders>
            <w:vAlign w:val="center"/>
          </w:tcPr>
          <w:p w14:paraId="1953AA83" w14:textId="77777777" w:rsidR="00596496" w:rsidRPr="00C476B8" w:rsidRDefault="00596496" w:rsidP="00E14270">
            <w:pPr>
              <w:spacing w:line="240" w:lineRule="auto"/>
              <w:jc w:val="center"/>
              <w:rPr>
                <w:rFonts w:eastAsia="Calibri"/>
                <w:sz w:val="20"/>
                <w:szCs w:val="20"/>
              </w:rPr>
            </w:pPr>
          </w:p>
        </w:tc>
        <w:tc>
          <w:tcPr>
            <w:tcW w:w="955" w:type="dxa"/>
            <w:tcBorders>
              <w:top w:val="double" w:sz="4" w:space="0" w:color="auto"/>
              <w:left w:val="single" w:sz="4" w:space="0" w:color="auto"/>
              <w:right w:val="double" w:sz="4" w:space="0" w:color="auto"/>
            </w:tcBorders>
            <w:vAlign w:val="center"/>
          </w:tcPr>
          <w:p w14:paraId="39C11438" w14:textId="77777777" w:rsidR="00596496" w:rsidRPr="00C476B8" w:rsidRDefault="00596496" w:rsidP="00E14270">
            <w:pPr>
              <w:spacing w:line="240" w:lineRule="auto"/>
              <w:jc w:val="center"/>
              <w:rPr>
                <w:rFonts w:eastAsia="Calibri"/>
                <w:sz w:val="20"/>
                <w:szCs w:val="20"/>
              </w:rPr>
            </w:pPr>
          </w:p>
        </w:tc>
        <w:tc>
          <w:tcPr>
            <w:tcW w:w="899" w:type="dxa"/>
            <w:tcBorders>
              <w:top w:val="double" w:sz="4" w:space="0" w:color="auto"/>
              <w:left w:val="double" w:sz="4" w:space="0" w:color="auto"/>
              <w:right w:val="single" w:sz="4" w:space="0" w:color="auto"/>
            </w:tcBorders>
            <w:vAlign w:val="center"/>
          </w:tcPr>
          <w:p w14:paraId="3F317DC3" w14:textId="77777777" w:rsidR="00596496" w:rsidRPr="00C476B8" w:rsidRDefault="00596496" w:rsidP="00E14270">
            <w:pPr>
              <w:spacing w:line="240" w:lineRule="auto"/>
              <w:jc w:val="center"/>
              <w:rPr>
                <w:rFonts w:eastAsia="Calibri"/>
                <w:sz w:val="20"/>
                <w:szCs w:val="20"/>
              </w:rPr>
            </w:pPr>
          </w:p>
        </w:tc>
        <w:tc>
          <w:tcPr>
            <w:tcW w:w="874" w:type="dxa"/>
            <w:tcBorders>
              <w:top w:val="double" w:sz="4" w:space="0" w:color="auto"/>
              <w:left w:val="single" w:sz="4" w:space="0" w:color="auto"/>
              <w:right w:val="double" w:sz="4" w:space="0" w:color="auto"/>
            </w:tcBorders>
            <w:vAlign w:val="center"/>
          </w:tcPr>
          <w:p w14:paraId="68B27E60" w14:textId="77777777" w:rsidR="00596496" w:rsidRPr="00C476B8" w:rsidRDefault="00596496" w:rsidP="00E14270">
            <w:pPr>
              <w:spacing w:line="240" w:lineRule="auto"/>
              <w:jc w:val="center"/>
              <w:rPr>
                <w:rFonts w:eastAsia="Calibri"/>
                <w:sz w:val="20"/>
                <w:szCs w:val="20"/>
              </w:rPr>
            </w:pPr>
          </w:p>
        </w:tc>
        <w:tc>
          <w:tcPr>
            <w:tcW w:w="927" w:type="dxa"/>
            <w:tcBorders>
              <w:top w:val="double" w:sz="4" w:space="0" w:color="auto"/>
              <w:left w:val="double" w:sz="4" w:space="0" w:color="auto"/>
              <w:right w:val="single" w:sz="4" w:space="0" w:color="auto"/>
            </w:tcBorders>
            <w:vAlign w:val="center"/>
          </w:tcPr>
          <w:p w14:paraId="22A70F3B" w14:textId="77777777" w:rsidR="00596496" w:rsidRPr="00C476B8" w:rsidRDefault="00596496" w:rsidP="00E14270">
            <w:pPr>
              <w:spacing w:line="240" w:lineRule="auto"/>
              <w:jc w:val="center"/>
              <w:rPr>
                <w:rFonts w:eastAsia="Calibri"/>
                <w:sz w:val="20"/>
                <w:szCs w:val="20"/>
              </w:rPr>
            </w:pPr>
          </w:p>
        </w:tc>
        <w:tc>
          <w:tcPr>
            <w:tcW w:w="873" w:type="dxa"/>
            <w:tcBorders>
              <w:top w:val="double" w:sz="4" w:space="0" w:color="auto"/>
              <w:left w:val="single" w:sz="4" w:space="0" w:color="auto"/>
              <w:right w:val="double" w:sz="4" w:space="0" w:color="auto"/>
            </w:tcBorders>
            <w:vAlign w:val="center"/>
          </w:tcPr>
          <w:p w14:paraId="7E00028D" w14:textId="77777777" w:rsidR="00596496" w:rsidRPr="00C476B8" w:rsidRDefault="00596496" w:rsidP="00E14270">
            <w:pPr>
              <w:spacing w:line="240" w:lineRule="auto"/>
              <w:jc w:val="center"/>
              <w:rPr>
                <w:rFonts w:eastAsia="Calibri"/>
                <w:sz w:val="20"/>
                <w:szCs w:val="20"/>
              </w:rPr>
            </w:pPr>
          </w:p>
        </w:tc>
        <w:tc>
          <w:tcPr>
            <w:tcW w:w="855" w:type="dxa"/>
            <w:tcBorders>
              <w:top w:val="double" w:sz="4" w:space="0" w:color="auto"/>
              <w:left w:val="double" w:sz="4" w:space="0" w:color="auto"/>
              <w:right w:val="single" w:sz="4" w:space="0" w:color="auto"/>
            </w:tcBorders>
            <w:vAlign w:val="center"/>
          </w:tcPr>
          <w:p w14:paraId="616EDD4C" w14:textId="77777777" w:rsidR="00596496" w:rsidRPr="00C476B8" w:rsidRDefault="00596496" w:rsidP="00E14270">
            <w:pPr>
              <w:spacing w:line="240" w:lineRule="auto"/>
              <w:jc w:val="center"/>
              <w:rPr>
                <w:rFonts w:eastAsia="Calibri"/>
                <w:sz w:val="20"/>
                <w:szCs w:val="20"/>
              </w:rPr>
            </w:pPr>
          </w:p>
        </w:tc>
        <w:tc>
          <w:tcPr>
            <w:tcW w:w="855" w:type="dxa"/>
            <w:tcBorders>
              <w:top w:val="double" w:sz="4" w:space="0" w:color="auto"/>
              <w:left w:val="single" w:sz="4" w:space="0" w:color="auto"/>
              <w:right w:val="double" w:sz="4" w:space="0" w:color="auto"/>
            </w:tcBorders>
            <w:vAlign w:val="center"/>
          </w:tcPr>
          <w:p w14:paraId="752C9309" w14:textId="77777777" w:rsidR="00596496" w:rsidRPr="00C476B8" w:rsidRDefault="00596496" w:rsidP="00E14270">
            <w:pPr>
              <w:spacing w:line="240" w:lineRule="auto"/>
              <w:jc w:val="center"/>
              <w:rPr>
                <w:rFonts w:eastAsia="Calibri"/>
                <w:sz w:val="20"/>
                <w:szCs w:val="20"/>
              </w:rPr>
            </w:pPr>
          </w:p>
        </w:tc>
      </w:tr>
      <w:tr w:rsidR="00596496" w:rsidRPr="00C476B8" w14:paraId="7170E072" w14:textId="1052AC9A" w:rsidTr="00E14270">
        <w:trPr>
          <w:trHeight w:val="295"/>
          <w:jc w:val="center"/>
        </w:trPr>
        <w:tc>
          <w:tcPr>
            <w:tcW w:w="3312" w:type="dxa"/>
            <w:tcBorders>
              <w:left w:val="double" w:sz="4" w:space="0" w:color="auto"/>
              <w:right w:val="double" w:sz="4" w:space="0" w:color="auto"/>
            </w:tcBorders>
            <w:vAlign w:val="center"/>
          </w:tcPr>
          <w:p w14:paraId="220F81F3" w14:textId="69F200B1" w:rsidR="00596496" w:rsidRPr="00C476B8" w:rsidRDefault="00596496" w:rsidP="00E14270">
            <w:pPr>
              <w:spacing w:line="240" w:lineRule="auto"/>
              <w:rPr>
                <w:rFonts w:eastAsia="Calibri"/>
                <w:sz w:val="20"/>
                <w:szCs w:val="20"/>
              </w:rPr>
            </w:pPr>
            <w:r w:rsidRPr="00596496">
              <w:rPr>
                <w:rFonts w:eastAsia="Calibri"/>
                <w:sz w:val="20"/>
                <w:szCs w:val="20"/>
              </w:rPr>
              <w:t xml:space="preserve">   Apartment</w:t>
            </w:r>
          </w:p>
        </w:tc>
        <w:tc>
          <w:tcPr>
            <w:tcW w:w="864" w:type="dxa"/>
            <w:tcBorders>
              <w:left w:val="double" w:sz="4" w:space="0" w:color="auto"/>
              <w:right w:val="single" w:sz="4" w:space="0" w:color="auto"/>
            </w:tcBorders>
            <w:vAlign w:val="center"/>
          </w:tcPr>
          <w:p w14:paraId="2BAAB2BC" w14:textId="76043551"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47" w:type="dxa"/>
            <w:tcBorders>
              <w:left w:val="single" w:sz="4" w:space="0" w:color="auto"/>
              <w:right w:val="double" w:sz="4" w:space="0" w:color="auto"/>
            </w:tcBorders>
            <w:vAlign w:val="center"/>
          </w:tcPr>
          <w:p w14:paraId="4E97A918" w14:textId="1A7E5F76"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81" w:type="dxa"/>
            <w:tcBorders>
              <w:left w:val="double" w:sz="4" w:space="0" w:color="auto"/>
              <w:right w:val="single" w:sz="4" w:space="0" w:color="auto"/>
            </w:tcBorders>
            <w:vAlign w:val="center"/>
          </w:tcPr>
          <w:p w14:paraId="2B3ECC8B" w14:textId="7D20EF15"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55" w:type="dxa"/>
            <w:tcBorders>
              <w:left w:val="single" w:sz="4" w:space="0" w:color="auto"/>
              <w:right w:val="double" w:sz="4" w:space="0" w:color="auto"/>
            </w:tcBorders>
            <w:vAlign w:val="center"/>
          </w:tcPr>
          <w:p w14:paraId="2339CDA2" w14:textId="7380E1D3"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99" w:type="dxa"/>
            <w:tcBorders>
              <w:left w:val="double" w:sz="4" w:space="0" w:color="auto"/>
              <w:right w:val="single" w:sz="4" w:space="0" w:color="auto"/>
            </w:tcBorders>
            <w:vAlign w:val="center"/>
          </w:tcPr>
          <w:p w14:paraId="7B929138" w14:textId="32645CC1"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4" w:type="dxa"/>
            <w:tcBorders>
              <w:left w:val="single" w:sz="4" w:space="0" w:color="auto"/>
              <w:right w:val="double" w:sz="4" w:space="0" w:color="auto"/>
            </w:tcBorders>
            <w:vAlign w:val="center"/>
          </w:tcPr>
          <w:p w14:paraId="40DA1B96" w14:textId="4F4730C1"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27" w:type="dxa"/>
            <w:tcBorders>
              <w:left w:val="double" w:sz="4" w:space="0" w:color="auto"/>
              <w:right w:val="single" w:sz="4" w:space="0" w:color="auto"/>
            </w:tcBorders>
            <w:vAlign w:val="center"/>
          </w:tcPr>
          <w:p w14:paraId="0A612848"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-0.118</w:t>
            </w:r>
          </w:p>
        </w:tc>
        <w:tc>
          <w:tcPr>
            <w:tcW w:w="873" w:type="dxa"/>
            <w:tcBorders>
              <w:left w:val="single" w:sz="4" w:space="0" w:color="auto"/>
              <w:right w:val="double" w:sz="4" w:space="0" w:color="auto"/>
            </w:tcBorders>
            <w:vAlign w:val="center"/>
          </w:tcPr>
          <w:p w14:paraId="4C52FD04"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-6.018</w:t>
            </w:r>
          </w:p>
        </w:tc>
        <w:tc>
          <w:tcPr>
            <w:tcW w:w="855" w:type="dxa"/>
            <w:tcBorders>
              <w:left w:val="double" w:sz="4" w:space="0" w:color="auto"/>
              <w:right w:val="single" w:sz="4" w:space="0" w:color="auto"/>
            </w:tcBorders>
            <w:vAlign w:val="center"/>
          </w:tcPr>
          <w:p w14:paraId="26C15866"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-0.132</w:t>
            </w:r>
          </w:p>
        </w:tc>
        <w:tc>
          <w:tcPr>
            <w:tcW w:w="855" w:type="dxa"/>
            <w:tcBorders>
              <w:left w:val="single" w:sz="4" w:space="0" w:color="auto"/>
              <w:right w:val="double" w:sz="4" w:space="0" w:color="auto"/>
            </w:tcBorders>
            <w:vAlign w:val="center"/>
          </w:tcPr>
          <w:p w14:paraId="626901A4"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-4.485</w:t>
            </w:r>
          </w:p>
        </w:tc>
      </w:tr>
      <w:tr w:rsidR="00596496" w:rsidRPr="00C476B8" w14:paraId="5EF17E7D" w14:textId="771D9A4A" w:rsidTr="00E14270">
        <w:trPr>
          <w:trHeight w:val="278"/>
          <w:jc w:val="center"/>
        </w:trPr>
        <w:tc>
          <w:tcPr>
            <w:tcW w:w="3312" w:type="dxa"/>
            <w:tcBorders>
              <w:left w:val="double" w:sz="4" w:space="0" w:color="auto"/>
              <w:right w:val="double" w:sz="4" w:space="0" w:color="auto"/>
            </w:tcBorders>
            <w:vAlign w:val="center"/>
          </w:tcPr>
          <w:p w14:paraId="125F5686" w14:textId="2B120633" w:rsidR="00596496" w:rsidRPr="00C476B8" w:rsidRDefault="00596496" w:rsidP="00E14270">
            <w:pPr>
              <w:spacing w:line="240" w:lineRule="auto"/>
              <w:rPr>
                <w:rFonts w:eastAsia="Calibri"/>
                <w:b/>
                <w:sz w:val="20"/>
                <w:szCs w:val="20"/>
              </w:rPr>
            </w:pPr>
            <w:r w:rsidRPr="00596496">
              <w:rPr>
                <w:rFonts w:eastAsia="Calibri"/>
                <w:b/>
                <w:sz w:val="20"/>
                <w:szCs w:val="20"/>
              </w:rPr>
              <w:t>Housing cost (dollars)</w:t>
            </w:r>
          </w:p>
        </w:tc>
        <w:tc>
          <w:tcPr>
            <w:tcW w:w="864" w:type="dxa"/>
            <w:tcBorders>
              <w:left w:val="double" w:sz="4" w:space="0" w:color="auto"/>
              <w:right w:val="single" w:sz="4" w:space="0" w:color="auto"/>
            </w:tcBorders>
            <w:vAlign w:val="center"/>
          </w:tcPr>
          <w:p w14:paraId="08463DE4" w14:textId="79263161"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47" w:type="dxa"/>
            <w:tcBorders>
              <w:left w:val="single" w:sz="4" w:space="0" w:color="auto"/>
              <w:right w:val="double" w:sz="4" w:space="0" w:color="auto"/>
            </w:tcBorders>
            <w:vAlign w:val="center"/>
          </w:tcPr>
          <w:p w14:paraId="09C104FC" w14:textId="49414B33"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81" w:type="dxa"/>
            <w:tcBorders>
              <w:left w:val="double" w:sz="4" w:space="0" w:color="auto"/>
              <w:right w:val="single" w:sz="4" w:space="0" w:color="auto"/>
            </w:tcBorders>
            <w:vAlign w:val="center"/>
          </w:tcPr>
          <w:p w14:paraId="4CE8F104" w14:textId="68EED232"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55" w:type="dxa"/>
            <w:tcBorders>
              <w:left w:val="single" w:sz="4" w:space="0" w:color="auto"/>
              <w:right w:val="double" w:sz="4" w:space="0" w:color="auto"/>
            </w:tcBorders>
            <w:vAlign w:val="center"/>
          </w:tcPr>
          <w:p w14:paraId="1F730C82" w14:textId="2D02ACDF"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99" w:type="dxa"/>
            <w:tcBorders>
              <w:left w:val="double" w:sz="4" w:space="0" w:color="auto"/>
              <w:right w:val="single" w:sz="4" w:space="0" w:color="auto"/>
            </w:tcBorders>
            <w:vAlign w:val="center"/>
          </w:tcPr>
          <w:p w14:paraId="1BB399D7" w14:textId="5AAE9F48"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4" w:type="dxa"/>
            <w:tcBorders>
              <w:left w:val="single" w:sz="4" w:space="0" w:color="auto"/>
              <w:right w:val="double" w:sz="4" w:space="0" w:color="auto"/>
            </w:tcBorders>
            <w:vAlign w:val="center"/>
          </w:tcPr>
          <w:p w14:paraId="542192F0" w14:textId="782176CD"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27" w:type="dxa"/>
            <w:tcBorders>
              <w:left w:val="double" w:sz="4" w:space="0" w:color="auto"/>
              <w:right w:val="single" w:sz="4" w:space="0" w:color="auto"/>
            </w:tcBorders>
            <w:vAlign w:val="center"/>
          </w:tcPr>
          <w:p w14:paraId="270EE61E" w14:textId="36D79B06"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3" w:type="dxa"/>
            <w:tcBorders>
              <w:left w:val="single" w:sz="4" w:space="0" w:color="auto"/>
              <w:right w:val="double" w:sz="4" w:space="0" w:color="auto"/>
            </w:tcBorders>
            <w:vAlign w:val="center"/>
          </w:tcPr>
          <w:p w14:paraId="019EDA14" w14:textId="0862F519"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double" w:sz="4" w:space="0" w:color="auto"/>
              <w:right w:val="single" w:sz="4" w:space="0" w:color="auto"/>
            </w:tcBorders>
            <w:vAlign w:val="center"/>
          </w:tcPr>
          <w:p w14:paraId="4620E830" w14:textId="5761713C"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single" w:sz="4" w:space="0" w:color="auto"/>
              <w:right w:val="double" w:sz="4" w:space="0" w:color="auto"/>
            </w:tcBorders>
            <w:vAlign w:val="center"/>
          </w:tcPr>
          <w:p w14:paraId="777858BF" w14:textId="5041EAA1" w:rsidR="00596496" w:rsidRPr="00C476B8" w:rsidRDefault="00E14270" w:rsidP="00E14270">
            <w:pPr>
              <w:spacing w:line="240" w:lineRule="auto"/>
              <w:jc w:val="center"/>
              <w:rPr>
                <w:rFonts w:eastAsia="Calibri"/>
                <w:sz w:val="20"/>
                <w:szCs w:val="20"/>
              </w:rPr>
            </w:pPr>
            <w:r>
              <w:rPr>
                <w:rFonts w:eastAsia="Calibri"/>
                <w:sz w:val="20"/>
                <w:szCs w:val="20"/>
              </w:rPr>
              <w:t>-</w:t>
            </w:r>
          </w:p>
        </w:tc>
      </w:tr>
      <w:tr w:rsidR="00596496" w:rsidRPr="00C476B8" w14:paraId="6E2558F4" w14:textId="49A6AB25" w:rsidTr="00E14270">
        <w:trPr>
          <w:trHeight w:val="278"/>
          <w:jc w:val="center"/>
        </w:trPr>
        <w:tc>
          <w:tcPr>
            <w:tcW w:w="3312" w:type="dxa"/>
            <w:tcBorders>
              <w:left w:val="double" w:sz="4" w:space="0" w:color="auto"/>
              <w:right w:val="double" w:sz="4" w:space="0" w:color="auto"/>
            </w:tcBorders>
            <w:vAlign w:val="center"/>
          </w:tcPr>
          <w:p w14:paraId="718E58D9" w14:textId="247338C6" w:rsidR="00596496" w:rsidRPr="00C476B8" w:rsidRDefault="00596496" w:rsidP="001B69D9">
            <w:pPr>
              <w:spacing w:line="240" w:lineRule="auto"/>
              <w:rPr>
                <w:rFonts w:eastAsia="Calibri"/>
                <w:b/>
                <w:sz w:val="20"/>
                <w:szCs w:val="20"/>
              </w:rPr>
            </w:pPr>
            <w:r w:rsidRPr="00596496">
              <w:rPr>
                <w:rFonts w:eastAsia="Calibri"/>
                <w:b/>
                <w:sz w:val="20"/>
                <w:szCs w:val="20"/>
              </w:rPr>
              <w:t xml:space="preserve">Square footage of </w:t>
            </w:r>
            <w:r w:rsidR="001B69D9">
              <w:rPr>
                <w:rFonts w:eastAsia="Calibri"/>
                <w:b/>
                <w:sz w:val="20"/>
                <w:szCs w:val="20"/>
              </w:rPr>
              <w:t>the dwelling unit</w:t>
            </w:r>
          </w:p>
        </w:tc>
        <w:tc>
          <w:tcPr>
            <w:tcW w:w="864" w:type="dxa"/>
            <w:tcBorders>
              <w:left w:val="double" w:sz="4" w:space="0" w:color="auto"/>
              <w:right w:val="single" w:sz="4" w:space="0" w:color="auto"/>
            </w:tcBorders>
            <w:vAlign w:val="center"/>
          </w:tcPr>
          <w:p w14:paraId="36C01C8C"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0.059</w:t>
            </w:r>
          </w:p>
        </w:tc>
        <w:tc>
          <w:tcPr>
            <w:tcW w:w="847" w:type="dxa"/>
            <w:tcBorders>
              <w:left w:val="single" w:sz="4" w:space="0" w:color="auto"/>
              <w:right w:val="double" w:sz="4" w:space="0" w:color="auto"/>
            </w:tcBorders>
            <w:vAlign w:val="center"/>
          </w:tcPr>
          <w:p w14:paraId="0313EB7F"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12.251</w:t>
            </w:r>
          </w:p>
        </w:tc>
        <w:tc>
          <w:tcPr>
            <w:tcW w:w="881" w:type="dxa"/>
            <w:tcBorders>
              <w:left w:val="double" w:sz="4" w:space="0" w:color="auto"/>
              <w:right w:val="single" w:sz="4" w:space="0" w:color="auto"/>
            </w:tcBorders>
            <w:vAlign w:val="center"/>
          </w:tcPr>
          <w:p w14:paraId="2E3E294D"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0.101</w:t>
            </w:r>
          </w:p>
        </w:tc>
        <w:tc>
          <w:tcPr>
            <w:tcW w:w="955" w:type="dxa"/>
            <w:tcBorders>
              <w:left w:val="single" w:sz="4" w:space="0" w:color="auto"/>
              <w:right w:val="double" w:sz="4" w:space="0" w:color="auto"/>
            </w:tcBorders>
            <w:vAlign w:val="center"/>
          </w:tcPr>
          <w:p w14:paraId="21C3315D"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6.508</w:t>
            </w:r>
          </w:p>
        </w:tc>
        <w:tc>
          <w:tcPr>
            <w:tcW w:w="899" w:type="dxa"/>
            <w:tcBorders>
              <w:left w:val="double" w:sz="4" w:space="0" w:color="auto"/>
              <w:right w:val="single" w:sz="4" w:space="0" w:color="auto"/>
            </w:tcBorders>
            <w:vAlign w:val="center"/>
          </w:tcPr>
          <w:p w14:paraId="584984B7" w14:textId="0BD3088B"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4" w:type="dxa"/>
            <w:tcBorders>
              <w:left w:val="single" w:sz="4" w:space="0" w:color="auto"/>
              <w:right w:val="double" w:sz="4" w:space="0" w:color="auto"/>
            </w:tcBorders>
            <w:vAlign w:val="center"/>
          </w:tcPr>
          <w:p w14:paraId="177548B5" w14:textId="39FB7F1C"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27" w:type="dxa"/>
            <w:tcBorders>
              <w:left w:val="double" w:sz="4" w:space="0" w:color="auto"/>
              <w:right w:val="single" w:sz="4" w:space="0" w:color="auto"/>
            </w:tcBorders>
            <w:vAlign w:val="center"/>
          </w:tcPr>
          <w:p w14:paraId="097314A2" w14:textId="00481B02"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3" w:type="dxa"/>
            <w:tcBorders>
              <w:left w:val="single" w:sz="4" w:space="0" w:color="auto"/>
              <w:right w:val="double" w:sz="4" w:space="0" w:color="auto"/>
            </w:tcBorders>
            <w:vAlign w:val="center"/>
          </w:tcPr>
          <w:p w14:paraId="1EEB4C44" w14:textId="6940DA4A"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double" w:sz="4" w:space="0" w:color="auto"/>
              <w:right w:val="single" w:sz="4" w:space="0" w:color="auto"/>
            </w:tcBorders>
            <w:vAlign w:val="center"/>
          </w:tcPr>
          <w:p w14:paraId="43D99622"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0.021</w:t>
            </w:r>
          </w:p>
        </w:tc>
        <w:tc>
          <w:tcPr>
            <w:tcW w:w="855" w:type="dxa"/>
            <w:tcBorders>
              <w:left w:val="single" w:sz="4" w:space="0" w:color="auto"/>
              <w:right w:val="double" w:sz="4" w:space="0" w:color="auto"/>
            </w:tcBorders>
            <w:vAlign w:val="center"/>
          </w:tcPr>
          <w:p w14:paraId="0D61707E"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2.084</w:t>
            </w:r>
          </w:p>
        </w:tc>
      </w:tr>
      <w:tr w:rsidR="00596496" w:rsidRPr="00C476B8" w14:paraId="2FE045C7" w14:textId="1EA38991" w:rsidTr="00E14270">
        <w:trPr>
          <w:trHeight w:val="278"/>
          <w:jc w:val="center"/>
        </w:trPr>
        <w:tc>
          <w:tcPr>
            <w:tcW w:w="3312" w:type="dxa"/>
            <w:tcBorders>
              <w:left w:val="double" w:sz="4" w:space="0" w:color="auto"/>
              <w:right w:val="double" w:sz="4" w:space="0" w:color="auto"/>
            </w:tcBorders>
            <w:vAlign w:val="center"/>
          </w:tcPr>
          <w:p w14:paraId="29D277E9" w14:textId="13A5DA5C" w:rsidR="00596496" w:rsidRPr="00C476B8" w:rsidRDefault="00596496" w:rsidP="00E14270">
            <w:pPr>
              <w:spacing w:line="240" w:lineRule="auto"/>
              <w:rPr>
                <w:rFonts w:eastAsia="Calibri"/>
                <w:b/>
                <w:sz w:val="20"/>
                <w:szCs w:val="20"/>
              </w:rPr>
            </w:pPr>
            <w:r w:rsidRPr="00596496">
              <w:rPr>
                <w:rFonts w:eastAsia="Calibri"/>
                <w:b/>
                <w:sz w:val="20"/>
                <w:szCs w:val="20"/>
              </w:rPr>
              <w:t>Residential location (base: suburb)</w:t>
            </w:r>
          </w:p>
        </w:tc>
        <w:tc>
          <w:tcPr>
            <w:tcW w:w="864" w:type="dxa"/>
            <w:tcBorders>
              <w:left w:val="double" w:sz="4" w:space="0" w:color="auto"/>
              <w:right w:val="single" w:sz="4" w:space="0" w:color="auto"/>
            </w:tcBorders>
            <w:vAlign w:val="center"/>
          </w:tcPr>
          <w:p w14:paraId="28ED0B7D" w14:textId="77777777" w:rsidR="00596496" w:rsidRPr="00C476B8" w:rsidRDefault="00596496" w:rsidP="00E14270">
            <w:pPr>
              <w:spacing w:line="240" w:lineRule="auto"/>
              <w:jc w:val="center"/>
              <w:rPr>
                <w:rFonts w:eastAsia="Calibri"/>
                <w:sz w:val="20"/>
                <w:szCs w:val="20"/>
              </w:rPr>
            </w:pPr>
          </w:p>
        </w:tc>
        <w:tc>
          <w:tcPr>
            <w:tcW w:w="847" w:type="dxa"/>
            <w:tcBorders>
              <w:left w:val="single" w:sz="4" w:space="0" w:color="auto"/>
              <w:right w:val="double" w:sz="4" w:space="0" w:color="auto"/>
            </w:tcBorders>
            <w:vAlign w:val="center"/>
          </w:tcPr>
          <w:p w14:paraId="28DE8557" w14:textId="77777777" w:rsidR="00596496" w:rsidRPr="00C476B8" w:rsidRDefault="00596496" w:rsidP="00E14270">
            <w:pPr>
              <w:spacing w:line="240" w:lineRule="auto"/>
              <w:jc w:val="center"/>
              <w:rPr>
                <w:rFonts w:eastAsia="Calibri"/>
                <w:sz w:val="20"/>
                <w:szCs w:val="20"/>
              </w:rPr>
            </w:pPr>
          </w:p>
        </w:tc>
        <w:tc>
          <w:tcPr>
            <w:tcW w:w="881" w:type="dxa"/>
            <w:tcBorders>
              <w:left w:val="double" w:sz="4" w:space="0" w:color="auto"/>
              <w:right w:val="single" w:sz="4" w:space="0" w:color="auto"/>
            </w:tcBorders>
            <w:vAlign w:val="center"/>
          </w:tcPr>
          <w:p w14:paraId="7BAE26A8" w14:textId="77777777" w:rsidR="00596496" w:rsidRPr="00C476B8" w:rsidRDefault="00596496" w:rsidP="00E14270">
            <w:pPr>
              <w:spacing w:line="240" w:lineRule="auto"/>
              <w:jc w:val="center"/>
              <w:rPr>
                <w:rFonts w:eastAsia="Calibri"/>
                <w:sz w:val="20"/>
                <w:szCs w:val="20"/>
              </w:rPr>
            </w:pPr>
          </w:p>
        </w:tc>
        <w:tc>
          <w:tcPr>
            <w:tcW w:w="955" w:type="dxa"/>
            <w:tcBorders>
              <w:left w:val="single" w:sz="4" w:space="0" w:color="auto"/>
              <w:right w:val="double" w:sz="4" w:space="0" w:color="auto"/>
            </w:tcBorders>
            <w:vAlign w:val="center"/>
          </w:tcPr>
          <w:p w14:paraId="630DE2E1" w14:textId="77777777" w:rsidR="00596496" w:rsidRPr="00C476B8" w:rsidRDefault="00596496" w:rsidP="00E14270">
            <w:pPr>
              <w:spacing w:line="240" w:lineRule="auto"/>
              <w:jc w:val="center"/>
              <w:rPr>
                <w:rFonts w:eastAsia="Calibri"/>
                <w:sz w:val="20"/>
                <w:szCs w:val="20"/>
              </w:rPr>
            </w:pPr>
          </w:p>
        </w:tc>
        <w:tc>
          <w:tcPr>
            <w:tcW w:w="899" w:type="dxa"/>
            <w:tcBorders>
              <w:left w:val="double" w:sz="4" w:space="0" w:color="auto"/>
              <w:right w:val="single" w:sz="4" w:space="0" w:color="auto"/>
            </w:tcBorders>
            <w:vAlign w:val="center"/>
          </w:tcPr>
          <w:p w14:paraId="26C5C8A7" w14:textId="77777777" w:rsidR="00596496" w:rsidRPr="00C476B8" w:rsidRDefault="00596496" w:rsidP="00E14270">
            <w:pPr>
              <w:spacing w:line="240" w:lineRule="auto"/>
              <w:jc w:val="center"/>
              <w:rPr>
                <w:rFonts w:eastAsia="Calibri"/>
                <w:sz w:val="20"/>
                <w:szCs w:val="20"/>
              </w:rPr>
            </w:pPr>
          </w:p>
        </w:tc>
        <w:tc>
          <w:tcPr>
            <w:tcW w:w="874" w:type="dxa"/>
            <w:tcBorders>
              <w:left w:val="single" w:sz="4" w:space="0" w:color="auto"/>
              <w:right w:val="double" w:sz="4" w:space="0" w:color="auto"/>
            </w:tcBorders>
            <w:vAlign w:val="center"/>
          </w:tcPr>
          <w:p w14:paraId="0CAF6C43" w14:textId="77777777" w:rsidR="00596496" w:rsidRPr="00C476B8" w:rsidRDefault="00596496" w:rsidP="00E14270">
            <w:pPr>
              <w:spacing w:line="240" w:lineRule="auto"/>
              <w:jc w:val="center"/>
              <w:rPr>
                <w:rFonts w:eastAsia="Calibri"/>
                <w:sz w:val="20"/>
                <w:szCs w:val="20"/>
              </w:rPr>
            </w:pPr>
          </w:p>
        </w:tc>
        <w:tc>
          <w:tcPr>
            <w:tcW w:w="927" w:type="dxa"/>
            <w:tcBorders>
              <w:left w:val="double" w:sz="4" w:space="0" w:color="auto"/>
              <w:right w:val="single" w:sz="4" w:space="0" w:color="auto"/>
            </w:tcBorders>
            <w:vAlign w:val="center"/>
          </w:tcPr>
          <w:p w14:paraId="40D905A8" w14:textId="77777777" w:rsidR="00596496" w:rsidRPr="00C476B8" w:rsidRDefault="00596496" w:rsidP="00E14270">
            <w:pPr>
              <w:spacing w:line="240" w:lineRule="auto"/>
              <w:jc w:val="center"/>
              <w:rPr>
                <w:rFonts w:eastAsia="Calibri"/>
                <w:sz w:val="20"/>
                <w:szCs w:val="20"/>
              </w:rPr>
            </w:pPr>
          </w:p>
        </w:tc>
        <w:tc>
          <w:tcPr>
            <w:tcW w:w="873" w:type="dxa"/>
            <w:tcBorders>
              <w:left w:val="single" w:sz="4" w:space="0" w:color="auto"/>
              <w:right w:val="double" w:sz="4" w:space="0" w:color="auto"/>
            </w:tcBorders>
            <w:vAlign w:val="center"/>
          </w:tcPr>
          <w:p w14:paraId="60BAC42A" w14:textId="77777777" w:rsidR="00596496" w:rsidRPr="00C476B8" w:rsidRDefault="00596496" w:rsidP="00E14270">
            <w:pPr>
              <w:spacing w:line="240" w:lineRule="auto"/>
              <w:jc w:val="center"/>
              <w:rPr>
                <w:rFonts w:eastAsia="Calibri"/>
                <w:sz w:val="20"/>
                <w:szCs w:val="20"/>
              </w:rPr>
            </w:pPr>
          </w:p>
        </w:tc>
        <w:tc>
          <w:tcPr>
            <w:tcW w:w="855" w:type="dxa"/>
            <w:tcBorders>
              <w:left w:val="double" w:sz="4" w:space="0" w:color="auto"/>
              <w:right w:val="single" w:sz="4" w:space="0" w:color="auto"/>
            </w:tcBorders>
            <w:vAlign w:val="center"/>
          </w:tcPr>
          <w:p w14:paraId="780459B1" w14:textId="77777777" w:rsidR="00596496" w:rsidRPr="00C476B8" w:rsidRDefault="00596496" w:rsidP="00E14270">
            <w:pPr>
              <w:spacing w:line="240" w:lineRule="auto"/>
              <w:jc w:val="center"/>
              <w:rPr>
                <w:rFonts w:eastAsia="Calibri"/>
                <w:sz w:val="20"/>
                <w:szCs w:val="20"/>
              </w:rPr>
            </w:pPr>
          </w:p>
        </w:tc>
        <w:tc>
          <w:tcPr>
            <w:tcW w:w="855" w:type="dxa"/>
            <w:tcBorders>
              <w:left w:val="single" w:sz="4" w:space="0" w:color="auto"/>
              <w:right w:val="double" w:sz="4" w:space="0" w:color="auto"/>
            </w:tcBorders>
            <w:vAlign w:val="center"/>
          </w:tcPr>
          <w:p w14:paraId="59F1E4B8" w14:textId="77777777" w:rsidR="00596496" w:rsidRPr="00C476B8" w:rsidRDefault="00596496" w:rsidP="00E14270">
            <w:pPr>
              <w:spacing w:line="240" w:lineRule="auto"/>
              <w:jc w:val="center"/>
              <w:rPr>
                <w:rFonts w:eastAsia="Calibri"/>
                <w:sz w:val="20"/>
                <w:szCs w:val="20"/>
              </w:rPr>
            </w:pPr>
          </w:p>
        </w:tc>
      </w:tr>
      <w:tr w:rsidR="00596496" w:rsidRPr="00C476B8" w14:paraId="6251F69F" w14:textId="168DB8A9" w:rsidTr="00E14270">
        <w:trPr>
          <w:trHeight w:val="278"/>
          <w:jc w:val="center"/>
        </w:trPr>
        <w:tc>
          <w:tcPr>
            <w:tcW w:w="3312" w:type="dxa"/>
            <w:tcBorders>
              <w:left w:val="double" w:sz="4" w:space="0" w:color="auto"/>
              <w:right w:val="double" w:sz="4" w:space="0" w:color="auto"/>
            </w:tcBorders>
            <w:vAlign w:val="center"/>
          </w:tcPr>
          <w:p w14:paraId="49E1C274" w14:textId="69DEA284" w:rsidR="00596496" w:rsidRPr="00C476B8" w:rsidRDefault="00596496" w:rsidP="00E14270">
            <w:pPr>
              <w:spacing w:line="240" w:lineRule="auto"/>
              <w:rPr>
                <w:rFonts w:eastAsia="Calibri"/>
                <w:sz w:val="20"/>
                <w:szCs w:val="20"/>
              </w:rPr>
            </w:pPr>
            <w:r w:rsidRPr="00596496">
              <w:rPr>
                <w:rFonts w:eastAsia="Calibri"/>
                <w:sz w:val="20"/>
                <w:szCs w:val="20"/>
              </w:rPr>
              <w:t xml:space="preserve">   Secondary city</w:t>
            </w:r>
          </w:p>
        </w:tc>
        <w:tc>
          <w:tcPr>
            <w:tcW w:w="864" w:type="dxa"/>
            <w:tcBorders>
              <w:left w:val="double" w:sz="4" w:space="0" w:color="auto"/>
              <w:right w:val="single" w:sz="4" w:space="0" w:color="auto"/>
            </w:tcBorders>
            <w:vAlign w:val="center"/>
          </w:tcPr>
          <w:p w14:paraId="4DB593D7" w14:textId="78033C6C"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47" w:type="dxa"/>
            <w:tcBorders>
              <w:left w:val="single" w:sz="4" w:space="0" w:color="auto"/>
              <w:right w:val="double" w:sz="4" w:space="0" w:color="auto"/>
            </w:tcBorders>
            <w:vAlign w:val="center"/>
          </w:tcPr>
          <w:p w14:paraId="49F56B89" w14:textId="2F31E6E8"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81" w:type="dxa"/>
            <w:tcBorders>
              <w:left w:val="double" w:sz="4" w:space="0" w:color="auto"/>
              <w:right w:val="single" w:sz="4" w:space="0" w:color="auto"/>
            </w:tcBorders>
            <w:vAlign w:val="center"/>
          </w:tcPr>
          <w:p w14:paraId="672B3032"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0.139</w:t>
            </w:r>
          </w:p>
        </w:tc>
        <w:tc>
          <w:tcPr>
            <w:tcW w:w="955" w:type="dxa"/>
            <w:tcBorders>
              <w:left w:val="single" w:sz="4" w:space="0" w:color="auto"/>
              <w:right w:val="double" w:sz="4" w:space="0" w:color="auto"/>
            </w:tcBorders>
            <w:vAlign w:val="center"/>
          </w:tcPr>
          <w:p w14:paraId="7EE4EEAA"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2.255</w:t>
            </w:r>
          </w:p>
        </w:tc>
        <w:tc>
          <w:tcPr>
            <w:tcW w:w="899" w:type="dxa"/>
            <w:tcBorders>
              <w:left w:val="double" w:sz="4" w:space="0" w:color="auto"/>
              <w:right w:val="single" w:sz="4" w:space="0" w:color="auto"/>
            </w:tcBorders>
            <w:vAlign w:val="center"/>
          </w:tcPr>
          <w:p w14:paraId="2FA4DD4E"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-0.112</w:t>
            </w:r>
          </w:p>
        </w:tc>
        <w:tc>
          <w:tcPr>
            <w:tcW w:w="874" w:type="dxa"/>
            <w:tcBorders>
              <w:left w:val="single" w:sz="4" w:space="0" w:color="auto"/>
              <w:right w:val="double" w:sz="4" w:space="0" w:color="auto"/>
            </w:tcBorders>
            <w:vAlign w:val="center"/>
          </w:tcPr>
          <w:p w14:paraId="62CAC264"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-2.172</w:t>
            </w:r>
          </w:p>
        </w:tc>
        <w:tc>
          <w:tcPr>
            <w:tcW w:w="927" w:type="dxa"/>
            <w:tcBorders>
              <w:left w:val="double" w:sz="4" w:space="0" w:color="auto"/>
              <w:right w:val="single" w:sz="4" w:space="0" w:color="auto"/>
            </w:tcBorders>
            <w:vAlign w:val="center"/>
          </w:tcPr>
          <w:p w14:paraId="179053FE" w14:textId="28742CDF"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3" w:type="dxa"/>
            <w:tcBorders>
              <w:left w:val="single" w:sz="4" w:space="0" w:color="auto"/>
              <w:right w:val="double" w:sz="4" w:space="0" w:color="auto"/>
            </w:tcBorders>
            <w:vAlign w:val="center"/>
          </w:tcPr>
          <w:p w14:paraId="16F2ECB3" w14:textId="0BEA31A5"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double" w:sz="4" w:space="0" w:color="auto"/>
              <w:right w:val="single" w:sz="4" w:space="0" w:color="auto"/>
            </w:tcBorders>
            <w:vAlign w:val="center"/>
          </w:tcPr>
          <w:p w14:paraId="006F5610" w14:textId="327F371F"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single" w:sz="4" w:space="0" w:color="auto"/>
              <w:right w:val="double" w:sz="4" w:space="0" w:color="auto"/>
            </w:tcBorders>
            <w:vAlign w:val="center"/>
          </w:tcPr>
          <w:p w14:paraId="4A455EC8" w14:textId="5572723B" w:rsidR="00596496" w:rsidRPr="00C476B8" w:rsidRDefault="00E14270" w:rsidP="00E14270">
            <w:pPr>
              <w:spacing w:line="240" w:lineRule="auto"/>
              <w:jc w:val="center"/>
              <w:rPr>
                <w:rFonts w:eastAsia="Calibri"/>
                <w:sz w:val="20"/>
                <w:szCs w:val="20"/>
              </w:rPr>
            </w:pPr>
            <w:r>
              <w:rPr>
                <w:rFonts w:eastAsia="Calibri"/>
                <w:sz w:val="20"/>
                <w:szCs w:val="20"/>
              </w:rPr>
              <w:t>-</w:t>
            </w:r>
          </w:p>
        </w:tc>
      </w:tr>
      <w:tr w:rsidR="00596496" w:rsidRPr="00C476B8" w14:paraId="67032E00" w14:textId="3A6D6048" w:rsidTr="00E14270">
        <w:trPr>
          <w:trHeight w:val="278"/>
          <w:jc w:val="center"/>
        </w:trPr>
        <w:tc>
          <w:tcPr>
            <w:tcW w:w="3312" w:type="dxa"/>
            <w:tcBorders>
              <w:left w:val="double" w:sz="4" w:space="0" w:color="auto"/>
              <w:right w:val="double" w:sz="4" w:space="0" w:color="auto"/>
            </w:tcBorders>
            <w:vAlign w:val="center"/>
          </w:tcPr>
          <w:p w14:paraId="7D6F2081" w14:textId="2A21E31C" w:rsidR="00596496" w:rsidRPr="00C476B8" w:rsidRDefault="00596496" w:rsidP="00E14270">
            <w:pPr>
              <w:spacing w:line="240" w:lineRule="auto"/>
              <w:rPr>
                <w:rFonts w:eastAsia="Calibri"/>
                <w:sz w:val="20"/>
                <w:szCs w:val="20"/>
              </w:rPr>
            </w:pPr>
            <w:r w:rsidRPr="00596496">
              <w:rPr>
                <w:rFonts w:eastAsia="Calibri"/>
                <w:sz w:val="20"/>
                <w:szCs w:val="20"/>
              </w:rPr>
              <w:t xml:space="preserve">   Primary city</w:t>
            </w:r>
          </w:p>
        </w:tc>
        <w:tc>
          <w:tcPr>
            <w:tcW w:w="864" w:type="dxa"/>
            <w:tcBorders>
              <w:left w:val="double" w:sz="4" w:space="0" w:color="auto"/>
              <w:right w:val="single" w:sz="4" w:space="0" w:color="auto"/>
            </w:tcBorders>
            <w:vAlign w:val="center"/>
          </w:tcPr>
          <w:p w14:paraId="711A05AC" w14:textId="229536B3"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47" w:type="dxa"/>
            <w:tcBorders>
              <w:left w:val="single" w:sz="4" w:space="0" w:color="auto"/>
              <w:right w:val="double" w:sz="4" w:space="0" w:color="auto"/>
            </w:tcBorders>
            <w:vAlign w:val="center"/>
          </w:tcPr>
          <w:p w14:paraId="0E588CC0" w14:textId="51602EC4"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81" w:type="dxa"/>
            <w:tcBorders>
              <w:left w:val="double" w:sz="4" w:space="0" w:color="auto"/>
              <w:right w:val="single" w:sz="4" w:space="0" w:color="auto"/>
            </w:tcBorders>
            <w:vAlign w:val="center"/>
          </w:tcPr>
          <w:p w14:paraId="761C5F90"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0.626</w:t>
            </w:r>
          </w:p>
        </w:tc>
        <w:tc>
          <w:tcPr>
            <w:tcW w:w="955" w:type="dxa"/>
            <w:tcBorders>
              <w:left w:val="single" w:sz="4" w:space="0" w:color="auto"/>
              <w:right w:val="double" w:sz="4" w:space="0" w:color="auto"/>
            </w:tcBorders>
            <w:vAlign w:val="center"/>
          </w:tcPr>
          <w:p w14:paraId="398B11E5"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2.507</w:t>
            </w:r>
          </w:p>
        </w:tc>
        <w:tc>
          <w:tcPr>
            <w:tcW w:w="899" w:type="dxa"/>
            <w:tcBorders>
              <w:left w:val="double" w:sz="4" w:space="0" w:color="auto"/>
              <w:right w:val="single" w:sz="4" w:space="0" w:color="auto"/>
            </w:tcBorders>
            <w:vAlign w:val="center"/>
          </w:tcPr>
          <w:p w14:paraId="273A5E54" w14:textId="71EF08D1"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4" w:type="dxa"/>
            <w:tcBorders>
              <w:left w:val="single" w:sz="4" w:space="0" w:color="auto"/>
              <w:right w:val="double" w:sz="4" w:space="0" w:color="auto"/>
            </w:tcBorders>
            <w:vAlign w:val="center"/>
          </w:tcPr>
          <w:p w14:paraId="054171B8" w14:textId="7A321E2D"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27" w:type="dxa"/>
            <w:tcBorders>
              <w:left w:val="double" w:sz="4" w:space="0" w:color="auto"/>
              <w:right w:val="single" w:sz="4" w:space="0" w:color="auto"/>
            </w:tcBorders>
            <w:vAlign w:val="center"/>
          </w:tcPr>
          <w:p w14:paraId="3AB451F9"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0.247</w:t>
            </w:r>
          </w:p>
        </w:tc>
        <w:tc>
          <w:tcPr>
            <w:tcW w:w="873" w:type="dxa"/>
            <w:tcBorders>
              <w:left w:val="single" w:sz="4" w:space="0" w:color="auto"/>
              <w:right w:val="double" w:sz="4" w:space="0" w:color="auto"/>
            </w:tcBorders>
            <w:vAlign w:val="center"/>
          </w:tcPr>
          <w:p w14:paraId="32B984CA"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2.378</w:t>
            </w:r>
          </w:p>
        </w:tc>
        <w:tc>
          <w:tcPr>
            <w:tcW w:w="855" w:type="dxa"/>
            <w:tcBorders>
              <w:left w:val="double" w:sz="4" w:space="0" w:color="auto"/>
              <w:right w:val="single" w:sz="4" w:space="0" w:color="auto"/>
            </w:tcBorders>
            <w:vAlign w:val="center"/>
          </w:tcPr>
          <w:p w14:paraId="1228103A"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0.121</w:t>
            </w:r>
          </w:p>
        </w:tc>
        <w:tc>
          <w:tcPr>
            <w:tcW w:w="855" w:type="dxa"/>
            <w:tcBorders>
              <w:left w:val="single" w:sz="4" w:space="0" w:color="auto"/>
              <w:right w:val="double" w:sz="4" w:space="0" w:color="auto"/>
            </w:tcBorders>
            <w:vAlign w:val="center"/>
          </w:tcPr>
          <w:p w14:paraId="2603488E"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4.130</w:t>
            </w:r>
          </w:p>
        </w:tc>
      </w:tr>
      <w:tr w:rsidR="00596496" w:rsidRPr="00C476B8" w14:paraId="1C6BF768" w14:textId="360ED00D" w:rsidTr="00E14270">
        <w:trPr>
          <w:trHeight w:val="278"/>
          <w:jc w:val="center"/>
        </w:trPr>
        <w:tc>
          <w:tcPr>
            <w:tcW w:w="3312" w:type="dxa"/>
            <w:tcBorders>
              <w:left w:val="double" w:sz="4" w:space="0" w:color="auto"/>
              <w:right w:val="double" w:sz="4" w:space="0" w:color="auto"/>
            </w:tcBorders>
            <w:vAlign w:val="center"/>
          </w:tcPr>
          <w:p w14:paraId="00089B9B" w14:textId="69EECD29" w:rsidR="00596496" w:rsidRPr="00C476B8" w:rsidRDefault="00596496" w:rsidP="00E14270">
            <w:pPr>
              <w:spacing w:line="240" w:lineRule="auto"/>
              <w:rPr>
                <w:rFonts w:eastAsia="Calibri"/>
                <w:b/>
                <w:sz w:val="20"/>
                <w:szCs w:val="20"/>
              </w:rPr>
            </w:pPr>
            <w:r w:rsidRPr="00596496">
              <w:rPr>
                <w:rFonts w:eastAsia="Calibri"/>
                <w:b/>
                <w:sz w:val="20"/>
                <w:szCs w:val="20"/>
              </w:rPr>
              <w:t>Tenure type (base: owned)</w:t>
            </w:r>
          </w:p>
        </w:tc>
        <w:tc>
          <w:tcPr>
            <w:tcW w:w="864" w:type="dxa"/>
            <w:tcBorders>
              <w:left w:val="double" w:sz="4" w:space="0" w:color="auto"/>
              <w:right w:val="single" w:sz="4" w:space="0" w:color="auto"/>
            </w:tcBorders>
            <w:vAlign w:val="center"/>
          </w:tcPr>
          <w:p w14:paraId="56D35375" w14:textId="77777777" w:rsidR="00596496" w:rsidRPr="00C476B8" w:rsidRDefault="00596496" w:rsidP="00E14270">
            <w:pPr>
              <w:spacing w:line="240" w:lineRule="auto"/>
              <w:jc w:val="center"/>
              <w:rPr>
                <w:rFonts w:eastAsia="Calibri"/>
                <w:sz w:val="20"/>
                <w:szCs w:val="20"/>
              </w:rPr>
            </w:pPr>
          </w:p>
        </w:tc>
        <w:tc>
          <w:tcPr>
            <w:tcW w:w="847" w:type="dxa"/>
            <w:tcBorders>
              <w:left w:val="single" w:sz="4" w:space="0" w:color="auto"/>
              <w:right w:val="double" w:sz="4" w:space="0" w:color="auto"/>
            </w:tcBorders>
            <w:vAlign w:val="center"/>
          </w:tcPr>
          <w:p w14:paraId="0435A166" w14:textId="77777777" w:rsidR="00596496" w:rsidRPr="00C476B8" w:rsidRDefault="00596496" w:rsidP="00E14270">
            <w:pPr>
              <w:spacing w:line="240" w:lineRule="auto"/>
              <w:jc w:val="center"/>
              <w:rPr>
                <w:rFonts w:eastAsia="Calibri"/>
                <w:sz w:val="20"/>
                <w:szCs w:val="20"/>
              </w:rPr>
            </w:pPr>
          </w:p>
        </w:tc>
        <w:tc>
          <w:tcPr>
            <w:tcW w:w="881" w:type="dxa"/>
            <w:tcBorders>
              <w:left w:val="double" w:sz="4" w:space="0" w:color="auto"/>
              <w:right w:val="single" w:sz="4" w:space="0" w:color="auto"/>
            </w:tcBorders>
            <w:vAlign w:val="center"/>
          </w:tcPr>
          <w:p w14:paraId="187D7D21" w14:textId="77777777" w:rsidR="00596496" w:rsidRPr="00C476B8" w:rsidRDefault="00596496" w:rsidP="00E14270">
            <w:pPr>
              <w:spacing w:line="240" w:lineRule="auto"/>
              <w:jc w:val="center"/>
              <w:rPr>
                <w:rFonts w:eastAsia="Calibri"/>
                <w:sz w:val="20"/>
                <w:szCs w:val="20"/>
              </w:rPr>
            </w:pPr>
          </w:p>
        </w:tc>
        <w:tc>
          <w:tcPr>
            <w:tcW w:w="955" w:type="dxa"/>
            <w:tcBorders>
              <w:left w:val="single" w:sz="4" w:space="0" w:color="auto"/>
              <w:right w:val="double" w:sz="4" w:space="0" w:color="auto"/>
            </w:tcBorders>
            <w:vAlign w:val="center"/>
          </w:tcPr>
          <w:p w14:paraId="213621DF" w14:textId="77777777" w:rsidR="00596496" w:rsidRPr="00C476B8" w:rsidRDefault="00596496" w:rsidP="00E14270">
            <w:pPr>
              <w:spacing w:line="240" w:lineRule="auto"/>
              <w:jc w:val="center"/>
              <w:rPr>
                <w:rFonts w:eastAsia="Calibri"/>
                <w:sz w:val="20"/>
                <w:szCs w:val="20"/>
              </w:rPr>
            </w:pPr>
          </w:p>
        </w:tc>
        <w:tc>
          <w:tcPr>
            <w:tcW w:w="899" w:type="dxa"/>
            <w:tcBorders>
              <w:left w:val="double" w:sz="4" w:space="0" w:color="auto"/>
              <w:right w:val="single" w:sz="4" w:space="0" w:color="auto"/>
            </w:tcBorders>
            <w:vAlign w:val="center"/>
          </w:tcPr>
          <w:p w14:paraId="34BE3B68" w14:textId="77777777" w:rsidR="00596496" w:rsidRPr="00C476B8" w:rsidRDefault="00596496" w:rsidP="00E14270">
            <w:pPr>
              <w:spacing w:line="240" w:lineRule="auto"/>
              <w:jc w:val="center"/>
              <w:rPr>
                <w:rFonts w:eastAsia="Calibri"/>
                <w:sz w:val="20"/>
                <w:szCs w:val="20"/>
              </w:rPr>
            </w:pPr>
          </w:p>
        </w:tc>
        <w:tc>
          <w:tcPr>
            <w:tcW w:w="874" w:type="dxa"/>
            <w:tcBorders>
              <w:left w:val="single" w:sz="4" w:space="0" w:color="auto"/>
              <w:right w:val="double" w:sz="4" w:space="0" w:color="auto"/>
            </w:tcBorders>
            <w:vAlign w:val="center"/>
          </w:tcPr>
          <w:p w14:paraId="00F9E4FE" w14:textId="77777777" w:rsidR="00596496" w:rsidRPr="00C476B8" w:rsidRDefault="00596496" w:rsidP="00E14270">
            <w:pPr>
              <w:spacing w:line="240" w:lineRule="auto"/>
              <w:jc w:val="center"/>
              <w:rPr>
                <w:rFonts w:eastAsia="Calibri"/>
                <w:sz w:val="20"/>
                <w:szCs w:val="20"/>
              </w:rPr>
            </w:pPr>
          </w:p>
        </w:tc>
        <w:tc>
          <w:tcPr>
            <w:tcW w:w="927" w:type="dxa"/>
            <w:tcBorders>
              <w:left w:val="double" w:sz="4" w:space="0" w:color="auto"/>
              <w:right w:val="single" w:sz="4" w:space="0" w:color="auto"/>
            </w:tcBorders>
            <w:vAlign w:val="center"/>
          </w:tcPr>
          <w:p w14:paraId="0DD2A072" w14:textId="77777777" w:rsidR="00596496" w:rsidRPr="00C476B8" w:rsidRDefault="00596496" w:rsidP="00E14270">
            <w:pPr>
              <w:spacing w:line="240" w:lineRule="auto"/>
              <w:jc w:val="center"/>
              <w:rPr>
                <w:rFonts w:eastAsia="Calibri"/>
                <w:sz w:val="20"/>
                <w:szCs w:val="20"/>
              </w:rPr>
            </w:pPr>
          </w:p>
        </w:tc>
        <w:tc>
          <w:tcPr>
            <w:tcW w:w="873" w:type="dxa"/>
            <w:tcBorders>
              <w:left w:val="single" w:sz="4" w:space="0" w:color="auto"/>
              <w:right w:val="double" w:sz="4" w:space="0" w:color="auto"/>
            </w:tcBorders>
            <w:vAlign w:val="center"/>
          </w:tcPr>
          <w:p w14:paraId="6461E36B" w14:textId="77777777" w:rsidR="00596496" w:rsidRPr="00C476B8" w:rsidRDefault="00596496" w:rsidP="00E14270">
            <w:pPr>
              <w:spacing w:line="240" w:lineRule="auto"/>
              <w:jc w:val="center"/>
              <w:rPr>
                <w:rFonts w:eastAsia="Calibri"/>
                <w:sz w:val="20"/>
                <w:szCs w:val="20"/>
              </w:rPr>
            </w:pPr>
          </w:p>
        </w:tc>
        <w:tc>
          <w:tcPr>
            <w:tcW w:w="855" w:type="dxa"/>
            <w:tcBorders>
              <w:left w:val="double" w:sz="4" w:space="0" w:color="auto"/>
              <w:right w:val="single" w:sz="4" w:space="0" w:color="auto"/>
            </w:tcBorders>
            <w:vAlign w:val="center"/>
          </w:tcPr>
          <w:p w14:paraId="1A5E7972" w14:textId="77777777" w:rsidR="00596496" w:rsidRPr="00C476B8" w:rsidRDefault="00596496" w:rsidP="00E14270">
            <w:pPr>
              <w:spacing w:line="240" w:lineRule="auto"/>
              <w:jc w:val="center"/>
              <w:rPr>
                <w:rFonts w:eastAsia="Calibri"/>
                <w:sz w:val="20"/>
                <w:szCs w:val="20"/>
              </w:rPr>
            </w:pPr>
          </w:p>
        </w:tc>
        <w:tc>
          <w:tcPr>
            <w:tcW w:w="855" w:type="dxa"/>
            <w:tcBorders>
              <w:left w:val="single" w:sz="4" w:space="0" w:color="auto"/>
              <w:right w:val="double" w:sz="4" w:space="0" w:color="auto"/>
            </w:tcBorders>
            <w:vAlign w:val="center"/>
          </w:tcPr>
          <w:p w14:paraId="3565C60F" w14:textId="77777777" w:rsidR="00596496" w:rsidRPr="00C476B8" w:rsidRDefault="00596496" w:rsidP="00E14270">
            <w:pPr>
              <w:spacing w:line="240" w:lineRule="auto"/>
              <w:jc w:val="center"/>
              <w:rPr>
                <w:rFonts w:eastAsia="Calibri"/>
                <w:sz w:val="20"/>
                <w:szCs w:val="20"/>
              </w:rPr>
            </w:pPr>
          </w:p>
        </w:tc>
      </w:tr>
      <w:tr w:rsidR="00596496" w:rsidRPr="00C476B8" w14:paraId="1E514A08" w14:textId="2F07FF82" w:rsidTr="00E14270">
        <w:trPr>
          <w:trHeight w:val="278"/>
          <w:jc w:val="center"/>
        </w:trPr>
        <w:tc>
          <w:tcPr>
            <w:tcW w:w="3312" w:type="dxa"/>
            <w:tcBorders>
              <w:left w:val="double" w:sz="4" w:space="0" w:color="auto"/>
              <w:right w:val="double" w:sz="4" w:space="0" w:color="auto"/>
            </w:tcBorders>
            <w:vAlign w:val="center"/>
          </w:tcPr>
          <w:p w14:paraId="74FF0EF8" w14:textId="357D7534" w:rsidR="00596496" w:rsidRPr="00C476B8" w:rsidRDefault="00596496" w:rsidP="00E14270">
            <w:pPr>
              <w:spacing w:line="240" w:lineRule="auto"/>
              <w:rPr>
                <w:rFonts w:eastAsia="Calibri"/>
                <w:sz w:val="20"/>
                <w:szCs w:val="20"/>
              </w:rPr>
            </w:pPr>
            <w:r w:rsidRPr="00596496">
              <w:rPr>
                <w:rFonts w:eastAsia="Calibri"/>
                <w:sz w:val="20"/>
                <w:szCs w:val="20"/>
              </w:rPr>
              <w:t xml:space="preserve">   Rented</w:t>
            </w:r>
          </w:p>
        </w:tc>
        <w:tc>
          <w:tcPr>
            <w:tcW w:w="864" w:type="dxa"/>
            <w:tcBorders>
              <w:left w:val="double" w:sz="4" w:space="0" w:color="auto"/>
              <w:right w:val="single" w:sz="4" w:space="0" w:color="auto"/>
            </w:tcBorders>
            <w:vAlign w:val="center"/>
          </w:tcPr>
          <w:p w14:paraId="7E2177D1" w14:textId="6FBCA5E5"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47" w:type="dxa"/>
            <w:tcBorders>
              <w:left w:val="single" w:sz="4" w:space="0" w:color="auto"/>
              <w:right w:val="double" w:sz="4" w:space="0" w:color="auto"/>
            </w:tcBorders>
            <w:vAlign w:val="center"/>
          </w:tcPr>
          <w:p w14:paraId="64FE9059" w14:textId="333544A5"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81" w:type="dxa"/>
            <w:tcBorders>
              <w:left w:val="double" w:sz="4" w:space="0" w:color="auto"/>
              <w:right w:val="single" w:sz="4" w:space="0" w:color="auto"/>
            </w:tcBorders>
            <w:vAlign w:val="center"/>
          </w:tcPr>
          <w:p w14:paraId="14F49740"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-0.815</w:t>
            </w:r>
          </w:p>
        </w:tc>
        <w:tc>
          <w:tcPr>
            <w:tcW w:w="955" w:type="dxa"/>
            <w:tcBorders>
              <w:left w:val="single" w:sz="4" w:space="0" w:color="auto"/>
              <w:right w:val="double" w:sz="4" w:space="0" w:color="auto"/>
            </w:tcBorders>
            <w:vAlign w:val="center"/>
          </w:tcPr>
          <w:p w14:paraId="065B41D4"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-14.960</w:t>
            </w:r>
          </w:p>
        </w:tc>
        <w:tc>
          <w:tcPr>
            <w:tcW w:w="899" w:type="dxa"/>
            <w:tcBorders>
              <w:left w:val="double" w:sz="4" w:space="0" w:color="auto"/>
              <w:right w:val="single" w:sz="4" w:space="0" w:color="auto"/>
            </w:tcBorders>
            <w:vAlign w:val="center"/>
          </w:tcPr>
          <w:p w14:paraId="75F911BE" w14:textId="03A0E156" w:rsidR="00596496" w:rsidRPr="00C476B8" w:rsidRDefault="00596496" w:rsidP="00E14270">
            <w:pPr>
              <w:spacing w:line="240" w:lineRule="auto"/>
              <w:jc w:val="center"/>
              <w:rPr>
                <w:rFonts w:eastAsia="Calibri"/>
                <w:sz w:val="20"/>
                <w:szCs w:val="20"/>
              </w:rPr>
            </w:pPr>
            <w:r w:rsidRPr="00C476B8">
              <w:rPr>
                <w:rFonts w:eastAsia="Calibri"/>
                <w:sz w:val="20"/>
                <w:szCs w:val="20"/>
              </w:rPr>
              <w:t>0.163</w:t>
            </w:r>
          </w:p>
        </w:tc>
        <w:tc>
          <w:tcPr>
            <w:tcW w:w="874" w:type="dxa"/>
            <w:tcBorders>
              <w:left w:val="single" w:sz="4" w:space="0" w:color="auto"/>
              <w:right w:val="double" w:sz="4" w:space="0" w:color="auto"/>
            </w:tcBorders>
            <w:vAlign w:val="center"/>
          </w:tcPr>
          <w:p w14:paraId="6F2A9AE9" w14:textId="4DF15A76" w:rsidR="00596496" w:rsidRPr="00C476B8" w:rsidRDefault="00596496" w:rsidP="00E14270">
            <w:pPr>
              <w:spacing w:line="240" w:lineRule="auto"/>
              <w:jc w:val="center"/>
              <w:rPr>
                <w:rFonts w:eastAsia="Calibri"/>
                <w:sz w:val="20"/>
                <w:szCs w:val="20"/>
              </w:rPr>
            </w:pPr>
            <w:r w:rsidRPr="00C476B8">
              <w:rPr>
                <w:rFonts w:eastAsia="Calibri"/>
                <w:sz w:val="20"/>
                <w:szCs w:val="20"/>
              </w:rPr>
              <w:t>3.632</w:t>
            </w:r>
          </w:p>
        </w:tc>
        <w:tc>
          <w:tcPr>
            <w:tcW w:w="927" w:type="dxa"/>
            <w:tcBorders>
              <w:left w:val="double" w:sz="4" w:space="0" w:color="auto"/>
              <w:right w:val="single" w:sz="4" w:space="0" w:color="auto"/>
            </w:tcBorders>
            <w:vAlign w:val="center"/>
          </w:tcPr>
          <w:p w14:paraId="5085C445" w14:textId="1D972A90"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3" w:type="dxa"/>
            <w:tcBorders>
              <w:left w:val="single" w:sz="4" w:space="0" w:color="auto"/>
              <w:right w:val="double" w:sz="4" w:space="0" w:color="auto"/>
            </w:tcBorders>
            <w:vAlign w:val="center"/>
          </w:tcPr>
          <w:p w14:paraId="36C76D00" w14:textId="4B4887C4"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double" w:sz="4" w:space="0" w:color="auto"/>
              <w:right w:val="single" w:sz="4" w:space="0" w:color="auto"/>
            </w:tcBorders>
            <w:vAlign w:val="center"/>
          </w:tcPr>
          <w:p w14:paraId="1BAD5BFD" w14:textId="388D3F8C"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single" w:sz="4" w:space="0" w:color="auto"/>
              <w:right w:val="double" w:sz="4" w:space="0" w:color="auto"/>
            </w:tcBorders>
            <w:vAlign w:val="center"/>
          </w:tcPr>
          <w:p w14:paraId="64AEBB38" w14:textId="1DCBB36E" w:rsidR="00596496" w:rsidRPr="00C476B8" w:rsidRDefault="00E14270" w:rsidP="00E14270">
            <w:pPr>
              <w:spacing w:line="240" w:lineRule="auto"/>
              <w:jc w:val="center"/>
              <w:rPr>
                <w:rFonts w:eastAsia="Calibri"/>
                <w:sz w:val="20"/>
                <w:szCs w:val="20"/>
              </w:rPr>
            </w:pPr>
            <w:r>
              <w:rPr>
                <w:rFonts w:eastAsia="Calibri"/>
                <w:sz w:val="20"/>
                <w:szCs w:val="20"/>
              </w:rPr>
              <w:t>-</w:t>
            </w:r>
          </w:p>
        </w:tc>
      </w:tr>
      <w:tr w:rsidR="00596496" w:rsidRPr="00C476B8" w14:paraId="3BC6AD36" w14:textId="56D1430A" w:rsidTr="00E14270">
        <w:trPr>
          <w:trHeight w:val="278"/>
          <w:jc w:val="center"/>
        </w:trPr>
        <w:tc>
          <w:tcPr>
            <w:tcW w:w="3312" w:type="dxa"/>
            <w:tcBorders>
              <w:left w:val="double" w:sz="4" w:space="0" w:color="auto"/>
              <w:right w:val="double" w:sz="4" w:space="0" w:color="auto"/>
            </w:tcBorders>
            <w:vAlign w:val="center"/>
          </w:tcPr>
          <w:p w14:paraId="2F91E3F5" w14:textId="6A279C85" w:rsidR="00596496" w:rsidRPr="00C476B8" w:rsidRDefault="00596496" w:rsidP="00E14270">
            <w:pPr>
              <w:spacing w:line="240" w:lineRule="auto"/>
              <w:rPr>
                <w:rFonts w:eastAsia="Calibri"/>
                <w:b/>
                <w:sz w:val="20"/>
                <w:szCs w:val="20"/>
              </w:rPr>
            </w:pPr>
            <w:proofErr w:type="spellStart"/>
            <w:r w:rsidRPr="00596496">
              <w:rPr>
                <w:rFonts w:eastAsia="Calibri"/>
                <w:b/>
                <w:sz w:val="20"/>
                <w:szCs w:val="20"/>
              </w:rPr>
              <w:t>Storey</w:t>
            </w:r>
            <w:proofErr w:type="spellEnd"/>
            <w:r w:rsidRPr="00596496">
              <w:rPr>
                <w:rFonts w:eastAsia="Calibri"/>
                <w:b/>
                <w:sz w:val="20"/>
                <w:szCs w:val="20"/>
              </w:rPr>
              <w:t xml:space="preserve"> type (base: multi-</w:t>
            </w:r>
            <w:proofErr w:type="spellStart"/>
            <w:r w:rsidRPr="00596496">
              <w:rPr>
                <w:rFonts w:eastAsia="Calibri"/>
                <w:b/>
                <w:sz w:val="20"/>
                <w:szCs w:val="20"/>
              </w:rPr>
              <w:t>storey</w:t>
            </w:r>
            <w:proofErr w:type="spellEnd"/>
            <w:r w:rsidRPr="00596496">
              <w:rPr>
                <w:rFonts w:eastAsia="Calibri"/>
                <w:b/>
                <w:sz w:val="20"/>
                <w:szCs w:val="20"/>
              </w:rPr>
              <w:t>)</w:t>
            </w:r>
          </w:p>
        </w:tc>
        <w:tc>
          <w:tcPr>
            <w:tcW w:w="864" w:type="dxa"/>
            <w:tcBorders>
              <w:left w:val="double" w:sz="4" w:space="0" w:color="auto"/>
              <w:right w:val="single" w:sz="4" w:space="0" w:color="auto"/>
            </w:tcBorders>
            <w:vAlign w:val="center"/>
          </w:tcPr>
          <w:p w14:paraId="1E169D4E" w14:textId="77777777" w:rsidR="00596496" w:rsidRPr="00C476B8" w:rsidRDefault="00596496" w:rsidP="00E14270">
            <w:pPr>
              <w:spacing w:line="240" w:lineRule="auto"/>
              <w:jc w:val="center"/>
              <w:rPr>
                <w:rFonts w:eastAsia="Calibri"/>
                <w:sz w:val="20"/>
                <w:szCs w:val="20"/>
              </w:rPr>
            </w:pPr>
          </w:p>
        </w:tc>
        <w:tc>
          <w:tcPr>
            <w:tcW w:w="847" w:type="dxa"/>
            <w:tcBorders>
              <w:left w:val="single" w:sz="4" w:space="0" w:color="auto"/>
              <w:right w:val="double" w:sz="4" w:space="0" w:color="auto"/>
            </w:tcBorders>
            <w:vAlign w:val="center"/>
          </w:tcPr>
          <w:p w14:paraId="649D72A7" w14:textId="77777777" w:rsidR="00596496" w:rsidRPr="00C476B8" w:rsidRDefault="00596496" w:rsidP="00E14270">
            <w:pPr>
              <w:spacing w:line="240" w:lineRule="auto"/>
              <w:jc w:val="center"/>
              <w:rPr>
                <w:rFonts w:eastAsia="Calibri"/>
                <w:sz w:val="20"/>
                <w:szCs w:val="20"/>
              </w:rPr>
            </w:pPr>
          </w:p>
        </w:tc>
        <w:tc>
          <w:tcPr>
            <w:tcW w:w="881" w:type="dxa"/>
            <w:tcBorders>
              <w:left w:val="double" w:sz="4" w:space="0" w:color="auto"/>
              <w:right w:val="single" w:sz="4" w:space="0" w:color="auto"/>
            </w:tcBorders>
            <w:vAlign w:val="center"/>
          </w:tcPr>
          <w:p w14:paraId="07446F27" w14:textId="77777777" w:rsidR="00596496" w:rsidRPr="00C476B8" w:rsidRDefault="00596496" w:rsidP="00E14270">
            <w:pPr>
              <w:spacing w:line="240" w:lineRule="auto"/>
              <w:jc w:val="center"/>
              <w:rPr>
                <w:rFonts w:eastAsia="Calibri"/>
                <w:sz w:val="20"/>
                <w:szCs w:val="20"/>
              </w:rPr>
            </w:pPr>
          </w:p>
        </w:tc>
        <w:tc>
          <w:tcPr>
            <w:tcW w:w="955" w:type="dxa"/>
            <w:tcBorders>
              <w:left w:val="single" w:sz="4" w:space="0" w:color="auto"/>
              <w:right w:val="double" w:sz="4" w:space="0" w:color="auto"/>
            </w:tcBorders>
            <w:vAlign w:val="center"/>
          </w:tcPr>
          <w:p w14:paraId="6768CFA8" w14:textId="77777777" w:rsidR="00596496" w:rsidRPr="00C476B8" w:rsidRDefault="00596496" w:rsidP="00E14270">
            <w:pPr>
              <w:spacing w:line="240" w:lineRule="auto"/>
              <w:jc w:val="center"/>
              <w:rPr>
                <w:rFonts w:eastAsia="Calibri"/>
                <w:sz w:val="20"/>
                <w:szCs w:val="20"/>
              </w:rPr>
            </w:pPr>
          </w:p>
        </w:tc>
        <w:tc>
          <w:tcPr>
            <w:tcW w:w="899" w:type="dxa"/>
            <w:tcBorders>
              <w:left w:val="double" w:sz="4" w:space="0" w:color="auto"/>
              <w:right w:val="single" w:sz="4" w:space="0" w:color="auto"/>
            </w:tcBorders>
            <w:vAlign w:val="center"/>
          </w:tcPr>
          <w:p w14:paraId="3AF34B7B" w14:textId="77777777" w:rsidR="00596496" w:rsidRPr="00C476B8" w:rsidRDefault="00596496" w:rsidP="00E14270">
            <w:pPr>
              <w:spacing w:line="240" w:lineRule="auto"/>
              <w:jc w:val="center"/>
              <w:rPr>
                <w:rFonts w:eastAsia="Calibri"/>
                <w:sz w:val="20"/>
                <w:szCs w:val="20"/>
              </w:rPr>
            </w:pPr>
          </w:p>
        </w:tc>
        <w:tc>
          <w:tcPr>
            <w:tcW w:w="874" w:type="dxa"/>
            <w:tcBorders>
              <w:left w:val="single" w:sz="4" w:space="0" w:color="auto"/>
              <w:right w:val="double" w:sz="4" w:space="0" w:color="auto"/>
            </w:tcBorders>
            <w:vAlign w:val="center"/>
          </w:tcPr>
          <w:p w14:paraId="22A3734B" w14:textId="77777777" w:rsidR="00596496" w:rsidRPr="00C476B8" w:rsidRDefault="00596496" w:rsidP="00E14270">
            <w:pPr>
              <w:spacing w:line="240" w:lineRule="auto"/>
              <w:jc w:val="center"/>
              <w:rPr>
                <w:rFonts w:eastAsia="Calibri"/>
                <w:sz w:val="20"/>
                <w:szCs w:val="20"/>
              </w:rPr>
            </w:pPr>
          </w:p>
        </w:tc>
        <w:tc>
          <w:tcPr>
            <w:tcW w:w="927" w:type="dxa"/>
            <w:tcBorders>
              <w:left w:val="double" w:sz="4" w:space="0" w:color="auto"/>
              <w:right w:val="single" w:sz="4" w:space="0" w:color="auto"/>
            </w:tcBorders>
            <w:vAlign w:val="center"/>
          </w:tcPr>
          <w:p w14:paraId="738AD444" w14:textId="77777777" w:rsidR="00596496" w:rsidRPr="00C476B8" w:rsidRDefault="00596496" w:rsidP="00E14270">
            <w:pPr>
              <w:spacing w:line="240" w:lineRule="auto"/>
              <w:jc w:val="center"/>
              <w:rPr>
                <w:rFonts w:eastAsia="Calibri"/>
                <w:sz w:val="20"/>
                <w:szCs w:val="20"/>
              </w:rPr>
            </w:pPr>
          </w:p>
        </w:tc>
        <w:tc>
          <w:tcPr>
            <w:tcW w:w="873" w:type="dxa"/>
            <w:tcBorders>
              <w:left w:val="single" w:sz="4" w:space="0" w:color="auto"/>
              <w:right w:val="double" w:sz="4" w:space="0" w:color="auto"/>
            </w:tcBorders>
            <w:vAlign w:val="center"/>
          </w:tcPr>
          <w:p w14:paraId="2FFE349B" w14:textId="77777777" w:rsidR="00596496" w:rsidRPr="00C476B8" w:rsidRDefault="00596496" w:rsidP="00E14270">
            <w:pPr>
              <w:spacing w:line="240" w:lineRule="auto"/>
              <w:jc w:val="center"/>
              <w:rPr>
                <w:rFonts w:eastAsia="Calibri"/>
                <w:sz w:val="20"/>
                <w:szCs w:val="20"/>
              </w:rPr>
            </w:pPr>
          </w:p>
        </w:tc>
        <w:tc>
          <w:tcPr>
            <w:tcW w:w="855" w:type="dxa"/>
            <w:tcBorders>
              <w:left w:val="double" w:sz="4" w:space="0" w:color="auto"/>
              <w:right w:val="single" w:sz="4" w:space="0" w:color="auto"/>
            </w:tcBorders>
            <w:vAlign w:val="center"/>
          </w:tcPr>
          <w:p w14:paraId="4634FA8C" w14:textId="77777777" w:rsidR="00596496" w:rsidRPr="00C476B8" w:rsidRDefault="00596496" w:rsidP="00E14270">
            <w:pPr>
              <w:spacing w:line="240" w:lineRule="auto"/>
              <w:jc w:val="center"/>
              <w:rPr>
                <w:rFonts w:eastAsia="Calibri"/>
                <w:sz w:val="20"/>
                <w:szCs w:val="20"/>
              </w:rPr>
            </w:pPr>
          </w:p>
        </w:tc>
        <w:tc>
          <w:tcPr>
            <w:tcW w:w="855" w:type="dxa"/>
            <w:tcBorders>
              <w:left w:val="single" w:sz="4" w:space="0" w:color="auto"/>
              <w:right w:val="double" w:sz="4" w:space="0" w:color="auto"/>
            </w:tcBorders>
            <w:vAlign w:val="center"/>
          </w:tcPr>
          <w:p w14:paraId="797C9756" w14:textId="77777777" w:rsidR="00596496" w:rsidRPr="00C476B8" w:rsidRDefault="00596496" w:rsidP="00E14270">
            <w:pPr>
              <w:spacing w:line="240" w:lineRule="auto"/>
              <w:jc w:val="center"/>
              <w:rPr>
                <w:rFonts w:eastAsia="Calibri"/>
                <w:sz w:val="20"/>
                <w:szCs w:val="20"/>
              </w:rPr>
            </w:pPr>
          </w:p>
        </w:tc>
      </w:tr>
      <w:tr w:rsidR="00596496" w:rsidRPr="00C476B8" w14:paraId="68314DCE" w14:textId="35FF6740" w:rsidTr="00E14270">
        <w:trPr>
          <w:trHeight w:val="278"/>
          <w:jc w:val="center"/>
        </w:trPr>
        <w:tc>
          <w:tcPr>
            <w:tcW w:w="3312" w:type="dxa"/>
            <w:tcBorders>
              <w:left w:val="double" w:sz="4" w:space="0" w:color="auto"/>
              <w:right w:val="double" w:sz="4" w:space="0" w:color="auto"/>
            </w:tcBorders>
            <w:vAlign w:val="center"/>
          </w:tcPr>
          <w:p w14:paraId="4FEFCAE8" w14:textId="51FED107" w:rsidR="00596496" w:rsidRPr="00C476B8" w:rsidRDefault="00596496" w:rsidP="00E14270">
            <w:pPr>
              <w:spacing w:line="240" w:lineRule="auto"/>
              <w:rPr>
                <w:rFonts w:eastAsia="Calibri"/>
                <w:sz w:val="20"/>
                <w:szCs w:val="20"/>
              </w:rPr>
            </w:pPr>
            <w:r w:rsidRPr="00596496">
              <w:rPr>
                <w:rFonts w:eastAsia="Calibri"/>
                <w:sz w:val="20"/>
                <w:szCs w:val="20"/>
              </w:rPr>
              <w:t xml:space="preserve">   Single-</w:t>
            </w:r>
            <w:proofErr w:type="spellStart"/>
            <w:r w:rsidRPr="00596496">
              <w:rPr>
                <w:rFonts w:eastAsia="Calibri"/>
                <w:sz w:val="20"/>
                <w:szCs w:val="20"/>
              </w:rPr>
              <w:t>storey</w:t>
            </w:r>
            <w:proofErr w:type="spellEnd"/>
          </w:p>
        </w:tc>
        <w:tc>
          <w:tcPr>
            <w:tcW w:w="864" w:type="dxa"/>
            <w:tcBorders>
              <w:left w:val="double" w:sz="4" w:space="0" w:color="auto"/>
              <w:right w:val="single" w:sz="4" w:space="0" w:color="auto"/>
            </w:tcBorders>
            <w:vAlign w:val="center"/>
          </w:tcPr>
          <w:p w14:paraId="79F3E0C2" w14:textId="2AAF4713"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47" w:type="dxa"/>
            <w:tcBorders>
              <w:left w:val="single" w:sz="4" w:space="0" w:color="auto"/>
              <w:right w:val="double" w:sz="4" w:space="0" w:color="auto"/>
            </w:tcBorders>
            <w:vAlign w:val="center"/>
          </w:tcPr>
          <w:p w14:paraId="1C025E9A" w14:textId="21465BA7"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81" w:type="dxa"/>
            <w:tcBorders>
              <w:left w:val="double" w:sz="4" w:space="0" w:color="auto"/>
              <w:right w:val="single" w:sz="4" w:space="0" w:color="auto"/>
            </w:tcBorders>
            <w:vAlign w:val="center"/>
          </w:tcPr>
          <w:p w14:paraId="21F3F19F"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-0.201</w:t>
            </w:r>
          </w:p>
        </w:tc>
        <w:tc>
          <w:tcPr>
            <w:tcW w:w="955" w:type="dxa"/>
            <w:tcBorders>
              <w:left w:val="single" w:sz="4" w:space="0" w:color="auto"/>
              <w:right w:val="double" w:sz="4" w:space="0" w:color="auto"/>
            </w:tcBorders>
            <w:vAlign w:val="center"/>
          </w:tcPr>
          <w:p w14:paraId="268912AA"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-3.776</w:t>
            </w:r>
          </w:p>
        </w:tc>
        <w:tc>
          <w:tcPr>
            <w:tcW w:w="899" w:type="dxa"/>
            <w:tcBorders>
              <w:left w:val="double" w:sz="4" w:space="0" w:color="auto"/>
              <w:right w:val="single" w:sz="4" w:space="0" w:color="auto"/>
            </w:tcBorders>
            <w:vAlign w:val="center"/>
          </w:tcPr>
          <w:p w14:paraId="739DDC8C" w14:textId="3DC1940E"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4" w:type="dxa"/>
            <w:tcBorders>
              <w:left w:val="single" w:sz="4" w:space="0" w:color="auto"/>
              <w:right w:val="double" w:sz="4" w:space="0" w:color="auto"/>
            </w:tcBorders>
            <w:vAlign w:val="center"/>
          </w:tcPr>
          <w:p w14:paraId="0A22CA11" w14:textId="46599FEC"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27" w:type="dxa"/>
            <w:tcBorders>
              <w:left w:val="double" w:sz="4" w:space="0" w:color="auto"/>
              <w:right w:val="single" w:sz="4" w:space="0" w:color="auto"/>
            </w:tcBorders>
            <w:vAlign w:val="center"/>
          </w:tcPr>
          <w:p w14:paraId="73AEB488" w14:textId="7758FB78"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3" w:type="dxa"/>
            <w:tcBorders>
              <w:left w:val="single" w:sz="4" w:space="0" w:color="auto"/>
              <w:right w:val="double" w:sz="4" w:space="0" w:color="auto"/>
            </w:tcBorders>
            <w:vAlign w:val="center"/>
          </w:tcPr>
          <w:p w14:paraId="1050B4C1" w14:textId="2BB42986"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double" w:sz="4" w:space="0" w:color="auto"/>
              <w:right w:val="single" w:sz="4" w:space="0" w:color="auto"/>
            </w:tcBorders>
            <w:vAlign w:val="center"/>
          </w:tcPr>
          <w:p w14:paraId="03330099" w14:textId="39A9C7FB"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single" w:sz="4" w:space="0" w:color="auto"/>
              <w:right w:val="double" w:sz="4" w:space="0" w:color="auto"/>
            </w:tcBorders>
            <w:vAlign w:val="center"/>
          </w:tcPr>
          <w:p w14:paraId="56AA8EB3" w14:textId="4169BAE8" w:rsidR="00596496" w:rsidRPr="00C476B8" w:rsidRDefault="00E14270" w:rsidP="00E14270">
            <w:pPr>
              <w:spacing w:line="240" w:lineRule="auto"/>
              <w:jc w:val="center"/>
              <w:rPr>
                <w:rFonts w:eastAsia="Calibri"/>
                <w:sz w:val="20"/>
                <w:szCs w:val="20"/>
              </w:rPr>
            </w:pPr>
            <w:r>
              <w:rPr>
                <w:rFonts w:eastAsia="Calibri"/>
                <w:sz w:val="20"/>
                <w:szCs w:val="20"/>
              </w:rPr>
              <w:t>-</w:t>
            </w:r>
          </w:p>
        </w:tc>
      </w:tr>
      <w:tr w:rsidR="00596496" w:rsidRPr="00C476B8" w14:paraId="11E488A6" w14:textId="148A704A" w:rsidTr="00E14270">
        <w:trPr>
          <w:trHeight w:val="278"/>
          <w:jc w:val="center"/>
        </w:trPr>
        <w:tc>
          <w:tcPr>
            <w:tcW w:w="3312" w:type="dxa"/>
            <w:tcBorders>
              <w:left w:val="double" w:sz="4" w:space="0" w:color="auto"/>
              <w:right w:val="double" w:sz="4" w:space="0" w:color="auto"/>
            </w:tcBorders>
            <w:vAlign w:val="center"/>
          </w:tcPr>
          <w:p w14:paraId="4682D471" w14:textId="6E57F788" w:rsidR="00596496" w:rsidRPr="00C476B8" w:rsidRDefault="00596496" w:rsidP="00E14270">
            <w:pPr>
              <w:spacing w:line="240" w:lineRule="auto"/>
              <w:rPr>
                <w:rFonts w:eastAsia="Calibri"/>
                <w:b/>
                <w:sz w:val="20"/>
                <w:szCs w:val="20"/>
              </w:rPr>
            </w:pPr>
            <w:r w:rsidRPr="00596496">
              <w:rPr>
                <w:rFonts w:eastAsia="Calibri"/>
                <w:b/>
                <w:sz w:val="20"/>
                <w:szCs w:val="20"/>
              </w:rPr>
              <w:t>Lot size (sq. feet)</w:t>
            </w:r>
          </w:p>
        </w:tc>
        <w:tc>
          <w:tcPr>
            <w:tcW w:w="864" w:type="dxa"/>
            <w:tcBorders>
              <w:left w:val="double" w:sz="4" w:space="0" w:color="auto"/>
              <w:right w:val="single" w:sz="4" w:space="0" w:color="auto"/>
            </w:tcBorders>
            <w:vAlign w:val="center"/>
          </w:tcPr>
          <w:p w14:paraId="08C4D125" w14:textId="2336CE8A"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47" w:type="dxa"/>
            <w:tcBorders>
              <w:left w:val="single" w:sz="4" w:space="0" w:color="auto"/>
              <w:right w:val="double" w:sz="4" w:space="0" w:color="auto"/>
            </w:tcBorders>
            <w:vAlign w:val="center"/>
          </w:tcPr>
          <w:p w14:paraId="019820FB" w14:textId="089E58CE"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81" w:type="dxa"/>
            <w:tcBorders>
              <w:left w:val="double" w:sz="4" w:space="0" w:color="auto"/>
              <w:right w:val="single" w:sz="4" w:space="0" w:color="auto"/>
            </w:tcBorders>
            <w:vAlign w:val="center"/>
          </w:tcPr>
          <w:p w14:paraId="4435FAED"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0.120</w:t>
            </w:r>
          </w:p>
        </w:tc>
        <w:tc>
          <w:tcPr>
            <w:tcW w:w="955" w:type="dxa"/>
            <w:tcBorders>
              <w:left w:val="single" w:sz="4" w:space="0" w:color="auto"/>
              <w:right w:val="double" w:sz="4" w:space="0" w:color="auto"/>
            </w:tcBorders>
            <w:vAlign w:val="center"/>
          </w:tcPr>
          <w:p w14:paraId="65E82359"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3.566</w:t>
            </w:r>
          </w:p>
        </w:tc>
        <w:tc>
          <w:tcPr>
            <w:tcW w:w="899" w:type="dxa"/>
            <w:tcBorders>
              <w:left w:val="double" w:sz="4" w:space="0" w:color="auto"/>
              <w:right w:val="single" w:sz="4" w:space="0" w:color="auto"/>
            </w:tcBorders>
            <w:vAlign w:val="center"/>
          </w:tcPr>
          <w:p w14:paraId="15A0FD0E" w14:textId="10341E24"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4" w:type="dxa"/>
            <w:tcBorders>
              <w:left w:val="single" w:sz="4" w:space="0" w:color="auto"/>
              <w:right w:val="double" w:sz="4" w:space="0" w:color="auto"/>
            </w:tcBorders>
            <w:vAlign w:val="center"/>
          </w:tcPr>
          <w:p w14:paraId="5C18AEE4" w14:textId="3A7505F9"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27" w:type="dxa"/>
            <w:tcBorders>
              <w:left w:val="double" w:sz="4" w:space="0" w:color="auto"/>
              <w:right w:val="single" w:sz="4" w:space="0" w:color="auto"/>
            </w:tcBorders>
            <w:vAlign w:val="center"/>
          </w:tcPr>
          <w:p w14:paraId="39FA527F" w14:textId="3672F275"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3" w:type="dxa"/>
            <w:tcBorders>
              <w:left w:val="single" w:sz="4" w:space="0" w:color="auto"/>
              <w:right w:val="double" w:sz="4" w:space="0" w:color="auto"/>
            </w:tcBorders>
            <w:vAlign w:val="center"/>
          </w:tcPr>
          <w:p w14:paraId="533B9AAB" w14:textId="72CC338A"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double" w:sz="4" w:space="0" w:color="auto"/>
              <w:right w:val="single" w:sz="4" w:space="0" w:color="auto"/>
            </w:tcBorders>
            <w:vAlign w:val="center"/>
          </w:tcPr>
          <w:p w14:paraId="30A9655E"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0.051</w:t>
            </w:r>
          </w:p>
        </w:tc>
        <w:tc>
          <w:tcPr>
            <w:tcW w:w="855" w:type="dxa"/>
            <w:tcBorders>
              <w:left w:val="single" w:sz="4" w:space="0" w:color="auto"/>
              <w:right w:val="double" w:sz="4" w:space="0" w:color="auto"/>
            </w:tcBorders>
            <w:vAlign w:val="center"/>
          </w:tcPr>
          <w:p w14:paraId="6DA2996B"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2.514</w:t>
            </w:r>
          </w:p>
        </w:tc>
      </w:tr>
      <w:tr w:rsidR="00596496" w:rsidRPr="00C476B8" w14:paraId="4573E220" w14:textId="6147DFA4" w:rsidTr="00E14270">
        <w:trPr>
          <w:trHeight w:val="278"/>
          <w:jc w:val="center"/>
        </w:trPr>
        <w:tc>
          <w:tcPr>
            <w:tcW w:w="3312" w:type="dxa"/>
            <w:tcBorders>
              <w:left w:val="double" w:sz="4" w:space="0" w:color="auto"/>
              <w:right w:val="double" w:sz="4" w:space="0" w:color="auto"/>
            </w:tcBorders>
            <w:vAlign w:val="center"/>
          </w:tcPr>
          <w:p w14:paraId="075AF5A4" w14:textId="4627F4AA" w:rsidR="00596496" w:rsidRPr="00C476B8" w:rsidRDefault="00596496" w:rsidP="00E14270">
            <w:pPr>
              <w:spacing w:line="240" w:lineRule="auto"/>
              <w:rPr>
                <w:rFonts w:eastAsia="Calibri"/>
                <w:b/>
                <w:sz w:val="20"/>
                <w:szCs w:val="20"/>
              </w:rPr>
            </w:pPr>
            <w:r w:rsidRPr="00596496">
              <w:rPr>
                <w:rFonts w:eastAsia="Calibri"/>
                <w:b/>
                <w:sz w:val="20"/>
                <w:szCs w:val="20"/>
              </w:rPr>
              <w:t># of bedrooms</w:t>
            </w:r>
          </w:p>
        </w:tc>
        <w:tc>
          <w:tcPr>
            <w:tcW w:w="864" w:type="dxa"/>
            <w:tcBorders>
              <w:left w:val="double" w:sz="4" w:space="0" w:color="auto"/>
              <w:right w:val="single" w:sz="4" w:space="0" w:color="auto"/>
            </w:tcBorders>
            <w:vAlign w:val="center"/>
          </w:tcPr>
          <w:p w14:paraId="36AC7ED5"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0.179</w:t>
            </w:r>
          </w:p>
        </w:tc>
        <w:tc>
          <w:tcPr>
            <w:tcW w:w="847" w:type="dxa"/>
            <w:tcBorders>
              <w:left w:val="single" w:sz="4" w:space="0" w:color="auto"/>
              <w:right w:val="double" w:sz="4" w:space="0" w:color="auto"/>
            </w:tcBorders>
            <w:vAlign w:val="center"/>
          </w:tcPr>
          <w:p w14:paraId="128A921D" w14:textId="77777777" w:rsidR="00596496" w:rsidRPr="00C476B8" w:rsidRDefault="00596496" w:rsidP="00E14270">
            <w:pPr>
              <w:spacing w:line="240" w:lineRule="auto"/>
              <w:jc w:val="center"/>
              <w:rPr>
                <w:rFonts w:eastAsia="Calibri"/>
                <w:sz w:val="20"/>
                <w:szCs w:val="20"/>
              </w:rPr>
            </w:pPr>
            <w:r w:rsidRPr="00C476B8">
              <w:rPr>
                <w:rFonts w:eastAsia="Calibri"/>
                <w:sz w:val="20"/>
                <w:szCs w:val="20"/>
              </w:rPr>
              <w:t>33.872</w:t>
            </w:r>
          </w:p>
        </w:tc>
        <w:tc>
          <w:tcPr>
            <w:tcW w:w="881" w:type="dxa"/>
            <w:tcBorders>
              <w:left w:val="double" w:sz="4" w:space="0" w:color="auto"/>
              <w:right w:val="single" w:sz="4" w:space="0" w:color="auto"/>
            </w:tcBorders>
            <w:vAlign w:val="center"/>
          </w:tcPr>
          <w:p w14:paraId="6914291E" w14:textId="1EE22873"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55" w:type="dxa"/>
            <w:tcBorders>
              <w:left w:val="single" w:sz="4" w:space="0" w:color="auto"/>
              <w:right w:val="double" w:sz="4" w:space="0" w:color="auto"/>
            </w:tcBorders>
            <w:vAlign w:val="center"/>
          </w:tcPr>
          <w:p w14:paraId="457A41C9" w14:textId="65368C3B"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99" w:type="dxa"/>
            <w:tcBorders>
              <w:left w:val="double" w:sz="4" w:space="0" w:color="auto"/>
              <w:right w:val="single" w:sz="4" w:space="0" w:color="auto"/>
            </w:tcBorders>
            <w:vAlign w:val="center"/>
          </w:tcPr>
          <w:p w14:paraId="7E3A8658" w14:textId="78AEA612"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4" w:type="dxa"/>
            <w:tcBorders>
              <w:left w:val="single" w:sz="4" w:space="0" w:color="auto"/>
              <w:right w:val="double" w:sz="4" w:space="0" w:color="auto"/>
            </w:tcBorders>
            <w:vAlign w:val="center"/>
          </w:tcPr>
          <w:p w14:paraId="2640E55E" w14:textId="5F25FD4B"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27" w:type="dxa"/>
            <w:tcBorders>
              <w:left w:val="double" w:sz="4" w:space="0" w:color="auto"/>
              <w:right w:val="single" w:sz="4" w:space="0" w:color="auto"/>
            </w:tcBorders>
            <w:vAlign w:val="center"/>
          </w:tcPr>
          <w:p w14:paraId="22AC0351" w14:textId="4F7310B8"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3" w:type="dxa"/>
            <w:tcBorders>
              <w:left w:val="single" w:sz="4" w:space="0" w:color="auto"/>
              <w:right w:val="double" w:sz="4" w:space="0" w:color="auto"/>
            </w:tcBorders>
            <w:vAlign w:val="center"/>
          </w:tcPr>
          <w:p w14:paraId="3C080ECC" w14:textId="0C5540F5"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double" w:sz="4" w:space="0" w:color="auto"/>
              <w:right w:val="single" w:sz="4" w:space="0" w:color="auto"/>
            </w:tcBorders>
            <w:vAlign w:val="center"/>
          </w:tcPr>
          <w:p w14:paraId="1C2C6FD1" w14:textId="3DA9AFE0"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single" w:sz="4" w:space="0" w:color="auto"/>
              <w:right w:val="double" w:sz="4" w:space="0" w:color="auto"/>
            </w:tcBorders>
            <w:vAlign w:val="center"/>
          </w:tcPr>
          <w:p w14:paraId="6FCA783E" w14:textId="31CCF90C" w:rsidR="00596496" w:rsidRPr="00C476B8" w:rsidRDefault="00E14270" w:rsidP="00E14270">
            <w:pPr>
              <w:spacing w:line="240" w:lineRule="auto"/>
              <w:jc w:val="center"/>
              <w:rPr>
                <w:rFonts w:eastAsia="Calibri"/>
                <w:sz w:val="20"/>
                <w:szCs w:val="20"/>
              </w:rPr>
            </w:pPr>
            <w:r>
              <w:rPr>
                <w:rFonts w:eastAsia="Calibri"/>
                <w:sz w:val="20"/>
                <w:szCs w:val="20"/>
              </w:rPr>
              <w:t>-</w:t>
            </w:r>
          </w:p>
        </w:tc>
      </w:tr>
      <w:tr w:rsidR="00596496" w:rsidRPr="00C476B8" w14:paraId="6EDAEC4A" w14:textId="5CA6147C" w:rsidTr="00E14270">
        <w:trPr>
          <w:trHeight w:val="278"/>
          <w:jc w:val="center"/>
        </w:trPr>
        <w:tc>
          <w:tcPr>
            <w:tcW w:w="3312" w:type="dxa"/>
            <w:tcBorders>
              <w:left w:val="double" w:sz="4" w:space="0" w:color="auto"/>
              <w:right w:val="double" w:sz="4" w:space="0" w:color="auto"/>
            </w:tcBorders>
            <w:vAlign w:val="center"/>
          </w:tcPr>
          <w:p w14:paraId="09B6CC5B" w14:textId="46DC31A9" w:rsidR="00596496" w:rsidRPr="00C476B8" w:rsidRDefault="00596496" w:rsidP="00E14270">
            <w:pPr>
              <w:spacing w:line="240" w:lineRule="auto"/>
              <w:rPr>
                <w:rFonts w:eastAsia="Calibri"/>
                <w:b/>
                <w:sz w:val="20"/>
                <w:szCs w:val="20"/>
              </w:rPr>
            </w:pPr>
            <w:r w:rsidRPr="00596496">
              <w:rPr>
                <w:rFonts w:eastAsia="Calibri"/>
                <w:b/>
                <w:sz w:val="20"/>
                <w:szCs w:val="20"/>
              </w:rPr>
              <w:t># of bathrooms</w:t>
            </w:r>
          </w:p>
        </w:tc>
        <w:tc>
          <w:tcPr>
            <w:tcW w:w="864" w:type="dxa"/>
            <w:tcBorders>
              <w:left w:val="double" w:sz="4" w:space="0" w:color="auto"/>
              <w:right w:val="single" w:sz="4" w:space="0" w:color="auto"/>
            </w:tcBorders>
            <w:vAlign w:val="center"/>
          </w:tcPr>
          <w:p w14:paraId="0EBD8E15" w14:textId="1F7AFE94"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47" w:type="dxa"/>
            <w:tcBorders>
              <w:left w:val="single" w:sz="4" w:space="0" w:color="auto"/>
              <w:right w:val="double" w:sz="4" w:space="0" w:color="auto"/>
            </w:tcBorders>
            <w:vAlign w:val="center"/>
          </w:tcPr>
          <w:p w14:paraId="19008570" w14:textId="4C85369A"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81" w:type="dxa"/>
            <w:tcBorders>
              <w:left w:val="double" w:sz="4" w:space="0" w:color="auto"/>
              <w:right w:val="single" w:sz="4" w:space="0" w:color="auto"/>
            </w:tcBorders>
            <w:vAlign w:val="center"/>
          </w:tcPr>
          <w:p w14:paraId="440BC9F1" w14:textId="2D8C8CAF"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55" w:type="dxa"/>
            <w:tcBorders>
              <w:left w:val="single" w:sz="4" w:space="0" w:color="auto"/>
              <w:right w:val="double" w:sz="4" w:space="0" w:color="auto"/>
            </w:tcBorders>
            <w:vAlign w:val="center"/>
          </w:tcPr>
          <w:p w14:paraId="134EFB7E" w14:textId="03FDEE25"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99" w:type="dxa"/>
            <w:tcBorders>
              <w:left w:val="double" w:sz="4" w:space="0" w:color="auto"/>
              <w:right w:val="single" w:sz="4" w:space="0" w:color="auto"/>
            </w:tcBorders>
            <w:vAlign w:val="center"/>
          </w:tcPr>
          <w:p w14:paraId="5812DB8D" w14:textId="3FA5A961"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4" w:type="dxa"/>
            <w:tcBorders>
              <w:left w:val="single" w:sz="4" w:space="0" w:color="auto"/>
              <w:right w:val="double" w:sz="4" w:space="0" w:color="auto"/>
            </w:tcBorders>
            <w:vAlign w:val="center"/>
          </w:tcPr>
          <w:p w14:paraId="667D94B3" w14:textId="515FC0F5"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27" w:type="dxa"/>
            <w:tcBorders>
              <w:left w:val="double" w:sz="4" w:space="0" w:color="auto"/>
              <w:right w:val="single" w:sz="4" w:space="0" w:color="auto"/>
            </w:tcBorders>
            <w:vAlign w:val="center"/>
          </w:tcPr>
          <w:p w14:paraId="7ABE871E" w14:textId="617A6539"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3" w:type="dxa"/>
            <w:tcBorders>
              <w:left w:val="single" w:sz="4" w:space="0" w:color="auto"/>
              <w:right w:val="double" w:sz="4" w:space="0" w:color="auto"/>
            </w:tcBorders>
            <w:vAlign w:val="center"/>
          </w:tcPr>
          <w:p w14:paraId="7A527FE8" w14:textId="2F8A1CF7"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double" w:sz="4" w:space="0" w:color="auto"/>
              <w:right w:val="single" w:sz="4" w:space="0" w:color="auto"/>
            </w:tcBorders>
            <w:vAlign w:val="center"/>
          </w:tcPr>
          <w:p w14:paraId="4A01EAC8" w14:textId="608600BA"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single" w:sz="4" w:space="0" w:color="auto"/>
              <w:right w:val="double" w:sz="4" w:space="0" w:color="auto"/>
            </w:tcBorders>
            <w:vAlign w:val="center"/>
          </w:tcPr>
          <w:p w14:paraId="4698CC1A" w14:textId="0FD6C6FA" w:rsidR="00596496" w:rsidRPr="00C476B8" w:rsidRDefault="00E14270" w:rsidP="00E14270">
            <w:pPr>
              <w:spacing w:line="240" w:lineRule="auto"/>
              <w:jc w:val="center"/>
              <w:rPr>
                <w:rFonts w:eastAsia="Calibri"/>
                <w:sz w:val="20"/>
                <w:szCs w:val="20"/>
              </w:rPr>
            </w:pPr>
            <w:r>
              <w:rPr>
                <w:rFonts w:eastAsia="Calibri"/>
                <w:sz w:val="20"/>
                <w:szCs w:val="20"/>
              </w:rPr>
              <w:t>-</w:t>
            </w:r>
          </w:p>
        </w:tc>
      </w:tr>
      <w:tr w:rsidR="00596496" w:rsidRPr="00C476B8" w14:paraId="78A4F645" w14:textId="6795FA72" w:rsidTr="00E14270">
        <w:trPr>
          <w:trHeight w:val="278"/>
          <w:jc w:val="center"/>
        </w:trPr>
        <w:tc>
          <w:tcPr>
            <w:tcW w:w="3312" w:type="dxa"/>
            <w:tcBorders>
              <w:left w:val="double" w:sz="4" w:space="0" w:color="auto"/>
              <w:bottom w:val="double" w:sz="4" w:space="0" w:color="auto"/>
              <w:right w:val="double" w:sz="4" w:space="0" w:color="auto"/>
            </w:tcBorders>
            <w:vAlign w:val="center"/>
          </w:tcPr>
          <w:p w14:paraId="5FA7D3D5" w14:textId="672CE4E3" w:rsidR="00596496" w:rsidRPr="00C476B8" w:rsidRDefault="00596496" w:rsidP="00E14270">
            <w:pPr>
              <w:spacing w:line="240" w:lineRule="auto"/>
              <w:rPr>
                <w:rFonts w:eastAsia="Calibri"/>
                <w:b/>
                <w:sz w:val="20"/>
                <w:szCs w:val="20"/>
              </w:rPr>
            </w:pPr>
            <w:r w:rsidRPr="00596496">
              <w:rPr>
                <w:rFonts w:eastAsia="Calibri"/>
                <w:b/>
                <w:sz w:val="20"/>
                <w:szCs w:val="20"/>
              </w:rPr>
              <w:t>Household average commute distance (miles)</w:t>
            </w:r>
          </w:p>
        </w:tc>
        <w:tc>
          <w:tcPr>
            <w:tcW w:w="864" w:type="dxa"/>
            <w:tcBorders>
              <w:left w:val="double" w:sz="4" w:space="0" w:color="auto"/>
              <w:bottom w:val="double" w:sz="4" w:space="0" w:color="auto"/>
              <w:right w:val="single" w:sz="4" w:space="0" w:color="auto"/>
            </w:tcBorders>
            <w:vAlign w:val="center"/>
          </w:tcPr>
          <w:p w14:paraId="1451FCCF" w14:textId="3D9C0B69"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47" w:type="dxa"/>
            <w:tcBorders>
              <w:left w:val="single" w:sz="4" w:space="0" w:color="auto"/>
              <w:bottom w:val="double" w:sz="4" w:space="0" w:color="auto"/>
              <w:right w:val="double" w:sz="4" w:space="0" w:color="auto"/>
            </w:tcBorders>
            <w:vAlign w:val="center"/>
          </w:tcPr>
          <w:p w14:paraId="285C49D9" w14:textId="266E8387"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81" w:type="dxa"/>
            <w:tcBorders>
              <w:left w:val="double" w:sz="4" w:space="0" w:color="auto"/>
              <w:bottom w:val="double" w:sz="4" w:space="0" w:color="auto"/>
              <w:right w:val="single" w:sz="4" w:space="0" w:color="auto"/>
            </w:tcBorders>
            <w:vAlign w:val="center"/>
          </w:tcPr>
          <w:p w14:paraId="7789D518" w14:textId="78B89759"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55" w:type="dxa"/>
            <w:tcBorders>
              <w:left w:val="single" w:sz="4" w:space="0" w:color="auto"/>
              <w:bottom w:val="double" w:sz="4" w:space="0" w:color="auto"/>
              <w:right w:val="double" w:sz="4" w:space="0" w:color="auto"/>
            </w:tcBorders>
            <w:vAlign w:val="center"/>
          </w:tcPr>
          <w:p w14:paraId="7DC0F84F" w14:textId="5C933235"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99" w:type="dxa"/>
            <w:tcBorders>
              <w:left w:val="double" w:sz="4" w:space="0" w:color="auto"/>
              <w:bottom w:val="double" w:sz="4" w:space="0" w:color="auto"/>
              <w:right w:val="single" w:sz="4" w:space="0" w:color="auto"/>
            </w:tcBorders>
            <w:vAlign w:val="center"/>
          </w:tcPr>
          <w:p w14:paraId="6F02D739" w14:textId="15FA0548"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4" w:type="dxa"/>
            <w:tcBorders>
              <w:left w:val="single" w:sz="4" w:space="0" w:color="auto"/>
              <w:bottom w:val="double" w:sz="4" w:space="0" w:color="auto"/>
              <w:right w:val="double" w:sz="4" w:space="0" w:color="auto"/>
            </w:tcBorders>
            <w:vAlign w:val="center"/>
          </w:tcPr>
          <w:p w14:paraId="5B078E88" w14:textId="33A94F75"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927" w:type="dxa"/>
            <w:tcBorders>
              <w:left w:val="double" w:sz="4" w:space="0" w:color="auto"/>
              <w:bottom w:val="double" w:sz="4" w:space="0" w:color="auto"/>
              <w:right w:val="single" w:sz="4" w:space="0" w:color="auto"/>
            </w:tcBorders>
            <w:vAlign w:val="center"/>
          </w:tcPr>
          <w:p w14:paraId="4BF3D5BE" w14:textId="015A0D1B"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73" w:type="dxa"/>
            <w:tcBorders>
              <w:left w:val="single" w:sz="4" w:space="0" w:color="auto"/>
              <w:bottom w:val="double" w:sz="4" w:space="0" w:color="auto"/>
              <w:right w:val="double" w:sz="4" w:space="0" w:color="auto"/>
            </w:tcBorders>
            <w:vAlign w:val="center"/>
          </w:tcPr>
          <w:p w14:paraId="645BA7CC" w14:textId="76B570DD"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double" w:sz="4" w:space="0" w:color="auto"/>
              <w:bottom w:val="double" w:sz="4" w:space="0" w:color="auto"/>
              <w:right w:val="single" w:sz="4" w:space="0" w:color="auto"/>
            </w:tcBorders>
            <w:vAlign w:val="center"/>
          </w:tcPr>
          <w:p w14:paraId="2B412BC8" w14:textId="29B7C6FF" w:rsidR="00596496" w:rsidRPr="00C476B8" w:rsidRDefault="00E14270" w:rsidP="00E14270">
            <w:pPr>
              <w:spacing w:line="240" w:lineRule="auto"/>
              <w:jc w:val="center"/>
              <w:rPr>
                <w:rFonts w:eastAsia="Calibri"/>
                <w:sz w:val="20"/>
                <w:szCs w:val="20"/>
              </w:rPr>
            </w:pPr>
            <w:r>
              <w:rPr>
                <w:rFonts w:eastAsia="Calibri"/>
                <w:sz w:val="20"/>
                <w:szCs w:val="20"/>
              </w:rPr>
              <w:t>-</w:t>
            </w:r>
          </w:p>
        </w:tc>
        <w:tc>
          <w:tcPr>
            <w:tcW w:w="855" w:type="dxa"/>
            <w:tcBorders>
              <w:left w:val="single" w:sz="4" w:space="0" w:color="auto"/>
              <w:bottom w:val="double" w:sz="4" w:space="0" w:color="auto"/>
              <w:right w:val="double" w:sz="4" w:space="0" w:color="auto"/>
            </w:tcBorders>
            <w:vAlign w:val="center"/>
          </w:tcPr>
          <w:p w14:paraId="7E3955FE" w14:textId="0A59FB7B" w:rsidR="00596496" w:rsidRPr="00C476B8" w:rsidRDefault="00E14270" w:rsidP="00E14270">
            <w:pPr>
              <w:spacing w:line="240" w:lineRule="auto"/>
              <w:jc w:val="center"/>
              <w:rPr>
                <w:rFonts w:eastAsia="Calibri"/>
                <w:sz w:val="20"/>
                <w:szCs w:val="20"/>
              </w:rPr>
            </w:pPr>
            <w:r>
              <w:rPr>
                <w:rFonts w:eastAsia="Calibri"/>
                <w:sz w:val="20"/>
                <w:szCs w:val="20"/>
              </w:rPr>
              <w:t>-</w:t>
            </w:r>
          </w:p>
        </w:tc>
      </w:tr>
    </w:tbl>
    <w:p w14:paraId="340A701D" w14:textId="77777777" w:rsidR="00942869" w:rsidRDefault="00942869" w:rsidP="00194720">
      <w:pPr>
        <w:jc w:val="center"/>
        <w:rPr>
          <w:b/>
        </w:rPr>
      </w:pPr>
    </w:p>
    <w:p w14:paraId="634F09B2" w14:textId="77777777" w:rsidR="00CD2BFF" w:rsidRDefault="00CD2BFF" w:rsidP="00194720">
      <w:pPr>
        <w:jc w:val="center"/>
        <w:rPr>
          <w:b/>
          <w:i/>
        </w:rPr>
      </w:pPr>
    </w:p>
    <w:p w14:paraId="6A33CF79" w14:textId="77777777" w:rsidR="00CD2BFF" w:rsidRDefault="00CD2BFF" w:rsidP="00194720">
      <w:pPr>
        <w:jc w:val="center"/>
        <w:rPr>
          <w:b/>
          <w:i/>
        </w:rPr>
      </w:pPr>
    </w:p>
    <w:p w14:paraId="60AB3EAE" w14:textId="77777777" w:rsidR="00CD2BFF" w:rsidRDefault="00CD2BFF" w:rsidP="00194720">
      <w:pPr>
        <w:jc w:val="center"/>
        <w:rPr>
          <w:b/>
          <w:i/>
        </w:rPr>
      </w:pPr>
    </w:p>
    <w:p w14:paraId="34133B96" w14:textId="77777777" w:rsidR="00596496" w:rsidRDefault="00596496">
      <w:pPr>
        <w:spacing w:after="200" w:line="276" w:lineRule="auto"/>
        <w:rPr>
          <w:b/>
        </w:rPr>
      </w:pPr>
      <w:r>
        <w:rPr>
          <w:b/>
        </w:rPr>
        <w:br w:type="page"/>
      </w:r>
    </w:p>
    <w:p w14:paraId="10D53B9B" w14:textId="77777777" w:rsidR="00E14270" w:rsidRDefault="00E14270" w:rsidP="00194720">
      <w:pPr>
        <w:jc w:val="center"/>
        <w:rPr>
          <w:b/>
        </w:rPr>
      </w:pPr>
    </w:p>
    <w:p w14:paraId="64EBC460" w14:textId="663C51B5" w:rsidR="00194720" w:rsidRPr="00596496" w:rsidRDefault="00E14270" w:rsidP="00194720">
      <w:pPr>
        <w:jc w:val="center"/>
        <w:rPr>
          <w:b/>
        </w:rPr>
      </w:pPr>
      <w:r>
        <w:rPr>
          <w:b/>
        </w:rPr>
        <w:t>Table 3 (Cont.)</w:t>
      </w:r>
      <w:r w:rsidR="00194720" w:rsidRPr="00596496">
        <w:rPr>
          <w:b/>
        </w:rPr>
        <w:t xml:space="preserve"> Measurement Equation Estimates</w:t>
      </w:r>
    </w:p>
    <w:tbl>
      <w:tblPr>
        <w:tblStyle w:val="TableGrid8"/>
        <w:tblW w:w="13258" w:type="dxa"/>
        <w:jc w:val="center"/>
        <w:tblLayout w:type="fixed"/>
        <w:tblLook w:val="04A0" w:firstRow="1" w:lastRow="0" w:firstColumn="1" w:lastColumn="0" w:noHBand="0" w:noVBand="1"/>
      </w:tblPr>
      <w:tblGrid>
        <w:gridCol w:w="3312"/>
        <w:gridCol w:w="982"/>
        <w:gridCol w:w="972"/>
        <w:gridCol w:w="722"/>
        <w:gridCol w:w="785"/>
        <w:gridCol w:w="753"/>
        <w:gridCol w:w="810"/>
        <w:gridCol w:w="734"/>
        <w:gridCol w:w="776"/>
        <w:gridCol w:w="865"/>
        <w:gridCol w:w="843"/>
        <w:gridCol w:w="839"/>
        <w:gridCol w:w="865"/>
      </w:tblGrid>
      <w:tr w:rsidR="00596496" w:rsidRPr="00596496" w14:paraId="251A09D7" w14:textId="77777777" w:rsidTr="00596496">
        <w:trPr>
          <w:trHeight w:val="423"/>
          <w:jc w:val="center"/>
        </w:trPr>
        <w:tc>
          <w:tcPr>
            <w:tcW w:w="3312" w:type="dxa"/>
            <w:vMerge w:val="restart"/>
            <w:tcBorders>
              <w:top w:val="double" w:sz="4" w:space="0" w:color="auto"/>
              <w:left w:val="double" w:sz="4" w:space="0" w:color="auto"/>
              <w:right w:val="double" w:sz="4" w:space="0" w:color="auto"/>
            </w:tcBorders>
            <w:vAlign w:val="center"/>
          </w:tcPr>
          <w:p w14:paraId="4153919B" w14:textId="77777777" w:rsidR="00C476B8" w:rsidRPr="00596496" w:rsidRDefault="00C476B8" w:rsidP="00596496">
            <w:pPr>
              <w:spacing w:line="240" w:lineRule="auto"/>
              <w:jc w:val="center"/>
              <w:rPr>
                <w:rFonts w:eastAsia="Calibri"/>
                <w:b/>
                <w:sz w:val="20"/>
                <w:szCs w:val="20"/>
              </w:rPr>
            </w:pPr>
            <w:r w:rsidRPr="00596496">
              <w:rPr>
                <w:rFonts w:eastAsia="Calibri"/>
                <w:b/>
                <w:sz w:val="20"/>
                <w:szCs w:val="20"/>
              </w:rPr>
              <w:t>Dependent Variables</w:t>
            </w:r>
          </w:p>
        </w:tc>
        <w:tc>
          <w:tcPr>
            <w:tcW w:w="1954" w:type="dxa"/>
            <w:gridSpan w:val="2"/>
            <w:tcBorders>
              <w:top w:val="double" w:sz="4" w:space="0" w:color="auto"/>
              <w:left w:val="double" w:sz="4" w:space="0" w:color="auto"/>
              <w:right w:val="double" w:sz="4" w:space="0" w:color="auto"/>
            </w:tcBorders>
          </w:tcPr>
          <w:p w14:paraId="7BC488F4" w14:textId="77777777" w:rsidR="00C476B8" w:rsidRPr="00596496" w:rsidRDefault="00C476B8" w:rsidP="00596496">
            <w:pPr>
              <w:spacing w:line="240" w:lineRule="auto"/>
              <w:jc w:val="center"/>
              <w:rPr>
                <w:rFonts w:eastAsia="Calibri"/>
                <w:sz w:val="20"/>
                <w:szCs w:val="20"/>
              </w:rPr>
            </w:pPr>
            <w:r w:rsidRPr="00596496">
              <w:rPr>
                <w:rFonts w:eastAsia="Calibri"/>
                <w:sz w:val="20"/>
                <w:szCs w:val="20"/>
              </w:rPr>
              <w:t xml:space="preserve">Immigration status </w:t>
            </w:r>
          </w:p>
          <w:p w14:paraId="2347544B" w14:textId="3DC6F5FF" w:rsidR="00C476B8" w:rsidRPr="00596496" w:rsidRDefault="00C476B8" w:rsidP="00596496">
            <w:pPr>
              <w:spacing w:line="240" w:lineRule="auto"/>
              <w:jc w:val="center"/>
              <w:rPr>
                <w:rFonts w:eastAsia="Calibri"/>
                <w:sz w:val="20"/>
                <w:szCs w:val="20"/>
              </w:rPr>
            </w:pPr>
            <w:r w:rsidRPr="00596496">
              <w:rPr>
                <w:rFonts w:eastAsia="Calibri"/>
                <w:sz w:val="20"/>
                <w:szCs w:val="20"/>
              </w:rPr>
              <w:t>(base: native household)</w:t>
            </w:r>
          </w:p>
        </w:tc>
        <w:tc>
          <w:tcPr>
            <w:tcW w:w="4580" w:type="dxa"/>
            <w:gridSpan w:val="6"/>
            <w:tcBorders>
              <w:top w:val="double" w:sz="4" w:space="0" w:color="auto"/>
              <w:left w:val="double" w:sz="4" w:space="0" w:color="auto"/>
              <w:right w:val="double" w:sz="4" w:space="0" w:color="auto"/>
            </w:tcBorders>
            <w:vAlign w:val="center"/>
          </w:tcPr>
          <w:p w14:paraId="08FECB82" w14:textId="7C7F13EF" w:rsidR="00C476B8" w:rsidRPr="00596496" w:rsidRDefault="00C476B8" w:rsidP="00596496">
            <w:pPr>
              <w:spacing w:line="240" w:lineRule="auto"/>
              <w:jc w:val="center"/>
              <w:rPr>
                <w:rFonts w:eastAsia="Calibri"/>
                <w:sz w:val="20"/>
                <w:szCs w:val="20"/>
              </w:rPr>
            </w:pPr>
            <w:r w:rsidRPr="00596496">
              <w:rPr>
                <w:rFonts w:eastAsia="Calibri"/>
                <w:sz w:val="20"/>
                <w:szCs w:val="20"/>
              </w:rPr>
              <w:t xml:space="preserve">Household monthly income (base: </w:t>
            </w:r>
            <w:r w:rsidR="00E14270">
              <w:rPr>
                <w:rFonts w:eastAsia="Calibri"/>
                <w:sz w:val="20"/>
                <w:szCs w:val="20"/>
              </w:rPr>
              <w:t>$</w:t>
            </w:r>
            <w:r w:rsidRPr="00596496">
              <w:rPr>
                <w:rFonts w:eastAsia="Calibri"/>
                <w:sz w:val="20"/>
                <w:szCs w:val="20"/>
              </w:rPr>
              <w:t>30,000 or less)</w:t>
            </w:r>
          </w:p>
        </w:tc>
        <w:tc>
          <w:tcPr>
            <w:tcW w:w="3412" w:type="dxa"/>
            <w:gridSpan w:val="4"/>
            <w:tcBorders>
              <w:top w:val="double" w:sz="4" w:space="0" w:color="auto"/>
              <w:left w:val="double" w:sz="4" w:space="0" w:color="auto"/>
              <w:right w:val="double" w:sz="4" w:space="0" w:color="auto"/>
            </w:tcBorders>
            <w:vAlign w:val="center"/>
          </w:tcPr>
          <w:p w14:paraId="7E9E9729" w14:textId="0146823B" w:rsidR="00C476B8" w:rsidRPr="00596496" w:rsidRDefault="00C476B8" w:rsidP="00596496">
            <w:pPr>
              <w:spacing w:line="240" w:lineRule="auto"/>
              <w:jc w:val="center"/>
              <w:rPr>
                <w:rFonts w:eastAsia="Calibri"/>
                <w:sz w:val="20"/>
                <w:szCs w:val="20"/>
              </w:rPr>
            </w:pPr>
            <w:r w:rsidRPr="00596496">
              <w:rPr>
                <w:rFonts w:eastAsia="Calibri"/>
                <w:sz w:val="20"/>
                <w:szCs w:val="20"/>
              </w:rPr>
              <w:t>Latent Constructs</w:t>
            </w:r>
          </w:p>
        </w:tc>
      </w:tr>
      <w:tr w:rsidR="00596496" w:rsidRPr="00596496" w14:paraId="11A4769F" w14:textId="77777777" w:rsidTr="00596496">
        <w:trPr>
          <w:trHeight w:val="696"/>
          <w:jc w:val="center"/>
        </w:trPr>
        <w:tc>
          <w:tcPr>
            <w:tcW w:w="3312" w:type="dxa"/>
            <w:vMerge/>
            <w:tcBorders>
              <w:top w:val="double" w:sz="4" w:space="0" w:color="auto"/>
              <w:left w:val="double" w:sz="4" w:space="0" w:color="auto"/>
              <w:right w:val="double" w:sz="4" w:space="0" w:color="auto"/>
            </w:tcBorders>
            <w:vAlign w:val="center"/>
          </w:tcPr>
          <w:p w14:paraId="72F84003" w14:textId="77777777" w:rsidR="00C476B8" w:rsidRPr="00596496" w:rsidRDefault="00C476B8" w:rsidP="00596496">
            <w:pPr>
              <w:spacing w:line="240" w:lineRule="auto"/>
              <w:jc w:val="center"/>
              <w:rPr>
                <w:rFonts w:eastAsia="Calibri"/>
                <w:b/>
                <w:sz w:val="20"/>
                <w:szCs w:val="20"/>
              </w:rPr>
            </w:pPr>
          </w:p>
        </w:tc>
        <w:tc>
          <w:tcPr>
            <w:tcW w:w="1954" w:type="dxa"/>
            <w:gridSpan w:val="2"/>
            <w:tcBorders>
              <w:top w:val="double" w:sz="4" w:space="0" w:color="auto"/>
              <w:left w:val="double" w:sz="4" w:space="0" w:color="auto"/>
              <w:right w:val="double" w:sz="4" w:space="0" w:color="auto"/>
            </w:tcBorders>
          </w:tcPr>
          <w:p w14:paraId="097403E4" w14:textId="6C50B738" w:rsidR="00C476B8" w:rsidRPr="00596496" w:rsidRDefault="00C476B8" w:rsidP="00596496">
            <w:pPr>
              <w:spacing w:line="240" w:lineRule="auto"/>
              <w:jc w:val="center"/>
              <w:rPr>
                <w:rFonts w:eastAsia="Calibri"/>
                <w:sz w:val="20"/>
                <w:szCs w:val="20"/>
              </w:rPr>
            </w:pPr>
            <w:r w:rsidRPr="00596496">
              <w:rPr>
                <w:rFonts w:eastAsia="Calibri"/>
                <w:sz w:val="20"/>
                <w:szCs w:val="20"/>
              </w:rPr>
              <w:t>Immigrant and combined households</w:t>
            </w:r>
          </w:p>
        </w:tc>
        <w:tc>
          <w:tcPr>
            <w:tcW w:w="1507" w:type="dxa"/>
            <w:gridSpan w:val="2"/>
            <w:tcBorders>
              <w:top w:val="double" w:sz="4" w:space="0" w:color="auto"/>
              <w:left w:val="double" w:sz="4" w:space="0" w:color="auto"/>
              <w:right w:val="double" w:sz="4" w:space="0" w:color="auto"/>
            </w:tcBorders>
            <w:vAlign w:val="center"/>
          </w:tcPr>
          <w:p w14:paraId="11C07EE5" w14:textId="02797B18" w:rsidR="00C476B8" w:rsidRPr="00596496" w:rsidRDefault="00C476B8" w:rsidP="00596496">
            <w:pPr>
              <w:spacing w:line="240" w:lineRule="auto"/>
              <w:jc w:val="center"/>
              <w:rPr>
                <w:rFonts w:eastAsia="Calibri"/>
                <w:sz w:val="20"/>
                <w:szCs w:val="20"/>
              </w:rPr>
            </w:pPr>
            <w:r w:rsidRPr="00596496">
              <w:rPr>
                <w:rFonts w:eastAsia="Calibri"/>
                <w:sz w:val="20"/>
                <w:szCs w:val="20"/>
              </w:rPr>
              <w:t>30,000 – 50,000</w:t>
            </w:r>
          </w:p>
        </w:tc>
        <w:tc>
          <w:tcPr>
            <w:tcW w:w="1563" w:type="dxa"/>
            <w:gridSpan w:val="2"/>
            <w:tcBorders>
              <w:top w:val="double" w:sz="4" w:space="0" w:color="auto"/>
              <w:left w:val="double" w:sz="4" w:space="0" w:color="auto"/>
              <w:right w:val="double" w:sz="4" w:space="0" w:color="auto"/>
            </w:tcBorders>
            <w:vAlign w:val="center"/>
          </w:tcPr>
          <w:p w14:paraId="028C5651" w14:textId="46D5C3AC" w:rsidR="00C476B8" w:rsidRPr="00596496" w:rsidRDefault="00C476B8" w:rsidP="00596496">
            <w:pPr>
              <w:spacing w:line="240" w:lineRule="auto"/>
              <w:jc w:val="center"/>
              <w:rPr>
                <w:rFonts w:eastAsia="Calibri"/>
                <w:sz w:val="20"/>
                <w:szCs w:val="20"/>
              </w:rPr>
            </w:pPr>
            <w:r w:rsidRPr="00596496">
              <w:rPr>
                <w:rFonts w:eastAsia="Calibri"/>
                <w:sz w:val="20"/>
                <w:szCs w:val="20"/>
              </w:rPr>
              <w:t>50,001 – 75,000</w:t>
            </w:r>
          </w:p>
        </w:tc>
        <w:tc>
          <w:tcPr>
            <w:tcW w:w="1510" w:type="dxa"/>
            <w:gridSpan w:val="2"/>
            <w:tcBorders>
              <w:top w:val="double" w:sz="4" w:space="0" w:color="auto"/>
              <w:left w:val="double" w:sz="4" w:space="0" w:color="auto"/>
              <w:right w:val="double" w:sz="4" w:space="0" w:color="auto"/>
            </w:tcBorders>
            <w:vAlign w:val="center"/>
          </w:tcPr>
          <w:p w14:paraId="5C489EB2" w14:textId="723BFE01" w:rsidR="00C476B8" w:rsidRPr="00596496" w:rsidRDefault="00C476B8" w:rsidP="00596496">
            <w:pPr>
              <w:spacing w:line="240" w:lineRule="auto"/>
              <w:jc w:val="center"/>
              <w:rPr>
                <w:rFonts w:eastAsia="Calibri"/>
                <w:sz w:val="20"/>
                <w:szCs w:val="20"/>
              </w:rPr>
            </w:pPr>
            <w:r w:rsidRPr="00596496">
              <w:rPr>
                <w:rFonts w:eastAsia="Calibri"/>
                <w:sz w:val="20"/>
                <w:szCs w:val="20"/>
              </w:rPr>
              <w:t>75,001 and above</w:t>
            </w:r>
          </w:p>
        </w:tc>
        <w:tc>
          <w:tcPr>
            <w:tcW w:w="1708" w:type="dxa"/>
            <w:gridSpan w:val="2"/>
            <w:tcBorders>
              <w:top w:val="double" w:sz="4" w:space="0" w:color="auto"/>
              <w:left w:val="double" w:sz="4" w:space="0" w:color="auto"/>
              <w:right w:val="double" w:sz="4" w:space="0" w:color="auto"/>
            </w:tcBorders>
            <w:vAlign w:val="center"/>
          </w:tcPr>
          <w:p w14:paraId="030D395C" w14:textId="31D1E4F0" w:rsidR="00C476B8" w:rsidRPr="00596496" w:rsidRDefault="00C476B8" w:rsidP="00596496">
            <w:pPr>
              <w:spacing w:line="240" w:lineRule="auto"/>
              <w:jc w:val="center"/>
              <w:rPr>
                <w:rFonts w:eastAsia="Calibri"/>
                <w:sz w:val="20"/>
                <w:szCs w:val="20"/>
              </w:rPr>
            </w:pPr>
            <w:r w:rsidRPr="00596496">
              <w:rPr>
                <w:rFonts w:eastAsia="Calibri"/>
                <w:sz w:val="20"/>
                <w:szCs w:val="20"/>
              </w:rPr>
              <w:t xml:space="preserve">   Green lifestyle propensity</w:t>
            </w:r>
          </w:p>
        </w:tc>
        <w:tc>
          <w:tcPr>
            <w:tcW w:w="1704" w:type="dxa"/>
            <w:gridSpan w:val="2"/>
            <w:tcBorders>
              <w:top w:val="double" w:sz="4" w:space="0" w:color="auto"/>
              <w:left w:val="double" w:sz="4" w:space="0" w:color="auto"/>
              <w:right w:val="double" w:sz="4" w:space="0" w:color="auto"/>
            </w:tcBorders>
            <w:vAlign w:val="center"/>
          </w:tcPr>
          <w:p w14:paraId="2D5E31AD" w14:textId="77777777" w:rsidR="00C476B8" w:rsidRPr="00596496" w:rsidRDefault="00C476B8" w:rsidP="00596496">
            <w:pPr>
              <w:spacing w:line="240" w:lineRule="auto"/>
              <w:jc w:val="center"/>
              <w:rPr>
                <w:rFonts w:eastAsia="Calibri"/>
                <w:sz w:val="20"/>
                <w:szCs w:val="20"/>
              </w:rPr>
            </w:pPr>
            <w:r w:rsidRPr="00596496">
              <w:rPr>
                <w:rFonts w:eastAsia="Calibri"/>
                <w:sz w:val="20"/>
                <w:szCs w:val="20"/>
              </w:rPr>
              <w:t xml:space="preserve">    Luxury lifestyle propensity</w:t>
            </w:r>
          </w:p>
        </w:tc>
      </w:tr>
      <w:tr w:rsidR="00596496" w:rsidRPr="00596496" w14:paraId="196A2994" w14:textId="77777777" w:rsidTr="00E14270">
        <w:trPr>
          <w:trHeight w:val="380"/>
          <w:jc w:val="center"/>
        </w:trPr>
        <w:tc>
          <w:tcPr>
            <w:tcW w:w="3312" w:type="dxa"/>
            <w:vMerge/>
            <w:tcBorders>
              <w:left w:val="double" w:sz="4" w:space="0" w:color="auto"/>
              <w:bottom w:val="double" w:sz="4" w:space="0" w:color="auto"/>
              <w:right w:val="double" w:sz="4" w:space="0" w:color="auto"/>
            </w:tcBorders>
            <w:vAlign w:val="center"/>
          </w:tcPr>
          <w:p w14:paraId="6D6761CA" w14:textId="77777777" w:rsidR="00C476B8" w:rsidRPr="00596496" w:rsidRDefault="00C476B8" w:rsidP="00596496">
            <w:pPr>
              <w:spacing w:line="240" w:lineRule="auto"/>
              <w:jc w:val="center"/>
              <w:rPr>
                <w:rFonts w:eastAsia="Calibri"/>
                <w:b/>
                <w:sz w:val="20"/>
                <w:szCs w:val="20"/>
              </w:rPr>
            </w:pPr>
          </w:p>
        </w:tc>
        <w:tc>
          <w:tcPr>
            <w:tcW w:w="982" w:type="dxa"/>
            <w:tcBorders>
              <w:left w:val="double" w:sz="4" w:space="0" w:color="auto"/>
              <w:bottom w:val="double" w:sz="4" w:space="0" w:color="auto"/>
              <w:right w:val="single" w:sz="4" w:space="0" w:color="auto"/>
            </w:tcBorders>
            <w:vAlign w:val="center"/>
          </w:tcPr>
          <w:p w14:paraId="30192349" w14:textId="1ED2E006" w:rsidR="00C476B8" w:rsidRPr="00596496" w:rsidRDefault="00C476B8" w:rsidP="00596496">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972" w:type="dxa"/>
            <w:tcBorders>
              <w:left w:val="single" w:sz="4" w:space="0" w:color="auto"/>
              <w:bottom w:val="double" w:sz="4" w:space="0" w:color="auto"/>
              <w:right w:val="double" w:sz="4" w:space="0" w:color="auto"/>
            </w:tcBorders>
            <w:vAlign w:val="center"/>
          </w:tcPr>
          <w:p w14:paraId="3E8EC371" w14:textId="1AE91A40" w:rsidR="00C476B8" w:rsidRPr="00596496" w:rsidRDefault="00C476B8" w:rsidP="00596496">
            <w:pPr>
              <w:spacing w:line="240" w:lineRule="auto"/>
              <w:jc w:val="center"/>
              <w:rPr>
                <w:rFonts w:eastAsia="Calibri"/>
                <w:b/>
                <w:sz w:val="20"/>
                <w:szCs w:val="20"/>
              </w:rPr>
            </w:pPr>
            <w:r w:rsidRPr="00596496">
              <w:rPr>
                <w:rFonts w:eastAsia="Calibri"/>
                <w:b/>
                <w:sz w:val="20"/>
                <w:szCs w:val="20"/>
              </w:rPr>
              <w:t>T-stat</w:t>
            </w:r>
          </w:p>
        </w:tc>
        <w:tc>
          <w:tcPr>
            <w:tcW w:w="722" w:type="dxa"/>
            <w:tcBorders>
              <w:left w:val="double" w:sz="4" w:space="0" w:color="auto"/>
              <w:bottom w:val="double" w:sz="4" w:space="0" w:color="auto"/>
              <w:right w:val="single" w:sz="4" w:space="0" w:color="auto"/>
            </w:tcBorders>
            <w:vAlign w:val="center"/>
          </w:tcPr>
          <w:p w14:paraId="060A80E5" w14:textId="42C5EFD6" w:rsidR="00C476B8" w:rsidRPr="00596496" w:rsidRDefault="00C476B8" w:rsidP="00596496">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785" w:type="dxa"/>
            <w:tcBorders>
              <w:left w:val="single" w:sz="4" w:space="0" w:color="auto"/>
              <w:bottom w:val="double" w:sz="4" w:space="0" w:color="auto"/>
              <w:right w:val="double" w:sz="4" w:space="0" w:color="auto"/>
            </w:tcBorders>
            <w:vAlign w:val="center"/>
          </w:tcPr>
          <w:p w14:paraId="05BF4B01" w14:textId="6FA7DA8B" w:rsidR="00C476B8" w:rsidRPr="00596496" w:rsidRDefault="00C476B8" w:rsidP="00596496">
            <w:pPr>
              <w:spacing w:line="240" w:lineRule="auto"/>
              <w:jc w:val="center"/>
              <w:rPr>
                <w:rFonts w:eastAsia="Calibri"/>
                <w:b/>
                <w:sz w:val="20"/>
                <w:szCs w:val="20"/>
              </w:rPr>
            </w:pPr>
            <w:r w:rsidRPr="00596496">
              <w:rPr>
                <w:rFonts w:eastAsia="Calibri"/>
                <w:b/>
                <w:sz w:val="20"/>
                <w:szCs w:val="20"/>
              </w:rPr>
              <w:t>T-stat</w:t>
            </w:r>
          </w:p>
        </w:tc>
        <w:tc>
          <w:tcPr>
            <w:tcW w:w="753" w:type="dxa"/>
            <w:tcBorders>
              <w:left w:val="double" w:sz="4" w:space="0" w:color="auto"/>
              <w:bottom w:val="double" w:sz="4" w:space="0" w:color="auto"/>
              <w:right w:val="single" w:sz="4" w:space="0" w:color="auto"/>
            </w:tcBorders>
            <w:vAlign w:val="center"/>
          </w:tcPr>
          <w:p w14:paraId="09D9D3EC" w14:textId="20D0CFC4" w:rsidR="00C476B8" w:rsidRPr="00596496" w:rsidRDefault="00C476B8" w:rsidP="00596496">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810" w:type="dxa"/>
            <w:tcBorders>
              <w:left w:val="single" w:sz="4" w:space="0" w:color="auto"/>
              <w:bottom w:val="double" w:sz="4" w:space="0" w:color="auto"/>
              <w:right w:val="double" w:sz="4" w:space="0" w:color="auto"/>
            </w:tcBorders>
            <w:vAlign w:val="center"/>
          </w:tcPr>
          <w:p w14:paraId="67BAFE32" w14:textId="6D26680F" w:rsidR="00C476B8" w:rsidRPr="00596496" w:rsidRDefault="00C476B8" w:rsidP="00596496">
            <w:pPr>
              <w:spacing w:line="240" w:lineRule="auto"/>
              <w:jc w:val="center"/>
              <w:rPr>
                <w:rFonts w:eastAsia="Calibri"/>
                <w:b/>
                <w:sz w:val="20"/>
                <w:szCs w:val="20"/>
              </w:rPr>
            </w:pPr>
            <w:r w:rsidRPr="00596496">
              <w:rPr>
                <w:rFonts w:eastAsia="Calibri"/>
                <w:b/>
                <w:sz w:val="20"/>
                <w:szCs w:val="20"/>
              </w:rPr>
              <w:t>T-stat</w:t>
            </w:r>
          </w:p>
        </w:tc>
        <w:tc>
          <w:tcPr>
            <w:tcW w:w="734" w:type="dxa"/>
            <w:tcBorders>
              <w:left w:val="double" w:sz="4" w:space="0" w:color="auto"/>
              <w:bottom w:val="double" w:sz="4" w:space="0" w:color="auto"/>
              <w:right w:val="single" w:sz="4" w:space="0" w:color="auto"/>
            </w:tcBorders>
            <w:vAlign w:val="center"/>
          </w:tcPr>
          <w:p w14:paraId="43D8B12F" w14:textId="5CD80EC2" w:rsidR="00C476B8" w:rsidRPr="00596496" w:rsidRDefault="00C476B8" w:rsidP="00596496">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776" w:type="dxa"/>
            <w:tcBorders>
              <w:left w:val="single" w:sz="4" w:space="0" w:color="auto"/>
              <w:bottom w:val="double" w:sz="4" w:space="0" w:color="auto"/>
              <w:right w:val="double" w:sz="4" w:space="0" w:color="auto"/>
            </w:tcBorders>
            <w:vAlign w:val="center"/>
          </w:tcPr>
          <w:p w14:paraId="49AF56A5" w14:textId="63A01DE3" w:rsidR="00C476B8" w:rsidRPr="00596496" w:rsidRDefault="00C476B8" w:rsidP="00596496">
            <w:pPr>
              <w:spacing w:line="240" w:lineRule="auto"/>
              <w:jc w:val="center"/>
              <w:rPr>
                <w:rFonts w:eastAsia="Calibri"/>
                <w:b/>
                <w:sz w:val="20"/>
                <w:szCs w:val="20"/>
              </w:rPr>
            </w:pPr>
            <w:r w:rsidRPr="00596496">
              <w:rPr>
                <w:rFonts w:eastAsia="Calibri"/>
                <w:b/>
                <w:sz w:val="20"/>
                <w:szCs w:val="20"/>
              </w:rPr>
              <w:t>T-stat</w:t>
            </w:r>
          </w:p>
        </w:tc>
        <w:tc>
          <w:tcPr>
            <w:tcW w:w="865" w:type="dxa"/>
            <w:tcBorders>
              <w:left w:val="double" w:sz="4" w:space="0" w:color="auto"/>
              <w:bottom w:val="double" w:sz="4" w:space="0" w:color="auto"/>
            </w:tcBorders>
            <w:vAlign w:val="center"/>
          </w:tcPr>
          <w:p w14:paraId="1737463F" w14:textId="68FCEA24" w:rsidR="00C476B8" w:rsidRPr="00596496" w:rsidRDefault="00C476B8" w:rsidP="00596496">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843" w:type="dxa"/>
            <w:tcBorders>
              <w:bottom w:val="double" w:sz="4" w:space="0" w:color="auto"/>
              <w:right w:val="double" w:sz="4" w:space="0" w:color="auto"/>
            </w:tcBorders>
            <w:vAlign w:val="center"/>
          </w:tcPr>
          <w:p w14:paraId="3E8E9C07" w14:textId="77777777" w:rsidR="00C476B8" w:rsidRPr="00596496" w:rsidRDefault="00C476B8" w:rsidP="00596496">
            <w:pPr>
              <w:spacing w:line="240" w:lineRule="auto"/>
              <w:jc w:val="center"/>
              <w:rPr>
                <w:rFonts w:eastAsia="Calibri"/>
                <w:b/>
                <w:sz w:val="20"/>
                <w:szCs w:val="20"/>
              </w:rPr>
            </w:pPr>
            <w:r w:rsidRPr="00596496">
              <w:rPr>
                <w:rFonts w:eastAsia="Calibri"/>
                <w:b/>
                <w:sz w:val="20"/>
                <w:szCs w:val="20"/>
              </w:rPr>
              <w:t>T-stat</w:t>
            </w:r>
          </w:p>
        </w:tc>
        <w:tc>
          <w:tcPr>
            <w:tcW w:w="839" w:type="dxa"/>
            <w:tcBorders>
              <w:left w:val="double" w:sz="4" w:space="0" w:color="auto"/>
              <w:bottom w:val="double" w:sz="4" w:space="0" w:color="auto"/>
            </w:tcBorders>
            <w:vAlign w:val="center"/>
          </w:tcPr>
          <w:p w14:paraId="00049AC7" w14:textId="77777777" w:rsidR="00C476B8" w:rsidRPr="00596496" w:rsidRDefault="00C476B8" w:rsidP="00596496">
            <w:pPr>
              <w:spacing w:line="240" w:lineRule="auto"/>
              <w:jc w:val="center"/>
              <w:rPr>
                <w:rFonts w:eastAsia="Calibri"/>
                <w:b/>
                <w:sz w:val="20"/>
                <w:szCs w:val="20"/>
              </w:rPr>
            </w:pPr>
            <w:proofErr w:type="spellStart"/>
            <w:r w:rsidRPr="00596496">
              <w:rPr>
                <w:rFonts w:eastAsia="Calibri"/>
                <w:b/>
                <w:sz w:val="20"/>
                <w:szCs w:val="20"/>
              </w:rPr>
              <w:t>Coeff</w:t>
            </w:r>
            <w:proofErr w:type="spellEnd"/>
          </w:p>
        </w:tc>
        <w:tc>
          <w:tcPr>
            <w:tcW w:w="865" w:type="dxa"/>
            <w:tcBorders>
              <w:bottom w:val="double" w:sz="4" w:space="0" w:color="auto"/>
              <w:right w:val="double" w:sz="4" w:space="0" w:color="auto"/>
            </w:tcBorders>
            <w:vAlign w:val="center"/>
          </w:tcPr>
          <w:p w14:paraId="4BB27CCA" w14:textId="77777777" w:rsidR="00C476B8" w:rsidRPr="00596496" w:rsidRDefault="00C476B8" w:rsidP="00596496">
            <w:pPr>
              <w:spacing w:line="240" w:lineRule="auto"/>
              <w:jc w:val="center"/>
              <w:rPr>
                <w:rFonts w:eastAsia="Calibri"/>
                <w:b/>
                <w:sz w:val="20"/>
                <w:szCs w:val="20"/>
              </w:rPr>
            </w:pPr>
            <w:r w:rsidRPr="00596496">
              <w:rPr>
                <w:rFonts w:eastAsia="Calibri"/>
                <w:b/>
                <w:sz w:val="20"/>
                <w:szCs w:val="20"/>
              </w:rPr>
              <w:t>T-stat</w:t>
            </w:r>
          </w:p>
        </w:tc>
      </w:tr>
      <w:tr w:rsidR="00596496" w:rsidRPr="00596496" w14:paraId="131CEA49" w14:textId="77777777" w:rsidTr="00E14270">
        <w:trPr>
          <w:trHeight w:val="276"/>
          <w:jc w:val="center"/>
        </w:trPr>
        <w:tc>
          <w:tcPr>
            <w:tcW w:w="3312" w:type="dxa"/>
            <w:tcBorders>
              <w:top w:val="double" w:sz="4" w:space="0" w:color="auto"/>
              <w:left w:val="double" w:sz="4" w:space="0" w:color="auto"/>
              <w:right w:val="double" w:sz="4" w:space="0" w:color="auto"/>
            </w:tcBorders>
            <w:vAlign w:val="center"/>
          </w:tcPr>
          <w:p w14:paraId="18C9CC17" w14:textId="74C4A909" w:rsidR="00596496" w:rsidRPr="00596496" w:rsidRDefault="00596496" w:rsidP="00E14270">
            <w:pPr>
              <w:spacing w:line="240" w:lineRule="auto"/>
              <w:rPr>
                <w:rFonts w:eastAsia="Calibri"/>
                <w:b/>
                <w:sz w:val="20"/>
                <w:szCs w:val="20"/>
              </w:rPr>
            </w:pPr>
            <w:r w:rsidRPr="00596496">
              <w:rPr>
                <w:rFonts w:eastAsia="Calibri"/>
                <w:b/>
                <w:sz w:val="20"/>
                <w:szCs w:val="20"/>
              </w:rPr>
              <w:t xml:space="preserve">Housing type (base: single family)   </w:t>
            </w:r>
          </w:p>
        </w:tc>
        <w:tc>
          <w:tcPr>
            <w:tcW w:w="982" w:type="dxa"/>
            <w:tcBorders>
              <w:top w:val="double" w:sz="4" w:space="0" w:color="auto"/>
              <w:left w:val="double" w:sz="4" w:space="0" w:color="auto"/>
              <w:right w:val="single" w:sz="4" w:space="0" w:color="auto"/>
            </w:tcBorders>
            <w:vAlign w:val="center"/>
          </w:tcPr>
          <w:p w14:paraId="677FD86C" w14:textId="77777777" w:rsidR="00596496" w:rsidRPr="00596496" w:rsidRDefault="00596496" w:rsidP="00E14270">
            <w:pPr>
              <w:spacing w:line="240" w:lineRule="auto"/>
              <w:jc w:val="center"/>
              <w:rPr>
                <w:rFonts w:eastAsia="Calibri"/>
                <w:sz w:val="20"/>
                <w:szCs w:val="20"/>
              </w:rPr>
            </w:pPr>
          </w:p>
        </w:tc>
        <w:tc>
          <w:tcPr>
            <w:tcW w:w="972" w:type="dxa"/>
            <w:tcBorders>
              <w:top w:val="double" w:sz="4" w:space="0" w:color="auto"/>
              <w:left w:val="single" w:sz="4" w:space="0" w:color="auto"/>
              <w:right w:val="double" w:sz="4" w:space="0" w:color="auto"/>
            </w:tcBorders>
            <w:vAlign w:val="center"/>
          </w:tcPr>
          <w:p w14:paraId="62DE3291" w14:textId="4F6B6EA0" w:rsidR="00596496" w:rsidRPr="00596496" w:rsidRDefault="00596496" w:rsidP="00E14270">
            <w:pPr>
              <w:spacing w:line="240" w:lineRule="auto"/>
              <w:jc w:val="center"/>
              <w:rPr>
                <w:rFonts w:eastAsia="Calibri"/>
                <w:sz w:val="20"/>
                <w:szCs w:val="20"/>
              </w:rPr>
            </w:pPr>
          </w:p>
        </w:tc>
        <w:tc>
          <w:tcPr>
            <w:tcW w:w="722" w:type="dxa"/>
            <w:tcBorders>
              <w:top w:val="double" w:sz="4" w:space="0" w:color="auto"/>
              <w:left w:val="double" w:sz="4" w:space="0" w:color="auto"/>
              <w:right w:val="single" w:sz="4" w:space="0" w:color="auto"/>
            </w:tcBorders>
            <w:vAlign w:val="center"/>
          </w:tcPr>
          <w:p w14:paraId="74CAE334" w14:textId="05ECA763" w:rsidR="00596496" w:rsidRPr="00596496" w:rsidRDefault="00596496" w:rsidP="00E14270">
            <w:pPr>
              <w:spacing w:line="240" w:lineRule="auto"/>
              <w:jc w:val="center"/>
              <w:rPr>
                <w:rFonts w:eastAsia="Calibri"/>
                <w:sz w:val="20"/>
                <w:szCs w:val="20"/>
              </w:rPr>
            </w:pPr>
          </w:p>
        </w:tc>
        <w:tc>
          <w:tcPr>
            <w:tcW w:w="785" w:type="dxa"/>
            <w:tcBorders>
              <w:top w:val="double" w:sz="4" w:space="0" w:color="auto"/>
              <w:left w:val="single" w:sz="4" w:space="0" w:color="auto"/>
              <w:right w:val="double" w:sz="4" w:space="0" w:color="auto"/>
            </w:tcBorders>
            <w:vAlign w:val="center"/>
          </w:tcPr>
          <w:p w14:paraId="07CD16BB" w14:textId="5BFF862A" w:rsidR="00596496" w:rsidRPr="00596496" w:rsidRDefault="00596496" w:rsidP="00E14270">
            <w:pPr>
              <w:spacing w:line="240" w:lineRule="auto"/>
              <w:jc w:val="center"/>
              <w:rPr>
                <w:rFonts w:eastAsia="Calibri"/>
                <w:sz w:val="20"/>
                <w:szCs w:val="20"/>
              </w:rPr>
            </w:pPr>
          </w:p>
        </w:tc>
        <w:tc>
          <w:tcPr>
            <w:tcW w:w="753" w:type="dxa"/>
            <w:tcBorders>
              <w:top w:val="double" w:sz="4" w:space="0" w:color="auto"/>
              <w:left w:val="double" w:sz="4" w:space="0" w:color="auto"/>
              <w:right w:val="single" w:sz="4" w:space="0" w:color="auto"/>
            </w:tcBorders>
            <w:vAlign w:val="center"/>
          </w:tcPr>
          <w:p w14:paraId="17438847" w14:textId="16AD0CB4" w:rsidR="00596496" w:rsidRPr="00596496" w:rsidRDefault="00596496" w:rsidP="00E14270">
            <w:pPr>
              <w:spacing w:line="240" w:lineRule="auto"/>
              <w:jc w:val="center"/>
              <w:rPr>
                <w:rFonts w:eastAsia="Calibri"/>
                <w:sz w:val="20"/>
                <w:szCs w:val="20"/>
              </w:rPr>
            </w:pPr>
          </w:p>
        </w:tc>
        <w:tc>
          <w:tcPr>
            <w:tcW w:w="810" w:type="dxa"/>
            <w:tcBorders>
              <w:top w:val="double" w:sz="4" w:space="0" w:color="auto"/>
              <w:left w:val="single" w:sz="4" w:space="0" w:color="auto"/>
              <w:right w:val="double" w:sz="4" w:space="0" w:color="auto"/>
            </w:tcBorders>
            <w:vAlign w:val="center"/>
          </w:tcPr>
          <w:p w14:paraId="7A1FE3C7" w14:textId="04A3B42B" w:rsidR="00596496" w:rsidRPr="00596496" w:rsidRDefault="00596496" w:rsidP="00E14270">
            <w:pPr>
              <w:spacing w:line="240" w:lineRule="auto"/>
              <w:jc w:val="center"/>
              <w:rPr>
                <w:rFonts w:eastAsia="Calibri"/>
                <w:sz w:val="20"/>
                <w:szCs w:val="20"/>
              </w:rPr>
            </w:pPr>
          </w:p>
        </w:tc>
        <w:tc>
          <w:tcPr>
            <w:tcW w:w="734" w:type="dxa"/>
            <w:tcBorders>
              <w:top w:val="double" w:sz="4" w:space="0" w:color="auto"/>
              <w:left w:val="double" w:sz="4" w:space="0" w:color="auto"/>
              <w:right w:val="single" w:sz="4" w:space="0" w:color="auto"/>
            </w:tcBorders>
            <w:vAlign w:val="center"/>
          </w:tcPr>
          <w:p w14:paraId="348D4A1F" w14:textId="0BB6AD38" w:rsidR="00596496" w:rsidRPr="00596496" w:rsidRDefault="00596496" w:rsidP="00E14270">
            <w:pPr>
              <w:spacing w:line="240" w:lineRule="auto"/>
              <w:jc w:val="center"/>
              <w:rPr>
                <w:rFonts w:eastAsia="Calibri"/>
                <w:sz w:val="20"/>
                <w:szCs w:val="20"/>
              </w:rPr>
            </w:pPr>
          </w:p>
        </w:tc>
        <w:tc>
          <w:tcPr>
            <w:tcW w:w="776" w:type="dxa"/>
            <w:tcBorders>
              <w:top w:val="double" w:sz="4" w:space="0" w:color="auto"/>
              <w:left w:val="single" w:sz="4" w:space="0" w:color="auto"/>
              <w:right w:val="double" w:sz="4" w:space="0" w:color="auto"/>
            </w:tcBorders>
            <w:vAlign w:val="center"/>
          </w:tcPr>
          <w:p w14:paraId="0574F8AF" w14:textId="6B123522" w:rsidR="00596496" w:rsidRPr="00596496" w:rsidRDefault="00596496" w:rsidP="00E14270">
            <w:pPr>
              <w:spacing w:line="240" w:lineRule="auto"/>
              <w:jc w:val="center"/>
              <w:rPr>
                <w:rFonts w:eastAsia="Calibri"/>
                <w:sz w:val="20"/>
                <w:szCs w:val="20"/>
              </w:rPr>
            </w:pPr>
          </w:p>
        </w:tc>
        <w:tc>
          <w:tcPr>
            <w:tcW w:w="865" w:type="dxa"/>
            <w:tcBorders>
              <w:top w:val="double" w:sz="4" w:space="0" w:color="auto"/>
              <w:left w:val="double" w:sz="4" w:space="0" w:color="auto"/>
            </w:tcBorders>
            <w:vAlign w:val="center"/>
          </w:tcPr>
          <w:p w14:paraId="1547C3D9" w14:textId="669BE389" w:rsidR="00596496" w:rsidRPr="00596496" w:rsidRDefault="00596496" w:rsidP="00E14270">
            <w:pPr>
              <w:spacing w:line="240" w:lineRule="auto"/>
              <w:jc w:val="center"/>
              <w:rPr>
                <w:rFonts w:eastAsia="Calibri"/>
                <w:sz w:val="20"/>
                <w:szCs w:val="20"/>
              </w:rPr>
            </w:pPr>
          </w:p>
        </w:tc>
        <w:tc>
          <w:tcPr>
            <w:tcW w:w="843" w:type="dxa"/>
            <w:tcBorders>
              <w:top w:val="double" w:sz="4" w:space="0" w:color="auto"/>
              <w:right w:val="double" w:sz="4" w:space="0" w:color="auto"/>
            </w:tcBorders>
            <w:vAlign w:val="center"/>
          </w:tcPr>
          <w:p w14:paraId="7D31130D" w14:textId="77777777" w:rsidR="00596496" w:rsidRPr="00596496" w:rsidRDefault="00596496" w:rsidP="00E14270">
            <w:pPr>
              <w:spacing w:line="240" w:lineRule="auto"/>
              <w:jc w:val="center"/>
              <w:rPr>
                <w:rFonts w:eastAsia="Calibri"/>
                <w:sz w:val="20"/>
                <w:szCs w:val="20"/>
              </w:rPr>
            </w:pPr>
          </w:p>
        </w:tc>
        <w:tc>
          <w:tcPr>
            <w:tcW w:w="839" w:type="dxa"/>
            <w:tcBorders>
              <w:top w:val="double" w:sz="4" w:space="0" w:color="auto"/>
              <w:left w:val="double" w:sz="4" w:space="0" w:color="auto"/>
            </w:tcBorders>
            <w:vAlign w:val="center"/>
          </w:tcPr>
          <w:p w14:paraId="5EB4D4E7" w14:textId="77777777" w:rsidR="00596496" w:rsidRPr="00596496" w:rsidRDefault="00596496" w:rsidP="00E14270">
            <w:pPr>
              <w:spacing w:line="240" w:lineRule="auto"/>
              <w:jc w:val="center"/>
              <w:rPr>
                <w:rFonts w:eastAsia="Calibri"/>
                <w:sz w:val="20"/>
                <w:szCs w:val="20"/>
              </w:rPr>
            </w:pPr>
          </w:p>
        </w:tc>
        <w:tc>
          <w:tcPr>
            <w:tcW w:w="865" w:type="dxa"/>
            <w:tcBorders>
              <w:top w:val="double" w:sz="4" w:space="0" w:color="auto"/>
              <w:right w:val="double" w:sz="4" w:space="0" w:color="auto"/>
            </w:tcBorders>
            <w:vAlign w:val="center"/>
          </w:tcPr>
          <w:p w14:paraId="5A58936F" w14:textId="77777777" w:rsidR="00596496" w:rsidRPr="00596496" w:rsidRDefault="00596496" w:rsidP="00E14270">
            <w:pPr>
              <w:spacing w:line="240" w:lineRule="auto"/>
              <w:jc w:val="center"/>
              <w:rPr>
                <w:rFonts w:eastAsia="Calibri"/>
                <w:sz w:val="20"/>
                <w:szCs w:val="20"/>
              </w:rPr>
            </w:pPr>
          </w:p>
        </w:tc>
      </w:tr>
      <w:tr w:rsidR="00596496" w:rsidRPr="00596496" w14:paraId="32FBDD6C" w14:textId="77777777" w:rsidTr="00E14270">
        <w:trPr>
          <w:trHeight w:val="276"/>
          <w:jc w:val="center"/>
        </w:trPr>
        <w:tc>
          <w:tcPr>
            <w:tcW w:w="3312" w:type="dxa"/>
            <w:tcBorders>
              <w:left w:val="double" w:sz="4" w:space="0" w:color="auto"/>
              <w:right w:val="double" w:sz="4" w:space="0" w:color="auto"/>
            </w:tcBorders>
            <w:vAlign w:val="center"/>
          </w:tcPr>
          <w:p w14:paraId="5754A7A5" w14:textId="05BC0517" w:rsidR="00596496" w:rsidRPr="00596496" w:rsidRDefault="00596496" w:rsidP="00E14270">
            <w:pPr>
              <w:spacing w:line="240" w:lineRule="auto"/>
              <w:rPr>
                <w:rFonts w:eastAsia="Calibri"/>
                <w:sz w:val="20"/>
                <w:szCs w:val="20"/>
              </w:rPr>
            </w:pPr>
            <w:r w:rsidRPr="00596496">
              <w:rPr>
                <w:rFonts w:eastAsia="Calibri"/>
                <w:sz w:val="20"/>
                <w:szCs w:val="20"/>
              </w:rPr>
              <w:t xml:space="preserve">   Apartment</w:t>
            </w:r>
          </w:p>
        </w:tc>
        <w:tc>
          <w:tcPr>
            <w:tcW w:w="982" w:type="dxa"/>
            <w:tcBorders>
              <w:left w:val="double" w:sz="4" w:space="0" w:color="auto"/>
              <w:right w:val="single" w:sz="4" w:space="0" w:color="auto"/>
            </w:tcBorders>
            <w:vAlign w:val="center"/>
          </w:tcPr>
          <w:p w14:paraId="16A44FB5" w14:textId="13EBD14C" w:rsidR="00596496" w:rsidRPr="00596496" w:rsidRDefault="00596496" w:rsidP="00E14270">
            <w:pPr>
              <w:spacing w:line="240" w:lineRule="auto"/>
              <w:jc w:val="center"/>
              <w:rPr>
                <w:rFonts w:eastAsia="Calibri"/>
                <w:sz w:val="20"/>
                <w:szCs w:val="20"/>
              </w:rPr>
            </w:pPr>
            <w:r w:rsidRPr="00596496">
              <w:rPr>
                <w:rFonts w:eastAsia="Calibri"/>
                <w:sz w:val="20"/>
                <w:szCs w:val="20"/>
              </w:rPr>
              <w:t>0.415</w:t>
            </w:r>
          </w:p>
        </w:tc>
        <w:tc>
          <w:tcPr>
            <w:tcW w:w="972" w:type="dxa"/>
            <w:tcBorders>
              <w:left w:val="single" w:sz="4" w:space="0" w:color="auto"/>
              <w:right w:val="double" w:sz="4" w:space="0" w:color="auto"/>
            </w:tcBorders>
            <w:vAlign w:val="center"/>
          </w:tcPr>
          <w:p w14:paraId="1371CF55" w14:textId="58C9032F" w:rsidR="00596496" w:rsidRPr="00596496" w:rsidRDefault="00596496" w:rsidP="00E14270">
            <w:pPr>
              <w:spacing w:line="240" w:lineRule="auto"/>
              <w:jc w:val="center"/>
              <w:rPr>
                <w:rFonts w:eastAsia="Calibri"/>
                <w:sz w:val="20"/>
                <w:szCs w:val="20"/>
              </w:rPr>
            </w:pPr>
            <w:r w:rsidRPr="00596496">
              <w:rPr>
                <w:rFonts w:eastAsia="Calibri"/>
                <w:sz w:val="20"/>
                <w:szCs w:val="20"/>
              </w:rPr>
              <w:t>14.892</w:t>
            </w:r>
          </w:p>
        </w:tc>
        <w:tc>
          <w:tcPr>
            <w:tcW w:w="722" w:type="dxa"/>
            <w:tcBorders>
              <w:left w:val="double" w:sz="4" w:space="0" w:color="auto"/>
              <w:right w:val="single" w:sz="4" w:space="0" w:color="auto"/>
            </w:tcBorders>
            <w:vAlign w:val="center"/>
          </w:tcPr>
          <w:p w14:paraId="60B7AF12" w14:textId="7B834D81"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785" w:type="dxa"/>
            <w:tcBorders>
              <w:left w:val="single" w:sz="4" w:space="0" w:color="auto"/>
              <w:right w:val="double" w:sz="4" w:space="0" w:color="auto"/>
            </w:tcBorders>
            <w:vAlign w:val="center"/>
          </w:tcPr>
          <w:p w14:paraId="79E0EEF3" w14:textId="774141D9"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753" w:type="dxa"/>
            <w:tcBorders>
              <w:left w:val="double" w:sz="4" w:space="0" w:color="auto"/>
              <w:right w:val="single" w:sz="4" w:space="0" w:color="auto"/>
            </w:tcBorders>
            <w:vAlign w:val="center"/>
          </w:tcPr>
          <w:p w14:paraId="7FB319B4" w14:textId="1D8828EE"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810" w:type="dxa"/>
            <w:tcBorders>
              <w:left w:val="single" w:sz="4" w:space="0" w:color="auto"/>
              <w:right w:val="double" w:sz="4" w:space="0" w:color="auto"/>
            </w:tcBorders>
            <w:vAlign w:val="center"/>
          </w:tcPr>
          <w:p w14:paraId="2085B2C9" w14:textId="0B96F91F"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734" w:type="dxa"/>
            <w:tcBorders>
              <w:left w:val="double" w:sz="4" w:space="0" w:color="auto"/>
              <w:right w:val="single" w:sz="4" w:space="0" w:color="auto"/>
            </w:tcBorders>
            <w:vAlign w:val="center"/>
          </w:tcPr>
          <w:p w14:paraId="4E395DC2" w14:textId="39DFD8C1"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689AD48F" w14:textId="5B8B2A52"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left w:val="double" w:sz="4" w:space="0" w:color="auto"/>
            </w:tcBorders>
            <w:vAlign w:val="center"/>
          </w:tcPr>
          <w:p w14:paraId="12211C77" w14:textId="04E36D33"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843" w:type="dxa"/>
            <w:tcBorders>
              <w:right w:val="double" w:sz="4" w:space="0" w:color="auto"/>
            </w:tcBorders>
            <w:vAlign w:val="center"/>
          </w:tcPr>
          <w:p w14:paraId="1B4DC74A" w14:textId="23E0F61A"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839" w:type="dxa"/>
            <w:tcBorders>
              <w:left w:val="double" w:sz="4" w:space="0" w:color="auto"/>
            </w:tcBorders>
            <w:vAlign w:val="center"/>
          </w:tcPr>
          <w:p w14:paraId="11E3355B" w14:textId="1CD5C8E2" w:rsidR="00596496" w:rsidRPr="00596496" w:rsidRDefault="00596496" w:rsidP="00E14270">
            <w:pPr>
              <w:spacing w:line="240" w:lineRule="auto"/>
              <w:jc w:val="center"/>
              <w:rPr>
                <w:rFonts w:eastAsia="Calibri"/>
                <w:sz w:val="20"/>
                <w:szCs w:val="20"/>
              </w:rPr>
            </w:pPr>
            <w:r w:rsidRPr="00596496">
              <w:rPr>
                <w:rFonts w:eastAsia="Calibri"/>
                <w:sz w:val="20"/>
                <w:szCs w:val="20"/>
              </w:rPr>
              <w:t>-0.222</w:t>
            </w:r>
          </w:p>
        </w:tc>
        <w:tc>
          <w:tcPr>
            <w:tcW w:w="865" w:type="dxa"/>
            <w:tcBorders>
              <w:right w:val="double" w:sz="4" w:space="0" w:color="auto"/>
            </w:tcBorders>
            <w:vAlign w:val="center"/>
          </w:tcPr>
          <w:p w14:paraId="5482A4DF" w14:textId="50885945" w:rsidR="00596496" w:rsidRPr="00596496" w:rsidRDefault="00596496" w:rsidP="00E14270">
            <w:pPr>
              <w:spacing w:line="240" w:lineRule="auto"/>
              <w:jc w:val="center"/>
              <w:rPr>
                <w:rFonts w:eastAsia="Calibri"/>
                <w:sz w:val="20"/>
                <w:szCs w:val="20"/>
              </w:rPr>
            </w:pPr>
            <w:r w:rsidRPr="00596496">
              <w:rPr>
                <w:rFonts w:eastAsia="Calibri"/>
                <w:sz w:val="20"/>
                <w:szCs w:val="20"/>
              </w:rPr>
              <w:t>-4.408</w:t>
            </w:r>
          </w:p>
        </w:tc>
      </w:tr>
      <w:tr w:rsidR="00596496" w:rsidRPr="00596496" w14:paraId="295B5700" w14:textId="77777777" w:rsidTr="00E14270">
        <w:trPr>
          <w:trHeight w:val="276"/>
          <w:jc w:val="center"/>
        </w:trPr>
        <w:tc>
          <w:tcPr>
            <w:tcW w:w="3312" w:type="dxa"/>
            <w:tcBorders>
              <w:left w:val="double" w:sz="4" w:space="0" w:color="auto"/>
              <w:right w:val="double" w:sz="4" w:space="0" w:color="auto"/>
            </w:tcBorders>
            <w:vAlign w:val="center"/>
          </w:tcPr>
          <w:p w14:paraId="036A4CFB" w14:textId="5EAE5402" w:rsidR="00596496" w:rsidRPr="00596496" w:rsidRDefault="00596496" w:rsidP="00E14270">
            <w:pPr>
              <w:spacing w:line="240" w:lineRule="auto"/>
              <w:rPr>
                <w:rFonts w:eastAsia="Calibri"/>
                <w:b/>
                <w:sz w:val="20"/>
                <w:szCs w:val="20"/>
              </w:rPr>
            </w:pPr>
            <w:r w:rsidRPr="00596496">
              <w:rPr>
                <w:rFonts w:eastAsia="Calibri"/>
                <w:b/>
                <w:sz w:val="20"/>
                <w:szCs w:val="20"/>
              </w:rPr>
              <w:t>Housing cost (dollars)</w:t>
            </w:r>
          </w:p>
        </w:tc>
        <w:tc>
          <w:tcPr>
            <w:tcW w:w="982" w:type="dxa"/>
            <w:tcBorders>
              <w:left w:val="double" w:sz="4" w:space="0" w:color="auto"/>
              <w:right w:val="single" w:sz="4" w:space="0" w:color="auto"/>
            </w:tcBorders>
            <w:vAlign w:val="center"/>
          </w:tcPr>
          <w:p w14:paraId="6B8CF090" w14:textId="084DFC3F"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972" w:type="dxa"/>
            <w:tcBorders>
              <w:left w:val="single" w:sz="4" w:space="0" w:color="auto"/>
              <w:right w:val="double" w:sz="4" w:space="0" w:color="auto"/>
            </w:tcBorders>
            <w:vAlign w:val="center"/>
          </w:tcPr>
          <w:p w14:paraId="77C1993A" w14:textId="32D2A43A"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722" w:type="dxa"/>
            <w:tcBorders>
              <w:left w:val="double" w:sz="4" w:space="0" w:color="auto"/>
              <w:right w:val="single" w:sz="4" w:space="0" w:color="auto"/>
            </w:tcBorders>
            <w:vAlign w:val="center"/>
          </w:tcPr>
          <w:p w14:paraId="5BD4FF55" w14:textId="55F30668"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785" w:type="dxa"/>
            <w:tcBorders>
              <w:left w:val="single" w:sz="4" w:space="0" w:color="auto"/>
              <w:right w:val="double" w:sz="4" w:space="0" w:color="auto"/>
            </w:tcBorders>
            <w:vAlign w:val="center"/>
          </w:tcPr>
          <w:p w14:paraId="22458148" w14:textId="6749AC9B"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753" w:type="dxa"/>
            <w:tcBorders>
              <w:left w:val="double" w:sz="4" w:space="0" w:color="auto"/>
              <w:right w:val="single" w:sz="4" w:space="0" w:color="auto"/>
            </w:tcBorders>
            <w:vAlign w:val="center"/>
          </w:tcPr>
          <w:p w14:paraId="09570A21" w14:textId="106F9492"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810" w:type="dxa"/>
            <w:tcBorders>
              <w:left w:val="single" w:sz="4" w:space="0" w:color="auto"/>
              <w:right w:val="double" w:sz="4" w:space="0" w:color="auto"/>
            </w:tcBorders>
            <w:vAlign w:val="center"/>
          </w:tcPr>
          <w:p w14:paraId="603A05F0" w14:textId="23A36BD9"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734" w:type="dxa"/>
            <w:tcBorders>
              <w:left w:val="double" w:sz="4" w:space="0" w:color="auto"/>
              <w:right w:val="single" w:sz="4" w:space="0" w:color="auto"/>
            </w:tcBorders>
            <w:vAlign w:val="center"/>
          </w:tcPr>
          <w:p w14:paraId="5D618FD1" w14:textId="4F6D3042"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2E4ADBDC" w14:textId="2AE1384F"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left w:val="double" w:sz="4" w:space="0" w:color="auto"/>
            </w:tcBorders>
            <w:vAlign w:val="center"/>
          </w:tcPr>
          <w:p w14:paraId="01E63BEF" w14:textId="1D39EA7F"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843" w:type="dxa"/>
            <w:tcBorders>
              <w:right w:val="double" w:sz="4" w:space="0" w:color="auto"/>
            </w:tcBorders>
            <w:vAlign w:val="center"/>
          </w:tcPr>
          <w:p w14:paraId="7895F159" w14:textId="51E5BBAA" w:rsidR="00596496" w:rsidRPr="00596496" w:rsidRDefault="00E14270" w:rsidP="00E14270">
            <w:pPr>
              <w:spacing w:line="240" w:lineRule="auto"/>
              <w:jc w:val="center"/>
              <w:rPr>
                <w:rFonts w:eastAsia="Calibri"/>
                <w:sz w:val="20"/>
                <w:szCs w:val="20"/>
              </w:rPr>
            </w:pPr>
            <w:r>
              <w:rPr>
                <w:rFonts w:eastAsia="Calibri"/>
                <w:sz w:val="20"/>
                <w:szCs w:val="20"/>
              </w:rPr>
              <w:t>-</w:t>
            </w:r>
          </w:p>
        </w:tc>
        <w:tc>
          <w:tcPr>
            <w:tcW w:w="839" w:type="dxa"/>
            <w:tcBorders>
              <w:left w:val="double" w:sz="4" w:space="0" w:color="auto"/>
            </w:tcBorders>
            <w:vAlign w:val="center"/>
          </w:tcPr>
          <w:p w14:paraId="2B58E603" w14:textId="77777777" w:rsidR="00596496" w:rsidRPr="00596496" w:rsidRDefault="00596496" w:rsidP="00E14270">
            <w:pPr>
              <w:spacing w:line="240" w:lineRule="auto"/>
              <w:jc w:val="center"/>
              <w:rPr>
                <w:rFonts w:eastAsia="Calibri"/>
                <w:sz w:val="20"/>
                <w:szCs w:val="20"/>
              </w:rPr>
            </w:pPr>
            <w:r w:rsidRPr="00596496">
              <w:rPr>
                <w:rFonts w:eastAsia="Calibri"/>
                <w:sz w:val="20"/>
                <w:szCs w:val="20"/>
              </w:rPr>
              <w:t>0.133</w:t>
            </w:r>
          </w:p>
        </w:tc>
        <w:tc>
          <w:tcPr>
            <w:tcW w:w="865" w:type="dxa"/>
            <w:tcBorders>
              <w:right w:val="double" w:sz="4" w:space="0" w:color="auto"/>
            </w:tcBorders>
            <w:vAlign w:val="center"/>
          </w:tcPr>
          <w:p w14:paraId="0C7CC341" w14:textId="77777777" w:rsidR="00596496" w:rsidRPr="00596496" w:rsidRDefault="00596496" w:rsidP="00E14270">
            <w:pPr>
              <w:spacing w:line="240" w:lineRule="auto"/>
              <w:jc w:val="center"/>
              <w:rPr>
                <w:rFonts w:eastAsia="Calibri"/>
                <w:sz w:val="20"/>
                <w:szCs w:val="20"/>
              </w:rPr>
            </w:pPr>
            <w:r w:rsidRPr="00596496">
              <w:rPr>
                <w:rFonts w:eastAsia="Calibri"/>
                <w:sz w:val="20"/>
                <w:szCs w:val="20"/>
              </w:rPr>
              <w:t>4.613</w:t>
            </w:r>
          </w:p>
        </w:tc>
      </w:tr>
      <w:tr w:rsidR="00E14270" w:rsidRPr="00596496" w14:paraId="1C0F6AB1" w14:textId="77777777" w:rsidTr="00E14270">
        <w:trPr>
          <w:trHeight w:val="276"/>
          <w:jc w:val="center"/>
        </w:trPr>
        <w:tc>
          <w:tcPr>
            <w:tcW w:w="3312" w:type="dxa"/>
            <w:tcBorders>
              <w:left w:val="double" w:sz="4" w:space="0" w:color="auto"/>
              <w:right w:val="double" w:sz="4" w:space="0" w:color="auto"/>
            </w:tcBorders>
            <w:vAlign w:val="center"/>
          </w:tcPr>
          <w:p w14:paraId="3025724B" w14:textId="1E7FE7AD" w:rsidR="00E14270" w:rsidRPr="00596496" w:rsidRDefault="00E14270" w:rsidP="001B69D9">
            <w:pPr>
              <w:spacing w:line="240" w:lineRule="auto"/>
              <w:rPr>
                <w:rFonts w:eastAsia="Calibri"/>
                <w:b/>
                <w:sz w:val="20"/>
                <w:szCs w:val="20"/>
              </w:rPr>
            </w:pPr>
            <w:r w:rsidRPr="00596496">
              <w:rPr>
                <w:rFonts w:eastAsia="Calibri"/>
                <w:b/>
                <w:sz w:val="20"/>
                <w:szCs w:val="20"/>
              </w:rPr>
              <w:t xml:space="preserve">Square footage of </w:t>
            </w:r>
            <w:r w:rsidR="001B69D9">
              <w:rPr>
                <w:rFonts w:eastAsia="Calibri"/>
                <w:b/>
                <w:sz w:val="20"/>
                <w:szCs w:val="20"/>
              </w:rPr>
              <w:t>the dwelling unit</w:t>
            </w:r>
          </w:p>
        </w:tc>
        <w:tc>
          <w:tcPr>
            <w:tcW w:w="982" w:type="dxa"/>
            <w:tcBorders>
              <w:left w:val="double" w:sz="4" w:space="0" w:color="auto"/>
              <w:right w:val="single" w:sz="4" w:space="0" w:color="auto"/>
            </w:tcBorders>
            <w:vAlign w:val="center"/>
          </w:tcPr>
          <w:p w14:paraId="275E4F41" w14:textId="289B61BC"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972" w:type="dxa"/>
            <w:tcBorders>
              <w:left w:val="single" w:sz="4" w:space="0" w:color="auto"/>
              <w:right w:val="double" w:sz="4" w:space="0" w:color="auto"/>
            </w:tcBorders>
            <w:vAlign w:val="center"/>
          </w:tcPr>
          <w:p w14:paraId="4308B199" w14:textId="6C012B9B"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22" w:type="dxa"/>
            <w:tcBorders>
              <w:left w:val="double" w:sz="4" w:space="0" w:color="auto"/>
              <w:right w:val="single" w:sz="4" w:space="0" w:color="auto"/>
            </w:tcBorders>
            <w:vAlign w:val="center"/>
          </w:tcPr>
          <w:p w14:paraId="5C314544" w14:textId="03F2D000"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85" w:type="dxa"/>
            <w:tcBorders>
              <w:left w:val="single" w:sz="4" w:space="0" w:color="auto"/>
              <w:right w:val="double" w:sz="4" w:space="0" w:color="auto"/>
            </w:tcBorders>
            <w:vAlign w:val="center"/>
          </w:tcPr>
          <w:p w14:paraId="69A88C63" w14:textId="152238B0"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53" w:type="dxa"/>
            <w:tcBorders>
              <w:left w:val="double" w:sz="4" w:space="0" w:color="auto"/>
              <w:right w:val="single" w:sz="4" w:space="0" w:color="auto"/>
            </w:tcBorders>
            <w:vAlign w:val="center"/>
          </w:tcPr>
          <w:p w14:paraId="1B2EE3E2" w14:textId="5CE5839D"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10" w:type="dxa"/>
            <w:tcBorders>
              <w:left w:val="single" w:sz="4" w:space="0" w:color="auto"/>
              <w:right w:val="double" w:sz="4" w:space="0" w:color="auto"/>
            </w:tcBorders>
            <w:vAlign w:val="center"/>
          </w:tcPr>
          <w:p w14:paraId="599B91E0" w14:textId="6BF70968"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34" w:type="dxa"/>
            <w:tcBorders>
              <w:left w:val="double" w:sz="4" w:space="0" w:color="auto"/>
              <w:right w:val="single" w:sz="4" w:space="0" w:color="auto"/>
            </w:tcBorders>
            <w:vAlign w:val="center"/>
          </w:tcPr>
          <w:p w14:paraId="12DDCA34" w14:textId="7F30BFC8"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474481CA" w14:textId="0C3A562B"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left w:val="double" w:sz="4" w:space="0" w:color="auto"/>
            </w:tcBorders>
            <w:vAlign w:val="center"/>
          </w:tcPr>
          <w:p w14:paraId="36B798BC" w14:textId="35086280"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43" w:type="dxa"/>
            <w:tcBorders>
              <w:right w:val="double" w:sz="4" w:space="0" w:color="auto"/>
            </w:tcBorders>
            <w:vAlign w:val="center"/>
          </w:tcPr>
          <w:p w14:paraId="3C6B269C" w14:textId="1DB788CA"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39" w:type="dxa"/>
            <w:tcBorders>
              <w:left w:val="double" w:sz="4" w:space="0" w:color="auto"/>
            </w:tcBorders>
            <w:vAlign w:val="center"/>
          </w:tcPr>
          <w:p w14:paraId="75B4FEFE"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0.064</w:t>
            </w:r>
          </w:p>
        </w:tc>
        <w:tc>
          <w:tcPr>
            <w:tcW w:w="865" w:type="dxa"/>
            <w:tcBorders>
              <w:right w:val="double" w:sz="4" w:space="0" w:color="auto"/>
            </w:tcBorders>
            <w:vAlign w:val="center"/>
          </w:tcPr>
          <w:p w14:paraId="3BA74BB0"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4.583</w:t>
            </w:r>
          </w:p>
        </w:tc>
      </w:tr>
      <w:tr w:rsidR="00E14270" w:rsidRPr="00596496" w14:paraId="54A78EB0" w14:textId="77777777" w:rsidTr="00E14270">
        <w:trPr>
          <w:trHeight w:val="276"/>
          <w:jc w:val="center"/>
        </w:trPr>
        <w:tc>
          <w:tcPr>
            <w:tcW w:w="3312" w:type="dxa"/>
            <w:tcBorders>
              <w:left w:val="double" w:sz="4" w:space="0" w:color="auto"/>
              <w:right w:val="double" w:sz="4" w:space="0" w:color="auto"/>
            </w:tcBorders>
            <w:vAlign w:val="center"/>
          </w:tcPr>
          <w:p w14:paraId="167CD448" w14:textId="6A317340" w:rsidR="00E14270" w:rsidRPr="00596496" w:rsidRDefault="00E14270" w:rsidP="00E14270">
            <w:pPr>
              <w:spacing w:line="240" w:lineRule="auto"/>
              <w:rPr>
                <w:rFonts w:eastAsia="Calibri"/>
                <w:b/>
                <w:sz w:val="20"/>
                <w:szCs w:val="20"/>
              </w:rPr>
            </w:pPr>
            <w:r w:rsidRPr="00596496">
              <w:rPr>
                <w:rFonts w:eastAsia="Calibri"/>
                <w:b/>
                <w:sz w:val="20"/>
                <w:szCs w:val="20"/>
              </w:rPr>
              <w:t>Residential location (base: suburb)</w:t>
            </w:r>
          </w:p>
        </w:tc>
        <w:tc>
          <w:tcPr>
            <w:tcW w:w="982" w:type="dxa"/>
            <w:tcBorders>
              <w:left w:val="double" w:sz="4" w:space="0" w:color="auto"/>
              <w:right w:val="single" w:sz="4" w:space="0" w:color="auto"/>
            </w:tcBorders>
            <w:vAlign w:val="center"/>
          </w:tcPr>
          <w:p w14:paraId="43FFD9A3" w14:textId="77777777" w:rsidR="00E14270" w:rsidRPr="00596496" w:rsidRDefault="00E14270" w:rsidP="00E14270">
            <w:pPr>
              <w:spacing w:line="240" w:lineRule="auto"/>
              <w:jc w:val="center"/>
              <w:rPr>
                <w:rFonts w:eastAsia="Calibri"/>
                <w:sz w:val="20"/>
                <w:szCs w:val="20"/>
              </w:rPr>
            </w:pPr>
          </w:p>
        </w:tc>
        <w:tc>
          <w:tcPr>
            <w:tcW w:w="972" w:type="dxa"/>
            <w:tcBorders>
              <w:left w:val="single" w:sz="4" w:space="0" w:color="auto"/>
              <w:right w:val="double" w:sz="4" w:space="0" w:color="auto"/>
            </w:tcBorders>
            <w:vAlign w:val="center"/>
          </w:tcPr>
          <w:p w14:paraId="638D94BD" w14:textId="681335B2" w:rsidR="00E14270" w:rsidRPr="00596496" w:rsidRDefault="00E14270" w:rsidP="00E14270">
            <w:pPr>
              <w:spacing w:line="240" w:lineRule="auto"/>
              <w:jc w:val="center"/>
              <w:rPr>
                <w:rFonts w:eastAsia="Calibri"/>
                <w:sz w:val="20"/>
                <w:szCs w:val="20"/>
              </w:rPr>
            </w:pPr>
          </w:p>
        </w:tc>
        <w:tc>
          <w:tcPr>
            <w:tcW w:w="722" w:type="dxa"/>
            <w:tcBorders>
              <w:left w:val="double" w:sz="4" w:space="0" w:color="auto"/>
              <w:right w:val="single" w:sz="4" w:space="0" w:color="auto"/>
            </w:tcBorders>
            <w:vAlign w:val="center"/>
          </w:tcPr>
          <w:p w14:paraId="1DF25A45" w14:textId="3F921DCA" w:rsidR="00E14270" w:rsidRPr="00596496" w:rsidRDefault="00E14270" w:rsidP="00E14270">
            <w:pPr>
              <w:spacing w:line="240" w:lineRule="auto"/>
              <w:jc w:val="center"/>
              <w:rPr>
                <w:rFonts w:eastAsia="Calibri"/>
                <w:sz w:val="20"/>
                <w:szCs w:val="20"/>
              </w:rPr>
            </w:pPr>
          </w:p>
        </w:tc>
        <w:tc>
          <w:tcPr>
            <w:tcW w:w="785" w:type="dxa"/>
            <w:tcBorders>
              <w:left w:val="single" w:sz="4" w:space="0" w:color="auto"/>
              <w:right w:val="double" w:sz="4" w:space="0" w:color="auto"/>
            </w:tcBorders>
            <w:vAlign w:val="center"/>
          </w:tcPr>
          <w:p w14:paraId="6E699002" w14:textId="693B2B20" w:rsidR="00E14270" w:rsidRPr="00596496" w:rsidRDefault="00E14270" w:rsidP="00E14270">
            <w:pPr>
              <w:spacing w:line="240" w:lineRule="auto"/>
              <w:jc w:val="center"/>
              <w:rPr>
                <w:rFonts w:eastAsia="Calibri"/>
                <w:sz w:val="20"/>
                <w:szCs w:val="20"/>
              </w:rPr>
            </w:pPr>
          </w:p>
        </w:tc>
        <w:tc>
          <w:tcPr>
            <w:tcW w:w="753" w:type="dxa"/>
            <w:tcBorders>
              <w:left w:val="double" w:sz="4" w:space="0" w:color="auto"/>
              <w:right w:val="single" w:sz="4" w:space="0" w:color="auto"/>
            </w:tcBorders>
            <w:vAlign w:val="center"/>
          </w:tcPr>
          <w:p w14:paraId="3687EC9D" w14:textId="021EB099" w:rsidR="00E14270" w:rsidRPr="00596496" w:rsidRDefault="00E14270" w:rsidP="00E14270">
            <w:pPr>
              <w:spacing w:line="240" w:lineRule="auto"/>
              <w:jc w:val="center"/>
              <w:rPr>
                <w:rFonts w:eastAsia="Calibri"/>
                <w:sz w:val="20"/>
                <w:szCs w:val="20"/>
              </w:rPr>
            </w:pPr>
          </w:p>
        </w:tc>
        <w:tc>
          <w:tcPr>
            <w:tcW w:w="810" w:type="dxa"/>
            <w:tcBorders>
              <w:left w:val="single" w:sz="4" w:space="0" w:color="auto"/>
              <w:right w:val="double" w:sz="4" w:space="0" w:color="auto"/>
            </w:tcBorders>
            <w:vAlign w:val="center"/>
          </w:tcPr>
          <w:p w14:paraId="473037AC" w14:textId="70E90594" w:rsidR="00E14270" w:rsidRPr="00596496" w:rsidRDefault="00E14270" w:rsidP="00E14270">
            <w:pPr>
              <w:spacing w:line="240" w:lineRule="auto"/>
              <w:jc w:val="center"/>
              <w:rPr>
                <w:rFonts w:eastAsia="Calibri"/>
                <w:sz w:val="20"/>
                <w:szCs w:val="20"/>
              </w:rPr>
            </w:pPr>
          </w:p>
        </w:tc>
        <w:tc>
          <w:tcPr>
            <w:tcW w:w="734" w:type="dxa"/>
            <w:tcBorders>
              <w:left w:val="double" w:sz="4" w:space="0" w:color="auto"/>
              <w:right w:val="single" w:sz="4" w:space="0" w:color="auto"/>
            </w:tcBorders>
            <w:vAlign w:val="center"/>
          </w:tcPr>
          <w:p w14:paraId="432CC04D" w14:textId="40383403" w:rsidR="00E14270" w:rsidRPr="00596496" w:rsidRDefault="00E14270" w:rsidP="00E14270">
            <w:pPr>
              <w:spacing w:line="240" w:lineRule="auto"/>
              <w:jc w:val="center"/>
              <w:rPr>
                <w:rFonts w:eastAsia="Calibri"/>
                <w:sz w:val="20"/>
                <w:szCs w:val="20"/>
              </w:rPr>
            </w:pPr>
          </w:p>
        </w:tc>
        <w:tc>
          <w:tcPr>
            <w:tcW w:w="776" w:type="dxa"/>
            <w:tcBorders>
              <w:left w:val="single" w:sz="4" w:space="0" w:color="auto"/>
              <w:right w:val="double" w:sz="4" w:space="0" w:color="auto"/>
            </w:tcBorders>
            <w:vAlign w:val="center"/>
          </w:tcPr>
          <w:p w14:paraId="293D12EA" w14:textId="61A2F20D" w:rsidR="00E14270" w:rsidRPr="00596496" w:rsidRDefault="00E14270" w:rsidP="00E14270">
            <w:pPr>
              <w:spacing w:line="240" w:lineRule="auto"/>
              <w:jc w:val="center"/>
              <w:rPr>
                <w:rFonts w:eastAsia="Calibri"/>
                <w:sz w:val="20"/>
                <w:szCs w:val="20"/>
              </w:rPr>
            </w:pPr>
          </w:p>
        </w:tc>
        <w:tc>
          <w:tcPr>
            <w:tcW w:w="865" w:type="dxa"/>
            <w:tcBorders>
              <w:left w:val="double" w:sz="4" w:space="0" w:color="auto"/>
            </w:tcBorders>
            <w:vAlign w:val="center"/>
          </w:tcPr>
          <w:p w14:paraId="72C2E8F8" w14:textId="2A3408A9" w:rsidR="00E14270" w:rsidRPr="00596496" w:rsidRDefault="00E14270" w:rsidP="00E14270">
            <w:pPr>
              <w:spacing w:line="240" w:lineRule="auto"/>
              <w:jc w:val="center"/>
              <w:rPr>
                <w:rFonts w:eastAsia="Calibri"/>
                <w:sz w:val="20"/>
                <w:szCs w:val="20"/>
              </w:rPr>
            </w:pPr>
          </w:p>
        </w:tc>
        <w:tc>
          <w:tcPr>
            <w:tcW w:w="843" w:type="dxa"/>
            <w:tcBorders>
              <w:right w:val="double" w:sz="4" w:space="0" w:color="auto"/>
            </w:tcBorders>
            <w:vAlign w:val="center"/>
          </w:tcPr>
          <w:p w14:paraId="3A705FB7" w14:textId="77777777" w:rsidR="00E14270" w:rsidRPr="00596496" w:rsidRDefault="00E14270" w:rsidP="00E14270">
            <w:pPr>
              <w:spacing w:line="240" w:lineRule="auto"/>
              <w:jc w:val="center"/>
              <w:rPr>
                <w:rFonts w:eastAsia="Calibri"/>
                <w:sz w:val="20"/>
                <w:szCs w:val="20"/>
              </w:rPr>
            </w:pPr>
          </w:p>
        </w:tc>
        <w:tc>
          <w:tcPr>
            <w:tcW w:w="839" w:type="dxa"/>
            <w:tcBorders>
              <w:left w:val="double" w:sz="4" w:space="0" w:color="auto"/>
            </w:tcBorders>
            <w:vAlign w:val="center"/>
          </w:tcPr>
          <w:p w14:paraId="0414BF6F" w14:textId="77777777" w:rsidR="00E14270" w:rsidRPr="00596496" w:rsidRDefault="00E14270" w:rsidP="00E14270">
            <w:pPr>
              <w:spacing w:line="240" w:lineRule="auto"/>
              <w:jc w:val="center"/>
              <w:rPr>
                <w:rFonts w:eastAsia="Calibri"/>
                <w:sz w:val="20"/>
                <w:szCs w:val="20"/>
              </w:rPr>
            </w:pPr>
          </w:p>
        </w:tc>
        <w:tc>
          <w:tcPr>
            <w:tcW w:w="865" w:type="dxa"/>
            <w:tcBorders>
              <w:right w:val="double" w:sz="4" w:space="0" w:color="auto"/>
            </w:tcBorders>
            <w:vAlign w:val="center"/>
          </w:tcPr>
          <w:p w14:paraId="2B00B189" w14:textId="77777777" w:rsidR="00E14270" w:rsidRPr="00596496" w:rsidRDefault="00E14270" w:rsidP="00E14270">
            <w:pPr>
              <w:spacing w:line="240" w:lineRule="auto"/>
              <w:jc w:val="center"/>
              <w:rPr>
                <w:rFonts w:eastAsia="Calibri"/>
                <w:sz w:val="20"/>
                <w:szCs w:val="20"/>
              </w:rPr>
            </w:pPr>
          </w:p>
        </w:tc>
      </w:tr>
      <w:tr w:rsidR="00E14270" w:rsidRPr="00596496" w14:paraId="51C84427" w14:textId="77777777" w:rsidTr="00E14270">
        <w:trPr>
          <w:trHeight w:val="276"/>
          <w:jc w:val="center"/>
        </w:trPr>
        <w:tc>
          <w:tcPr>
            <w:tcW w:w="3312" w:type="dxa"/>
            <w:tcBorders>
              <w:left w:val="double" w:sz="4" w:space="0" w:color="auto"/>
              <w:right w:val="double" w:sz="4" w:space="0" w:color="auto"/>
            </w:tcBorders>
            <w:vAlign w:val="center"/>
          </w:tcPr>
          <w:p w14:paraId="3B19DF70" w14:textId="7B15C9B7" w:rsidR="00E14270" w:rsidRPr="00596496" w:rsidRDefault="00E14270" w:rsidP="00E14270">
            <w:pPr>
              <w:spacing w:line="240" w:lineRule="auto"/>
              <w:rPr>
                <w:rFonts w:eastAsia="Calibri"/>
                <w:sz w:val="20"/>
                <w:szCs w:val="20"/>
              </w:rPr>
            </w:pPr>
            <w:r w:rsidRPr="00596496">
              <w:rPr>
                <w:rFonts w:eastAsia="Calibri"/>
                <w:sz w:val="20"/>
                <w:szCs w:val="20"/>
              </w:rPr>
              <w:t xml:space="preserve">   Secondary city</w:t>
            </w:r>
          </w:p>
        </w:tc>
        <w:tc>
          <w:tcPr>
            <w:tcW w:w="982" w:type="dxa"/>
            <w:tcBorders>
              <w:left w:val="double" w:sz="4" w:space="0" w:color="auto"/>
              <w:right w:val="single" w:sz="4" w:space="0" w:color="auto"/>
            </w:tcBorders>
            <w:vAlign w:val="center"/>
          </w:tcPr>
          <w:p w14:paraId="2CC187B3" w14:textId="25078161"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972" w:type="dxa"/>
            <w:tcBorders>
              <w:left w:val="single" w:sz="4" w:space="0" w:color="auto"/>
              <w:right w:val="double" w:sz="4" w:space="0" w:color="auto"/>
            </w:tcBorders>
            <w:vAlign w:val="center"/>
          </w:tcPr>
          <w:p w14:paraId="35432B0E" w14:textId="2BFB3178"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22" w:type="dxa"/>
            <w:tcBorders>
              <w:left w:val="double" w:sz="4" w:space="0" w:color="auto"/>
              <w:right w:val="single" w:sz="4" w:space="0" w:color="auto"/>
            </w:tcBorders>
            <w:vAlign w:val="center"/>
          </w:tcPr>
          <w:p w14:paraId="776B877D" w14:textId="5EA58A28"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85" w:type="dxa"/>
            <w:tcBorders>
              <w:left w:val="single" w:sz="4" w:space="0" w:color="auto"/>
              <w:right w:val="double" w:sz="4" w:space="0" w:color="auto"/>
            </w:tcBorders>
            <w:vAlign w:val="center"/>
          </w:tcPr>
          <w:p w14:paraId="7426D11B" w14:textId="0FB1F7E7"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53" w:type="dxa"/>
            <w:tcBorders>
              <w:left w:val="double" w:sz="4" w:space="0" w:color="auto"/>
              <w:right w:val="single" w:sz="4" w:space="0" w:color="auto"/>
            </w:tcBorders>
            <w:vAlign w:val="center"/>
          </w:tcPr>
          <w:p w14:paraId="177D7E62" w14:textId="39800474"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10" w:type="dxa"/>
            <w:tcBorders>
              <w:left w:val="single" w:sz="4" w:space="0" w:color="auto"/>
              <w:right w:val="double" w:sz="4" w:space="0" w:color="auto"/>
            </w:tcBorders>
            <w:vAlign w:val="center"/>
          </w:tcPr>
          <w:p w14:paraId="3B1DE7E7" w14:textId="7F379E11"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34" w:type="dxa"/>
            <w:tcBorders>
              <w:left w:val="double" w:sz="4" w:space="0" w:color="auto"/>
              <w:right w:val="single" w:sz="4" w:space="0" w:color="auto"/>
            </w:tcBorders>
            <w:vAlign w:val="center"/>
          </w:tcPr>
          <w:p w14:paraId="1BE9F9BA" w14:textId="13B800C4"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78B4B25F" w14:textId="15022C28"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left w:val="double" w:sz="4" w:space="0" w:color="auto"/>
            </w:tcBorders>
            <w:vAlign w:val="center"/>
          </w:tcPr>
          <w:p w14:paraId="3558C014" w14:textId="19D59DBC" w:rsidR="00E14270" w:rsidRPr="00596496" w:rsidRDefault="00E14270" w:rsidP="00E14270">
            <w:pPr>
              <w:spacing w:line="240" w:lineRule="auto"/>
              <w:jc w:val="center"/>
              <w:rPr>
                <w:rFonts w:eastAsia="Calibri"/>
                <w:sz w:val="20"/>
                <w:szCs w:val="20"/>
              </w:rPr>
            </w:pPr>
            <w:r w:rsidRPr="00596496">
              <w:rPr>
                <w:rFonts w:eastAsia="Calibri"/>
                <w:sz w:val="20"/>
                <w:szCs w:val="20"/>
              </w:rPr>
              <w:t>0.305</w:t>
            </w:r>
          </w:p>
        </w:tc>
        <w:tc>
          <w:tcPr>
            <w:tcW w:w="843" w:type="dxa"/>
            <w:tcBorders>
              <w:right w:val="double" w:sz="4" w:space="0" w:color="auto"/>
            </w:tcBorders>
            <w:vAlign w:val="center"/>
          </w:tcPr>
          <w:p w14:paraId="28CD7CA2" w14:textId="3310FDD4" w:rsidR="00E14270" w:rsidRPr="00596496" w:rsidRDefault="00E14270" w:rsidP="00E14270">
            <w:pPr>
              <w:spacing w:line="240" w:lineRule="auto"/>
              <w:jc w:val="center"/>
              <w:rPr>
                <w:rFonts w:eastAsia="Calibri"/>
                <w:sz w:val="20"/>
                <w:szCs w:val="20"/>
              </w:rPr>
            </w:pPr>
            <w:r w:rsidRPr="00596496">
              <w:rPr>
                <w:rFonts w:eastAsia="Calibri"/>
                <w:sz w:val="20"/>
                <w:szCs w:val="20"/>
              </w:rPr>
              <w:t>3.979</w:t>
            </w:r>
          </w:p>
        </w:tc>
        <w:tc>
          <w:tcPr>
            <w:tcW w:w="839" w:type="dxa"/>
            <w:tcBorders>
              <w:left w:val="double" w:sz="4" w:space="0" w:color="auto"/>
            </w:tcBorders>
            <w:vAlign w:val="center"/>
          </w:tcPr>
          <w:p w14:paraId="6E33239F"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-0.092</w:t>
            </w:r>
          </w:p>
        </w:tc>
        <w:tc>
          <w:tcPr>
            <w:tcW w:w="865" w:type="dxa"/>
            <w:tcBorders>
              <w:right w:val="double" w:sz="4" w:space="0" w:color="auto"/>
            </w:tcBorders>
            <w:vAlign w:val="center"/>
          </w:tcPr>
          <w:p w14:paraId="3AEA839F" w14:textId="2DE68143" w:rsidR="00E14270" w:rsidRPr="00596496" w:rsidRDefault="00E14270" w:rsidP="00E14270">
            <w:pPr>
              <w:spacing w:line="240" w:lineRule="auto"/>
              <w:jc w:val="center"/>
              <w:rPr>
                <w:rFonts w:eastAsia="Calibri"/>
                <w:sz w:val="20"/>
                <w:szCs w:val="20"/>
              </w:rPr>
            </w:pPr>
            <w:r w:rsidRPr="00596496">
              <w:rPr>
                <w:rFonts w:eastAsia="Calibri"/>
                <w:sz w:val="20"/>
                <w:szCs w:val="20"/>
              </w:rPr>
              <w:t>-4.090</w:t>
            </w:r>
          </w:p>
        </w:tc>
      </w:tr>
      <w:tr w:rsidR="00E14270" w:rsidRPr="00596496" w14:paraId="3BD3FD01" w14:textId="77777777" w:rsidTr="00E14270">
        <w:trPr>
          <w:trHeight w:val="276"/>
          <w:jc w:val="center"/>
        </w:trPr>
        <w:tc>
          <w:tcPr>
            <w:tcW w:w="3312" w:type="dxa"/>
            <w:tcBorders>
              <w:left w:val="double" w:sz="4" w:space="0" w:color="auto"/>
              <w:right w:val="double" w:sz="4" w:space="0" w:color="auto"/>
            </w:tcBorders>
            <w:vAlign w:val="center"/>
          </w:tcPr>
          <w:p w14:paraId="0AEB5A66" w14:textId="2A862AED" w:rsidR="00E14270" w:rsidRPr="00596496" w:rsidRDefault="00E14270" w:rsidP="00E14270">
            <w:pPr>
              <w:spacing w:line="240" w:lineRule="auto"/>
              <w:rPr>
                <w:rFonts w:eastAsia="Calibri"/>
                <w:sz w:val="20"/>
                <w:szCs w:val="20"/>
              </w:rPr>
            </w:pPr>
            <w:r w:rsidRPr="00596496">
              <w:rPr>
                <w:rFonts w:eastAsia="Calibri"/>
                <w:sz w:val="20"/>
                <w:szCs w:val="20"/>
              </w:rPr>
              <w:t xml:space="preserve">   Primary city</w:t>
            </w:r>
          </w:p>
        </w:tc>
        <w:tc>
          <w:tcPr>
            <w:tcW w:w="982" w:type="dxa"/>
            <w:tcBorders>
              <w:left w:val="double" w:sz="4" w:space="0" w:color="auto"/>
              <w:right w:val="single" w:sz="4" w:space="0" w:color="auto"/>
            </w:tcBorders>
            <w:vAlign w:val="center"/>
          </w:tcPr>
          <w:p w14:paraId="1A16AD50" w14:textId="336077E5"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972" w:type="dxa"/>
            <w:tcBorders>
              <w:left w:val="single" w:sz="4" w:space="0" w:color="auto"/>
              <w:right w:val="double" w:sz="4" w:space="0" w:color="auto"/>
            </w:tcBorders>
            <w:vAlign w:val="center"/>
          </w:tcPr>
          <w:p w14:paraId="25EED84C" w14:textId="16E450C1"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22" w:type="dxa"/>
            <w:tcBorders>
              <w:left w:val="double" w:sz="4" w:space="0" w:color="auto"/>
              <w:right w:val="single" w:sz="4" w:space="0" w:color="auto"/>
            </w:tcBorders>
            <w:vAlign w:val="center"/>
          </w:tcPr>
          <w:p w14:paraId="07DEE54E" w14:textId="4FFAB74E"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85" w:type="dxa"/>
            <w:tcBorders>
              <w:left w:val="single" w:sz="4" w:space="0" w:color="auto"/>
              <w:right w:val="double" w:sz="4" w:space="0" w:color="auto"/>
            </w:tcBorders>
            <w:vAlign w:val="center"/>
          </w:tcPr>
          <w:p w14:paraId="429F9052" w14:textId="60571835"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53" w:type="dxa"/>
            <w:tcBorders>
              <w:left w:val="double" w:sz="4" w:space="0" w:color="auto"/>
              <w:right w:val="single" w:sz="4" w:space="0" w:color="auto"/>
            </w:tcBorders>
            <w:vAlign w:val="center"/>
          </w:tcPr>
          <w:p w14:paraId="200321C4" w14:textId="0848802D"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10" w:type="dxa"/>
            <w:tcBorders>
              <w:left w:val="single" w:sz="4" w:space="0" w:color="auto"/>
              <w:right w:val="double" w:sz="4" w:space="0" w:color="auto"/>
            </w:tcBorders>
            <w:vAlign w:val="center"/>
          </w:tcPr>
          <w:p w14:paraId="5BA7BA36" w14:textId="6069E66F"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34" w:type="dxa"/>
            <w:tcBorders>
              <w:left w:val="double" w:sz="4" w:space="0" w:color="auto"/>
              <w:right w:val="single" w:sz="4" w:space="0" w:color="auto"/>
            </w:tcBorders>
            <w:vAlign w:val="center"/>
          </w:tcPr>
          <w:p w14:paraId="6CF6A83A" w14:textId="59BA10FB"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76C3B451" w14:textId="522A5329"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left w:val="double" w:sz="4" w:space="0" w:color="auto"/>
            </w:tcBorders>
            <w:vAlign w:val="center"/>
          </w:tcPr>
          <w:p w14:paraId="39C3C23E" w14:textId="7EF9B99C" w:rsidR="00E14270" w:rsidRPr="00596496" w:rsidRDefault="00E14270" w:rsidP="00E14270">
            <w:pPr>
              <w:spacing w:line="240" w:lineRule="auto"/>
              <w:jc w:val="center"/>
              <w:rPr>
                <w:rFonts w:eastAsia="Calibri"/>
                <w:sz w:val="20"/>
                <w:szCs w:val="20"/>
              </w:rPr>
            </w:pPr>
            <w:r w:rsidRPr="00596496">
              <w:rPr>
                <w:rFonts w:eastAsia="Calibri"/>
                <w:sz w:val="20"/>
                <w:szCs w:val="20"/>
              </w:rPr>
              <w:t>1.736</w:t>
            </w:r>
          </w:p>
        </w:tc>
        <w:tc>
          <w:tcPr>
            <w:tcW w:w="843" w:type="dxa"/>
            <w:tcBorders>
              <w:right w:val="double" w:sz="4" w:space="0" w:color="auto"/>
            </w:tcBorders>
            <w:vAlign w:val="center"/>
          </w:tcPr>
          <w:p w14:paraId="25FF9320" w14:textId="4D528072" w:rsidR="00E14270" w:rsidRPr="00596496" w:rsidRDefault="00E14270" w:rsidP="00E14270">
            <w:pPr>
              <w:spacing w:line="240" w:lineRule="auto"/>
              <w:jc w:val="center"/>
              <w:rPr>
                <w:rFonts w:eastAsia="Calibri"/>
                <w:sz w:val="20"/>
                <w:szCs w:val="20"/>
              </w:rPr>
            </w:pPr>
            <w:r w:rsidRPr="00596496">
              <w:rPr>
                <w:rFonts w:eastAsia="Calibri"/>
                <w:sz w:val="20"/>
                <w:szCs w:val="20"/>
              </w:rPr>
              <w:t>2.679</w:t>
            </w:r>
          </w:p>
        </w:tc>
        <w:tc>
          <w:tcPr>
            <w:tcW w:w="839" w:type="dxa"/>
            <w:tcBorders>
              <w:left w:val="double" w:sz="4" w:space="0" w:color="auto"/>
            </w:tcBorders>
            <w:vAlign w:val="center"/>
          </w:tcPr>
          <w:p w14:paraId="58BBFADB" w14:textId="16AD544C"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right w:val="double" w:sz="4" w:space="0" w:color="auto"/>
            </w:tcBorders>
            <w:vAlign w:val="center"/>
          </w:tcPr>
          <w:p w14:paraId="3E93814B" w14:textId="128798FD" w:rsidR="00E14270" w:rsidRPr="00596496" w:rsidRDefault="00E14270" w:rsidP="00E14270">
            <w:pPr>
              <w:spacing w:line="240" w:lineRule="auto"/>
              <w:jc w:val="center"/>
              <w:rPr>
                <w:rFonts w:eastAsia="Calibri"/>
                <w:sz w:val="20"/>
                <w:szCs w:val="20"/>
              </w:rPr>
            </w:pPr>
            <w:r>
              <w:rPr>
                <w:rFonts w:eastAsia="Calibri"/>
                <w:sz w:val="20"/>
                <w:szCs w:val="20"/>
              </w:rPr>
              <w:t>-</w:t>
            </w:r>
          </w:p>
        </w:tc>
      </w:tr>
      <w:tr w:rsidR="00E14270" w:rsidRPr="00596496" w14:paraId="377EA9D4" w14:textId="77777777" w:rsidTr="00E14270">
        <w:trPr>
          <w:trHeight w:val="276"/>
          <w:jc w:val="center"/>
        </w:trPr>
        <w:tc>
          <w:tcPr>
            <w:tcW w:w="3312" w:type="dxa"/>
            <w:tcBorders>
              <w:left w:val="double" w:sz="4" w:space="0" w:color="auto"/>
              <w:right w:val="double" w:sz="4" w:space="0" w:color="auto"/>
            </w:tcBorders>
            <w:vAlign w:val="center"/>
          </w:tcPr>
          <w:p w14:paraId="4E9DD246" w14:textId="6F7970E7" w:rsidR="00E14270" w:rsidRPr="00596496" w:rsidRDefault="00E14270" w:rsidP="00E14270">
            <w:pPr>
              <w:spacing w:line="240" w:lineRule="auto"/>
              <w:rPr>
                <w:rFonts w:eastAsia="Calibri"/>
                <w:b/>
                <w:sz w:val="20"/>
                <w:szCs w:val="20"/>
              </w:rPr>
            </w:pPr>
            <w:r w:rsidRPr="00596496">
              <w:rPr>
                <w:rFonts w:eastAsia="Calibri"/>
                <w:b/>
                <w:sz w:val="20"/>
                <w:szCs w:val="20"/>
              </w:rPr>
              <w:t>Tenure type (base: owned)</w:t>
            </w:r>
          </w:p>
        </w:tc>
        <w:tc>
          <w:tcPr>
            <w:tcW w:w="982" w:type="dxa"/>
            <w:tcBorders>
              <w:left w:val="double" w:sz="4" w:space="0" w:color="auto"/>
              <w:right w:val="single" w:sz="4" w:space="0" w:color="auto"/>
            </w:tcBorders>
            <w:vAlign w:val="center"/>
          </w:tcPr>
          <w:p w14:paraId="6D88F938" w14:textId="77777777" w:rsidR="00E14270" w:rsidRPr="00596496" w:rsidRDefault="00E14270" w:rsidP="00E14270">
            <w:pPr>
              <w:spacing w:line="240" w:lineRule="auto"/>
              <w:jc w:val="center"/>
              <w:rPr>
                <w:rFonts w:eastAsia="Calibri"/>
                <w:sz w:val="20"/>
                <w:szCs w:val="20"/>
              </w:rPr>
            </w:pPr>
          </w:p>
        </w:tc>
        <w:tc>
          <w:tcPr>
            <w:tcW w:w="972" w:type="dxa"/>
            <w:tcBorders>
              <w:left w:val="single" w:sz="4" w:space="0" w:color="auto"/>
              <w:right w:val="double" w:sz="4" w:space="0" w:color="auto"/>
            </w:tcBorders>
            <w:vAlign w:val="center"/>
          </w:tcPr>
          <w:p w14:paraId="4DE37D86" w14:textId="7303A2C9" w:rsidR="00E14270" w:rsidRPr="00596496" w:rsidRDefault="00E14270" w:rsidP="00E14270">
            <w:pPr>
              <w:spacing w:line="240" w:lineRule="auto"/>
              <w:jc w:val="center"/>
              <w:rPr>
                <w:rFonts w:eastAsia="Calibri"/>
                <w:sz w:val="20"/>
                <w:szCs w:val="20"/>
              </w:rPr>
            </w:pPr>
          </w:p>
        </w:tc>
        <w:tc>
          <w:tcPr>
            <w:tcW w:w="722" w:type="dxa"/>
            <w:tcBorders>
              <w:left w:val="double" w:sz="4" w:space="0" w:color="auto"/>
              <w:right w:val="single" w:sz="4" w:space="0" w:color="auto"/>
            </w:tcBorders>
            <w:vAlign w:val="center"/>
          </w:tcPr>
          <w:p w14:paraId="2CCF1E94" w14:textId="56EC9A2C" w:rsidR="00E14270" w:rsidRPr="00596496" w:rsidRDefault="00E14270" w:rsidP="00E14270">
            <w:pPr>
              <w:spacing w:line="240" w:lineRule="auto"/>
              <w:jc w:val="center"/>
              <w:rPr>
                <w:rFonts w:eastAsia="Calibri"/>
                <w:sz w:val="20"/>
                <w:szCs w:val="20"/>
              </w:rPr>
            </w:pPr>
          </w:p>
        </w:tc>
        <w:tc>
          <w:tcPr>
            <w:tcW w:w="785" w:type="dxa"/>
            <w:tcBorders>
              <w:left w:val="single" w:sz="4" w:space="0" w:color="auto"/>
              <w:right w:val="double" w:sz="4" w:space="0" w:color="auto"/>
            </w:tcBorders>
            <w:vAlign w:val="center"/>
          </w:tcPr>
          <w:p w14:paraId="3BE84F76" w14:textId="0D0FA8E5" w:rsidR="00E14270" w:rsidRPr="00596496" w:rsidRDefault="00E14270" w:rsidP="00E14270">
            <w:pPr>
              <w:spacing w:line="240" w:lineRule="auto"/>
              <w:jc w:val="center"/>
              <w:rPr>
                <w:rFonts w:eastAsia="Calibri"/>
                <w:sz w:val="20"/>
                <w:szCs w:val="20"/>
              </w:rPr>
            </w:pPr>
          </w:p>
        </w:tc>
        <w:tc>
          <w:tcPr>
            <w:tcW w:w="753" w:type="dxa"/>
            <w:tcBorders>
              <w:left w:val="double" w:sz="4" w:space="0" w:color="auto"/>
              <w:right w:val="single" w:sz="4" w:space="0" w:color="auto"/>
            </w:tcBorders>
            <w:vAlign w:val="center"/>
          </w:tcPr>
          <w:p w14:paraId="4A40889F" w14:textId="7E70793F" w:rsidR="00E14270" w:rsidRPr="00596496" w:rsidRDefault="00E14270" w:rsidP="00E14270">
            <w:pPr>
              <w:spacing w:line="240" w:lineRule="auto"/>
              <w:jc w:val="center"/>
              <w:rPr>
                <w:rFonts w:eastAsia="Calibri"/>
                <w:sz w:val="20"/>
                <w:szCs w:val="20"/>
              </w:rPr>
            </w:pPr>
          </w:p>
        </w:tc>
        <w:tc>
          <w:tcPr>
            <w:tcW w:w="810" w:type="dxa"/>
            <w:tcBorders>
              <w:left w:val="single" w:sz="4" w:space="0" w:color="auto"/>
              <w:right w:val="double" w:sz="4" w:space="0" w:color="auto"/>
            </w:tcBorders>
            <w:vAlign w:val="center"/>
          </w:tcPr>
          <w:p w14:paraId="203ABD64" w14:textId="33331886" w:rsidR="00E14270" w:rsidRPr="00596496" w:rsidRDefault="00E14270" w:rsidP="00E14270">
            <w:pPr>
              <w:spacing w:line="240" w:lineRule="auto"/>
              <w:jc w:val="center"/>
              <w:rPr>
                <w:rFonts w:eastAsia="Calibri"/>
                <w:sz w:val="20"/>
                <w:szCs w:val="20"/>
              </w:rPr>
            </w:pPr>
          </w:p>
        </w:tc>
        <w:tc>
          <w:tcPr>
            <w:tcW w:w="734" w:type="dxa"/>
            <w:tcBorders>
              <w:left w:val="double" w:sz="4" w:space="0" w:color="auto"/>
              <w:right w:val="single" w:sz="4" w:space="0" w:color="auto"/>
            </w:tcBorders>
            <w:vAlign w:val="center"/>
          </w:tcPr>
          <w:p w14:paraId="28E25056" w14:textId="4C9F8EEB" w:rsidR="00E14270" w:rsidRPr="00596496" w:rsidRDefault="00E14270" w:rsidP="00E14270">
            <w:pPr>
              <w:spacing w:line="240" w:lineRule="auto"/>
              <w:jc w:val="center"/>
              <w:rPr>
                <w:rFonts w:eastAsia="Calibri"/>
                <w:sz w:val="20"/>
                <w:szCs w:val="20"/>
              </w:rPr>
            </w:pPr>
          </w:p>
        </w:tc>
        <w:tc>
          <w:tcPr>
            <w:tcW w:w="776" w:type="dxa"/>
            <w:tcBorders>
              <w:left w:val="single" w:sz="4" w:space="0" w:color="auto"/>
              <w:right w:val="double" w:sz="4" w:space="0" w:color="auto"/>
            </w:tcBorders>
            <w:vAlign w:val="center"/>
          </w:tcPr>
          <w:p w14:paraId="32FA0035" w14:textId="4DA0B23B" w:rsidR="00E14270" w:rsidRPr="00596496" w:rsidRDefault="00E14270" w:rsidP="00E14270">
            <w:pPr>
              <w:spacing w:line="240" w:lineRule="auto"/>
              <w:jc w:val="center"/>
              <w:rPr>
                <w:rFonts w:eastAsia="Calibri"/>
                <w:sz w:val="20"/>
                <w:szCs w:val="20"/>
              </w:rPr>
            </w:pPr>
          </w:p>
        </w:tc>
        <w:tc>
          <w:tcPr>
            <w:tcW w:w="865" w:type="dxa"/>
            <w:tcBorders>
              <w:left w:val="double" w:sz="4" w:space="0" w:color="auto"/>
            </w:tcBorders>
            <w:vAlign w:val="center"/>
          </w:tcPr>
          <w:p w14:paraId="7DD280F5" w14:textId="4CE97352" w:rsidR="00E14270" w:rsidRPr="00596496" w:rsidRDefault="00E14270" w:rsidP="00E14270">
            <w:pPr>
              <w:spacing w:line="240" w:lineRule="auto"/>
              <w:jc w:val="center"/>
              <w:rPr>
                <w:rFonts w:eastAsia="Calibri"/>
                <w:sz w:val="20"/>
                <w:szCs w:val="20"/>
              </w:rPr>
            </w:pPr>
          </w:p>
        </w:tc>
        <w:tc>
          <w:tcPr>
            <w:tcW w:w="843" w:type="dxa"/>
            <w:tcBorders>
              <w:right w:val="double" w:sz="4" w:space="0" w:color="auto"/>
            </w:tcBorders>
            <w:vAlign w:val="center"/>
          </w:tcPr>
          <w:p w14:paraId="0FAA2C32" w14:textId="77777777" w:rsidR="00E14270" w:rsidRPr="00596496" w:rsidRDefault="00E14270" w:rsidP="00E14270">
            <w:pPr>
              <w:spacing w:line="240" w:lineRule="auto"/>
              <w:jc w:val="center"/>
              <w:rPr>
                <w:rFonts w:eastAsia="Calibri"/>
                <w:sz w:val="20"/>
                <w:szCs w:val="20"/>
              </w:rPr>
            </w:pPr>
          </w:p>
        </w:tc>
        <w:tc>
          <w:tcPr>
            <w:tcW w:w="839" w:type="dxa"/>
            <w:tcBorders>
              <w:left w:val="double" w:sz="4" w:space="0" w:color="auto"/>
            </w:tcBorders>
            <w:vAlign w:val="center"/>
          </w:tcPr>
          <w:p w14:paraId="0E6E30F1" w14:textId="1382FA36" w:rsidR="00E14270" w:rsidRPr="00596496" w:rsidRDefault="00E14270" w:rsidP="00E14270">
            <w:pPr>
              <w:spacing w:line="240" w:lineRule="auto"/>
              <w:jc w:val="center"/>
              <w:rPr>
                <w:rFonts w:eastAsia="Calibri"/>
                <w:sz w:val="20"/>
                <w:szCs w:val="20"/>
              </w:rPr>
            </w:pPr>
          </w:p>
        </w:tc>
        <w:tc>
          <w:tcPr>
            <w:tcW w:w="865" w:type="dxa"/>
            <w:tcBorders>
              <w:right w:val="double" w:sz="4" w:space="0" w:color="auto"/>
            </w:tcBorders>
            <w:vAlign w:val="center"/>
          </w:tcPr>
          <w:p w14:paraId="34583890" w14:textId="7704F048" w:rsidR="00E14270" w:rsidRPr="00596496" w:rsidRDefault="00E14270" w:rsidP="00E14270">
            <w:pPr>
              <w:spacing w:line="240" w:lineRule="auto"/>
              <w:jc w:val="center"/>
              <w:rPr>
                <w:rFonts w:eastAsia="Calibri"/>
                <w:sz w:val="20"/>
                <w:szCs w:val="20"/>
              </w:rPr>
            </w:pPr>
          </w:p>
        </w:tc>
      </w:tr>
      <w:tr w:rsidR="00E14270" w:rsidRPr="00596496" w14:paraId="13416C84" w14:textId="77777777" w:rsidTr="00E14270">
        <w:trPr>
          <w:trHeight w:val="276"/>
          <w:jc w:val="center"/>
        </w:trPr>
        <w:tc>
          <w:tcPr>
            <w:tcW w:w="3312" w:type="dxa"/>
            <w:tcBorders>
              <w:left w:val="double" w:sz="4" w:space="0" w:color="auto"/>
              <w:right w:val="double" w:sz="4" w:space="0" w:color="auto"/>
            </w:tcBorders>
            <w:vAlign w:val="center"/>
          </w:tcPr>
          <w:p w14:paraId="114608BA" w14:textId="46238353" w:rsidR="00E14270" w:rsidRPr="00596496" w:rsidRDefault="00E14270" w:rsidP="00E14270">
            <w:pPr>
              <w:spacing w:line="240" w:lineRule="auto"/>
              <w:rPr>
                <w:rFonts w:eastAsia="Calibri"/>
                <w:sz w:val="20"/>
                <w:szCs w:val="20"/>
              </w:rPr>
            </w:pPr>
            <w:r w:rsidRPr="00596496">
              <w:rPr>
                <w:rFonts w:eastAsia="Calibri"/>
                <w:sz w:val="20"/>
                <w:szCs w:val="20"/>
              </w:rPr>
              <w:t xml:space="preserve">   Rented</w:t>
            </w:r>
          </w:p>
        </w:tc>
        <w:tc>
          <w:tcPr>
            <w:tcW w:w="982" w:type="dxa"/>
            <w:tcBorders>
              <w:left w:val="double" w:sz="4" w:space="0" w:color="auto"/>
              <w:right w:val="single" w:sz="4" w:space="0" w:color="auto"/>
            </w:tcBorders>
            <w:vAlign w:val="center"/>
          </w:tcPr>
          <w:p w14:paraId="04E92F94" w14:textId="7116691B" w:rsidR="00E14270" w:rsidRPr="00596496" w:rsidRDefault="00E14270" w:rsidP="00E14270">
            <w:pPr>
              <w:spacing w:line="240" w:lineRule="auto"/>
              <w:jc w:val="center"/>
              <w:rPr>
                <w:rFonts w:eastAsia="Calibri"/>
                <w:sz w:val="20"/>
                <w:szCs w:val="20"/>
              </w:rPr>
            </w:pPr>
            <w:r w:rsidRPr="00596496">
              <w:rPr>
                <w:rFonts w:eastAsia="Calibri"/>
                <w:sz w:val="20"/>
                <w:szCs w:val="20"/>
              </w:rPr>
              <w:t>0.248</w:t>
            </w:r>
          </w:p>
        </w:tc>
        <w:tc>
          <w:tcPr>
            <w:tcW w:w="972" w:type="dxa"/>
            <w:tcBorders>
              <w:left w:val="single" w:sz="4" w:space="0" w:color="auto"/>
              <w:right w:val="double" w:sz="4" w:space="0" w:color="auto"/>
            </w:tcBorders>
            <w:vAlign w:val="center"/>
          </w:tcPr>
          <w:p w14:paraId="37D5950A" w14:textId="03CB2CE5" w:rsidR="00E14270" w:rsidRPr="00596496" w:rsidRDefault="00E14270" w:rsidP="00E14270">
            <w:pPr>
              <w:spacing w:line="240" w:lineRule="auto"/>
              <w:jc w:val="center"/>
              <w:rPr>
                <w:rFonts w:eastAsia="Calibri"/>
                <w:sz w:val="20"/>
                <w:szCs w:val="20"/>
              </w:rPr>
            </w:pPr>
            <w:r w:rsidRPr="00596496">
              <w:rPr>
                <w:rFonts w:eastAsia="Calibri"/>
                <w:sz w:val="20"/>
                <w:szCs w:val="20"/>
              </w:rPr>
              <w:t>8.068</w:t>
            </w:r>
          </w:p>
        </w:tc>
        <w:tc>
          <w:tcPr>
            <w:tcW w:w="722" w:type="dxa"/>
            <w:tcBorders>
              <w:left w:val="double" w:sz="4" w:space="0" w:color="auto"/>
              <w:right w:val="single" w:sz="4" w:space="0" w:color="auto"/>
            </w:tcBorders>
            <w:vAlign w:val="center"/>
          </w:tcPr>
          <w:p w14:paraId="1F119A02" w14:textId="3CC52DE7"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85" w:type="dxa"/>
            <w:tcBorders>
              <w:left w:val="single" w:sz="4" w:space="0" w:color="auto"/>
              <w:right w:val="double" w:sz="4" w:space="0" w:color="auto"/>
            </w:tcBorders>
            <w:vAlign w:val="center"/>
          </w:tcPr>
          <w:p w14:paraId="79C6A4D2" w14:textId="737EC0DF"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53" w:type="dxa"/>
            <w:tcBorders>
              <w:left w:val="double" w:sz="4" w:space="0" w:color="auto"/>
              <w:right w:val="single" w:sz="4" w:space="0" w:color="auto"/>
            </w:tcBorders>
            <w:vAlign w:val="center"/>
          </w:tcPr>
          <w:p w14:paraId="540371ED" w14:textId="60BA0F90"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10" w:type="dxa"/>
            <w:tcBorders>
              <w:left w:val="single" w:sz="4" w:space="0" w:color="auto"/>
              <w:right w:val="double" w:sz="4" w:space="0" w:color="auto"/>
            </w:tcBorders>
            <w:vAlign w:val="center"/>
          </w:tcPr>
          <w:p w14:paraId="420923E9" w14:textId="5CF3FE5F"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34" w:type="dxa"/>
            <w:tcBorders>
              <w:left w:val="double" w:sz="4" w:space="0" w:color="auto"/>
              <w:right w:val="single" w:sz="4" w:space="0" w:color="auto"/>
            </w:tcBorders>
            <w:vAlign w:val="center"/>
          </w:tcPr>
          <w:p w14:paraId="200280CD" w14:textId="17727468"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209CC2CC" w14:textId="1CE870DB"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left w:val="double" w:sz="4" w:space="0" w:color="auto"/>
            </w:tcBorders>
            <w:vAlign w:val="center"/>
          </w:tcPr>
          <w:p w14:paraId="1C102983" w14:textId="3BE6CEEA" w:rsidR="00E14270" w:rsidRPr="00596496" w:rsidRDefault="00E14270" w:rsidP="00E14270">
            <w:pPr>
              <w:spacing w:line="240" w:lineRule="auto"/>
              <w:jc w:val="center"/>
              <w:rPr>
                <w:rFonts w:eastAsia="Calibri"/>
                <w:sz w:val="20"/>
                <w:szCs w:val="20"/>
              </w:rPr>
            </w:pPr>
            <w:r w:rsidRPr="00596496">
              <w:rPr>
                <w:rFonts w:eastAsia="Calibri"/>
                <w:sz w:val="20"/>
                <w:szCs w:val="20"/>
              </w:rPr>
              <w:t>-0.265</w:t>
            </w:r>
          </w:p>
        </w:tc>
        <w:tc>
          <w:tcPr>
            <w:tcW w:w="843" w:type="dxa"/>
            <w:tcBorders>
              <w:right w:val="double" w:sz="4" w:space="0" w:color="auto"/>
            </w:tcBorders>
            <w:vAlign w:val="center"/>
          </w:tcPr>
          <w:p w14:paraId="33155A10" w14:textId="2485F8E0" w:rsidR="00E14270" w:rsidRPr="00596496" w:rsidRDefault="00E14270" w:rsidP="00E14270">
            <w:pPr>
              <w:spacing w:line="240" w:lineRule="auto"/>
              <w:jc w:val="center"/>
              <w:rPr>
                <w:rFonts w:eastAsia="Calibri"/>
                <w:sz w:val="20"/>
                <w:szCs w:val="20"/>
              </w:rPr>
            </w:pPr>
            <w:r w:rsidRPr="00596496">
              <w:rPr>
                <w:rFonts w:eastAsia="Calibri"/>
                <w:sz w:val="20"/>
                <w:szCs w:val="20"/>
              </w:rPr>
              <w:t>-7.205</w:t>
            </w:r>
          </w:p>
        </w:tc>
        <w:tc>
          <w:tcPr>
            <w:tcW w:w="839" w:type="dxa"/>
            <w:tcBorders>
              <w:left w:val="double" w:sz="4" w:space="0" w:color="auto"/>
            </w:tcBorders>
            <w:vAlign w:val="center"/>
          </w:tcPr>
          <w:p w14:paraId="552CD8A0"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-0.213</w:t>
            </w:r>
          </w:p>
        </w:tc>
        <w:tc>
          <w:tcPr>
            <w:tcW w:w="865" w:type="dxa"/>
            <w:tcBorders>
              <w:right w:val="double" w:sz="4" w:space="0" w:color="auto"/>
            </w:tcBorders>
            <w:vAlign w:val="center"/>
          </w:tcPr>
          <w:p w14:paraId="347F5089"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-4.445</w:t>
            </w:r>
          </w:p>
        </w:tc>
      </w:tr>
      <w:tr w:rsidR="00E14270" w:rsidRPr="00596496" w14:paraId="49747217" w14:textId="77777777" w:rsidTr="00E14270">
        <w:trPr>
          <w:trHeight w:val="276"/>
          <w:jc w:val="center"/>
        </w:trPr>
        <w:tc>
          <w:tcPr>
            <w:tcW w:w="3312" w:type="dxa"/>
            <w:tcBorders>
              <w:left w:val="double" w:sz="4" w:space="0" w:color="auto"/>
              <w:right w:val="double" w:sz="4" w:space="0" w:color="auto"/>
            </w:tcBorders>
            <w:vAlign w:val="center"/>
          </w:tcPr>
          <w:p w14:paraId="4FECC823" w14:textId="3C77CEEF" w:rsidR="00E14270" w:rsidRPr="00596496" w:rsidRDefault="00E14270" w:rsidP="00E14270">
            <w:pPr>
              <w:spacing w:line="240" w:lineRule="auto"/>
              <w:rPr>
                <w:rFonts w:eastAsia="Calibri"/>
                <w:b/>
                <w:sz w:val="20"/>
                <w:szCs w:val="20"/>
              </w:rPr>
            </w:pPr>
            <w:proofErr w:type="spellStart"/>
            <w:r w:rsidRPr="00596496">
              <w:rPr>
                <w:rFonts w:eastAsia="Calibri"/>
                <w:b/>
                <w:sz w:val="20"/>
                <w:szCs w:val="20"/>
              </w:rPr>
              <w:t>Storey</w:t>
            </w:r>
            <w:proofErr w:type="spellEnd"/>
            <w:r w:rsidRPr="00596496">
              <w:rPr>
                <w:rFonts w:eastAsia="Calibri"/>
                <w:b/>
                <w:sz w:val="20"/>
                <w:szCs w:val="20"/>
              </w:rPr>
              <w:t xml:space="preserve"> type (base: multi-</w:t>
            </w:r>
            <w:proofErr w:type="spellStart"/>
            <w:r w:rsidRPr="00596496">
              <w:rPr>
                <w:rFonts w:eastAsia="Calibri"/>
                <w:b/>
                <w:sz w:val="20"/>
                <w:szCs w:val="20"/>
              </w:rPr>
              <w:t>storey</w:t>
            </w:r>
            <w:proofErr w:type="spellEnd"/>
            <w:r w:rsidRPr="00596496">
              <w:rPr>
                <w:rFonts w:eastAsia="Calibri"/>
                <w:b/>
                <w:sz w:val="20"/>
                <w:szCs w:val="20"/>
              </w:rPr>
              <w:t>)</w:t>
            </w:r>
          </w:p>
        </w:tc>
        <w:tc>
          <w:tcPr>
            <w:tcW w:w="982" w:type="dxa"/>
            <w:tcBorders>
              <w:left w:val="double" w:sz="4" w:space="0" w:color="auto"/>
              <w:right w:val="single" w:sz="4" w:space="0" w:color="auto"/>
            </w:tcBorders>
            <w:vAlign w:val="center"/>
          </w:tcPr>
          <w:p w14:paraId="36A06F54" w14:textId="77777777" w:rsidR="00E14270" w:rsidRPr="00596496" w:rsidRDefault="00E14270" w:rsidP="00E14270">
            <w:pPr>
              <w:spacing w:line="240" w:lineRule="auto"/>
              <w:jc w:val="center"/>
              <w:rPr>
                <w:rFonts w:eastAsia="Calibri"/>
                <w:sz w:val="20"/>
                <w:szCs w:val="20"/>
              </w:rPr>
            </w:pPr>
          </w:p>
        </w:tc>
        <w:tc>
          <w:tcPr>
            <w:tcW w:w="972" w:type="dxa"/>
            <w:tcBorders>
              <w:left w:val="single" w:sz="4" w:space="0" w:color="auto"/>
              <w:right w:val="double" w:sz="4" w:space="0" w:color="auto"/>
            </w:tcBorders>
            <w:vAlign w:val="center"/>
          </w:tcPr>
          <w:p w14:paraId="41834286" w14:textId="00D2EB7B" w:rsidR="00E14270" w:rsidRPr="00596496" w:rsidRDefault="00E14270" w:rsidP="00E14270">
            <w:pPr>
              <w:spacing w:line="240" w:lineRule="auto"/>
              <w:jc w:val="center"/>
              <w:rPr>
                <w:rFonts w:eastAsia="Calibri"/>
                <w:sz w:val="20"/>
                <w:szCs w:val="20"/>
              </w:rPr>
            </w:pPr>
          </w:p>
        </w:tc>
        <w:tc>
          <w:tcPr>
            <w:tcW w:w="722" w:type="dxa"/>
            <w:tcBorders>
              <w:left w:val="double" w:sz="4" w:space="0" w:color="auto"/>
              <w:right w:val="single" w:sz="4" w:space="0" w:color="auto"/>
            </w:tcBorders>
            <w:vAlign w:val="center"/>
          </w:tcPr>
          <w:p w14:paraId="267F847F" w14:textId="17C37C46" w:rsidR="00E14270" w:rsidRPr="00596496" w:rsidRDefault="00E14270" w:rsidP="00E14270">
            <w:pPr>
              <w:spacing w:line="240" w:lineRule="auto"/>
              <w:jc w:val="center"/>
              <w:rPr>
                <w:rFonts w:eastAsia="Calibri"/>
                <w:sz w:val="20"/>
                <w:szCs w:val="20"/>
              </w:rPr>
            </w:pPr>
          </w:p>
        </w:tc>
        <w:tc>
          <w:tcPr>
            <w:tcW w:w="785" w:type="dxa"/>
            <w:tcBorders>
              <w:left w:val="single" w:sz="4" w:space="0" w:color="auto"/>
              <w:right w:val="double" w:sz="4" w:space="0" w:color="auto"/>
            </w:tcBorders>
            <w:vAlign w:val="center"/>
          </w:tcPr>
          <w:p w14:paraId="32112751" w14:textId="014DF368" w:rsidR="00E14270" w:rsidRPr="00596496" w:rsidRDefault="00E14270" w:rsidP="00E14270">
            <w:pPr>
              <w:spacing w:line="240" w:lineRule="auto"/>
              <w:jc w:val="center"/>
              <w:rPr>
                <w:rFonts w:eastAsia="Calibri"/>
                <w:sz w:val="20"/>
                <w:szCs w:val="20"/>
              </w:rPr>
            </w:pPr>
          </w:p>
        </w:tc>
        <w:tc>
          <w:tcPr>
            <w:tcW w:w="753" w:type="dxa"/>
            <w:tcBorders>
              <w:left w:val="double" w:sz="4" w:space="0" w:color="auto"/>
              <w:right w:val="single" w:sz="4" w:space="0" w:color="auto"/>
            </w:tcBorders>
            <w:vAlign w:val="center"/>
          </w:tcPr>
          <w:p w14:paraId="788C180C" w14:textId="54ADFEB4" w:rsidR="00E14270" w:rsidRPr="00596496" w:rsidRDefault="00E14270" w:rsidP="00E14270">
            <w:pPr>
              <w:spacing w:line="240" w:lineRule="auto"/>
              <w:jc w:val="center"/>
              <w:rPr>
                <w:rFonts w:eastAsia="Calibri"/>
                <w:sz w:val="20"/>
                <w:szCs w:val="20"/>
              </w:rPr>
            </w:pPr>
          </w:p>
        </w:tc>
        <w:tc>
          <w:tcPr>
            <w:tcW w:w="810" w:type="dxa"/>
            <w:tcBorders>
              <w:left w:val="single" w:sz="4" w:space="0" w:color="auto"/>
              <w:right w:val="double" w:sz="4" w:space="0" w:color="auto"/>
            </w:tcBorders>
            <w:vAlign w:val="center"/>
          </w:tcPr>
          <w:p w14:paraId="45369102" w14:textId="2336634C" w:rsidR="00E14270" w:rsidRPr="00596496" w:rsidRDefault="00E14270" w:rsidP="00E14270">
            <w:pPr>
              <w:spacing w:line="240" w:lineRule="auto"/>
              <w:jc w:val="center"/>
              <w:rPr>
                <w:rFonts w:eastAsia="Calibri"/>
                <w:sz w:val="20"/>
                <w:szCs w:val="20"/>
              </w:rPr>
            </w:pPr>
          </w:p>
        </w:tc>
        <w:tc>
          <w:tcPr>
            <w:tcW w:w="734" w:type="dxa"/>
            <w:tcBorders>
              <w:left w:val="double" w:sz="4" w:space="0" w:color="auto"/>
              <w:right w:val="single" w:sz="4" w:space="0" w:color="auto"/>
            </w:tcBorders>
            <w:vAlign w:val="center"/>
          </w:tcPr>
          <w:p w14:paraId="67DF28F9" w14:textId="73B36BAC" w:rsidR="00E14270" w:rsidRPr="00596496" w:rsidRDefault="00E14270" w:rsidP="00E14270">
            <w:pPr>
              <w:spacing w:line="240" w:lineRule="auto"/>
              <w:jc w:val="center"/>
              <w:rPr>
                <w:rFonts w:eastAsia="Calibri"/>
                <w:sz w:val="20"/>
                <w:szCs w:val="20"/>
              </w:rPr>
            </w:pPr>
          </w:p>
        </w:tc>
        <w:tc>
          <w:tcPr>
            <w:tcW w:w="776" w:type="dxa"/>
            <w:tcBorders>
              <w:left w:val="single" w:sz="4" w:space="0" w:color="auto"/>
              <w:right w:val="double" w:sz="4" w:space="0" w:color="auto"/>
            </w:tcBorders>
            <w:vAlign w:val="center"/>
          </w:tcPr>
          <w:p w14:paraId="7D55ED68" w14:textId="1B13F65E" w:rsidR="00E14270" w:rsidRPr="00596496" w:rsidRDefault="00E14270" w:rsidP="00E14270">
            <w:pPr>
              <w:spacing w:line="240" w:lineRule="auto"/>
              <w:jc w:val="center"/>
              <w:rPr>
                <w:rFonts w:eastAsia="Calibri"/>
                <w:sz w:val="20"/>
                <w:szCs w:val="20"/>
              </w:rPr>
            </w:pPr>
          </w:p>
        </w:tc>
        <w:tc>
          <w:tcPr>
            <w:tcW w:w="865" w:type="dxa"/>
            <w:tcBorders>
              <w:left w:val="double" w:sz="4" w:space="0" w:color="auto"/>
            </w:tcBorders>
            <w:vAlign w:val="center"/>
          </w:tcPr>
          <w:p w14:paraId="70513345" w14:textId="38E9D324" w:rsidR="00E14270" w:rsidRPr="00596496" w:rsidRDefault="00E14270" w:rsidP="00E14270">
            <w:pPr>
              <w:spacing w:line="240" w:lineRule="auto"/>
              <w:jc w:val="center"/>
              <w:rPr>
                <w:rFonts w:eastAsia="Calibri"/>
                <w:sz w:val="20"/>
                <w:szCs w:val="20"/>
              </w:rPr>
            </w:pPr>
          </w:p>
        </w:tc>
        <w:tc>
          <w:tcPr>
            <w:tcW w:w="843" w:type="dxa"/>
            <w:tcBorders>
              <w:right w:val="double" w:sz="4" w:space="0" w:color="auto"/>
            </w:tcBorders>
            <w:vAlign w:val="center"/>
          </w:tcPr>
          <w:p w14:paraId="7628E336" w14:textId="77777777" w:rsidR="00E14270" w:rsidRPr="00596496" w:rsidRDefault="00E14270" w:rsidP="00E14270">
            <w:pPr>
              <w:spacing w:line="240" w:lineRule="auto"/>
              <w:jc w:val="center"/>
              <w:rPr>
                <w:rFonts w:eastAsia="Calibri"/>
                <w:sz w:val="20"/>
                <w:szCs w:val="20"/>
              </w:rPr>
            </w:pPr>
          </w:p>
        </w:tc>
        <w:tc>
          <w:tcPr>
            <w:tcW w:w="839" w:type="dxa"/>
            <w:tcBorders>
              <w:left w:val="double" w:sz="4" w:space="0" w:color="auto"/>
            </w:tcBorders>
            <w:vAlign w:val="center"/>
          </w:tcPr>
          <w:p w14:paraId="19A18648" w14:textId="149B1733" w:rsidR="00E14270" w:rsidRPr="00596496" w:rsidRDefault="00E14270" w:rsidP="00E14270">
            <w:pPr>
              <w:spacing w:line="240" w:lineRule="auto"/>
              <w:jc w:val="center"/>
              <w:rPr>
                <w:rFonts w:eastAsia="Calibri"/>
                <w:sz w:val="20"/>
                <w:szCs w:val="20"/>
              </w:rPr>
            </w:pPr>
          </w:p>
        </w:tc>
        <w:tc>
          <w:tcPr>
            <w:tcW w:w="865" w:type="dxa"/>
            <w:tcBorders>
              <w:right w:val="double" w:sz="4" w:space="0" w:color="auto"/>
            </w:tcBorders>
            <w:vAlign w:val="center"/>
          </w:tcPr>
          <w:p w14:paraId="64A92EC7" w14:textId="22C5AD6E" w:rsidR="00E14270" w:rsidRPr="00596496" w:rsidRDefault="00E14270" w:rsidP="00E14270">
            <w:pPr>
              <w:spacing w:line="240" w:lineRule="auto"/>
              <w:jc w:val="center"/>
              <w:rPr>
                <w:rFonts w:eastAsia="Calibri"/>
                <w:sz w:val="20"/>
                <w:szCs w:val="20"/>
              </w:rPr>
            </w:pPr>
          </w:p>
        </w:tc>
      </w:tr>
      <w:tr w:rsidR="00E14270" w:rsidRPr="00596496" w14:paraId="7B64A1D5" w14:textId="77777777" w:rsidTr="00E14270">
        <w:trPr>
          <w:trHeight w:val="276"/>
          <w:jc w:val="center"/>
        </w:trPr>
        <w:tc>
          <w:tcPr>
            <w:tcW w:w="3312" w:type="dxa"/>
            <w:tcBorders>
              <w:left w:val="double" w:sz="4" w:space="0" w:color="auto"/>
              <w:right w:val="double" w:sz="4" w:space="0" w:color="auto"/>
            </w:tcBorders>
            <w:vAlign w:val="center"/>
          </w:tcPr>
          <w:p w14:paraId="1349C87B" w14:textId="55591E5E" w:rsidR="00E14270" w:rsidRPr="00596496" w:rsidRDefault="00E14270" w:rsidP="00E14270">
            <w:pPr>
              <w:spacing w:line="240" w:lineRule="auto"/>
              <w:rPr>
                <w:rFonts w:eastAsia="Calibri"/>
                <w:sz w:val="20"/>
                <w:szCs w:val="20"/>
              </w:rPr>
            </w:pPr>
            <w:r w:rsidRPr="00596496">
              <w:rPr>
                <w:rFonts w:eastAsia="Calibri"/>
                <w:sz w:val="20"/>
                <w:szCs w:val="20"/>
              </w:rPr>
              <w:t xml:space="preserve">   Single-</w:t>
            </w:r>
            <w:proofErr w:type="spellStart"/>
            <w:r w:rsidRPr="00596496">
              <w:rPr>
                <w:rFonts w:eastAsia="Calibri"/>
                <w:sz w:val="20"/>
                <w:szCs w:val="20"/>
              </w:rPr>
              <w:t>storey</w:t>
            </w:r>
            <w:proofErr w:type="spellEnd"/>
          </w:p>
        </w:tc>
        <w:tc>
          <w:tcPr>
            <w:tcW w:w="982" w:type="dxa"/>
            <w:tcBorders>
              <w:left w:val="double" w:sz="4" w:space="0" w:color="auto"/>
              <w:right w:val="single" w:sz="4" w:space="0" w:color="auto"/>
            </w:tcBorders>
            <w:vAlign w:val="center"/>
          </w:tcPr>
          <w:p w14:paraId="5E55D48D" w14:textId="1C3E4871"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972" w:type="dxa"/>
            <w:tcBorders>
              <w:left w:val="single" w:sz="4" w:space="0" w:color="auto"/>
              <w:right w:val="double" w:sz="4" w:space="0" w:color="auto"/>
            </w:tcBorders>
            <w:vAlign w:val="center"/>
          </w:tcPr>
          <w:p w14:paraId="718FACD4" w14:textId="1C6DEA73"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22" w:type="dxa"/>
            <w:tcBorders>
              <w:left w:val="double" w:sz="4" w:space="0" w:color="auto"/>
              <w:right w:val="single" w:sz="4" w:space="0" w:color="auto"/>
            </w:tcBorders>
            <w:vAlign w:val="center"/>
          </w:tcPr>
          <w:p w14:paraId="078CA55E" w14:textId="3FC7F79F"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85" w:type="dxa"/>
            <w:tcBorders>
              <w:left w:val="single" w:sz="4" w:space="0" w:color="auto"/>
              <w:right w:val="double" w:sz="4" w:space="0" w:color="auto"/>
            </w:tcBorders>
            <w:vAlign w:val="center"/>
          </w:tcPr>
          <w:p w14:paraId="3A9CAEA5" w14:textId="7573714A"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53" w:type="dxa"/>
            <w:tcBorders>
              <w:left w:val="double" w:sz="4" w:space="0" w:color="auto"/>
              <w:right w:val="single" w:sz="4" w:space="0" w:color="auto"/>
            </w:tcBorders>
            <w:vAlign w:val="center"/>
          </w:tcPr>
          <w:p w14:paraId="1D30DDAF" w14:textId="68CE1E9D"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10" w:type="dxa"/>
            <w:tcBorders>
              <w:left w:val="single" w:sz="4" w:space="0" w:color="auto"/>
              <w:right w:val="double" w:sz="4" w:space="0" w:color="auto"/>
            </w:tcBorders>
            <w:vAlign w:val="center"/>
          </w:tcPr>
          <w:p w14:paraId="30784A1C" w14:textId="46795B1B"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34" w:type="dxa"/>
            <w:tcBorders>
              <w:left w:val="double" w:sz="4" w:space="0" w:color="auto"/>
              <w:right w:val="single" w:sz="4" w:space="0" w:color="auto"/>
            </w:tcBorders>
            <w:vAlign w:val="center"/>
          </w:tcPr>
          <w:p w14:paraId="159F3B89" w14:textId="38A8EE21"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5DDAEE73" w14:textId="43C4413A"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left w:val="double" w:sz="4" w:space="0" w:color="auto"/>
            </w:tcBorders>
            <w:vAlign w:val="center"/>
          </w:tcPr>
          <w:p w14:paraId="2D0FB676" w14:textId="6481AD1C" w:rsidR="00E14270" w:rsidRPr="00596496" w:rsidRDefault="00E14270" w:rsidP="00E14270">
            <w:pPr>
              <w:spacing w:line="240" w:lineRule="auto"/>
              <w:jc w:val="center"/>
              <w:rPr>
                <w:rFonts w:eastAsia="Calibri"/>
                <w:sz w:val="20"/>
                <w:szCs w:val="20"/>
              </w:rPr>
            </w:pPr>
            <w:r w:rsidRPr="00596496">
              <w:rPr>
                <w:rFonts w:eastAsia="Calibri"/>
                <w:sz w:val="20"/>
                <w:szCs w:val="20"/>
              </w:rPr>
              <w:t>-0.261</w:t>
            </w:r>
          </w:p>
        </w:tc>
        <w:tc>
          <w:tcPr>
            <w:tcW w:w="843" w:type="dxa"/>
            <w:tcBorders>
              <w:right w:val="double" w:sz="4" w:space="0" w:color="auto"/>
            </w:tcBorders>
            <w:vAlign w:val="center"/>
          </w:tcPr>
          <w:p w14:paraId="4ED793C0" w14:textId="42A97F3E" w:rsidR="00E14270" w:rsidRPr="00596496" w:rsidRDefault="00E14270" w:rsidP="00E14270">
            <w:pPr>
              <w:spacing w:line="240" w:lineRule="auto"/>
              <w:jc w:val="center"/>
              <w:rPr>
                <w:rFonts w:eastAsia="Calibri"/>
                <w:sz w:val="20"/>
                <w:szCs w:val="20"/>
              </w:rPr>
            </w:pPr>
            <w:r w:rsidRPr="00596496">
              <w:rPr>
                <w:rFonts w:eastAsia="Calibri"/>
                <w:sz w:val="20"/>
                <w:szCs w:val="20"/>
              </w:rPr>
              <w:t>-7.274</w:t>
            </w:r>
          </w:p>
        </w:tc>
        <w:tc>
          <w:tcPr>
            <w:tcW w:w="839" w:type="dxa"/>
            <w:tcBorders>
              <w:left w:val="double" w:sz="4" w:space="0" w:color="auto"/>
            </w:tcBorders>
            <w:vAlign w:val="center"/>
          </w:tcPr>
          <w:p w14:paraId="3F4C0025"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-0.041</w:t>
            </w:r>
          </w:p>
        </w:tc>
        <w:tc>
          <w:tcPr>
            <w:tcW w:w="865" w:type="dxa"/>
            <w:tcBorders>
              <w:right w:val="double" w:sz="4" w:space="0" w:color="auto"/>
            </w:tcBorders>
            <w:vAlign w:val="center"/>
          </w:tcPr>
          <w:p w14:paraId="61AE6BA6"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-3.279</w:t>
            </w:r>
          </w:p>
        </w:tc>
      </w:tr>
      <w:tr w:rsidR="00E14270" w:rsidRPr="00596496" w14:paraId="02BB53FE" w14:textId="77777777" w:rsidTr="00E14270">
        <w:trPr>
          <w:trHeight w:val="276"/>
          <w:jc w:val="center"/>
        </w:trPr>
        <w:tc>
          <w:tcPr>
            <w:tcW w:w="3312" w:type="dxa"/>
            <w:tcBorders>
              <w:left w:val="double" w:sz="4" w:space="0" w:color="auto"/>
              <w:right w:val="double" w:sz="4" w:space="0" w:color="auto"/>
            </w:tcBorders>
            <w:vAlign w:val="center"/>
          </w:tcPr>
          <w:p w14:paraId="5EA1631C" w14:textId="24603367" w:rsidR="00E14270" w:rsidRPr="00596496" w:rsidRDefault="00E14270" w:rsidP="00E14270">
            <w:pPr>
              <w:spacing w:line="240" w:lineRule="auto"/>
              <w:rPr>
                <w:rFonts w:eastAsia="Calibri"/>
                <w:b/>
                <w:sz w:val="20"/>
                <w:szCs w:val="20"/>
              </w:rPr>
            </w:pPr>
            <w:r w:rsidRPr="00596496">
              <w:rPr>
                <w:rFonts w:eastAsia="Calibri"/>
                <w:b/>
                <w:sz w:val="20"/>
                <w:szCs w:val="20"/>
              </w:rPr>
              <w:t>Lot size (sq. feet)</w:t>
            </w:r>
          </w:p>
        </w:tc>
        <w:tc>
          <w:tcPr>
            <w:tcW w:w="982" w:type="dxa"/>
            <w:tcBorders>
              <w:left w:val="double" w:sz="4" w:space="0" w:color="auto"/>
              <w:right w:val="single" w:sz="4" w:space="0" w:color="auto"/>
            </w:tcBorders>
            <w:vAlign w:val="center"/>
          </w:tcPr>
          <w:p w14:paraId="1D824FA0" w14:textId="0FC98B61"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972" w:type="dxa"/>
            <w:tcBorders>
              <w:left w:val="single" w:sz="4" w:space="0" w:color="auto"/>
              <w:right w:val="double" w:sz="4" w:space="0" w:color="auto"/>
            </w:tcBorders>
            <w:vAlign w:val="center"/>
          </w:tcPr>
          <w:p w14:paraId="2C1978DB" w14:textId="41F4B62B"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22" w:type="dxa"/>
            <w:tcBorders>
              <w:left w:val="double" w:sz="4" w:space="0" w:color="auto"/>
              <w:right w:val="single" w:sz="4" w:space="0" w:color="auto"/>
            </w:tcBorders>
            <w:vAlign w:val="center"/>
          </w:tcPr>
          <w:p w14:paraId="49580BDD" w14:textId="63FD76B8"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85" w:type="dxa"/>
            <w:tcBorders>
              <w:left w:val="single" w:sz="4" w:space="0" w:color="auto"/>
              <w:right w:val="double" w:sz="4" w:space="0" w:color="auto"/>
            </w:tcBorders>
            <w:vAlign w:val="center"/>
          </w:tcPr>
          <w:p w14:paraId="0C6ECE3E" w14:textId="0DC06EA7"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53" w:type="dxa"/>
            <w:tcBorders>
              <w:left w:val="double" w:sz="4" w:space="0" w:color="auto"/>
              <w:right w:val="single" w:sz="4" w:space="0" w:color="auto"/>
            </w:tcBorders>
            <w:vAlign w:val="center"/>
          </w:tcPr>
          <w:p w14:paraId="21ECF6A1" w14:textId="2A61AF2C"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10" w:type="dxa"/>
            <w:tcBorders>
              <w:left w:val="single" w:sz="4" w:space="0" w:color="auto"/>
              <w:right w:val="double" w:sz="4" w:space="0" w:color="auto"/>
            </w:tcBorders>
            <w:vAlign w:val="center"/>
          </w:tcPr>
          <w:p w14:paraId="0A7F81C0" w14:textId="0089EECC"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34" w:type="dxa"/>
            <w:tcBorders>
              <w:left w:val="double" w:sz="4" w:space="0" w:color="auto"/>
              <w:right w:val="single" w:sz="4" w:space="0" w:color="auto"/>
            </w:tcBorders>
            <w:vAlign w:val="center"/>
          </w:tcPr>
          <w:p w14:paraId="71C70CD5" w14:textId="469ACA59"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54AAB174" w14:textId="3B5181B0"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left w:val="double" w:sz="4" w:space="0" w:color="auto"/>
            </w:tcBorders>
            <w:vAlign w:val="center"/>
          </w:tcPr>
          <w:p w14:paraId="4163DAA1" w14:textId="32FAA578" w:rsidR="00E14270" w:rsidRPr="00596496" w:rsidRDefault="00E14270" w:rsidP="00E14270">
            <w:pPr>
              <w:spacing w:line="240" w:lineRule="auto"/>
              <w:jc w:val="center"/>
              <w:rPr>
                <w:rFonts w:eastAsia="Calibri"/>
                <w:sz w:val="20"/>
                <w:szCs w:val="20"/>
              </w:rPr>
            </w:pPr>
            <w:r w:rsidRPr="00596496">
              <w:rPr>
                <w:rFonts w:eastAsia="Calibri"/>
                <w:sz w:val="20"/>
                <w:szCs w:val="20"/>
              </w:rPr>
              <w:t>-0.264</w:t>
            </w:r>
          </w:p>
        </w:tc>
        <w:tc>
          <w:tcPr>
            <w:tcW w:w="843" w:type="dxa"/>
            <w:tcBorders>
              <w:right w:val="double" w:sz="4" w:space="0" w:color="auto"/>
            </w:tcBorders>
            <w:vAlign w:val="center"/>
          </w:tcPr>
          <w:p w14:paraId="2EC7304D"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-16.742</w:t>
            </w:r>
          </w:p>
        </w:tc>
        <w:tc>
          <w:tcPr>
            <w:tcW w:w="839" w:type="dxa"/>
            <w:tcBorders>
              <w:left w:val="double" w:sz="4" w:space="0" w:color="auto"/>
            </w:tcBorders>
            <w:vAlign w:val="center"/>
          </w:tcPr>
          <w:p w14:paraId="2A94BD56" w14:textId="2A7FAFB2"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right w:val="double" w:sz="4" w:space="0" w:color="auto"/>
            </w:tcBorders>
            <w:vAlign w:val="center"/>
          </w:tcPr>
          <w:p w14:paraId="27304B09" w14:textId="7F83FBFA" w:rsidR="00E14270" w:rsidRPr="00596496" w:rsidRDefault="00E14270" w:rsidP="00E14270">
            <w:pPr>
              <w:spacing w:line="240" w:lineRule="auto"/>
              <w:jc w:val="center"/>
              <w:rPr>
                <w:rFonts w:eastAsia="Calibri"/>
                <w:sz w:val="20"/>
                <w:szCs w:val="20"/>
              </w:rPr>
            </w:pPr>
            <w:r>
              <w:rPr>
                <w:rFonts w:eastAsia="Calibri"/>
                <w:sz w:val="20"/>
                <w:szCs w:val="20"/>
              </w:rPr>
              <w:t>-</w:t>
            </w:r>
          </w:p>
        </w:tc>
      </w:tr>
      <w:tr w:rsidR="00E14270" w:rsidRPr="00596496" w14:paraId="679F8468" w14:textId="77777777" w:rsidTr="00E14270">
        <w:trPr>
          <w:trHeight w:val="276"/>
          <w:jc w:val="center"/>
        </w:trPr>
        <w:tc>
          <w:tcPr>
            <w:tcW w:w="3312" w:type="dxa"/>
            <w:tcBorders>
              <w:left w:val="double" w:sz="4" w:space="0" w:color="auto"/>
              <w:right w:val="double" w:sz="4" w:space="0" w:color="auto"/>
            </w:tcBorders>
            <w:vAlign w:val="center"/>
          </w:tcPr>
          <w:p w14:paraId="6791E1D5" w14:textId="45B64FF0" w:rsidR="00E14270" w:rsidRPr="00596496" w:rsidRDefault="00E14270" w:rsidP="00E14270">
            <w:pPr>
              <w:spacing w:line="240" w:lineRule="auto"/>
              <w:rPr>
                <w:rFonts w:eastAsia="Calibri"/>
                <w:b/>
                <w:sz w:val="20"/>
                <w:szCs w:val="20"/>
              </w:rPr>
            </w:pPr>
            <w:r w:rsidRPr="00596496">
              <w:rPr>
                <w:rFonts w:eastAsia="Calibri"/>
                <w:b/>
                <w:sz w:val="20"/>
                <w:szCs w:val="20"/>
              </w:rPr>
              <w:t># of bedrooms</w:t>
            </w:r>
          </w:p>
        </w:tc>
        <w:tc>
          <w:tcPr>
            <w:tcW w:w="982" w:type="dxa"/>
            <w:tcBorders>
              <w:left w:val="double" w:sz="4" w:space="0" w:color="auto"/>
              <w:right w:val="single" w:sz="4" w:space="0" w:color="auto"/>
            </w:tcBorders>
            <w:vAlign w:val="center"/>
          </w:tcPr>
          <w:p w14:paraId="399407F2" w14:textId="735FCFC7"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972" w:type="dxa"/>
            <w:tcBorders>
              <w:left w:val="single" w:sz="4" w:space="0" w:color="auto"/>
              <w:right w:val="double" w:sz="4" w:space="0" w:color="auto"/>
            </w:tcBorders>
            <w:vAlign w:val="center"/>
          </w:tcPr>
          <w:p w14:paraId="35033061" w14:textId="3DB2E93F"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22" w:type="dxa"/>
            <w:tcBorders>
              <w:left w:val="double" w:sz="4" w:space="0" w:color="auto"/>
              <w:right w:val="single" w:sz="4" w:space="0" w:color="auto"/>
            </w:tcBorders>
            <w:vAlign w:val="center"/>
          </w:tcPr>
          <w:p w14:paraId="1B807985" w14:textId="13AAFB91"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85" w:type="dxa"/>
            <w:tcBorders>
              <w:left w:val="single" w:sz="4" w:space="0" w:color="auto"/>
              <w:right w:val="double" w:sz="4" w:space="0" w:color="auto"/>
            </w:tcBorders>
            <w:vAlign w:val="center"/>
          </w:tcPr>
          <w:p w14:paraId="76E28C0B" w14:textId="2181AFD0"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53" w:type="dxa"/>
            <w:tcBorders>
              <w:left w:val="double" w:sz="4" w:space="0" w:color="auto"/>
              <w:right w:val="single" w:sz="4" w:space="0" w:color="auto"/>
            </w:tcBorders>
            <w:vAlign w:val="center"/>
          </w:tcPr>
          <w:p w14:paraId="0ECBD42E" w14:textId="074272A4"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10" w:type="dxa"/>
            <w:tcBorders>
              <w:left w:val="single" w:sz="4" w:space="0" w:color="auto"/>
              <w:right w:val="double" w:sz="4" w:space="0" w:color="auto"/>
            </w:tcBorders>
            <w:vAlign w:val="center"/>
          </w:tcPr>
          <w:p w14:paraId="3F3F4EB6" w14:textId="1B34BA46"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34" w:type="dxa"/>
            <w:tcBorders>
              <w:left w:val="double" w:sz="4" w:space="0" w:color="auto"/>
              <w:right w:val="single" w:sz="4" w:space="0" w:color="auto"/>
            </w:tcBorders>
            <w:vAlign w:val="center"/>
          </w:tcPr>
          <w:p w14:paraId="61B1B9ED" w14:textId="50DAC7DA"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7F377BA3" w14:textId="7431C76A"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left w:val="double" w:sz="4" w:space="0" w:color="auto"/>
            </w:tcBorders>
            <w:vAlign w:val="center"/>
          </w:tcPr>
          <w:p w14:paraId="261263AE" w14:textId="409CF9C8"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43" w:type="dxa"/>
            <w:tcBorders>
              <w:right w:val="double" w:sz="4" w:space="0" w:color="auto"/>
            </w:tcBorders>
            <w:vAlign w:val="center"/>
          </w:tcPr>
          <w:p w14:paraId="2A86E2C7" w14:textId="6127440C"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39" w:type="dxa"/>
            <w:tcBorders>
              <w:left w:val="double" w:sz="4" w:space="0" w:color="auto"/>
            </w:tcBorders>
            <w:vAlign w:val="center"/>
          </w:tcPr>
          <w:p w14:paraId="13B6BA99"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0.110</w:t>
            </w:r>
          </w:p>
        </w:tc>
        <w:tc>
          <w:tcPr>
            <w:tcW w:w="865" w:type="dxa"/>
            <w:tcBorders>
              <w:right w:val="double" w:sz="4" w:space="0" w:color="auto"/>
            </w:tcBorders>
            <w:vAlign w:val="center"/>
          </w:tcPr>
          <w:p w14:paraId="64212BF0"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4.440</w:t>
            </w:r>
          </w:p>
        </w:tc>
      </w:tr>
      <w:tr w:rsidR="00E14270" w:rsidRPr="00596496" w14:paraId="06240C50" w14:textId="77777777" w:rsidTr="00E14270">
        <w:trPr>
          <w:trHeight w:val="276"/>
          <w:jc w:val="center"/>
        </w:trPr>
        <w:tc>
          <w:tcPr>
            <w:tcW w:w="3312" w:type="dxa"/>
            <w:tcBorders>
              <w:left w:val="double" w:sz="4" w:space="0" w:color="auto"/>
              <w:right w:val="double" w:sz="4" w:space="0" w:color="auto"/>
            </w:tcBorders>
            <w:vAlign w:val="center"/>
          </w:tcPr>
          <w:p w14:paraId="6DA76B09" w14:textId="00F06A97" w:rsidR="00E14270" w:rsidRPr="00596496" w:rsidRDefault="00E14270" w:rsidP="00E14270">
            <w:pPr>
              <w:spacing w:line="240" w:lineRule="auto"/>
              <w:rPr>
                <w:rFonts w:eastAsia="Calibri"/>
                <w:b/>
                <w:sz w:val="20"/>
                <w:szCs w:val="20"/>
              </w:rPr>
            </w:pPr>
            <w:r w:rsidRPr="00596496">
              <w:rPr>
                <w:rFonts w:eastAsia="Calibri"/>
                <w:b/>
                <w:sz w:val="20"/>
                <w:szCs w:val="20"/>
              </w:rPr>
              <w:t># of bathrooms</w:t>
            </w:r>
          </w:p>
        </w:tc>
        <w:tc>
          <w:tcPr>
            <w:tcW w:w="982" w:type="dxa"/>
            <w:tcBorders>
              <w:left w:val="double" w:sz="4" w:space="0" w:color="auto"/>
              <w:right w:val="single" w:sz="4" w:space="0" w:color="auto"/>
            </w:tcBorders>
            <w:vAlign w:val="center"/>
          </w:tcPr>
          <w:p w14:paraId="7D40CAF4" w14:textId="30BA6B60"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972" w:type="dxa"/>
            <w:tcBorders>
              <w:left w:val="single" w:sz="4" w:space="0" w:color="auto"/>
              <w:right w:val="double" w:sz="4" w:space="0" w:color="auto"/>
            </w:tcBorders>
            <w:vAlign w:val="center"/>
          </w:tcPr>
          <w:p w14:paraId="4B77FC89" w14:textId="7AB60E99"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22" w:type="dxa"/>
            <w:tcBorders>
              <w:left w:val="double" w:sz="4" w:space="0" w:color="auto"/>
              <w:right w:val="single" w:sz="4" w:space="0" w:color="auto"/>
            </w:tcBorders>
            <w:vAlign w:val="center"/>
          </w:tcPr>
          <w:p w14:paraId="088C9F7D" w14:textId="355B03C9"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85" w:type="dxa"/>
            <w:tcBorders>
              <w:left w:val="single" w:sz="4" w:space="0" w:color="auto"/>
              <w:right w:val="double" w:sz="4" w:space="0" w:color="auto"/>
            </w:tcBorders>
            <w:vAlign w:val="center"/>
          </w:tcPr>
          <w:p w14:paraId="26D12C86" w14:textId="7FAD07C3"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53" w:type="dxa"/>
            <w:tcBorders>
              <w:left w:val="double" w:sz="4" w:space="0" w:color="auto"/>
              <w:right w:val="single" w:sz="4" w:space="0" w:color="auto"/>
            </w:tcBorders>
            <w:vAlign w:val="center"/>
          </w:tcPr>
          <w:p w14:paraId="204CA3BB" w14:textId="2C0FCA90"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10" w:type="dxa"/>
            <w:tcBorders>
              <w:left w:val="single" w:sz="4" w:space="0" w:color="auto"/>
              <w:right w:val="double" w:sz="4" w:space="0" w:color="auto"/>
            </w:tcBorders>
            <w:vAlign w:val="center"/>
          </w:tcPr>
          <w:p w14:paraId="024D64D7" w14:textId="74DAC06A"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34" w:type="dxa"/>
            <w:tcBorders>
              <w:left w:val="double" w:sz="4" w:space="0" w:color="auto"/>
              <w:right w:val="single" w:sz="4" w:space="0" w:color="auto"/>
            </w:tcBorders>
            <w:vAlign w:val="center"/>
          </w:tcPr>
          <w:p w14:paraId="1EA96515" w14:textId="07149501"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230B6901" w14:textId="3BA4E975"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left w:val="double" w:sz="4" w:space="0" w:color="auto"/>
            </w:tcBorders>
            <w:vAlign w:val="center"/>
          </w:tcPr>
          <w:p w14:paraId="2B25214E" w14:textId="1F8E6B9F"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43" w:type="dxa"/>
            <w:tcBorders>
              <w:right w:val="double" w:sz="4" w:space="0" w:color="auto"/>
            </w:tcBorders>
            <w:vAlign w:val="center"/>
          </w:tcPr>
          <w:p w14:paraId="4A7B6575" w14:textId="3A6A6AC2"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39" w:type="dxa"/>
            <w:tcBorders>
              <w:left w:val="double" w:sz="4" w:space="0" w:color="auto"/>
            </w:tcBorders>
            <w:vAlign w:val="center"/>
          </w:tcPr>
          <w:p w14:paraId="7AF01536"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0.138</w:t>
            </w:r>
          </w:p>
        </w:tc>
        <w:tc>
          <w:tcPr>
            <w:tcW w:w="865" w:type="dxa"/>
            <w:tcBorders>
              <w:right w:val="double" w:sz="4" w:space="0" w:color="auto"/>
            </w:tcBorders>
            <w:vAlign w:val="center"/>
          </w:tcPr>
          <w:p w14:paraId="676AC568"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4.358</w:t>
            </w:r>
          </w:p>
        </w:tc>
      </w:tr>
      <w:tr w:rsidR="00E14270" w:rsidRPr="00596496" w14:paraId="3FFD130C" w14:textId="77777777" w:rsidTr="00E14270">
        <w:trPr>
          <w:trHeight w:val="276"/>
          <w:jc w:val="center"/>
        </w:trPr>
        <w:tc>
          <w:tcPr>
            <w:tcW w:w="3312" w:type="dxa"/>
            <w:tcBorders>
              <w:left w:val="double" w:sz="4" w:space="0" w:color="auto"/>
              <w:bottom w:val="double" w:sz="4" w:space="0" w:color="auto"/>
              <w:right w:val="double" w:sz="4" w:space="0" w:color="auto"/>
            </w:tcBorders>
            <w:vAlign w:val="center"/>
          </w:tcPr>
          <w:p w14:paraId="2FF91143" w14:textId="046CA393" w:rsidR="00E14270" w:rsidRPr="00596496" w:rsidRDefault="00E14270" w:rsidP="00E14270">
            <w:pPr>
              <w:spacing w:line="240" w:lineRule="auto"/>
              <w:rPr>
                <w:rFonts w:eastAsia="Calibri"/>
                <w:b/>
                <w:sz w:val="20"/>
                <w:szCs w:val="20"/>
              </w:rPr>
            </w:pPr>
            <w:r w:rsidRPr="00596496">
              <w:rPr>
                <w:rFonts w:eastAsia="Calibri"/>
                <w:b/>
                <w:sz w:val="20"/>
                <w:szCs w:val="20"/>
              </w:rPr>
              <w:t>Household average commute distance (miles)</w:t>
            </w:r>
          </w:p>
        </w:tc>
        <w:tc>
          <w:tcPr>
            <w:tcW w:w="982" w:type="dxa"/>
            <w:tcBorders>
              <w:left w:val="double" w:sz="4" w:space="0" w:color="auto"/>
              <w:bottom w:val="double" w:sz="4" w:space="0" w:color="auto"/>
              <w:right w:val="single" w:sz="4" w:space="0" w:color="auto"/>
            </w:tcBorders>
            <w:vAlign w:val="center"/>
          </w:tcPr>
          <w:p w14:paraId="3C32C756" w14:textId="3911652A"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972" w:type="dxa"/>
            <w:tcBorders>
              <w:left w:val="single" w:sz="4" w:space="0" w:color="auto"/>
              <w:bottom w:val="double" w:sz="4" w:space="0" w:color="auto"/>
              <w:right w:val="double" w:sz="4" w:space="0" w:color="auto"/>
            </w:tcBorders>
            <w:vAlign w:val="center"/>
          </w:tcPr>
          <w:p w14:paraId="4727519C" w14:textId="6B62E109"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722" w:type="dxa"/>
            <w:tcBorders>
              <w:left w:val="double" w:sz="4" w:space="0" w:color="auto"/>
              <w:bottom w:val="double" w:sz="4" w:space="0" w:color="auto"/>
              <w:right w:val="single" w:sz="4" w:space="0" w:color="auto"/>
            </w:tcBorders>
            <w:vAlign w:val="center"/>
          </w:tcPr>
          <w:p w14:paraId="477D715D" w14:textId="551FFC85" w:rsidR="00E14270" w:rsidRPr="00596496" w:rsidRDefault="00E14270" w:rsidP="00E14270">
            <w:pPr>
              <w:spacing w:line="240" w:lineRule="auto"/>
              <w:jc w:val="center"/>
              <w:rPr>
                <w:rFonts w:eastAsia="Calibri"/>
                <w:sz w:val="20"/>
                <w:szCs w:val="20"/>
              </w:rPr>
            </w:pPr>
            <w:r w:rsidRPr="00596496">
              <w:rPr>
                <w:rFonts w:eastAsia="Calibri"/>
                <w:sz w:val="20"/>
                <w:szCs w:val="20"/>
              </w:rPr>
              <w:t>0.184</w:t>
            </w:r>
          </w:p>
        </w:tc>
        <w:tc>
          <w:tcPr>
            <w:tcW w:w="785" w:type="dxa"/>
            <w:tcBorders>
              <w:left w:val="single" w:sz="4" w:space="0" w:color="auto"/>
              <w:bottom w:val="double" w:sz="4" w:space="0" w:color="auto"/>
              <w:right w:val="double" w:sz="4" w:space="0" w:color="auto"/>
            </w:tcBorders>
            <w:vAlign w:val="center"/>
          </w:tcPr>
          <w:p w14:paraId="1259E210" w14:textId="01945BB2" w:rsidR="00E14270" w:rsidRPr="00596496" w:rsidRDefault="00E14270" w:rsidP="00E14270">
            <w:pPr>
              <w:spacing w:line="240" w:lineRule="auto"/>
              <w:jc w:val="center"/>
              <w:rPr>
                <w:rFonts w:eastAsia="Calibri"/>
                <w:sz w:val="20"/>
                <w:szCs w:val="20"/>
              </w:rPr>
            </w:pPr>
            <w:r w:rsidRPr="00596496">
              <w:rPr>
                <w:rFonts w:eastAsia="Calibri"/>
                <w:sz w:val="20"/>
                <w:szCs w:val="20"/>
              </w:rPr>
              <w:t>5.581</w:t>
            </w:r>
          </w:p>
        </w:tc>
        <w:tc>
          <w:tcPr>
            <w:tcW w:w="753" w:type="dxa"/>
            <w:tcBorders>
              <w:left w:val="double" w:sz="4" w:space="0" w:color="auto"/>
              <w:bottom w:val="double" w:sz="4" w:space="0" w:color="auto"/>
              <w:right w:val="single" w:sz="4" w:space="0" w:color="auto"/>
            </w:tcBorders>
            <w:vAlign w:val="center"/>
          </w:tcPr>
          <w:p w14:paraId="14F45A62" w14:textId="41A5D7F0" w:rsidR="00E14270" w:rsidRPr="00596496" w:rsidRDefault="00E14270" w:rsidP="00E14270">
            <w:pPr>
              <w:spacing w:line="240" w:lineRule="auto"/>
              <w:jc w:val="center"/>
              <w:rPr>
                <w:rFonts w:eastAsia="Calibri"/>
                <w:sz w:val="20"/>
                <w:szCs w:val="20"/>
              </w:rPr>
            </w:pPr>
            <w:r w:rsidRPr="00596496">
              <w:rPr>
                <w:rFonts w:eastAsia="Calibri"/>
                <w:sz w:val="20"/>
                <w:szCs w:val="20"/>
              </w:rPr>
              <w:t>0.381</w:t>
            </w:r>
          </w:p>
        </w:tc>
        <w:tc>
          <w:tcPr>
            <w:tcW w:w="810" w:type="dxa"/>
            <w:tcBorders>
              <w:left w:val="single" w:sz="4" w:space="0" w:color="auto"/>
              <w:bottom w:val="double" w:sz="4" w:space="0" w:color="auto"/>
              <w:right w:val="double" w:sz="4" w:space="0" w:color="auto"/>
            </w:tcBorders>
            <w:vAlign w:val="center"/>
          </w:tcPr>
          <w:p w14:paraId="305326CF" w14:textId="6A9B01D1" w:rsidR="00E14270" w:rsidRPr="00596496" w:rsidRDefault="00E14270" w:rsidP="00E14270">
            <w:pPr>
              <w:spacing w:line="240" w:lineRule="auto"/>
              <w:jc w:val="center"/>
              <w:rPr>
                <w:rFonts w:eastAsia="Calibri"/>
                <w:sz w:val="20"/>
                <w:szCs w:val="20"/>
              </w:rPr>
            </w:pPr>
            <w:r w:rsidRPr="00596496">
              <w:rPr>
                <w:rFonts w:eastAsia="Calibri"/>
                <w:sz w:val="20"/>
                <w:szCs w:val="20"/>
              </w:rPr>
              <w:t>10.716</w:t>
            </w:r>
          </w:p>
        </w:tc>
        <w:tc>
          <w:tcPr>
            <w:tcW w:w="734" w:type="dxa"/>
            <w:tcBorders>
              <w:left w:val="double" w:sz="4" w:space="0" w:color="auto"/>
              <w:bottom w:val="double" w:sz="4" w:space="0" w:color="auto"/>
              <w:right w:val="single" w:sz="4" w:space="0" w:color="auto"/>
            </w:tcBorders>
            <w:vAlign w:val="center"/>
          </w:tcPr>
          <w:p w14:paraId="47608211" w14:textId="6E222E32" w:rsidR="00E14270" w:rsidRPr="00596496" w:rsidRDefault="00E14270" w:rsidP="00E14270">
            <w:pPr>
              <w:spacing w:line="240" w:lineRule="auto"/>
              <w:jc w:val="center"/>
              <w:rPr>
                <w:rFonts w:eastAsia="Calibri"/>
                <w:sz w:val="20"/>
                <w:szCs w:val="20"/>
              </w:rPr>
            </w:pPr>
            <w:r w:rsidRPr="00596496">
              <w:rPr>
                <w:rFonts w:eastAsia="Calibri"/>
                <w:sz w:val="20"/>
                <w:szCs w:val="20"/>
              </w:rPr>
              <w:t>0.462</w:t>
            </w:r>
          </w:p>
        </w:tc>
        <w:tc>
          <w:tcPr>
            <w:tcW w:w="776" w:type="dxa"/>
            <w:tcBorders>
              <w:left w:val="single" w:sz="4" w:space="0" w:color="auto"/>
              <w:bottom w:val="double" w:sz="4" w:space="0" w:color="auto"/>
              <w:right w:val="double" w:sz="4" w:space="0" w:color="auto"/>
            </w:tcBorders>
            <w:vAlign w:val="center"/>
          </w:tcPr>
          <w:p w14:paraId="1EB36DD7" w14:textId="4F3242FB" w:rsidR="00E14270" w:rsidRPr="00596496" w:rsidRDefault="00E14270" w:rsidP="00E14270">
            <w:pPr>
              <w:spacing w:line="240" w:lineRule="auto"/>
              <w:jc w:val="center"/>
              <w:rPr>
                <w:rFonts w:eastAsia="Calibri"/>
                <w:sz w:val="20"/>
                <w:szCs w:val="20"/>
              </w:rPr>
            </w:pPr>
            <w:r w:rsidRPr="00596496">
              <w:rPr>
                <w:rFonts w:eastAsia="Calibri"/>
                <w:sz w:val="20"/>
                <w:szCs w:val="20"/>
              </w:rPr>
              <w:t>14.011</w:t>
            </w:r>
          </w:p>
        </w:tc>
        <w:tc>
          <w:tcPr>
            <w:tcW w:w="865" w:type="dxa"/>
            <w:tcBorders>
              <w:left w:val="double" w:sz="4" w:space="0" w:color="auto"/>
              <w:bottom w:val="double" w:sz="4" w:space="0" w:color="auto"/>
            </w:tcBorders>
            <w:vAlign w:val="center"/>
          </w:tcPr>
          <w:p w14:paraId="65523FFB" w14:textId="07C7FFF7" w:rsidR="00E14270" w:rsidRPr="00596496" w:rsidRDefault="00E14270" w:rsidP="00E14270">
            <w:pPr>
              <w:spacing w:line="240" w:lineRule="auto"/>
              <w:jc w:val="center"/>
              <w:rPr>
                <w:rFonts w:eastAsia="Calibri"/>
                <w:sz w:val="20"/>
                <w:szCs w:val="20"/>
              </w:rPr>
            </w:pPr>
            <w:r w:rsidRPr="00596496">
              <w:rPr>
                <w:rFonts w:eastAsia="Calibri"/>
                <w:sz w:val="20"/>
                <w:szCs w:val="20"/>
              </w:rPr>
              <w:t>-0.364</w:t>
            </w:r>
          </w:p>
        </w:tc>
        <w:tc>
          <w:tcPr>
            <w:tcW w:w="843" w:type="dxa"/>
            <w:tcBorders>
              <w:bottom w:val="double" w:sz="4" w:space="0" w:color="auto"/>
              <w:right w:val="double" w:sz="4" w:space="0" w:color="auto"/>
            </w:tcBorders>
            <w:vAlign w:val="center"/>
          </w:tcPr>
          <w:p w14:paraId="1F6D6DBB" w14:textId="77777777" w:rsidR="00E14270" w:rsidRPr="00596496" w:rsidRDefault="00E14270" w:rsidP="00E14270">
            <w:pPr>
              <w:spacing w:line="240" w:lineRule="auto"/>
              <w:jc w:val="center"/>
              <w:rPr>
                <w:rFonts w:eastAsia="Calibri"/>
                <w:sz w:val="20"/>
                <w:szCs w:val="20"/>
              </w:rPr>
            </w:pPr>
            <w:r w:rsidRPr="00596496">
              <w:rPr>
                <w:rFonts w:eastAsia="Calibri"/>
                <w:sz w:val="20"/>
                <w:szCs w:val="20"/>
              </w:rPr>
              <w:t>-12.419</w:t>
            </w:r>
          </w:p>
        </w:tc>
        <w:tc>
          <w:tcPr>
            <w:tcW w:w="839" w:type="dxa"/>
            <w:tcBorders>
              <w:left w:val="double" w:sz="4" w:space="0" w:color="auto"/>
              <w:bottom w:val="double" w:sz="4" w:space="0" w:color="auto"/>
            </w:tcBorders>
            <w:vAlign w:val="center"/>
          </w:tcPr>
          <w:p w14:paraId="441767D7" w14:textId="4B5FFBDF" w:rsidR="00E14270" w:rsidRPr="00596496" w:rsidRDefault="00E14270" w:rsidP="00E14270">
            <w:pPr>
              <w:spacing w:line="240" w:lineRule="auto"/>
              <w:jc w:val="center"/>
              <w:rPr>
                <w:rFonts w:eastAsia="Calibri"/>
                <w:sz w:val="20"/>
                <w:szCs w:val="20"/>
              </w:rPr>
            </w:pPr>
            <w:r>
              <w:rPr>
                <w:rFonts w:eastAsia="Calibri"/>
                <w:sz w:val="20"/>
                <w:szCs w:val="20"/>
              </w:rPr>
              <w:t>-</w:t>
            </w:r>
          </w:p>
        </w:tc>
        <w:tc>
          <w:tcPr>
            <w:tcW w:w="865" w:type="dxa"/>
            <w:tcBorders>
              <w:bottom w:val="double" w:sz="4" w:space="0" w:color="auto"/>
              <w:right w:val="double" w:sz="4" w:space="0" w:color="auto"/>
            </w:tcBorders>
            <w:vAlign w:val="center"/>
          </w:tcPr>
          <w:p w14:paraId="50F772D4" w14:textId="3C4E7F8A" w:rsidR="00E14270" w:rsidRPr="00596496" w:rsidRDefault="00E14270" w:rsidP="00E14270">
            <w:pPr>
              <w:spacing w:line="240" w:lineRule="auto"/>
              <w:jc w:val="center"/>
              <w:rPr>
                <w:rFonts w:eastAsia="Calibri"/>
                <w:sz w:val="20"/>
                <w:szCs w:val="20"/>
              </w:rPr>
            </w:pPr>
            <w:r>
              <w:rPr>
                <w:rFonts w:eastAsia="Calibri"/>
                <w:sz w:val="20"/>
                <w:szCs w:val="20"/>
              </w:rPr>
              <w:t>-</w:t>
            </w:r>
          </w:p>
        </w:tc>
      </w:tr>
    </w:tbl>
    <w:p w14:paraId="3198CDF3" w14:textId="77777777" w:rsidR="00194720" w:rsidRDefault="00194720" w:rsidP="00194720">
      <w:pPr>
        <w:jc w:val="center"/>
        <w:rPr>
          <w:b/>
        </w:rPr>
      </w:pPr>
    </w:p>
    <w:p w14:paraId="6AD079A4" w14:textId="77777777" w:rsidR="00F31DD9" w:rsidRPr="00194720" w:rsidRDefault="00F31DD9" w:rsidP="00194720">
      <w:pPr>
        <w:jc w:val="center"/>
        <w:rPr>
          <w:b/>
        </w:rPr>
      </w:pPr>
    </w:p>
    <w:p w14:paraId="218B8008" w14:textId="77777777" w:rsidR="00CD2BFF" w:rsidRDefault="00CD2BFF" w:rsidP="00194720">
      <w:pPr>
        <w:jc w:val="center"/>
        <w:rPr>
          <w:b/>
        </w:rPr>
      </w:pPr>
    </w:p>
    <w:p w14:paraId="7FBB7AE9" w14:textId="77777777" w:rsidR="00CD2BFF" w:rsidRDefault="00CD2BFF" w:rsidP="00194720">
      <w:pPr>
        <w:jc w:val="center"/>
        <w:rPr>
          <w:b/>
        </w:rPr>
      </w:pPr>
    </w:p>
    <w:p w14:paraId="63F17098" w14:textId="77777777" w:rsidR="00596496" w:rsidRDefault="00596496">
      <w:pPr>
        <w:spacing w:after="200" w:line="276" w:lineRule="auto"/>
        <w:rPr>
          <w:b/>
        </w:rPr>
      </w:pPr>
      <w:r>
        <w:rPr>
          <w:b/>
        </w:rPr>
        <w:br w:type="page"/>
      </w:r>
    </w:p>
    <w:p w14:paraId="4B78A16F" w14:textId="77777777" w:rsidR="00D66C65" w:rsidRDefault="00D66C65" w:rsidP="00194720">
      <w:pPr>
        <w:jc w:val="center"/>
        <w:rPr>
          <w:b/>
        </w:rPr>
      </w:pPr>
    </w:p>
    <w:p w14:paraId="4E21B33A" w14:textId="0AE82971" w:rsidR="00194720" w:rsidRPr="00194720" w:rsidRDefault="00E14270" w:rsidP="00194720">
      <w:pPr>
        <w:jc w:val="center"/>
        <w:rPr>
          <w:b/>
        </w:rPr>
      </w:pPr>
      <w:proofErr w:type="gramStart"/>
      <w:r>
        <w:rPr>
          <w:b/>
        </w:rPr>
        <w:t>Table 4.</w:t>
      </w:r>
      <w:proofErr w:type="gramEnd"/>
      <w:r w:rsidR="00194720" w:rsidRPr="00194720">
        <w:rPr>
          <w:b/>
        </w:rPr>
        <w:t xml:space="preserve"> Endogenous </w:t>
      </w:r>
      <w:r>
        <w:rPr>
          <w:b/>
        </w:rPr>
        <w:t>E</w:t>
      </w:r>
      <w:r w:rsidR="00194720" w:rsidRPr="00194720">
        <w:rPr>
          <w:b/>
        </w:rPr>
        <w:t>ffects</w:t>
      </w:r>
    </w:p>
    <w:tbl>
      <w:tblPr>
        <w:tblStyle w:val="TableGrid8"/>
        <w:tblW w:w="12989" w:type="dxa"/>
        <w:jc w:val="center"/>
        <w:tblLayout w:type="fixed"/>
        <w:tblLook w:val="04A0" w:firstRow="1" w:lastRow="0" w:firstColumn="1" w:lastColumn="0" w:noHBand="0" w:noVBand="1"/>
      </w:tblPr>
      <w:tblGrid>
        <w:gridCol w:w="3312"/>
        <w:gridCol w:w="886"/>
        <w:gridCol w:w="836"/>
        <w:gridCol w:w="750"/>
        <w:gridCol w:w="776"/>
        <w:gridCol w:w="743"/>
        <w:gridCol w:w="810"/>
        <w:gridCol w:w="810"/>
        <w:gridCol w:w="839"/>
        <w:gridCol w:w="810"/>
        <w:gridCol w:w="810"/>
        <w:gridCol w:w="797"/>
        <w:gridCol w:w="810"/>
      </w:tblGrid>
      <w:tr w:rsidR="00D66C65" w:rsidRPr="00D66C65" w14:paraId="1D62CE01" w14:textId="77777777" w:rsidTr="00D66C65">
        <w:trPr>
          <w:trHeight w:val="455"/>
          <w:jc w:val="center"/>
        </w:trPr>
        <w:tc>
          <w:tcPr>
            <w:tcW w:w="3312" w:type="dxa"/>
            <w:vMerge w:val="restart"/>
            <w:tcBorders>
              <w:top w:val="double" w:sz="4" w:space="0" w:color="auto"/>
              <w:left w:val="double" w:sz="4" w:space="0" w:color="auto"/>
              <w:right w:val="double" w:sz="4" w:space="0" w:color="auto"/>
            </w:tcBorders>
            <w:vAlign w:val="center"/>
          </w:tcPr>
          <w:p w14:paraId="6109F667" w14:textId="77777777" w:rsidR="00F31DD9" w:rsidRPr="00D66C65" w:rsidRDefault="00F31DD9" w:rsidP="00E14270">
            <w:pPr>
              <w:spacing w:line="240" w:lineRule="auto"/>
              <w:jc w:val="center"/>
              <w:rPr>
                <w:rFonts w:eastAsia="Calibri"/>
                <w:b/>
                <w:sz w:val="20"/>
                <w:szCs w:val="20"/>
              </w:rPr>
            </w:pPr>
            <w:r w:rsidRPr="00D66C65">
              <w:rPr>
                <w:rFonts w:eastAsia="Calibri"/>
                <w:b/>
                <w:sz w:val="20"/>
                <w:szCs w:val="20"/>
              </w:rPr>
              <w:t>Dependent Variables</w:t>
            </w:r>
          </w:p>
        </w:tc>
        <w:tc>
          <w:tcPr>
            <w:tcW w:w="1722" w:type="dxa"/>
            <w:gridSpan w:val="2"/>
            <w:tcBorders>
              <w:top w:val="double" w:sz="4" w:space="0" w:color="auto"/>
              <w:left w:val="double" w:sz="4" w:space="0" w:color="auto"/>
              <w:right w:val="double" w:sz="4" w:space="0" w:color="auto"/>
            </w:tcBorders>
          </w:tcPr>
          <w:p w14:paraId="563EB8DD" w14:textId="051474F4" w:rsidR="00F31DD9" w:rsidRPr="00D66C65" w:rsidRDefault="00F31DD9" w:rsidP="00E14270">
            <w:pPr>
              <w:spacing w:line="240" w:lineRule="auto"/>
              <w:jc w:val="center"/>
              <w:rPr>
                <w:rFonts w:eastAsia="Calibri"/>
                <w:sz w:val="20"/>
                <w:szCs w:val="20"/>
              </w:rPr>
            </w:pPr>
            <w:r w:rsidRPr="00D66C65">
              <w:rPr>
                <w:rFonts w:eastAsia="Calibri"/>
                <w:sz w:val="20"/>
                <w:szCs w:val="20"/>
              </w:rPr>
              <w:t xml:space="preserve">Housing type (base: </w:t>
            </w:r>
            <w:r w:rsidR="00E14270" w:rsidRPr="00D66C65">
              <w:rPr>
                <w:rFonts w:eastAsia="Calibri"/>
                <w:sz w:val="20"/>
                <w:szCs w:val="20"/>
              </w:rPr>
              <w:t>d</w:t>
            </w:r>
            <w:r w:rsidRPr="00D66C65">
              <w:rPr>
                <w:rFonts w:eastAsia="Calibri"/>
                <w:sz w:val="20"/>
                <w:szCs w:val="20"/>
              </w:rPr>
              <w:t>etached/</w:t>
            </w:r>
            <w:r w:rsidR="00E14270" w:rsidRPr="00D66C65">
              <w:rPr>
                <w:rFonts w:eastAsia="Calibri"/>
                <w:sz w:val="20"/>
                <w:szCs w:val="20"/>
              </w:rPr>
              <w:t xml:space="preserve"> </w:t>
            </w:r>
            <w:r w:rsidRPr="00D66C65">
              <w:rPr>
                <w:rFonts w:eastAsia="Calibri"/>
                <w:sz w:val="20"/>
                <w:szCs w:val="20"/>
              </w:rPr>
              <w:t>attached)</w:t>
            </w:r>
          </w:p>
        </w:tc>
        <w:tc>
          <w:tcPr>
            <w:tcW w:w="7955" w:type="dxa"/>
            <w:gridSpan w:val="10"/>
            <w:tcBorders>
              <w:top w:val="double" w:sz="4" w:space="0" w:color="auto"/>
              <w:left w:val="double" w:sz="4" w:space="0" w:color="auto"/>
              <w:right w:val="double" w:sz="4" w:space="0" w:color="auto"/>
            </w:tcBorders>
            <w:vAlign w:val="center"/>
          </w:tcPr>
          <w:p w14:paraId="3F46E242" w14:textId="60962E67" w:rsidR="00F31DD9" w:rsidRPr="00D66C65" w:rsidRDefault="00F31DD9" w:rsidP="00E14270">
            <w:pPr>
              <w:spacing w:line="240" w:lineRule="auto"/>
              <w:jc w:val="center"/>
              <w:rPr>
                <w:rFonts w:eastAsia="Calibri"/>
                <w:sz w:val="20"/>
                <w:szCs w:val="20"/>
              </w:rPr>
            </w:pPr>
            <w:r w:rsidRPr="00D66C65">
              <w:rPr>
                <w:rFonts w:eastAsia="Calibri"/>
                <w:sz w:val="20"/>
                <w:szCs w:val="20"/>
              </w:rPr>
              <w:t xml:space="preserve">   Housing cost (base: </w:t>
            </w:r>
            <w:r w:rsidR="00E14270" w:rsidRPr="00D66C65">
              <w:rPr>
                <w:rFonts w:eastAsia="Calibri"/>
                <w:sz w:val="20"/>
                <w:szCs w:val="20"/>
              </w:rPr>
              <w:t>$</w:t>
            </w:r>
            <w:r w:rsidRPr="00D66C65">
              <w:rPr>
                <w:rFonts w:eastAsia="Calibri"/>
                <w:sz w:val="20"/>
                <w:szCs w:val="20"/>
              </w:rPr>
              <w:t>1</w:t>
            </w:r>
            <w:r w:rsidR="00E14270" w:rsidRPr="00D66C65">
              <w:rPr>
                <w:rFonts w:eastAsia="Calibri"/>
                <w:sz w:val="20"/>
                <w:szCs w:val="20"/>
              </w:rPr>
              <w:t>,</w:t>
            </w:r>
            <w:r w:rsidRPr="00D66C65">
              <w:rPr>
                <w:rFonts w:eastAsia="Calibri"/>
                <w:sz w:val="20"/>
                <w:szCs w:val="20"/>
              </w:rPr>
              <w:t>000 dollars or less)</w:t>
            </w:r>
          </w:p>
        </w:tc>
      </w:tr>
      <w:tr w:rsidR="00D66C65" w:rsidRPr="00D66C65" w14:paraId="2D7F2F0E" w14:textId="77777777" w:rsidTr="00D66C65">
        <w:trPr>
          <w:trHeight w:val="748"/>
          <w:jc w:val="center"/>
        </w:trPr>
        <w:tc>
          <w:tcPr>
            <w:tcW w:w="3312" w:type="dxa"/>
            <w:vMerge/>
            <w:tcBorders>
              <w:top w:val="double" w:sz="4" w:space="0" w:color="auto"/>
              <w:left w:val="double" w:sz="4" w:space="0" w:color="auto"/>
              <w:right w:val="double" w:sz="4" w:space="0" w:color="auto"/>
            </w:tcBorders>
            <w:vAlign w:val="center"/>
          </w:tcPr>
          <w:p w14:paraId="7285AF89" w14:textId="77777777" w:rsidR="00F31DD9" w:rsidRPr="00D66C65" w:rsidRDefault="00F31DD9" w:rsidP="00E14270">
            <w:pPr>
              <w:spacing w:line="240" w:lineRule="auto"/>
              <w:jc w:val="center"/>
              <w:rPr>
                <w:rFonts w:eastAsia="Calibri"/>
                <w:b/>
                <w:sz w:val="20"/>
                <w:szCs w:val="20"/>
              </w:rPr>
            </w:pPr>
          </w:p>
        </w:tc>
        <w:tc>
          <w:tcPr>
            <w:tcW w:w="1722" w:type="dxa"/>
            <w:gridSpan w:val="2"/>
            <w:tcBorders>
              <w:top w:val="double" w:sz="4" w:space="0" w:color="auto"/>
              <w:left w:val="double" w:sz="4" w:space="0" w:color="auto"/>
              <w:right w:val="double" w:sz="4" w:space="0" w:color="auto"/>
            </w:tcBorders>
            <w:vAlign w:val="center"/>
          </w:tcPr>
          <w:p w14:paraId="0DAC1D4C"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Apartment</w:t>
            </w:r>
          </w:p>
        </w:tc>
        <w:tc>
          <w:tcPr>
            <w:tcW w:w="1526" w:type="dxa"/>
            <w:gridSpan w:val="2"/>
            <w:tcBorders>
              <w:top w:val="double" w:sz="4" w:space="0" w:color="auto"/>
              <w:left w:val="double" w:sz="4" w:space="0" w:color="auto"/>
              <w:right w:val="double" w:sz="4" w:space="0" w:color="auto"/>
            </w:tcBorders>
            <w:vAlign w:val="center"/>
          </w:tcPr>
          <w:p w14:paraId="1EECB046"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 xml:space="preserve">  1001 – 1500</w:t>
            </w:r>
          </w:p>
        </w:tc>
        <w:tc>
          <w:tcPr>
            <w:tcW w:w="1553" w:type="dxa"/>
            <w:gridSpan w:val="2"/>
            <w:tcBorders>
              <w:top w:val="double" w:sz="4" w:space="0" w:color="auto"/>
              <w:left w:val="double" w:sz="4" w:space="0" w:color="auto"/>
              <w:right w:val="double" w:sz="4" w:space="0" w:color="auto"/>
            </w:tcBorders>
            <w:vAlign w:val="center"/>
          </w:tcPr>
          <w:p w14:paraId="793321BA"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1501 – 2000</w:t>
            </w:r>
          </w:p>
        </w:tc>
        <w:tc>
          <w:tcPr>
            <w:tcW w:w="1649" w:type="dxa"/>
            <w:gridSpan w:val="2"/>
            <w:tcBorders>
              <w:top w:val="double" w:sz="4" w:space="0" w:color="auto"/>
              <w:left w:val="double" w:sz="4" w:space="0" w:color="auto"/>
              <w:right w:val="double" w:sz="4" w:space="0" w:color="auto"/>
            </w:tcBorders>
            <w:vAlign w:val="center"/>
          </w:tcPr>
          <w:p w14:paraId="39A1D488"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2001 – 2500</w:t>
            </w:r>
          </w:p>
        </w:tc>
        <w:tc>
          <w:tcPr>
            <w:tcW w:w="1620" w:type="dxa"/>
            <w:gridSpan w:val="2"/>
            <w:tcBorders>
              <w:top w:val="double" w:sz="4" w:space="0" w:color="auto"/>
              <w:left w:val="double" w:sz="4" w:space="0" w:color="auto"/>
              <w:right w:val="double" w:sz="4" w:space="0" w:color="auto"/>
            </w:tcBorders>
            <w:vAlign w:val="center"/>
          </w:tcPr>
          <w:p w14:paraId="106337E8"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2501 – 3000</w:t>
            </w:r>
          </w:p>
        </w:tc>
        <w:tc>
          <w:tcPr>
            <w:tcW w:w="1607" w:type="dxa"/>
            <w:gridSpan w:val="2"/>
            <w:tcBorders>
              <w:top w:val="double" w:sz="4" w:space="0" w:color="auto"/>
              <w:left w:val="double" w:sz="4" w:space="0" w:color="auto"/>
              <w:right w:val="double" w:sz="4" w:space="0" w:color="auto"/>
            </w:tcBorders>
            <w:vAlign w:val="center"/>
          </w:tcPr>
          <w:p w14:paraId="4964723B"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 xml:space="preserve">   3001 and above</w:t>
            </w:r>
          </w:p>
        </w:tc>
      </w:tr>
      <w:tr w:rsidR="00D66C65" w:rsidRPr="00D66C65" w14:paraId="5998D672" w14:textId="77777777" w:rsidTr="00D66C65">
        <w:trPr>
          <w:trHeight w:val="408"/>
          <w:jc w:val="center"/>
        </w:trPr>
        <w:tc>
          <w:tcPr>
            <w:tcW w:w="3312" w:type="dxa"/>
            <w:vMerge/>
            <w:tcBorders>
              <w:left w:val="double" w:sz="4" w:space="0" w:color="auto"/>
              <w:bottom w:val="double" w:sz="4" w:space="0" w:color="auto"/>
              <w:right w:val="double" w:sz="4" w:space="0" w:color="auto"/>
            </w:tcBorders>
            <w:vAlign w:val="center"/>
          </w:tcPr>
          <w:p w14:paraId="033CFBF7" w14:textId="77777777" w:rsidR="00F31DD9" w:rsidRPr="00D66C65" w:rsidRDefault="00F31DD9" w:rsidP="00E14270">
            <w:pPr>
              <w:spacing w:line="240" w:lineRule="auto"/>
              <w:jc w:val="center"/>
              <w:rPr>
                <w:rFonts w:eastAsia="Calibri"/>
                <w:b/>
                <w:sz w:val="20"/>
                <w:szCs w:val="20"/>
              </w:rPr>
            </w:pPr>
          </w:p>
        </w:tc>
        <w:tc>
          <w:tcPr>
            <w:tcW w:w="886" w:type="dxa"/>
            <w:tcBorders>
              <w:left w:val="double" w:sz="4" w:space="0" w:color="auto"/>
              <w:bottom w:val="double" w:sz="4" w:space="0" w:color="auto"/>
              <w:right w:val="single" w:sz="4" w:space="0" w:color="auto"/>
            </w:tcBorders>
            <w:vAlign w:val="center"/>
          </w:tcPr>
          <w:p w14:paraId="559AD7F8" w14:textId="77777777" w:rsidR="00F31DD9" w:rsidRPr="00D66C65" w:rsidRDefault="00F31DD9" w:rsidP="00E14270">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836" w:type="dxa"/>
            <w:tcBorders>
              <w:left w:val="single" w:sz="4" w:space="0" w:color="auto"/>
              <w:bottom w:val="double" w:sz="4" w:space="0" w:color="auto"/>
              <w:right w:val="double" w:sz="4" w:space="0" w:color="auto"/>
            </w:tcBorders>
            <w:vAlign w:val="center"/>
          </w:tcPr>
          <w:p w14:paraId="305C2980" w14:textId="77777777" w:rsidR="00F31DD9" w:rsidRPr="00D66C65" w:rsidRDefault="00F31DD9" w:rsidP="00E14270">
            <w:pPr>
              <w:spacing w:line="240" w:lineRule="auto"/>
              <w:jc w:val="center"/>
              <w:rPr>
                <w:rFonts w:eastAsia="Calibri"/>
                <w:b/>
                <w:sz w:val="20"/>
                <w:szCs w:val="20"/>
              </w:rPr>
            </w:pPr>
            <w:r w:rsidRPr="00D66C65">
              <w:rPr>
                <w:rFonts w:eastAsia="Calibri"/>
                <w:b/>
                <w:sz w:val="20"/>
                <w:szCs w:val="20"/>
              </w:rPr>
              <w:t>T-stat</w:t>
            </w:r>
          </w:p>
        </w:tc>
        <w:tc>
          <w:tcPr>
            <w:tcW w:w="750" w:type="dxa"/>
            <w:tcBorders>
              <w:left w:val="double" w:sz="4" w:space="0" w:color="auto"/>
              <w:bottom w:val="double" w:sz="4" w:space="0" w:color="auto"/>
              <w:right w:val="single" w:sz="4" w:space="0" w:color="auto"/>
            </w:tcBorders>
            <w:vAlign w:val="center"/>
          </w:tcPr>
          <w:p w14:paraId="5AB0ED43" w14:textId="77777777" w:rsidR="00F31DD9" w:rsidRPr="00D66C65" w:rsidRDefault="00F31DD9" w:rsidP="00E14270">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776" w:type="dxa"/>
            <w:tcBorders>
              <w:left w:val="single" w:sz="4" w:space="0" w:color="auto"/>
              <w:bottom w:val="double" w:sz="4" w:space="0" w:color="auto"/>
              <w:right w:val="double" w:sz="4" w:space="0" w:color="auto"/>
            </w:tcBorders>
            <w:vAlign w:val="center"/>
          </w:tcPr>
          <w:p w14:paraId="508B1468" w14:textId="77777777" w:rsidR="00F31DD9" w:rsidRPr="00D66C65" w:rsidRDefault="00F31DD9" w:rsidP="00E14270">
            <w:pPr>
              <w:spacing w:line="240" w:lineRule="auto"/>
              <w:jc w:val="center"/>
              <w:rPr>
                <w:rFonts w:eastAsia="Calibri"/>
                <w:b/>
                <w:sz w:val="20"/>
                <w:szCs w:val="20"/>
              </w:rPr>
            </w:pPr>
            <w:r w:rsidRPr="00D66C65">
              <w:rPr>
                <w:rFonts w:eastAsia="Calibri"/>
                <w:b/>
                <w:sz w:val="20"/>
                <w:szCs w:val="20"/>
              </w:rPr>
              <w:t>T-stat</w:t>
            </w:r>
          </w:p>
        </w:tc>
        <w:tc>
          <w:tcPr>
            <w:tcW w:w="743" w:type="dxa"/>
            <w:tcBorders>
              <w:left w:val="double" w:sz="4" w:space="0" w:color="auto"/>
              <w:bottom w:val="double" w:sz="4" w:space="0" w:color="auto"/>
            </w:tcBorders>
            <w:vAlign w:val="center"/>
          </w:tcPr>
          <w:p w14:paraId="029AB74C" w14:textId="77777777" w:rsidR="00F31DD9" w:rsidRPr="00D66C65" w:rsidRDefault="00F31DD9" w:rsidP="00E14270">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810" w:type="dxa"/>
            <w:tcBorders>
              <w:bottom w:val="double" w:sz="4" w:space="0" w:color="auto"/>
              <w:right w:val="double" w:sz="4" w:space="0" w:color="auto"/>
            </w:tcBorders>
            <w:vAlign w:val="center"/>
          </w:tcPr>
          <w:p w14:paraId="0476861A" w14:textId="77777777" w:rsidR="00F31DD9" w:rsidRPr="00D66C65" w:rsidRDefault="00F31DD9" w:rsidP="00E14270">
            <w:pPr>
              <w:spacing w:line="240" w:lineRule="auto"/>
              <w:jc w:val="center"/>
              <w:rPr>
                <w:rFonts w:eastAsia="Calibri"/>
                <w:b/>
                <w:sz w:val="20"/>
                <w:szCs w:val="20"/>
              </w:rPr>
            </w:pPr>
            <w:r w:rsidRPr="00D66C65">
              <w:rPr>
                <w:rFonts w:eastAsia="Calibri"/>
                <w:b/>
                <w:sz w:val="20"/>
                <w:szCs w:val="20"/>
              </w:rPr>
              <w:t>T-stat</w:t>
            </w:r>
          </w:p>
        </w:tc>
        <w:tc>
          <w:tcPr>
            <w:tcW w:w="810" w:type="dxa"/>
            <w:tcBorders>
              <w:left w:val="double" w:sz="4" w:space="0" w:color="auto"/>
              <w:bottom w:val="double" w:sz="4" w:space="0" w:color="auto"/>
            </w:tcBorders>
            <w:vAlign w:val="center"/>
          </w:tcPr>
          <w:p w14:paraId="52033C5C" w14:textId="77777777" w:rsidR="00F31DD9" w:rsidRPr="00D66C65" w:rsidRDefault="00F31DD9" w:rsidP="00E14270">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839" w:type="dxa"/>
            <w:tcBorders>
              <w:bottom w:val="double" w:sz="4" w:space="0" w:color="auto"/>
              <w:right w:val="double" w:sz="4" w:space="0" w:color="auto"/>
            </w:tcBorders>
            <w:vAlign w:val="center"/>
          </w:tcPr>
          <w:p w14:paraId="612F66A2" w14:textId="77777777" w:rsidR="00F31DD9" w:rsidRPr="00D66C65" w:rsidRDefault="00F31DD9" w:rsidP="00E14270">
            <w:pPr>
              <w:spacing w:line="240" w:lineRule="auto"/>
              <w:jc w:val="center"/>
              <w:rPr>
                <w:rFonts w:eastAsia="Calibri"/>
                <w:b/>
                <w:sz w:val="20"/>
                <w:szCs w:val="20"/>
              </w:rPr>
            </w:pPr>
            <w:r w:rsidRPr="00D66C65">
              <w:rPr>
                <w:rFonts w:eastAsia="Calibri"/>
                <w:b/>
                <w:sz w:val="20"/>
                <w:szCs w:val="20"/>
              </w:rPr>
              <w:t>T-stat</w:t>
            </w:r>
          </w:p>
        </w:tc>
        <w:tc>
          <w:tcPr>
            <w:tcW w:w="810" w:type="dxa"/>
            <w:tcBorders>
              <w:left w:val="double" w:sz="4" w:space="0" w:color="auto"/>
              <w:bottom w:val="double" w:sz="4" w:space="0" w:color="auto"/>
            </w:tcBorders>
            <w:vAlign w:val="center"/>
          </w:tcPr>
          <w:p w14:paraId="728141DF" w14:textId="77777777" w:rsidR="00F31DD9" w:rsidRPr="00D66C65" w:rsidRDefault="00F31DD9" w:rsidP="00E14270">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810" w:type="dxa"/>
            <w:tcBorders>
              <w:bottom w:val="double" w:sz="4" w:space="0" w:color="auto"/>
              <w:right w:val="double" w:sz="4" w:space="0" w:color="auto"/>
            </w:tcBorders>
            <w:vAlign w:val="center"/>
          </w:tcPr>
          <w:p w14:paraId="63C8ECDD" w14:textId="77777777" w:rsidR="00F31DD9" w:rsidRPr="00D66C65" w:rsidRDefault="00F31DD9" w:rsidP="00E14270">
            <w:pPr>
              <w:spacing w:line="240" w:lineRule="auto"/>
              <w:jc w:val="center"/>
              <w:rPr>
                <w:rFonts w:eastAsia="Calibri"/>
                <w:b/>
                <w:sz w:val="20"/>
                <w:szCs w:val="20"/>
              </w:rPr>
            </w:pPr>
            <w:r w:rsidRPr="00D66C65">
              <w:rPr>
                <w:rFonts w:eastAsia="Calibri"/>
                <w:b/>
                <w:sz w:val="20"/>
                <w:szCs w:val="20"/>
              </w:rPr>
              <w:t>T-stat</w:t>
            </w:r>
          </w:p>
        </w:tc>
        <w:tc>
          <w:tcPr>
            <w:tcW w:w="797" w:type="dxa"/>
            <w:tcBorders>
              <w:left w:val="double" w:sz="4" w:space="0" w:color="auto"/>
              <w:bottom w:val="double" w:sz="4" w:space="0" w:color="auto"/>
            </w:tcBorders>
            <w:vAlign w:val="center"/>
          </w:tcPr>
          <w:p w14:paraId="2E33C702" w14:textId="77777777" w:rsidR="00F31DD9" w:rsidRPr="00D66C65" w:rsidRDefault="00F31DD9" w:rsidP="00E14270">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810" w:type="dxa"/>
            <w:tcBorders>
              <w:bottom w:val="double" w:sz="4" w:space="0" w:color="auto"/>
              <w:right w:val="double" w:sz="4" w:space="0" w:color="auto"/>
            </w:tcBorders>
            <w:vAlign w:val="center"/>
          </w:tcPr>
          <w:p w14:paraId="136660B6" w14:textId="77777777" w:rsidR="00F31DD9" w:rsidRPr="00D66C65" w:rsidRDefault="00F31DD9" w:rsidP="00E14270">
            <w:pPr>
              <w:spacing w:line="240" w:lineRule="auto"/>
              <w:jc w:val="center"/>
              <w:rPr>
                <w:rFonts w:eastAsia="Calibri"/>
                <w:b/>
                <w:sz w:val="20"/>
                <w:szCs w:val="20"/>
              </w:rPr>
            </w:pPr>
            <w:r w:rsidRPr="00D66C65">
              <w:rPr>
                <w:rFonts w:eastAsia="Calibri"/>
                <w:b/>
                <w:sz w:val="20"/>
                <w:szCs w:val="20"/>
              </w:rPr>
              <w:t>T-stat</w:t>
            </w:r>
          </w:p>
        </w:tc>
      </w:tr>
      <w:tr w:rsidR="00D66C65" w:rsidRPr="00D66C65" w14:paraId="45F23EB5" w14:textId="77777777" w:rsidTr="00D66C65">
        <w:trPr>
          <w:trHeight w:val="297"/>
          <w:jc w:val="center"/>
        </w:trPr>
        <w:tc>
          <w:tcPr>
            <w:tcW w:w="3312" w:type="dxa"/>
            <w:tcBorders>
              <w:left w:val="double" w:sz="4" w:space="0" w:color="auto"/>
              <w:right w:val="double" w:sz="4" w:space="0" w:color="auto"/>
            </w:tcBorders>
            <w:vAlign w:val="center"/>
          </w:tcPr>
          <w:p w14:paraId="5767B352" w14:textId="77777777" w:rsidR="00F31DD9" w:rsidRPr="00D66C65" w:rsidRDefault="00F31DD9" w:rsidP="00E14270">
            <w:pPr>
              <w:spacing w:line="240" w:lineRule="auto"/>
              <w:rPr>
                <w:rFonts w:eastAsia="Calibri"/>
                <w:b/>
                <w:sz w:val="20"/>
                <w:szCs w:val="20"/>
              </w:rPr>
            </w:pPr>
            <w:r w:rsidRPr="00D66C65">
              <w:rPr>
                <w:rFonts w:eastAsia="Calibri"/>
                <w:b/>
                <w:sz w:val="20"/>
                <w:szCs w:val="20"/>
              </w:rPr>
              <w:t xml:space="preserve">Housing cost </w:t>
            </w:r>
          </w:p>
        </w:tc>
        <w:tc>
          <w:tcPr>
            <w:tcW w:w="886" w:type="dxa"/>
            <w:tcBorders>
              <w:left w:val="double" w:sz="4" w:space="0" w:color="auto"/>
              <w:right w:val="single" w:sz="4" w:space="0" w:color="auto"/>
            </w:tcBorders>
            <w:vAlign w:val="center"/>
          </w:tcPr>
          <w:p w14:paraId="40573DCF"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-0.410</w:t>
            </w:r>
          </w:p>
        </w:tc>
        <w:tc>
          <w:tcPr>
            <w:tcW w:w="836" w:type="dxa"/>
            <w:tcBorders>
              <w:left w:val="single" w:sz="4" w:space="0" w:color="auto"/>
              <w:right w:val="double" w:sz="4" w:space="0" w:color="auto"/>
            </w:tcBorders>
            <w:vAlign w:val="center"/>
          </w:tcPr>
          <w:p w14:paraId="6DEB130D"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-26.475</w:t>
            </w:r>
          </w:p>
        </w:tc>
        <w:tc>
          <w:tcPr>
            <w:tcW w:w="750" w:type="dxa"/>
            <w:tcBorders>
              <w:left w:val="double" w:sz="4" w:space="0" w:color="auto"/>
              <w:right w:val="single" w:sz="4" w:space="0" w:color="auto"/>
            </w:tcBorders>
            <w:vAlign w:val="center"/>
          </w:tcPr>
          <w:p w14:paraId="6E46C64B" w14:textId="1D132C72"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2C320CBB" w14:textId="039CE424"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43" w:type="dxa"/>
            <w:tcBorders>
              <w:left w:val="double" w:sz="4" w:space="0" w:color="auto"/>
            </w:tcBorders>
            <w:vAlign w:val="center"/>
          </w:tcPr>
          <w:p w14:paraId="171F218D" w14:textId="34E8DA92"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2056D9DE" w14:textId="6415F44B"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tcBorders>
            <w:vAlign w:val="center"/>
          </w:tcPr>
          <w:p w14:paraId="3EF0E39A" w14:textId="3949D89C"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39" w:type="dxa"/>
            <w:tcBorders>
              <w:right w:val="double" w:sz="4" w:space="0" w:color="auto"/>
            </w:tcBorders>
            <w:vAlign w:val="center"/>
          </w:tcPr>
          <w:p w14:paraId="3A586F80" w14:textId="64D873E9"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tcBorders>
            <w:vAlign w:val="center"/>
          </w:tcPr>
          <w:p w14:paraId="6DBA5232" w14:textId="7BA0A811"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1FF03A0F" w14:textId="5D5C82EB"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97" w:type="dxa"/>
            <w:tcBorders>
              <w:left w:val="double" w:sz="4" w:space="0" w:color="auto"/>
            </w:tcBorders>
            <w:vAlign w:val="center"/>
          </w:tcPr>
          <w:p w14:paraId="5DF00885" w14:textId="41175D0B"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5C83C38F" w14:textId="38594983" w:rsidR="00F31DD9" w:rsidRPr="00D66C65" w:rsidRDefault="005A1D67" w:rsidP="00E14270">
            <w:pPr>
              <w:spacing w:line="240" w:lineRule="auto"/>
              <w:jc w:val="center"/>
              <w:rPr>
                <w:rFonts w:eastAsia="Calibri"/>
                <w:sz w:val="20"/>
                <w:szCs w:val="20"/>
              </w:rPr>
            </w:pPr>
            <w:r>
              <w:rPr>
                <w:rFonts w:eastAsia="Calibri"/>
                <w:sz w:val="20"/>
                <w:szCs w:val="20"/>
              </w:rPr>
              <w:t>-</w:t>
            </w:r>
          </w:p>
        </w:tc>
      </w:tr>
      <w:tr w:rsidR="00D66C65" w:rsidRPr="00D66C65" w14:paraId="4654337F" w14:textId="77777777" w:rsidTr="00D66C65">
        <w:trPr>
          <w:trHeight w:val="297"/>
          <w:jc w:val="center"/>
        </w:trPr>
        <w:tc>
          <w:tcPr>
            <w:tcW w:w="3312" w:type="dxa"/>
            <w:tcBorders>
              <w:left w:val="double" w:sz="4" w:space="0" w:color="auto"/>
              <w:right w:val="double" w:sz="4" w:space="0" w:color="auto"/>
            </w:tcBorders>
            <w:vAlign w:val="center"/>
          </w:tcPr>
          <w:p w14:paraId="795C85F5" w14:textId="13C1EE32" w:rsidR="00F31DD9" w:rsidRPr="00D66C65" w:rsidRDefault="00F31DD9" w:rsidP="001B69D9">
            <w:pPr>
              <w:spacing w:line="240" w:lineRule="auto"/>
              <w:rPr>
                <w:rFonts w:eastAsia="Calibri"/>
                <w:b/>
                <w:sz w:val="20"/>
                <w:szCs w:val="20"/>
              </w:rPr>
            </w:pPr>
            <w:r w:rsidRPr="00D66C65">
              <w:rPr>
                <w:rFonts w:eastAsia="Calibri"/>
                <w:b/>
                <w:sz w:val="20"/>
                <w:szCs w:val="20"/>
              </w:rPr>
              <w:t xml:space="preserve">Square footage of </w:t>
            </w:r>
            <w:r w:rsidR="001B69D9">
              <w:rPr>
                <w:rFonts w:eastAsia="Calibri"/>
                <w:b/>
                <w:sz w:val="20"/>
                <w:szCs w:val="20"/>
              </w:rPr>
              <w:t>the dwelling unit</w:t>
            </w:r>
          </w:p>
        </w:tc>
        <w:tc>
          <w:tcPr>
            <w:tcW w:w="886" w:type="dxa"/>
            <w:tcBorders>
              <w:left w:val="double" w:sz="4" w:space="0" w:color="auto"/>
              <w:right w:val="single" w:sz="4" w:space="0" w:color="auto"/>
            </w:tcBorders>
            <w:vAlign w:val="center"/>
          </w:tcPr>
          <w:p w14:paraId="6D8C10E5"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-0.640</w:t>
            </w:r>
          </w:p>
        </w:tc>
        <w:tc>
          <w:tcPr>
            <w:tcW w:w="836" w:type="dxa"/>
            <w:tcBorders>
              <w:left w:val="single" w:sz="4" w:space="0" w:color="auto"/>
              <w:right w:val="double" w:sz="4" w:space="0" w:color="auto"/>
            </w:tcBorders>
            <w:vAlign w:val="center"/>
          </w:tcPr>
          <w:p w14:paraId="31711C00"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-52.861</w:t>
            </w:r>
          </w:p>
        </w:tc>
        <w:tc>
          <w:tcPr>
            <w:tcW w:w="750" w:type="dxa"/>
            <w:tcBorders>
              <w:left w:val="double" w:sz="4" w:space="0" w:color="auto"/>
              <w:right w:val="single" w:sz="4" w:space="0" w:color="auto"/>
            </w:tcBorders>
            <w:vAlign w:val="center"/>
          </w:tcPr>
          <w:p w14:paraId="5B4BFAC0" w14:textId="5EE3A99A"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0CDF6DEC" w14:textId="5EEE71BA"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43" w:type="dxa"/>
            <w:tcBorders>
              <w:left w:val="double" w:sz="4" w:space="0" w:color="auto"/>
            </w:tcBorders>
            <w:vAlign w:val="center"/>
          </w:tcPr>
          <w:p w14:paraId="7288A5DD" w14:textId="7C8DE547"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7F4FF2C9" w14:textId="6AA1C688"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tcBorders>
            <w:vAlign w:val="center"/>
          </w:tcPr>
          <w:p w14:paraId="3922119D"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0.131</w:t>
            </w:r>
          </w:p>
        </w:tc>
        <w:tc>
          <w:tcPr>
            <w:tcW w:w="839" w:type="dxa"/>
            <w:tcBorders>
              <w:right w:val="double" w:sz="4" w:space="0" w:color="auto"/>
            </w:tcBorders>
            <w:vAlign w:val="center"/>
          </w:tcPr>
          <w:p w14:paraId="6B0A92F8"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11.124</w:t>
            </w:r>
          </w:p>
        </w:tc>
        <w:tc>
          <w:tcPr>
            <w:tcW w:w="810" w:type="dxa"/>
            <w:tcBorders>
              <w:left w:val="double" w:sz="4" w:space="0" w:color="auto"/>
            </w:tcBorders>
            <w:vAlign w:val="center"/>
          </w:tcPr>
          <w:p w14:paraId="0FB51342"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0.182</w:t>
            </w:r>
          </w:p>
        </w:tc>
        <w:tc>
          <w:tcPr>
            <w:tcW w:w="810" w:type="dxa"/>
            <w:tcBorders>
              <w:right w:val="double" w:sz="4" w:space="0" w:color="auto"/>
            </w:tcBorders>
            <w:vAlign w:val="center"/>
          </w:tcPr>
          <w:p w14:paraId="30B07277"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12.856</w:t>
            </w:r>
          </w:p>
        </w:tc>
        <w:tc>
          <w:tcPr>
            <w:tcW w:w="797" w:type="dxa"/>
            <w:tcBorders>
              <w:left w:val="double" w:sz="4" w:space="0" w:color="auto"/>
            </w:tcBorders>
            <w:vAlign w:val="center"/>
          </w:tcPr>
          <w:p w14:paraId="7C240E80"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0.330</w:t>
            </w:r>
          </w:p>
        </w:tc>
        <w:tc>
          <w:tcPr>
            <w:tcW w:w="810" w:type="dxa"/>
            <w:tcBorders>
              <w:right w:val="double" w:sz="4" w:space="0" w:color="auto"/>
            </w:tcBorders>
            <w:vAlign w:val="center"/>
          </w:tcPr>
          <w:p w14:paraId="0E4D4B73"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20.277</w:t>
            </w:r>
          </w:p>
        </w:tc>
      </w:tr>
      <w:tr w:rsidR="00D66C65" w:rsidRPr="00D66C65" w14:paraId="2E73F37F" w14:textId="77777777" w:rsidTr="00D66C65">
        <w:trPr>
          <w:trHeight w:val="297"/>
          <w:jc w:val="center"/>
        </w:trPr>
        <w:tc>
          <w:tcPr>
            <w:tcW w:w="3312" w:type="dxa"/>
            <w:tcBorders>
              <w:left w:val="double" w:sz="4" w:space="0" w:color="auto"/>
              <w:right w:val="double" w:sz="4" w:space="0" w:color="auto"/>
            </w:tcBorders>
            <w:vAlign w:val="center"/>
          </w:tcPr>
          <w:p w14:paraId="27487C3C" w14:textId="7826DB84" w:rsidR="00F31DD9" w:rsidRPr="00D66C65" w:rsidRDefault="00F31DD9" w:rsidP="00E14270">
            <w:pPr>
              <w:spacing w:line="240" w:lineRule="auto"/>
              <w:rPr>
                <w:rFonts w:eastAsia="Calibri"/>
                <w:b/>
                <w:sz w:val="20"/>
                <w:szCs w:val="20"/>
              </w:rPr>
            </w:pPr>
            <w:r w:rsidRPr="00D66C65">
              <w:rPr>
                <w:rFonts w:eastAsia="Calibri"/>
                <w:b/>
                <w:sz w:val="20"/>
                <w:szCs w:val="20"/>
              </w:rPr>
              <w:t xml:space="preserve">Residential location (base: </w:t>
            </w:r>
            <w:r w:rsidR="00E14270" w:rsidRPr="00D66C65">
              <w:rPr>
                <w:rFonts w:eastAsia="Calibri"/>
                <w:b/>
                <w:sz w:val="20"/>
                <w:szCs w:val="20"/>
              </w:rPr>
              <w:t>s</w:t>
            </w:r>
            <w:r w:rsidRPr="00D66C65">
              <w:rPr>
                <w:rFonts w:eastAsia="Calibri"/>
                <w:b/>
                <w:sz w:val="20"/>
                <w:szCs w:val="20"/>
              </w:rPr>
              <w:t>uburb)</w:t>
            </w:r>
          </w:p>
        </w:tc>
        <w:tc>
          <w:tcPr>
            <w:tcW w:w="886" w:type="dxa"/>
            <w:tcBorders>
              <w:left w:val="double" w:sz="4" w:space="0" w:color="auto"/>
              <w:right w:val="single" w:sz="4" w:space="0" w:color="auto"/>
            </w:tcBorders>
            <w:vAlign w:val="center"/>
          </w:tcPr>
          <w:p w14:paraId="22D2CF42" w14:textId="77777777" w:rsidR="00F31DD9" w:rsidRPr="00D66C65" w:rsidRDefault="00F31DD9" w:rsidP="00E14270">
            <w:pPr>
              <w:spacing w:line="240" w:lineRule="auto"/>
              <w:jc w:val="center"/>
              <w:rPr>
                <w:rFonts w:eastAsia="Calibri"/>
                <w:sz w:val="20"/>
                <w:szCs w:val="20"/>
              </w:rPr>
            </w:pPr>
          </w:p>
        </w:tc>
        <w:tc>
          <w:tcPr>
            <w:tcW w:w="836" w:type="dxa"/>
            <w:tcBorders>
              <w:left w:val="single" w:sz="4" w:space="0" w:color="auto"/>
              <w:right w:val="double" w:sz="4" w:space="0" w:color="auto"/>
            </w:tcBorders>
            <w:vAlign w:val="center"/>
          </w:tcPr>
          <w:p w14:paraId="0C65D911" w14:textId="77777777" w:rsidR="00F31DD9" w:rsidRPr="00D66C65" w:rsidRDefault="00F31DD9" w:rsidP="00E14270">
            <w:pPr>
              <w:spacing w:line="240" w:lineRule="auto"/>
              <w:jc w:val="center"/>
              <w:rPr>
                <w:rFonts w:eastAsia="Calibri"/>
                <w:sz w:val="20"/>
                <w:szCs w:val="20"/>
              </w:rPr>
            </w:pPr>
          </w:p>
        </w:tc>
        <w:tc>
          <w:tcPr>
            <w:tcW w:w="750" w:type="dxa"/>
            <w:tcBorders>
              <w:left w:val="double" w:sz="4" w:space="0" w:color="auto"/>
              <w:right w:val="single" w:sz="4" w:space="0" w:color="auto"/>
            </w:tcBorders>
            <w:vAlign w:val="center"/>
          </w:tcPr>
          <w:p w14:paraId="3A451C98" w14:textId="77777777" w:rsidR="00F31DD9" w:rsidRPr="00D66C65" w:rsidRDefault="00F31DD9" w:rsidP="00E14270">
            <w:pPr>
              <w:spacing w:line="240" w:lineRule="auto"/>
              <w:jc w:val="center"/>
              <w:rPr>
                <w:rFonts w:eastAsia="Calibri"/>
                <w:sz w:val="20"/>
                <w:szCs w:val="20"/>
              </w:rPr>
            </w:pPr>
          </w:p>
        </w:tc>
        <w:tc>
          <w:tcPr>
            <w:tcW w:w="776" w:type="dxa"/>
            <w:tcBorders>
              <w:left w:val="single" w:sz="4" w:space="0" w:color="auto"/>
              <w:right w:val="double" w:sz="4" w:space="0" w:color="auto"/>
            </w:tcBorders>
            <w:vAlign w:val="center"/>
          </w:tcPr>
          <w:p w14:paraId="0866CEA3" w14:textId="77777777" w:rsidR="00F31DD9" w:rsidRPr="00D66C65" w:rsidRDefault="00F31DD9" w:rsidP="00E14270">
            <w:pPr>
              <w:spacing w:line="240" w:lineRule="auto"/>
              <w:jc w:val="center"/>
              <w:rPr>
                <w:rFonts w:eastAsia="Calibri"/>
                <w:sz w:val="20"/>
                <w:szCs w:val="20"/>
              </w:rPr>
            </w:pPr>
          </w:p>
        </w:tc>
        <w:tc>
          <w:tcPr>
            <w:tcW w:w="743" w:type="dxa"/>
            <w:tcBorders>
              <w:left w:val="double" w:sz="4" w:space="0" w:color="auto"/>
            </w:tcBorders>
            <w:vAlign w:val="center"/>
          </w:tcPr>
          <w:p w14:paraId="6B11E767" w14:textId="77777777" w:rsidR="00F31DD9" w:rsidRPr="00D66C65" w:rsidRDefault="00F31DD9" w:rsidP="00E14270">
            <w:pPr>
              <w:spacing w:line="240" w:lineRule="auto"/>
              <w:jc w:val="center"/>
              <w:rPr>
                <w:rFonts w:eastAsia="Calibri"/>
                <w:sz w:val="20"/>
                <w:szCs w:val="20"/>
              </w:rPr>
            </w:pPr>
          </w:p>
        </w:tc>
        <w:tc>
          <w:tcPr>
            <w:tcW w:w="810" w:type="dxa"/>
            <w:tcBorders>
              <w:right w:val="double" w:sz="4" w:space="0" w:color="auto"/>
            </w:tcBorders>
            <w:vAlign w:val="center"/>
          </w:tcPr>
          <w:p w14:paraId="28E7505B" w14:textId="77777777" w:rsidR="00F31DD9" w:rsidRPr="00D66C65" w:rsidRDefault="00F31DD9" w:rsidP="00E14270">
            <w:pPr>
              <w:spacing w:line="240" w:lineRule="auto"/>
              <w:jc w:val="center"/>
              <w:rPr>
                <w:rFonts w:eastAsia="Calibri"/>
                <w:sz w:val="20"/>
                <w:szCs w:val="20"/>
              </w:rPr>
            </w:pPr>
          </w:p>
        </w:tc>
        <w:tc>
          <w:tcPr>
            <w:tcW w:w="810" w:type="dxa"/>
            <w:tcBorders>
              <w:left w:val="double" w:sz="4" w:space="0" w:color="auto"/>
            </w:tcBorders>
            <w:vAlign w:val="center"/>
          </w:tcPr>
          <w:p w14:paraId="4D02894D" w14:textId="77777777" w:rsidR="00F31DD9" w:rsidRPr="00D66C65" w:rsidRDefault="00F31DD9" w:rsidP="00E14270">
            <w:pPr>
              <w:spacing w:line="240" w:lineRule="auto"/>
              <w:jc w:val="center"/>
              <w:rPr>
                <w:rFonts w:eastAsia="Calibri"/>
                <w:sz w:val="20"/>
                <w:szCs w:val="20"/>
              </w:rPr>
            </w:pPr>
          </w:p>
        </w:tc>
        <w:tc>
          <w:tcPr>
            <w:tcW w:w="839" w:type="dxa"/>
            <w:tcBorders>
              <w:right w:val="double" w:sz="4" w:space="0" w:color="auto"/>
            </w:tcBorders>
            <w:vAlign w:val="center"/>
          </w:tcPr>
          <w:p w14:paraId="755A2B6E" w14:textId="77777777" w:rsidR="00F31DD9" w:rsidRPr="00D66C65" w:rsidRDefault="00F31DD9" w:rsidP="00E14270">
            <w:pPr>
              <w:spacing w:line="240" w:lineRule="auto"/>
              <w:jc w:val="center"/>
              <w:rPr>
                <w:rFonts w:eastAsia="Calibri"/>
                <w:sz w:val="20"/>
                <w:szCs w:val="20"/>
              </w:rPr>
            </w:pPr>
          </w:p>
        </w:tc>
        <w:tc>
          <w:tcPr>
            <w:tcW w:w="810" w:type="dxa"/>
            <w:tcBorders>
              <w:left w:val="double" w:sz="4" w:space="0" w:color="auto"/>
            </w:tcBorders>
            <w:vAlign w:val="center"/>
          </w:tcPr>
          <w:p w14:paraId="1F4120B6" w14:textId="77777777" w:rsidR="00F31DD9" w:rsidRPr="00D66C65" w:rsidRDefault="00F31DD9" w:rsidP="00E14270">
            <w:pPr>
              <w:spacing w:line="240" w:lineRule="auto"/>
              <w:jc w:val="center"/>
              <w:rPr>
                <w:rFonts w:eastAsia="Calibri"/>
                <w:sz w:val="20"/>
                <w:szCs w:val="20"/>
              </w:rPr>
            </w:pPr>
          </w:p>
        </w:tc>
        <w:tc>
          <w:tcPr>
            <w:tcW w:w="810" w:type="dxa"/>
            <w:tcBorders>
              <w:right w:val="double" w:sz="4" w:space="0" w:color="auto"/>
            </w:tcBorders>
            <w:vAlign w:val="center"/>
          </w:tcPr>
          <w:p w14:paraId="2090A270" w14:textId="77777777" w:rsidR="00F31DD9" w:rsidRPr="00D66C65" w:rsidRDefault="00F31DD9" w:rsidP="00E14270">
            <w:pPr>
              <w:spacing w:line="240" w:lineRule="auto"/>
              <w:jc w:val="center"/>
              <w:rPr>
                <w:rFonts w:eastAsia="Calibri"/>
                <w:sz w:val="20"/>
                <w:szCs w:val="20"/>
              </w:rPr>
            </w:pPr>
          </w:p>
        </w:tc>
        <w:tc>
          <w:tcPr>
            <w:tcW w:w="797" w:type="dxa"/>
            <w:tcBorders>
              <w:left w:val="double" w:sz="4" w:space="0" w:color="auto"/>
            </w:tcBorders>
            <w:vAlign w:val="center"/>
          </w:tcPr>
          <w:p w14:paraId="67B45EA1" w14:textId="77777777" w:rsidR="00F31DD9" w:rsidRPr="00D66C65" w:rsidRDefault="00F31DD9" w:rsidP="00E14270">
            <w:pPr>
              <w:spacing w:line="240" w:lineRule="auto"/>
              <w:jc w:val="center"/>
              <w:rPr>
                <w:rFonts w:eastAsia="Calibri"/>
                <w:sz w:val="20"/>
                <w:szCs w:val="20"/>
              </w:rPr>
            </w:pPr>
          </w:p>
        </w:tc>
        <w:tc>
          <w:tcPr>
            <w:tcW w:w="810" w:type="dxa"/>
            <w:tcBorders>
              <w:right w:val="double" w:sz="4" w:space="0" w:color="auto"/>
            </w:tcBorders>
            <w:vAlign w:val="center"/>
          </w:tcPr>
          <w:p w14:paraId="0D9F2C52" w14:textId="77777777" w:rsidR="00F31DD9" w:rsidRPr="00D66C65" w:rsidRDefault="00F31DD9" w:rsidP="00E14270">
            <w:pPr>
              <w:spacing w:line="240" w:lineRule="auto"/>
              <w:jc w:val="center"/>
              <w:rPr>
                <w:rFonts w:eastAsia="Calibri"/>
                <w:sz w:val="20"/>
                <w:szCs w:val="20"/>
              </w:rPr>
            </w:pPr>
          </w:p>
        </w:tc>
      </w:tr>
      <w:tr w:rsidR="00D66C65" w:rsidRPr="00D66C65" w14:paraId="45413A96" w14:textId="77777777" w:rsidTr="00D66C65">
        <w:trPr>
          <w:trHeight w:val="297"/>
          <w:jc w:val="center"/>
        </w:trPr>
        <w:tc>
          <w:tcPr>
            <w:tcW w:w="3312" w:type="dxa"/>
            <w:tcBorders>
              <w:left w:val="double" w:sz="4" w:space="0" w:color="auto"/>
              <w:right w:val="double" w:sz="4" w:space="0" w:color="auto"/>
            </w:tcBorders>
            <w:vAlign w:val="center"/>
          </w:tcPr>
          <w:p w14:paraId="31512156" w14:textId="77777777" w:rsidR="00F31DD9" w:rsidRPr="00D66C65" w:rsidRDefault="00F31DD9" w:rsidP="00E14270">
            <w:pPr>
              <w:spacing w:line="240" w:lineRule="auto"/>
              <w:rPr>
                <w:rFonts w:eastAsia="Calibri"/>
                <w:sz w:val="20"/>
                <w:szCs w:val="20"/>
              </w:rPr>
            </w:pPr>
            <w:r w:rsidRPr="00D66C65">
              <w:rPr>
                <w:rFonts w:eastAsia="Calibri"/>
                <w:sz w:val="20"/>
                <w:szCs w:val="20"/>
              </w:rPr>
              <w:t xml:space="preserve">   Secondary city</w:t>
            </w:r>
          </w:p>
        </w:tc>
        <w:tc>
          <w:tcPr>
            <w:tcW w:w="886" w:type="dxa"/>
            <w:tcBorders>
              <w:left w:val="double" w:sz="4" w:space="0" w:color="auto"/>
              <w:right w:val="single" w:sz="4" w:space="0" w:color="auto"/>
            </w:tcBorders>
            <w:vAlign w:val="center"/>
          </w:tcPr>
          <w:p w14:paraId="10789DB0" w14:textId="5B4A4544"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36" w:type="dxa"/>
            <w:tcBorders>
              <w:left w:val="single" w:sz="4" w:space="0" w:color="auto"/>
              <w:right w:val="double" w:sz="4" w:space="0" w:color="auto"/>
            </w:tcBorders>
            <w:vAlign w:val="center"/>
          </w:tcPr>
          <w:p w14:paraId="7E461A50" w14:textId="4B503731"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50" w:type="dxa"/>
            <w:tcBorders>
              <w:left w:val="double" w:sz="4" w:space="0" w:color="auto"/>
              <w:right w:val="single" w:sz="4" w:space="0" w:color="auto"/>
            </w:tcBorders>
            <w:vAlign w:val="center"/>
          </w:tcPr>
          <w:p w14:paraId="626C63CD" w14:textId="5F622572"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733D894F" w14:textId="53436DAA"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43" w:type="dxa"/>
            <w:tcBorders>
              <w:left w:val="double" w:sz="4" w:space="0" w:color="auto"/>
            </w:tcBorders>
            <w:vAlign w:val="center"/>
          </w:tcPr>
          <w:p w14:paraId="1AC993BD" w14:textId="5CD2F822"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42356CD6" w14:textId="24862757"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tcBorders>
            <w:vAlign w:val="center"/>
          </w:tcPr>
          <w:p w14:paraId="169D29E8" w14:textId="499FF92A"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39" w:type="dxa"/>
            <w:tcBorders>
              <w:right w:val="double" w:sz="4" w:space="0" w:color="auto"/>
            </w:tcBorders>
            <w:vAlign w:val="center"/>
          </w:tcPr>
          <w:p w14:paraId="265D6CCB" w14:textId="1926A1D1"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tcBorders>
            <w:vAlign w:val="center"/>
          </w:tcPr>
          <w:p w14:paraId="69237478" w14:textId="7A1A956E"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10381FCD" w14:textId="68E39A3D"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97" w:type="dxa"/>
            <w:tcBorders>
              <w:left w:val="double" w:sz="4" w:space="0" w:color="auto"/>
            </w:tcBorders>
            <w:vAlign w:val="center"/>
          </w:tcPr>
          <w:p w14:paraId="5428A6C8" w14:textId="7EA10AF8"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3693200C" w14:textId="032ED31E" w:rsidR="00F31DD9" w:rsidRPr="00D66C65" w:rsidRDefault="005A1D67" w:rsidP="00E14270">
            <w:pPr>
              <w:spacing w:line="240" w:lineRule="auto"/>
              <w:jc w:val="center"/>
              <w:rPr>
                <w:rFonts w:eastAsia="Calibri"/>
                <w:sz w:val="20"/>
                <w:szCs w:val="20"/>
              </w:rPr>
            </w:pPr>
            <w:r>
              <w:rPr>
                <w:rFonts w:eastAsia="Calibri"/>
                <w:sz w:val="20"/>
                <w:szCs w:val="20"/>
              </w:rPr>
              <w:t>-</w:t>
            </w:r>
          </w:p>
        </w:tc>
      </w:tr>
      <w:tr w:rsidR="00D66C65" w:rsidRPr="00D66C65" w14:paraId="0C4B5774" w14:textId="77777777" w:rsidTr="00D66C65">
        <w:trPr>
          <w:trHeight w:val="297"/>
          <w:jc w:val="center"/>
        </w:trPr>
        <w:tc>
          <w:tcPr>
            <w:tcW w:w="3312" w:type="dxa"/>
            <w:tcBorders>
              <w:left w:val="double" w:sz="4" w:space="0" w:color="auto"/>
              <w:right w:val="double" w:sz="4" w:space="0" w:color="auto"/>
            </w:tcBorders>
            <w:vAlign w:val="center"/>
          </w:tcPr>
          <w:p w14:paraId="7271583E" w14:textId="77777777" w:rsidR="00F31DD9" w:rsidRPr="00D66C65" w:rsidRDefault="00F31DD9" w:rsidP="00E14270">
            <w:pPr>
              <w:spacing w:line="240" w:lineRule="auto"/>
              <w:rPr>
                <w:rFonts w:eastAsia="Calibri"/>
                <w:sz w:val="20"/>
                <w:szCs w:val="20"/>
              </w:rPr>
            </w:pPr>
            <w:r w:rsidRPr="00D66C65">
              <w:rPr>
                <w:rFonts w:eastAsia="Calibri"/>
                <w:sz w:val="20"/>
                <w:szCs w:val="20"/>
              </w:rPr>
              <w:t xml:space="preserve">   Primary city</w:t>
            </w:r>
          </w:p>
        </w:tc>
        <w:tc>
          <w:tcPr>
            <w:tcW w:w="886" w:type="dxa"/>
            <w:tcBorders>
              <w:left w:val="double" w:sz="4" w:space="0" w:color="auto"/>
              <w:right w:val="single" w:sz="4" w:space="0" w:color="auto"/>
            </w:tcBorders>
            <w:vAlign w:val="center"/>
          </w:tcPr>
          <w:p w14:paraId="015334DE" w14:textId="3F283FE0" w:rsidR="00F31DD9" w:rsidRPr="00D66C65" w:rsidRDefault="00F31DD9" w:rsidP="00E14270">
            <w:pPr>
              <w:spacing w:line="240" w:lineRule="auto"/>
              <w:jc w:val="center"/>
              <w:rPr>
                <w:rFonts w:eastAsia="Calibri"/>
                <w:sz w:val="20"/>
                <w:szCs w:val="20"/>
              </w:rPr>
            </w:pPr>
            <w:r w:rsidRPr="00D66C65">
              <w:rPr>
                <w:rFonts w:eastAsia="Calibri"/>
                <w:sz w:val="20"/>
                <w:szCs w:val="20"/>
              </w:rPr>
              <w:t>0.443</w:t>
            </w:r>
          </w:p>
        </w:tc>
        <w:tc>
          <w:tcPr>
            <w:tcW w:w="836" w:type="dxa"/>
            <w:tcBorders>
              <w:left w:val="single" w:sz="4" w:space="0" w:color="auto"/>
              <w:right w:val="double" w:sz="4" w:space="0" w:color="auto"/>
            </w:tcBorders>
            <w:vAlign w:val="center"/>
          </w:tcPr>
          <w:p w14:paraId="701FE351" w14:textId="06275A82" w:rsidR="00F31DD9" w:rsidRPr="00D66C65" w:rsidRDefault="00F31DD9" w:rsidP="00E14270">
            <w:pPr>
              <w:spacing w:line="240" w:lineRule="auto"/>
              <w:jc w:val="center"/>
              <w:rPr>
                <w:rFonts w:eastAsia="Calibri"/>
                <w:sz w:val="20"/>
                <w:szCs w:val="20"/>
              </w:rPr>
            </w:pPr>
            <w:r w:rsidRPr="00D66C65">
              <w:rPr>
                <w:rFonts w:eastAsia="Calibri"/>
                <w:sz w:val="20"/>
                <w:szCs w:val="20"/>
              </w:rPr>
              <w:t>2.416</w:t>
            </w:r>
          </w:p>
        </w:tc>
        <w:tc>
          <w:tcPr>
            <w:tcW w:w="750" w:type="dxa"/>
            <w:tcBorders>
              <w:left w:val="double" w:sz="4" w:space="0" w:color="auto"/>
              <w:right w:val="single" w:sz="4" w:space="0" w:color="auto"/>
            </w:tcBorders>
            <w:vAlign w:val="center"/>
          </w:tcPr>
          <w:p w14:paraId="12607CE3" w14:textId="3665E583"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1AA3C30B" w14:textId="7E22B498"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43" w:type="dxa"/>
            <w:tcBorders>
              <w:left w:val="double" w:sz="4" w:space="0" w:color="auto"/>
            </w:tcBorders>
            <w:vAlign w:val="center"/>
          </w:tcPr>
          <w:p w14:paraId="177E47C7"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0.302</w:t>
            </w:r>
          </w:p>
        </w:tc>
        <w:tc>
          <w:tcPr>
            <w:tcW w:w="810" w:type="dxa"/>
            <w:tcBorders>
              <w:right w:val="double" w:sz="4" w:space="0" w:color="auto"/>
            </w:tcBorders>
            <w:vAlign w:val="center"/>
          </w:tcPr>
          <w:p w14:paraId="62945B68"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2.166</w:t>
            </w:r>
          </w:p>
        </w:tc>
        <w:tc>
          <w:tcPr>
            <w:tcW w:w="810" w:type="dxa"/>
            <w:tcBorders>
              <w:left w:val="double" w:sz="4" w:space="0" w:color="auto"/>
            </w:tcBorders>
            <w:vAlign w:val="center"/>
          </w:tcPr>
          <w:p w14:paraId="708394DF"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0.653</w:t>
            </w:r>
          </w:p>
        </w:tc>
        <w:tc>
          <w:tcPr>
            <w:tcW w:w="839" w:type="dxa"/>
            <w:tcBorders>
              <w:right w:val="double" w:sz="4" w:space="0" w:color="auto"/>
            </w:tcBorders>
            <w:vAlign w:val="center"/>
          </w:tcPr>
          <w:p w14:paraId="02F32507"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2.379</w:t>
            </w:r>
          </w:p>
        </w:tc>
        <w:tc>
          <w:tcPr>
            <w:tcW w:w="810" w:type="dxa"/>
            <w:tcBorders>
              <w:left w:val="double" w:sz="4" w:space="0" w:color="auto"/>
            </w:tcBorders>
            <w:vAlign w:val="center"/>
          </w:tcPr>
          <w:p w14:paraId="44E03451"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0.653</w:t>
            </w:r>
          </w:p>
        </w:tc>
        <w:tc>
          <w:tcPr>
            <w:tcW w:w="810" w:type="dxa"/>
            <w:tcBorders>
              <w:right w:val="double" w:sz="4" w:space="0" w:color="auto"/>
            </w:tcBorders>
            <w:vAlign w:val="center"/>
          </w:tcPr>
          <w:p w14:paraId="6843D8CC"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2.379</w:t>
            </w:r>
          </w:p>
        </w:tc>
        <w:tc>
          <w:tcPr>
            <w:tcW w:w="797" w:type="dxa"/>
            <w:tcBorders>
              <w:left w:val="double" w:sz="4" w:space="0" w:color="auto"/>
            </w:tcBorders>
            <w:vAlign w:val="center"/>
          </w:tcPr>
          <w:p w14:paraId="0DE104FF"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0.653</w:t>
            </w:r>
          </w:p>
        </w:tc>
        <w:tc>
          <w:tcPr>
            <w:tcW w:w="810" w:type="dxa"/>
            <w:tcBorders>
              <w:right w:val="double" w:sz="4" w:space="0" w:color="auto"/>
            </w:tcBorders>
            <w:vAlign w:val="center"/>
          </w:tcPr>
          <w:p w14:paraId="0C8959EC"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2.379</w:t>
            </w:r>
          </w:p>
        </w:tc>
      </w:tr>
      <w:tr w:rsidR="00D66C65" w:rsidRPr="00D66C65" w14:paraId="3F68456F" w14:textId="77777777" w:rsidTr="00D66C65">
        <w:trPr>
          <w:trHeight w:val="297"/>
          <w:jc w:val="center"/>
        </w:trPr>
        <w:tc>
          <w:tcPr>
            <w:tcW w:w="3312" w:type="dxa"/>
            <w:tcBorders>
              <w:left w:val="double" w:sz="4" w:space="0" w:color="auto"/>
              <w:right w:val="double" w:sz="4" w:space="0" w:color="auto"/>
            </w:tcBorders>
            <w:vAlign w:val="center"/>
          </w:tcPr>
          <w:p w14:paraId="4166B0C4" w14:textId="3B5E736D" w:rsidR="00F31DD9" w:rsidRPr="00D66C65" w:rsidRDefault="00F31DD9" w:rsidP="00E14270">
            <w:pPr>
              <w:spacing w:line="240" w:lineRule="auto"/>
              <w:rPr>
                <w:rFonts w:eastAsia="Calibri"/>
                <w:b/>
                <w:sz w:val="20"/>
                <w:szCs w:val="20"/>
              </w:rPr>
            </w:pPr>
            <w:r w:rsidRPr="00D66C65">
              <w:rPr>
                <w:rFonts w:eastAsia="Calibri"/>
                <w:b/>
                <w:sz w:val="20"/>
                <w:szCs w:val="20"/>
              </w:rPr>
              <w:t xml:space="preserve">Tenure type  (base: </w:t>
            </w:r>
            <w:r w:rsidR="00E14270" w:rsidRPr="00D66C65">
              <w:rPr>
                <w:rFonts w:eastAsia="Calibri"/>
                <w:b/>
                <w:sz w:val="20"/>
                <w:szCs w:val="20"/>
              </w:rPr>
              <w:t>o</w:t>
            </w:r>
            <w:r w:rsidRPr="00D66C65">
              <w:rPr>
                <w:rFonts w:eastAsia="Calibri"/>
                <w:b/>
                <w:sz w:val="20"/>
                <w:szCs w:val="20"/>
              </w:rPr>
              <w:t>wned)</w:t>
            </w:r>
          </w:p>
        </w:tc>
        <w:tc>
          <w:tcPr>
            <w:tcW w:w="886" w:type="dxa"/>
            <w:tcBorders>
              <w:left w:val="double" w:sz="4" w:space="0" w:color="auto"/>
              <w:right w:val="single" w:sz="4" w:space="0" w:color="auto"/>
            </w:tcBorders>
            <w:vAlign w:val="center"/>
          </w:tcPr>
          <w:p w14:paraId="1B982ED0" w14:textId="77777777" w:rsidR="00F31DD9" w:rsidRPr="00D66C65" w:rsidRDefault="00F31DD9" w:rsidP="00E14270">
            <w:pPr>
              <w:spacing w:line="240" w:lineRule="auto"/>
              <w:jc w:val="center"/>
              <w:rPr>
                <w:rFonts w:eastAsia="Calibri"/>
                <w:sz w:val="20"/>
                <w:szCs w:val="20"/>
              </w:rPr>
            </w:pPr>
          </w:p>
        </w:tc>
        <w:tc>
          <w:tcPr>
            <w:tcW w:w="836" w:type="dxa"/>
            <w:tcBorders>
              <w:left w:val="single" w:sz="4" w:space="0" w:color="auto"/>
              <w:right w:val="double" w:sz="4" w:space="0" w:color="auto"/>
            </w:tcBorders>
            <w:vAlign w:val="center"/>
          </w:tcPr>
          <w:p w14:paraId="3848B2B6" w14:textId="77777777" w:rsidR="00F31DD9" w:rsidRPr="00D66C65" w:rsidRDefault="00F31DD9" w:rsidP="00E14270">
            <w:pPr>
              <w:spacing w:line="240" w:lineRule="auto"/>
              <w:jc w:val="center"/>
              <w:rPr>
                <w:rFonts w:eastAsia="Calibri"/>
                <w:sz w:val="20"/>
                <w:szCs w:val="20"/>
              </w:rPr>
            </w:pPr>
          </w:p>
        </w:tc>
        <w:tc>
          <w:tcPr>
            <w:tcW w:w="750" w:type="dxa"/>
            <w:tcBorders>
              <w:left w:val="double" w:sz="4" w:space="0" w:color="auto"/>
              <w:right w:val="single" w:sz="4" w:space="0" w:color="auto"/>
            </w:tcBorders>
            <w:vAlign w:val="center"/>
          </w:tcPr>
          <w:p w14:paraId="57FCBF17" w14:textId="77777777" w:rsidR="00F31DD9" w:rsidRPr="00D66C65" w:rsidRDefault="00F31DD9" w:rsidP="00E14270">
            <w:pPr>
              <w:spacing w:line="240" w:lineRule="auto"/>
              <w:jc w:val="center"/>
              <w:rPr>
                <w:rFonts w:eastAsia="Calibri"/>
                <w:sz w:val="20"/>
                <w:szCs w:val="20"/>
              </w:rPr>
            </w:pPr>
          </w:p>
        </w:tc>
        <w:tc>
          <w:tcPr>
            <w:tcW w:w="776" w:type="dxa"/>
            <w:tcBorders>
              <w:left w:val="single" w:sz="4" w:space="0" w:color="auto"/>
              <w:right w:val="double" w:sz="4" w:space="0" w:color="auto"/>
            </w:tcBorders>
            <w:vAlign w:val="center"/>
          </w:tcPr>
          <w:p w14:paraId="163BC06E" w14:textId="77777777" w:rsidR="00F31DD9" w:rsidRPr="00D66C65" w:rsidRDefault="00F31DD9" w:rsidP="00E14270">
            <w:pPr>
              <w:spacing w:line="240" w:lineRule="auto"/>
              <w:jc w:val="center"/>
              <w:rPr>
                <w:rFonts w:eastAsia="Calibri"/>
                <w:sz w:val="20"/>
                <w:szCs w:val="20"/>
              </w:rPr>
            </w:pPr>
          </w:p>
        </w:tc>
        <w:tc>
          <w:tcPr>
            <w:tcW w:w="743" w:type="dxa"/>
            <w:tcBorders>
              <w:left w:val="double" w:sz="4" w:space="0" w:color="auto"/>
            </w:tcBorders>
            <w:vAlign w:val="center"/>
          </w:tcPr>
          <w:p w14:paraId="0D520518" w14:textId="77777777" w:rsidR="00F31DD9" w:rsidRPr="00D66C65" w:rsidRDefault="00F31DD9" w:rsidP="00E14270">
            <w:pPr>
              <w:spacing w:line="240" w:lineRule="auto"/>
              <w:jc w:val="center"/>
              <w:rPr>
                <w:rFonts w:eastAsia="Calibri"/>
                <w:sz w:val="20"/>
                <w:szCs w:val="20"/>
              </w:rPr>
            </w:pPr>
          </w:p>
        </w:tc>
        <w:tc>
          <w:tcPr>
            <w:tcW w:w="810" w:type="dxa"/>
            <w:tcBorders>
              <w:right w:val="double" w:sz="4" w:space="0" w:color="auto"/>
            </w:tcBorders>
            <w:vAlign w:val="center"/>
          </w:tcPr>
          <w:p w14:paraId="1E9A27FD" w14:textId="77777777" w:rsidR="00F31DD9" w:rsidRPr="00D66C65" w:rsidRDefault="00F31DD9" w:rsidP="00E14270">
            <w:pPr>
              <w:spacing w:line="240" w:lineRule="auto"/>
              <w:jc w:val="center"/>
              <w:rPr>
                <w:rFonts w:eastAsia="Calibri"/>
                <w:sz w:val="20"/>
                <w:szCs w:val="20"/>
              </w:rPr>
            </w:pPr>
          </w:p>
        </w:tc>
        <w:tc>
          <w:tcPr>
            <w:tcW w:w="810" w:type="dxa"/>
            <w:tcBorders>
              <w:left w:val="double" w:sz="4" w:space="0" w:color="auto"/>
            </w:tcBorders>
            <w:vAlign w:val="center"/>
          </w:tcPr>
          <w:p w14:paraId="1AFCC637" w14:textId="77777777" w:rsidR="00F31DD9" w:rsidRPr="00D66C65" w:rsidRDefault="00F31DD9" w:rsidP="00E14270">
            <w:pPr>
              <w:spacing w:line="240" w:lineRule="auto"/>
              <w:jc w:val="center"/>
              <w:rPr>
                <w:rFonts w:eastAsia="Calibri"/>
                <w:sz w:val="20"/>
                <w:szCs w:val="20"/>
              </w:rPr>
            </w:pPr>
          </w:p>
        </w:tc>
        <w:tc>
          <w:tcPr>
            <w:tcW w:w="839" w:type="dxa"/>
            <w:tcBorders>
              <w:right w:val="double" w:sz="4" w:space="0" w:color="auto"/>
            </w:tcBorders>
            <w:vAlign w:val="center"/>
          </w:tcPr>
          <w:p w14:paraId="6E4CF362" w14:textId="77777777" w:rsidR="00F31DD9" w:rsidRPr="00D66C65" w:rsidRDefault="00F31DD9" w:rsidP="00E14270">
            <w:pPr>
              <w:spacing w:line="240" w:lineRule="auto"/>
              <w:jc w:val="center"/>
              <w:rPr>
                <w:rFonts w:eastAsia="Calibri"/>
                <w:sz w:val="20"/>
                <w:szCs w:val="20"/>
              </w:rPr>
            </w:pPr>
          </w:p>
        </w:tc>
        <w:tc>
          <w:tcPr>
            <w:tcW w:w="810" w:type="dxa"/>
            <w:tcBorders>
              <w:left w:val="double" w:sz="4" w:space="0" w:color="auto"/>
            </w:tcBorders>
            <w:vAlign w:val="center"/>
          </w:tcPr>
          <w:p w14:paraId="1921FAC7" w14:textId="77777777" w:rsidR="00F31DD9" w:rsidRPr="00D66C65" w:rsidRDefault="00F31DD9" w:rsidP="00E14270">
            <w:pPr>
              <w:spacing w:line="240" w:lineRule="auto"/>
              <w:jc w:val="center"/>
              <w:rPr>
                <w:rFonts w:eastAsia="Calibri"/>
                <w:sz w:val="20"/>
                <w:szCs w:val="20"/>
              </w:rPr>
            </w:pPr>
          </w:p>
        </w:tc>
        <w:tc>
          <w:tcPr>
            <w:tcW w:w="810" w:type="dxa"/>
            <w:tcBorders>
              <w:right w:val="double" w:sz="4" w:space="0" w:color="auto"/>
            </w:tcBorders>
            <w:vAlign w:val="center"/>
          </w:tcPr>
          <w:p w14:paraId="479E67A7" w14:textId="77777777" w:rsidR="00F31DD9" w:rsidRPr="00D66C65" w:rsidRDefault="00F31DD9" w:rsidP="00E14270">
            <w:pPr>
              <w:spacing w:line="240" w:lineRule="auto"/>
              <w:jc w:val="center"/>
              <w:rPr>
                <w:rFonts w:eastAsia="Calibri"/>
                <w:sz w:val="20"/>
                <w:szCs w:val="20"/>
              </w:rPr>
            </w:pPr>
          </w:p>
        </w:tc>
        <w:tc>
          <w:tcPr>
            <w:tcW w:w="797" w:type="dxa"/>
            <w:tcBorders>
              <w:left w:val="double" w:sz="4" w:space="0" w:color="auto"/>
            </w:tcBorders>
            <w:vAlign w:val="center"/>
          </w:tcPr>
          <w:p w14:paraId="22FB56D3" w14:textId="77777777" w:rsidR="00F31DD9" w:rsidRPr="00D66C65" w:rsidRDefault="00F31DD9" w:rsidP="00E14270">
            <w:pPr>
              <w:spacing w:line="240" w:lineRule="auto"/>
              <w:jc w:val="center"/>
              <w:rPr>
                <w:rFonts w:eastAsia="Calibri"/>
                <w:sz w:val="20"/>
                <w:szCs w:val="20"/>
              </w:rPr>
            </w:pPr>
          </w:p>
        </w:tc>
        <w:tc>
          <w:tcPr>
            <w:tcW w:w="810" w:type="dxa"/>
            <w:tcBorders>
              <w:right w:val="double" w:sz="4" w:space="0" w:color="auto"/>
            </w:tcBorders>
            <w:vAlign w:val="center"/>
          </w:tcPr>
          <w:p w14:paraId="1F3E985F" w14:textId="77777777" w:rsidR="00F31DD9" w:rsidRPr="00D66C65" w:rsidRDefault="00F31DD9" w:rsidP="00E14270">
            <w:pPr>
              <w:spacing w:line="240" w:lineRule="auto"/>
              <w:jc w:val="center"/>
              <w:rPr>
                <w:rFonts w:eastAsia="Calibri"/>
                <w:sz w:val="20"/>
                <w:szCs w:val="20"/>
              </w:rPr>
            </w:pPr>
          </w:p>
        </w:tc>
      </w:tr>
      <w:tr w:rsidR="00D66C65" w:rsidRPr="00D66C65" w14:paraId="4D19DD27" w14:textId="77777777" w:rsidTr="00D66C65">
        <w:trPr>
          <w:trHeight w:val="297"/>
          <w:jc w:val="center"/>
        </w:trPr>
        <w:tc>
          <w:tcPr>
            <w:tcW w:w="3312" w:type="dxa"/>
            <w:tcBorders>
              <w:left w:val="double" w:sz="4" w:space="0" w:color="auto"/>
              <w:right w:val="double" w:sz="4" w:space="0" w:color="auto"/>
            </w:tcBorders>
            <w:vAlign w:val="center"/>
          </w:tcPr>
          <w:p w14:paraId="1E3C93C2" w14:textId="77777777" w:rsidR="00F31DD9" w:rsidRPr="00D66C65" w:rsidRDefault="00F31DD9" w:rsidP="00E14270">
            <w:pPr>
              <w:spacing w:line="240" w:lineRule="auto"/>
              <w:rPr>
                <w:rFonts w:eastAsia="Calibri"/>
                <w:sz w:val="20"/>
                <w:szCs w:val="20"/>
              </w:rPr>
            </w:pPr>
            <w:r w:rsidRPr="00D66C65">
              <w:rPr>
                <w:rFonts w:eastAsia="Calibri"/>
                <w:sz w:val="20"/>
                <w:szCs w:val="20"/>
              </w:rPr>
              <w:t xml:space="preserve">   Rented</w:t>
            </w:r>
          </w:p>
        </w:tc>
        <w:tc>
          <w:tcPr>
            <w:tcW w:w="886" w:type="dxa"/>
            <w:tcBorders>
              <w:left w:val="double" w:sz="4" w:space="0" w:color="auto"/>
              <w:right w:val="single" w:sz="4" w:space="0" w:color="auto"/>
            </w:tcBorders>
            <w:vAlign w:val="center"/>
          </w:tcPr>
          <w:p w14:paraId="14FD4A8D" w14:textId="2EC7D072" w:rsidR="00F31DD9" w:rsidRPr="00D66C65" w:rsidRDefault="00F31DD9" w:rsidP="00E14270">
            <w:pPr>
              <w:spacing w:line="240" w:lineRule="auto"/>
              <w:jc w:val="center"/>
              <w:rPr>
                <w:rFonts w:eastAsia="Calibri"/>
                <w:sz w:val="20"/>
                <w:szCs w:val="20"/>
              </w:rPr>
            </w:pPr>
            <w:r w:rsidRPr="00D66C65">
              <w:rPr>
                <w:rFonts w:eastAsia="Calibri"/>
                <w:sz w:val="20"/>
                <w:szCs w:val="20"/>
              </w:rPr>
              <w:t>1.416</w:t>
            </w:r>
          </w:p>
        </w:tc>
        <w:tc>
          <w:tcPr>
            <w:tcW w:w="836" w:type="dxa"/>
            <w:tcBorders>
              <w:left w:val="single" w:sz="4" w:space="0" w:color="auto"/>
              <w:right w:val="double" w:sz="4" w:space="0" w:color="auto"/>
            </w:tcBorders>
            <w:vAlign w:val="center"/>
          </w:tcPr>
          <w:p w14:paraId="5421CB3A" w14:textId="42946720" w:rsidR="00F31DD9" w:rsidRPr="00D66C65" w:rsidRDefault="00F31DD9" w:rsidP="00E14270">
            <w:pPr>
              <w:spacing w:line="240" w:lineRule="auto"/>
              <w:jc w:val="center"/>
              <w:rPr>
                <w:rFonts w:eastAsia="Calibri"/>
                <w:sz w:val="20"/>
                <w:szCs w:val="20"/>
              </w:rPr>
            </w:pPr>
            <w:r w:rsidRPr="00D66C65">
              <w:rPr>
                <w:rFonts w:eastAsia="Calibri"/>
                <w:sz w:val="20"/>
                <w:szCs w:val="20"/>
              </w:rPr>
              <w:t>38.329</w:t>
            </w:r>
          </w:p>
        </w:tc>
        <w:tc>
          <w:tcPr>
            <w:tcW w:w="750" w:type="dxa"/>
            <w:tcBorders>
              <w:left w:val="double" w:sz="4" w:space="0" w:color="auto"/>
              <w:right w:val="single" w:sz="4" w:space="0" w:color="auto"/>
            </w:tcBorders>
            <w:vAlign w:val="center"/>
          </w:tcPr>
          <w:p w14:paraId="2F7E5F44" w14:textId="1477328B"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1E197C76" w14:textId="3BDAB39F"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43" w:type="dxa"/>
            <w:tcBorders>
              <w:left w:val="double" w:sz="4" w:space="0" w:color="auto"/>
            </w:tcBorders>
            <w:vAlign w:val="center"/>
          </w:tcPr>
          <w:p w14:paraId="52C87CA7" w14:textId="5029AC48"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7062FEF0" w14:textId="69C337F8"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tcBorders>
            <w:vAlign w:val="center"/>
          </w:tcPr>
          <w:p w14:paraId="20DB2916" w14:textId="014721EE"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39" w:type="dxa"/>
            <w:tcBorders>
              <w:right w:val="double" w:sz="4" w:space="0" w:color="auto"/>
            </w:tcBorders>
            <w:vAlign w:val="center"/>
          </w:tcPr>
          <w:p w14:paraId="12C3FA0D" w14:textId="20ED4C1A"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tcBorders>
            <w:vAlign w:val="center"/>
          </w:tcPr>
          <w:p w14:paraId="035C7C06" w14:textId="4A8D5477"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0E0EA79B" w14:textId="2AEE4877"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97" w:type="dxa"/>
            <w:tcBorders>
              <w:left w:val="double" w:sz="4" w:space="0" w:color="auto"/>
            </w:tcBorders>
            <w:vAlign w:val="center"/>
          </w:tcPr>
          <w:p w14:paraId="6340AC57" w14:textId="125EB654"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432066F0" w14:textId="568577BA" w:rsidR="00F31DD9" w:rsidRPr="00D66C65" w:rsidRDefault="005A1D67" w:rsidP="00E14270">
            <w:pPr>
              <w:spacing w:line="240" w:lineRule="auto"/>
              <w:jc w:val="center"/>
              <w:rPr>
                <w:rFonts w:eastAsia="Calibri"/>
                <w:sz w:val="20"/>
                <w:szCs w:val="20"/>
              </w:rPr>
            </w:pPr>
            <w:r>
              <w:rPr>
                <w:rFonts w:eastAsia="Calibri"/>
                <w:sz w:val="20"/>
                <w:szCs w:val="20"/>
              </w:rPr>
              <w:t>-</w:t>
            </w:r>
          </w:p>
        </w:tc>
      </w:tr>
      <w:tr w:rsidR="00D66C65" w:rsidRPr="00D66C65" w14:paraId="3C24B852" w14:textId="77777777" w:rsidTr="00D66C65">
        <w:trPr>
          <w:trHeight w:val="297"/>
          <w:jc w:val="center"/>
        </w:trPr>
        <w:tc>
          <w:tcPr>
            <w:tcW w:w="3312" w:type="dxa"/>
            <w:tcBorders>
              <w:left w:val="double" w:sz="4" w:space="0" w:color="auto"/>
              <w:right w:val="double" w:sz="4" w:space="0" w:color="auto"/>
            </w:tcBorders>
            <w:vAlign w:val="center"/>
          </w:tcPr>
          <w:p w14:paraId="74460472" w14:textId="6B48C052" w:rsidR="00F31DD9" w:rsidRPr="00D66C65" w:rsidRDefault="00F31DD9" w:rsidP="00E14270">
            <w:pPr>
              <w:spacing w:line="240" w:lineRule="auto"/>
              <w:rPr>
                <w:rFonts w:eastAsia="Calibri"/>
                <w:b/>
                <w:sz w:val="20"/>
                <w:szCs w:val="20"/>
              </w:rPr>
            </w:pPr>
            <w:proofErr w:type="spellStart"/>
            <w:r w:rsidRPr="00D66C65">
              <w:rPr>
                <w:rFonts w:eastAsia="Calibri"/>
                <w:b/>
                <w:sz w:val="20"/>
                <w:szCs w:val="20"/>
              </w:rPr>
              <w:t>Storey</w:t>
            </w:r>
            <w:proofErr w:type="spellEnd"/>
            <w:r w:rsidRPr="00D66C65">
              <w:rPr>
                <w:rFonts w:eastAsia="Calibri"/>
                <w:b/>
                <w:sz w:val="20"/>
                <w:szCs w:val="20"/>
              </w:rPr>
              <w:t xml:space="preserve"> type (base: multi-</w:t>
            </w:r>
            <w:proofErr w:type="spellStart"/>
            <w:r w:rsidRPr="00D66C65">
              <w:rPr>
                <w:rFonts w:eastAsia="Calibri"/>
                <w:b/>
                <w:sz w:val="20"/>
                <w:szCs w:val="20"/>
              </w:rPr>
              <w:t>storey</w:t>
            </w:r>
            <w:proofErr w:type="spellEnd"/>
            <w:r w:rsidRPr="00D66C65">
              <w:rPr>
                <w:rFonts w:eastAsia="Calibri"/>
                <w:b/>
                <w:sz w:val="20"/>
                <w:szCs w:val="20"/>
              </w:rPr>
              <w:t>)</w:t>
            </w:r>
          </w:p>
        </w:tc>
        <w:tc>
          <w:tcPr>
            <w:tcW w:w="886" w:type="dxa"/>
            <w:tcBorders>
              <w:left w:val="double" w:sz="4" w:space="0" w:color="auto"/>
              <w:right w:val="single" w:sz="4" w:space="0" w:color="auto"/>
            </w:tcBorders>
            <w:vAlign w:val="center"/>
          </w:tcPr>
          <w:p w14:paraId="3D257D1B" w14:textId="77777777" w:rsidR="00F31DD9" w:rsidRPr="00D66C65" w:rsidRDefault="00F31DD9" w:rsidP="00E14270">
            <w:pPr>
              <w:spacing w:line="240" w:lineRule="auto"/>
              <w:jc w:val="center"/>
              <w:rPr>
                <w:rFonts w:eastAsia="Calibri"/>
                <w:sz w:val="20"/>
                <w:szCs w:val="20"/>
              </w:rPr>
            </w:pPr>
          </w:p>
        </w:tc>
        <w:tc>
          <w:tcPr>
            <w:tcW w:w="836" w:type="dxa"/>
            <w:tcBorders>
              <w:left w:val="single" w:sz="4" w:space="0" w:color="auto"/>
              <w:right w:val="double" w:sz="4" w:space="0" w:color="auto"/>
            </w:tcBorders>
            <w:vAlign w:val="center"/>
          </w:tcPr>
          <w:p w14:paraId="623D39AA" w14:textId="77777777" w:rsidR="00F31DD9" w:rsidRPr="00D66C65" w:rsidRDefault="00F31DD9" w:rsidP="00E14270">
            <w:pPr>
              <w:spacing w:line="240" w:lineRule="auto"/>
              <w:jc w:val="center"/>
              <w:rPr>
                <w:rFonts w:eastAsia="Calibri"/>
                <w:sz w:val="20"/>
                <w:szCs w:val="20"/>
              </w:rPr>
            </w:pPr>
          </w:p>
        </w:tc>
        <w:tc>
          <w:tcPr>
            <w:tcW w:w="750" w:type="dxa"/>
            <w:tcBorders>
              <w:left w:val="double" w:sz="4" w:space="0" w:color="auto"/>
              <w:right w:val="single" w:sz="4" w:space="0" w:color="auto"/>
            </w:tcBorders>
            <w:vAlign w:val="center"/>
          </w:tcPr>
          <w:p w14:paraId="61DA2C30" w14:textId="77777777" w:rsidR="00F31DD9" w:rsidRPr="00D66C65" w:rsidRDefault="00F31DD9" w:rsidP="00E14270">
            <w:pPr>
              <w:spacing w:line="240" w:lineRule="auto"/>
              <w:jc w:val="center"/>
              <w:rPr>
                <w:rFonts w:eastAsia="Calibri"/>
                <w:sz w:val="20"/>
                <w:szCs w:val="20"/>
              </w:rPr>
            </w:pPr>
          </w:p>
        </w:tc>
        <w:tc>
          <w:tcPr>
            <w:tcW w:w="776" w:type="dxa"/>
            <w:tcBorders>
              <w:left w:val="single" w:sz="4" w:space="0" w:color="auto"/>
              <w:right w:val="double" w:sz="4" w:space="0" w:color="auto"/>
            </w:tcBorders>
            <w:vAlign w:val="center"/>
          </w:tcPr>
          <w:p w14:paraId="09DE09D4" w14:textId="77777777" w:rsidR="00F31DD9" w:rsidRPr="00D66C65" w:rsidRDefault="00F31DD9" w:rsidP="00E14270">
            <w:pPr>
              <w:spacing w:line="240" w:lineRule="auto"/>
              <w:jc w:val="center"/>
              <w:rPr>
                <w:rFonts w:eastAsia="Calibri"/>
                <w:sz w:val="20"/>
                <w:szCs w:val="20"/>
              </w:rPr>
            </w:pPr>
          </w:p>
        </w:tc>
        <w:tc>
          <w:tcPr>
            <w:tcW w:w="743" w:type="dxa"/>
            <w:tcBorders>
              <w:left w:val="double" w:sz="4" w:space="0" w:color="auto"/>
            </w:tcBorders>
            <w:vAlign w:val="center"/>
          </w:tcPr>
          <w:p w14:paraId="262BBC12" w14:textId="77777777" w:rsidR="00F31DD9" w:rsidRPr="00D66C65" w:rsidRDefault="00F31DD9" w:rsidP="00E14270">
            <w:pPr>
              <w:spacing w:line="240" w:lineRule="auto"/>
              <w:jc w:val="center"/>
              <w:rPr>
                <w:rFonts w:eastAsia="Calibri"/>
                <w:sz w:val="20"/>
                <w:szCs w:val="20"/>
              </w:rPr>
            </w:pPr>
          </w:p>
        </w:tc>
        <w:tc>
          <w:tcPr>
            <w:tcW w:w="810" w:type="dxa"/>
            <w:tcBorders>
              <w:right w:val="double" w:sz="4" w:space="0" w:color="auto"/>
            </w:tcBorders>
            <w:vAlign w:val="center"/>
          </w:tcPr>
          <w:p w14:paraId="76DABEE6" w14:textId="77777777" w:rsidR="00F31DD9" w:rsidRPr="00D66C65" w:rsidRDefault="00F31DD9" w:rsidP="00E14270">
            <w:pPr>
              <w:spacing w:line="240" w:lineRule="auto"/>
              <w:jc w:val="center"/>
              <w:rPr>
                <w:rFonts w:eastAsia="Calibri"/>
                <w:sz w:val="20"/>
                <w:szCs w:val="20"/>
              </w:rPr>
            </w:pPr>
          </w:p>
        </w:tc>
        <w:tc>
          <w:tcPr>
            <w:tcW w:w="810" w:type="dxa"/>
            <w:tcBorders>
              <w:left w:val="double" w:sz="4" w:space="0" w:color="auto"/>
            </w:tcBorders>
            <w:vAlign w:val="center"/>
          </w:tcPr>
          <w:p w14:paraId="40DA7EE2" w14:textId="77777777" w:rsidR="00F31DD9" w:rsidRPr="00D66C65" w:rsidRDefault="00F31DD9" w:rsidP="00E14270">
            <w:pPr>
              <w:spacing w:line="240" w:lineRule="auto"/>
              <w:jc w:val="center"/>
              <w:rPr>
                <w:rFonts w:eastAsia="Calibri"/>
                <w:sz w:val="20"/>
                <w:szCs w:val="20"/>
              </w:rPr>
            </w:pPr>
          </w:p>
        </w:tc>
        <w:tc>
          <w:tcPr>
            <w:tcW w:w="839" w:type="dxa"/>
            <w:tcBorders>
              <w:right w:val="double" w:sz="4" w:space="0" w:color="auto"/>
            </w:tcBorders>
            <w:vAlign w:val="center"/>
          </w:tcPr>
          <w:p w14:paraId="19426B5C" w14:textId="77777777" w:rsidR="00F31DD9" w:rsidRPr="00D66C65" w:rsidRDefault="00F31DD9" w:rsidP="00E14270">
            <w:pPr>
              <w:spacing w:line="240" w:lineRule="auto"/>
              <w:jc w:val="center"/>
              <w:rPr>
                <w:rFonts w:eastAsia="Calibri"/>
                <w:sz w:val="20"/>
                <w:szCs w:val="20"/>
              </w:rPr>
            </w:pPr>
          </w:p>
        </w:tc>
        <w:tc>
          <w:tcPr>
            <w:tcW w:w="810" w:type="dxa"/>
            <w:tcBorders>
              <w:left w:val="double" w:sz="4" w:space="0" w:color="auto"/>
            </w:tcBorders>
            <w:vAlign w:val="center"/>
          </w:tcPr>
          <w:p w14:paraId="241D784C" w14:textId="77777777" w:rsidR="00F31DD9" w:rsidRPr="00D66C65" w:rsidRDefault="00F31DD9" w:rsidP="00E14270">
            <w:pPr>
              <w:spacing w:line="240" w:lineRule="auto"/>
              <w:jc w:val="center"/>
              <w:rPr>
                <w:rFonts w:eastAsia="Calibri"/>
                <w:sz w:val="20"/>
                <w:szCs w:val="20"/>
              </w:rPr>
            </w:pPr>
          </w:p>
        </w:tc>
        <w:tc>
          <w:tcPr>
            <w:tcW w:w="810" w:type="dxa"/>
            <w:tcBorders>
              <w:right w:val="double" w:sz="4" w:space="0" w:color="auto"/>
            </w:tcBorders>
            <w:vAlign w:val="center"/>
          </w:tcPr>
          <w:p w14:paraId="199CC737" w14:textId="77777777" w:rsidR="00F31DD9" w:rsidRPr="00D66C65" w:rsidRDefault="00F31DD9" w:rsidP="00E14270">
            <w:pPr>
              <w:spacing w:line="240" w:lineRule="auto"/>
              <w:jc w:val="center"/>
              <w:rPr>
                <w:rFonts w:eastAsia="Calibri"/>
                <w:sz w:val="20"/>
                <w:szCs w:val="20"/>
              </w:rPr>
            </w:pPr>
          </w:p>
        </w:tc>
        <w:tc>
          <w:tcPr>
            <w:tcW w:w="797" w:type="dxa"/>
            <w:tcBorders>
              <w:left w:val="double" w:sz="4" w:space="0" w:color="auto"/>
            </w:tcBorders>
            <w:vAlign w:val="center"/>
          </w:tcPr>
          <w:p w14:paraId="2E934706" w14:textId="77777777" w:rsidR="00F31DD9" w:rsidRPr="00D66C65" w:rsidRDefault="00F31DD9" w:rsidP="00E14270">
            <w:pPr>
              <w:spacing w:line="240" w:lineRule="auto"/>
              <w:jc w:val="center"/>
              <w:rPr>
                <w:rFonts w:eastAsia="Calibri"/>
                <w:sz w:val="20"/>
                <w:szCs w:val="20"/>
              </w:rPr>
            </w:pPr>
          </w:p>
        </w:tc>
        <w:tc>
          <w:tcPr>
            <w:tcW w:w="810" w:type="dxa"/>
            <w:tcBorders>
              <w:right w:val="double" w:sz="4" w:space="0" w:color="auto"/>
            </w:tcBorders>
            <w:vAlign w:val="center"/>
          </w:tcPr>
          <w:p w14:paraId="631873F0" w14:textId="77777777" w:rsidR="00F31DD9" w:rsidRPr="00D66C65" w:rsidRDefault="00F31DD9" w:rsidP="00E14270">
            <w:pPr>
              <w:spacing w:line="240" w:lineRule="auto"/>
              <w:jc w:val="center"/>
              <w:rPr>
                <w:rFonts w:eastAsia="Calibri"/>
                <w:sz w:val="20"/>
                <w:szCs w:val="20"/>
              </w:rPr>
            </w:pPr>
          </w:p>
        </w:tc>
      </w:tr>
      <w:tr w:rsidR="00D66C65" w:rsidRPr="00D66C65" w14:paraId="0634EAC0" w14:textId="77777777" w:rsidTr="00D66C65">
        <w:trPr>
          <w:trHeight w:val="297"/>
          <w:jc w:val="center"/>
        </w:trPr>
        <w:tc>
          <w:tcPr>
            <w:tcW w:w="3312" w:type="dxa"/>
            <w:tcBorders>
              <w:left w:val="double" w:sz="4" w:space="0" w:color="auto"/>
              <w:right w:val="double" w:sz="4" w:space="0" w:color="auto"/>
            </w:tcBorders>
            <w:vAlign w:val="center"/>
          </w:tcPr>
          <w:p w14:paraId="67BFFE79" w14:textId="77777777" w:rsidR="00F31DD9" w:rsidRPr="00D66C65" w:rsidRDefault="00F31DD9" w:rsidP="00E14270">
            <w:pPr>
              <w:spacing w:line="240" w:lineRule="auto"/>
              <w:rPr>
                <w:rFonts w:eastAsia="Calibri"/>
                <w:sz w:val="20"/>
                <w:szCs w:val="20"/>
              </w:rPr>
            </w:pPr>
            <w:r w:rsidRPr="00D66C65">
              <w:rPr>
                <w:rFonts w:eastAsia="Calibri"/>
                <w:sz w:val="20"/>
                <w:szCs w:val="20"/>
              </w:rPr>
              <w:t xml:space="preserve">   Single-</w:t>
            </w:r>
            <w:proofErr w:type="spellStart"/>
            <w:r w:rsidRPr="00D66C65">
              <w:rPr>
                <w:rFonts w:eastAsia="Calibri"/>
                <w:sz w:val="20"/>
                <w:szCs w:val="20"/>
              </w:rPr>
              <w:t>storey</w:t>
            </w:r>
            <w:proofErr w:type="spellEnd"/>
          </w:p>
        </w:tc>
        <w:tc>
          <w:tcPr>
            <w:tcW w:w="886" w:type="dxa"/>
            <w:tcBorders>
              <w:left w:val="double" w:sz="4" w:space="0" w:color="auto"/>
              <w:right w:val="single" w:sz="4" w:space="0" w:color="auto"/>
            </w:tcBorders>
            <w:vAlign w:val="center"/>
          </w:tcPr>
          <w:p w14:paraId="4B925C3F" w14:textId="52451BED" w:rsidR="00F31DD9" w:rsidRPr="00D66C65" w:rsidRDefault="00F31DD9" w:rsidP="00E14270">
            <w:pPr>
              <w:spacing w:line="240" w:lineRule="auto"/>
              <w:jc w:val="center"/>
              <w:rPr>
                <w:rFonts w:eastAsia="Calibri"/>
                <w:sz w:val="20"/>
                <w:szCs w:val="20"/>
              </w:rPr>
            </w:pPr>
            <w:r w:rsidRPr="00D66C65">
              <w:rPr>
                <w:rFonts w:eastAsia="Calibri"/>
                <w:sz w:val="20"/>
                <w:szCs w:val="20"/>
              </w:rPr>
              <w:t>2.069</w:t>
            </w:r>
          </w:p>
        </w:tc>
        <w:tc>
          <w:tcPr>
            <w:tcW w:w="836" w:type="dxa"/>
            <w:tcBorders>
              <w:left w:val="single" w:sz="4" w:space="0" w:color="auto"/>
              <w:right w:val="double" w:sz="4" w:space="0" w:color="auto"/>
            </w:tcBorders>
            <w:vAlign w:val="center"/>
          </w:tcPr>
          <w:p w14:paraId="48E9B321" w14:textId="404D431E" w:rsidR="00F31DD9" w:rsidRPr="00D66C65" w:rsidRDefault="00F31DD9" w:rsidP="00E14270">
            <w:pPr>
              <w:spacing w:line="240" w:lineRule="auto"/>
              <w:jc w:val="center"/>
              <w:rPr>
                <w:rFonts w:eastAsia="Calibri"/>
                <w:sz w:val="20"/>
                <w:szCs w:val="20"/>
              </w:rPr>
            </w:pPr>
            <w:r w:rsidRPr="00D66C65">
              <w:rPr>
                <w:rFonts w:eastAsia="Calibri"/>
                <w:sz w:val="20"/>
                <w:szCs w:val="20"/>
              </w:rPr>
              <w:t>41.994</w:t>
            </w:r>
          </w:p>
        </w:tc>
        <w:tc>
          <w:tcPr>
            <w:tcW w:w="750" w:type="dxa"/>
            <w:tcBorders>
              <w:left w:val="double" w:sz="4" w:space="0" w:color="auto"/>
              <w:right w:val="single" w:sz="4" w:space="0" w:color="auto"/>
            </w:tcBorders>
            <w:vAlign w:val="center"/>
          </w:tcPr>
          <w:p w14:paraId="4889D573" w14:textId="594EF1C9"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6ACE7C29" w14:textId="449E9658"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43" w:type="dxa"/>
            <w:tcBorders>
              <w:left w:val="double" w:sz="4" w:space="0" w:color="auto"/>
            </w:tcBorders>
            <w:vAlign w:val="center"/>
          </w:tcPr>
          <w:p w14:paraId="0E7E1381"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-0.101</w:t>
            </w:r>
          </w:p>
        </w:tc>
        <w:tc>
          <w:tcPr>
            <w:tcW w:w="810" w:type="dxa"/>
            <w:tcBorders>
              <w:right w:val="double" w:sz="4" w:space="0" w:color="auto"/>
            </w:tcBorders>
            <w:vAlign w:val="center"/>
          </w:tcPr>
          <w:p w14:paraId="15BEF0D7"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-2.937</w:t>
            </w:r>
          </w:p>
        </w:tc>
        <w:tc>
          <w:tcPr>
            <w:tcW w:w="810" w:type="dxa"/>
            <w:tcBorders>
              <w:left w:val="double" w:sz="4" w:space="0" w:color="auto"/>
            </w:tcBorders>
            <w:vAlign w:val="center"/>
          </w:tcPr>
          <w:p w14:paraId="592A2BB1"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-0.101</w:t>
            </w:r>
          </w:p>
        </w:tc>
        <w:tc>
          <w:tcPr>
            <w:tcW w:w="839" w:type="dxa"/>
            <w:tcBorders>
              <w:right w:val="double" w:sz="4" w:space="0" w:color="auto"/>
            </w:tcBorders>
            <w:vAlign w:val="center"/>
          </w:tcPr>
          <w:p w14:paraId="41DAF8FF"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-2.937</w:t>
            </w:r>
          </w:p>
        </w:tc>
        <w:tc>
          <w:tcPr>
            <w:tcW w:w="810" w:type="dxa"/>
            <w:tcBorders>
              <w:left w:val="double" w:sz="4" w:space="0" w:color="auto"/>
            </w:tcBorders>
            <w:vAlign w:val="center"/>
          </w:tcPr>
          <w:p w14:paraId="088F245C"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-0.406</w:t>
            </w:r>
          </w:p>
        </w:tc>
        <w:tc>
          <w:tcPr>
            <w:tcW w:w="810" w:type="dxa"/>
            <w:tcBorders>
              <w:right w:val="double" w:sz="4" w:space="0" w:color="auto"/>
            </w:tcBorders>
            <w:vAlign w:val="center"/>
          </w:tcPr>
          <w:p w14:paraId="7672891A"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-8.414</w:t>
            </w:r>
          </w:p>
        </w:tc>
        <w:tc>
          <w:tcPr>
            <w:tcW w:w="797" w:type="dxa"/>
            <w:tcBorders>
              <w:left w:val="double" w:sz="4" w:space="0" w:color="auto"/>
            </w:tcBorders>
            <w:vAlign w:val="center"/>
          </w:tcPr>
          <w:p w14:paraId="2302A6AE"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-0.406</w:t>
            </w:r>
          </w:p>
        </w:tc>
        <w:tc>
          <w:tcPr>
            <w:tcW w:w="810" w:type="dxa"/>
            <w:tcBorders>
              <w:right w:val="double" w:sz="4" w:space="0" w:color="auto"/>
            </w:tcBorders>
            <w:vAlign w:val="center"/>
          </w:tcPr>
          <w:p w14:paraId="37C11AFB"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-8.414</w:t>
            </w:r>
          </w:p>
        </w:tc>
      </w:tr>
      <w:tr w:rsidR="00D66C65" w:rsidRPr="00D66C65" w14:paraId="50FC3000" w14:textId="77777777" w:rsidTr="00D66C65">
        <w:trPr>
          <w:trHeight w:val="297"/>
          <w:jc w:val="center"/>
        </w:trPr>
        <w:tc>
          <w:tcPr>
            <w:tcW w:w="3312" w:type="dxa"/>
            <w:tcBorders>
              <w:left w:val="double" w:sz="4" w:space="0" w:color="auto"/>
              <w:right w:val="double" w:sz="4" w:space="0" w:color="auto"/>
            </w:tcBorders>
            <w:vAlign w:val="center"/>
          </w:tcPr>
          <w:p w14:paraId="371E79E1" w14:textId="77777777" w:rsidR="00F31DD9" w:rsidRPr="00D66C65" w:rsidRDefault="00F31DD9" w:rsidP="00E14270">
            <w:pPr>
              <w:spacing w:line="240" w:lineRule="auto"/>
              <w:rPr>
                <w:rFonts w:eastAsia="Calibri"/>
                <w:b/>
                <w:sz w:val="20"/>
                <w:szCs w:val="20"/>
              </w:rPr>
            </w:pPr>
            <w:r w:rsidRPr="00D66C65">
              <w:rPr>
                <w:rFonts w:eastAsia="Calibri"/>
                <w:b/>
                <w:sz w:val="20"/>
                <w:szCs w:val="20"/>
              </w:rPr>
              <w:t>Lot size (sq. feet)</w:t>
            </w:r>
          </w:p>
        </w:tc>
        <w:tc>
          <w:tcPr>
            <w:tcW w:w="886" w:type="dxa"/>
            <w:tcBorders>
              <w:left w:val="double" w:sz="4" w:space="0" w:color="auto"/>
              <w:right w:val="single" w:sz="4" w:space="0" w:color="auto"/>
            </w:tcBorders>
            <w:vAlign w:val="center"/>
          </w:tcPr>
          <w:p w14:paraId="27367412" w14:textId="12FA7E25"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36" w:type="dxa"/>
            <w:tcBorders>
              <w:left w:val="single" w:sz="4" w:space="0" w:color="auto"/>
              <w:right w:val="double" w:sz="4" w:space="0" w:color="auto"/>
            </w:tcBorders>
            <w:vAlign w:val="center"/>
          </w:tcPr>
          <w:p w14:paraId="6F0FAD61" w14:textId="2EC6128E"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50" w:type="dxa"/>
            <w:tcBorders>
              <w:left w:val="double" w:sz="4" w:space="0" w:color="auto"/>
              <w:right w:val="single" w:sz="4" w:space="0" w:color="auto"/>
            </w:tcBorders>
            <w:vAlign w:val="center"/>
          </w:tcPr>
          <w:p w14:paraId="477B5015" w14:textId="7FC2A581"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60BC1A8E" w14:textId="6954307C"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43" w:type="dxa"/>
            <w:tcBorders>
              <w:left w:val="double" w:sz="4" w:space="0" w:color="auto"/>
            </w:tcBorders>
            <w:vAlign w:val="center"/>
          </w:tcPr>
          <w:p w14:paraId="2B53AD20" w14:textId="5DD4F12B"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442581E9" w14:textId="4D34DC95"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tcBorders>
            <w:vAlign w:val="center"/>
          </w:tcPr>
          <w:p w14:paraId="6DF5A6F3" w14:textId="7FFF116C"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39" w:type="dxa"/>
            <w:tcBorders>
              <w:right w:val="double" w:sz="4" w:space="0" w:color="auto"/>
            </w:tcBorders>
            <w:vAlign w:val="center"/>
          </w:tcPr>
          <w:p w14:paraId="0412BA48" w14:textId="774C5F81"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tcBorders>
            <w:vAlign w:val="center"/>
          </w:tcPr>
          <w:p w14:paraId="5D811553" w14:textId="47F8E10F"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3C1C01B2" w14:textId="31DEC668"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97" w:type="dxa"/>
            <w:tcBorders>
              <w:left w:val="double" w:sz="4" w:space="0" w:color="auto"/>
            </w:tcBorders>
            <w:vAlign w:val="center"/>
          </w:tcPr>
          <w:p w14:paraId="1979DCC3"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0.188</w:t>
            </w:r>
          </w:p>
        </w:tc>
        <w:tc>
          <w:tcPr>
            <w:tcW w:w="810" w:type="dxa"/>
            <w:tcBorders>
              <w:right w:val="double" w:sz="4" w:space="0" w:color="auto"/>
            </w:tcBorders>
            <w:vAlign w:val="center"/>
          </w:tcPr>
          <w:p w14:paraId="7316E92C" w14:textId="6F149E94" w:rsidR="00F31DD9" w:rsidRPr="00D66C65" w:rsidRDefault="00F31DD9" w:rsidP="00E14270">
            <w:pPr>
              <w:spacing w:line="240" w:lineRule="auto"/>
              <w:jc w:val="center"/>
              <w:rPr>
                <w:rFonts w:eastAsia="Calibri"/>
                <w:sz w:val="20"/>
                <w:szCs w:val="20"/>
              </w:rPr>
            </w:pPr>
            <w:r w:rsidRPr="00D66C65">
              <w:rPr>
                <w:rFonts w:eastAsia="Calibri"/>
                <w:sz w:val="20"/>
                <w:szCs w:val="20"/>
              </w:rPr>
              <w:t>6.309</w:t>
            </w:r>
          </w:p>
        </w:tc>
      </w:tr>
      <w:tr w:rsidR="00D66C65" w:rsidRPr="00D66C65" w14:paraId="42AEFBE6" w14:textId="77777777" w:rsidTr="00D66C65">
        <w:trPr>
          <w:trHeight w:val="297"/>
          <w:jc w:val="center"/>
        </w:trPr>
        <w:tc>
          <w:tcPr>
            <w:tcW w:w="3312" w:type="dxa"/>
            <w:tcBorders>
              <w:left w:val="double" w:sz="4" w:space="0" w:color="auto"/>
              <w:right w:val="double" w:sz="4" w:space="0" w:color="auto"/>
            </w:tcBorders>
            <w:vAlign w:val="center"/>
          </w:tcPr>
          <w:p w14:paraId="75CA42F1" w14:textId="77777777" w:rsidR="00F31DD9" w:rsidRPr="00D66C65" w:rsidRDefault="00F31DD9" w:rsidP="00E14270">
            <w:pPr>
              <w:spacing w:line="240" w:lineRule="auto"/>
              <w:rPr>
                <w:rFonts w:eastAsia="Calibri"/>
                <w:b/>
                <w:sz w:val="20"/>
                <w:szCs w:val="20"/>
              </w:rPr>
            </w:pPr>
            <w:r w:rsidRPr="00D66C65">
              <w:rPr>
                <w:rFonts w:eastAsia="Calibri"/>
                <w:b/>
                <w:sz w:val="20"/>
                <w:szCs w:val="20"/>
              </w:rPr>
              <w:t># of bedrooms</w:t>
            </w:r>
          </w:p>
        </w:tc>
        <w:tc>
          <w:tcPr>
            <w:tcW w:w="886" w:type="dxa"/>
            <w:tcBorders>
              <w:left w:val="double" w:sz="4" w:space="0" w:color="auto"/>
              <w:right w:val="single" w:sz="4" w:space="0" w:color="auto"/>
            </w:tcBorders>
            <w:vAlign w:val="center"/>
          </w:tcPr>
          <w:p w14:paraId="6B771AAC" w14:textId="4A6E41F9"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36" w:type="dxa"/>
            <w:tcBorders>
              <w:left w:val="single" w:sz="4" w:space="0" w:color="auto"/>
              <w:right w:val="double" w:sz="4" w:space="0" w:color="auto"/>
            </w:tcBorders>
            <w:vAlign w:val="center"/>
          </w:tcPr>
          <w:p w14:paraId="534733E4" w14:textId="02E5BE29"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50" w:type="dxa"/>
            <w:tcBorders>
              <w:left w:val="double" w:sz="4" w:space="0" w:color="auto"/>
              <w:right w:val="single" w:sz="4" w:space="0" w:color="auto"/>
            </w:tcBorders>
            <w:vAlign w:val="center"/>
          </w:tcPr>
          <w:p w14:paraId="6D9E91F5"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0.124</w:t>
            </w:r>
          </w:p>
        </w:tc>
        <w:tc>
          <w:tcPr>
            <w:tcW w:w="776" w:type="dxa"/>
            <w:tcBorders>
              <w:left w:val="single" w:sz="4" w:space="0" w:color="auto"/>
              <w:right w:val="double" w:sz="4" w:space="0" w:color="auto"/>
            </w:tcBorders>
            <w:vAlign w:val="center"/>
          </w:tcPr>
          <w:p w14:paraId="775265ED"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8.569</w:t>
            </w:r>
          </w:p>
        </w:tc>
        <w:tc>
          <w:tcPr>
            <w:tcW w:w="743" w:type="dxa"/>
            <w:tcBorders>
              <w:left w:val="double" w:sz="4" w:space="0" w:color="auto"/>
            </w:tcBorders>
            <w:vAlign w:val="center"/>
          </w:tcPr>
          <w:p w14:paraId="2F1D341A"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0.233</w:t>
            </w:r>
          </w:p>
        </w:tc>
        <w:tc>
          <w:tcPr>
            <w:tcW w:w="810" w:type="dxa"/>
            <w:tcBorders>
              <w:right w:val="double" w:sz="4" w:space="0" w:color="auto"/>
            </w:tcBorders>
            <w:vAlign w:val="center"/>
          </w:tcPr>
          <w:p w14:paraId="0E649ECB"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16.725</w:t>
            </w:r>
          </w:p>
        </w:tc>
        <w:tc>
          <w:tcPr>
            <w:tcW w:w="810" w:type="dxa"/>
            <w:tcBorders>
              <w:left w:val="double" w:sz="4" w:space="0" w:color="auto"/>
            </w:tcBorders>
            <w:vAlign w:val="center"/>
          </w:tcPr>
          <w:p w14:paraId="452C80F3"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0.312</w:t>
            </w:r>
          </w:p>
        </w:tc>
        <w:tc>
          <w:tcPr>
            <w:tcW w:w="839" w:type="dxa"/>
            <w:tcBorders>
              <w:right w:val="double" w:sz="4" w:space="0" w:color="auto"/>
            </w:tcBorders>
            <w:vAlign w:val="center"/>
          </w:tcPr>
          <w:p w14:paraId="575BD4C0"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19.263</w:t>
            </w:r>
          </w:p>
        </w:tc>
        <w:tc>
          <w:tcPr>
            <w:tcW w:w="810" w:type="dxa"/>
            <w:tcBorders>
              <w:left w:val="double" w:sz="4" w:space="0" w:color="auto"/>
            </w:tcBorders>
            <w:vAlign w:val="center"/>
          </w:tcPr>
          <w:p w14:paraId="78FDA7DB"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0.312</w:t>
            </w:r>
          </w:p>
        </w:tc>
        <w:tc>
          <w:tcPr>
            <w:tcW w:w="810" w:type="dxa"/>
            <w:tcBorders>
              <w:right w:val="double" w:sz="4" w:space="0" w:color="auto"/>
            </w:tcBorders>
            <w:vAlign w:val="center"/>
          </w:tcPr>
          <w:p w14:paraId="361D8228"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19.263</w:t>
            </w:r>
          </w:p>
        </w:tc>
        <w:tc>
          <w:tcPr>
            <w:tcW w:w="797" w:type="dxa"/>
            <w:tcBorders>
              <w:left w:val="double" w:sz="4" w:space="0" w:color="auto"/>
            </w:tcBorders>
            <w:vAlign w:val="center"/>
          </w:tcPr>
          <w:p w14:paraId="25170D47"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0.312</w:t>
            </w:r>
          </w:p>
        </w:tc>
        <w:tc>
          <w:tcPr>
            <w:tcW w:w="810" w:type="dxa"/>
            <w:tcBorders>
              <w:right w:val="double" w:sz="4" w:space="0" w:color="auto"/>
            </w:tcBorders>
            <w:vAlign w:val="center"/>
          </w:tcPr>
          <w:p w14:paraId="006520FB"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19.263</w:t>
            </w:r>
          </w:p>
        </w:tc>
      </w:tr>
      <w:tr w:rsidR="00D66C65" w:rsidRPr="00D66C65" w14:paraId="6212A86D" w14:textId="77777777" w:rsidTr="00D66C65">
        <w:trPr>
          <w:trHeight w:val="297"/>
          <w:jc w:val="center"/>
        </w:trPr>
        <w:tc>
          <w:tcPr>
            <w:tcW w:w="3312" w:type="dxa"/>
            <w:tcBorders>
              <w:left w:val="double" w:sz="4" w:space="0" w:color="auto"/>
              <w:right w:val="double" w:sz="4" w:space="0" w:color="auto"/>
            </w:tcBorders>
            <w:vAlign w:val="center"/>
          </w:tcPr>
          <w:p w14:paraId="4E0281AB" w14:textId="77777777" w:rsidR="00F31DD9" w:rsidRPr="00D66C65" w:rsidRDefault="00F31DD9" w:rsidP="00E14270">
            <w:pPr>
              <w:spacing w:line="240" w:lineRule="auto"/>
              <w:rPr>
                <w:rFonts w:eastAsia="Calibri"/>
                <w:b/>
                <w:sz w:val="20"/>
                <w:szCs w:val="20"/>
              </w:rPr>
            </w:pPr>
            <w:r w:rsidRPr="00D66C65">
              <w:rPr>
                <w:rFonts w:eastAsia="Calibri"/>
                <w:b/>
                <w:sz w:val="20"/>
                <w:szCs w:val="20"/>
              </w:rPr>
              <w:t># of bathrooms</w:t>
            </w:r>
          </w:p>
        </w:tc>
        <w:tc>
          <w:tcPr>
            <w:tcW w:w="886" w:type="dxa"/>
            <w:tcBorders>
              <w:left w:val="double" w:sz="4" w:space="0" w:color="auto"/>
              <w:right w:val="single" w:sz="4" w:space="0" w:color="auto"/>
            </w:tcBorders>
            <w:vAlign w:val="center"/>
          </w:tcPr>
          <w:p w14:paraId="5135608D" w14:textId="42BCD00F"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36" w:type="dxa"/>
            <w:tcBorders>
              <w:left w:val="single" w:sz="4" w:space="0" w:color="auto"/>
              <w:right w:val="double" w:sz="4" w:space="0" w:color="auto"/>
            </w:tcBorders>
            <w:vAlign w:val="center"/>
          </w:tcPr>
          <w:p w14:paraId="07C5DC7D" w14:textId="6086ACE3"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50" w:type="dxa"/>
            <w:tcBorders>
              <w:left w:val="double" w:sz="4" w:space="0" w:color="auto"/>
              <w:right w:val="single" w:sz="4" w:space="0" w:color="auto"/>
            </w:tcBorders>
            <w:vAlign w:val="center"/>
          </w:tcPr>
          <w:p w14:paraId="4CA86407" w14:textId="29A35E5A"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right w:val="double" w:sz="4" w:space="0" w:color="auto"/>
            </w:tcBorders>
            <w:vAlign w:val="center"/>
          </w:tcPr>
          <w:p w14:paraId="7312385B" w14:textId="7B676D05"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43" w:type="dxa"/>
            <w:tcBorders>
              <w:left w:val="double" w:sz="4" w:space="0" w:color="auto"/>
            </w:tcBorders>
            <w:vAlign w:val="center"/>
          </w:tcPr>
          <w:p w14:paraId="1D08F6C5" w14:textId="49CE6036"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vAlign w:val="center"/>
          </w:tcPr>
          <w:p w14:paraId="7BEF92D8" w14:textId="0D4DDA27"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tcBorders>
            <w:vAlign w:val="center"/>
          </w:tcPr>
          <w:p w14:paraId="30E159E9"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0.099</w:t>
            </w:r>
          </w:p>
        </w:tc>
        <w:tc>
          <w:tcPr>
            <w:tcW w:w="839" w:type="dxa"/>
            <w:tcBorders>
              <w:right w:val="double" w:sz="4" w:space="0" w:color="auto"/>
            </w:tcBorders>
            <w:vAlign w:val="center"/>
          </w:tcPr>
          <w:p w14:paraId="504319C8"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3.213</w:t>
            </w:r>
          </w:p>
        </w:tc>
        <w:tc>
          <w:tcPr>
            <w:tcW w:w="810" w:type="dxa"/>
            <w:tcBorders>
              <w:left w:val="double" w:sz="4" w:space="0" w:color="auto"/>
            </w:tcBorders>
            <w:vAlign w:val="center"/>
          </w:tcPr>
          <w:p w14:paraId="3940FB34"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0.099</w:t>
            </w:r>
          </w:p>
        </w:tc>
        <w:tc>
          <w:tcPr>
            <w:tcW w:w="810" w:type="dxa"/>
            <w:tcBorders>
              <w:right w:val="double" w:sz="4" w:space="0" w:color="auto"/>
            </w:tcBorders>
            <w:vAlign w:val="center"/>
          </w:tcPr>
          <w:p w14:paraId="0CF1C2CD"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3.213</w:t>
            </w:r>
          </w:p>
        </w:tc>
        <w:tc>
          <w:tcPr>
            <w:tcW w:w="797" w:type="dxa"/>
            <w:tcBorders>
              <w:left w:val="double" w:sz="4" w:space="0" w:color="auto"/>
            </w:tcBorders>
            <w:vAlign w:val="center"/>
          </w:tcPr>
          <w:p w14:paraId="31CADBD6"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0.166</w:t>
            </w:r>
          </w:p>
        </w:tc>
        <w:tc>
          <w:tcPr>
            <w:tcW w:w="810" w:type="dxa"/>
            <w:tcBorders>
              <w:right w:val="double" w:sz="4" w:space="0" w:color="auto"/>
            </w:tcBorders>
            <w:vAlign w:val="center"/>
          </w:tcPr>
          <w:p w14:paraId="4E605E68" w14:textId="77777777" w:rsidR="00F31DD9" w:rsidRPr="00D66C65" w:rsidRDefault="00F31DD9" w:rsidP="00E14270">
            <w:pPr>
              <w:spacing w:line="240" w:lineRule="auto"/>
              <w:jc w:val="center"/>
              <w:rPr>
                <w:rFonts w:eastAsia="Calibri"/>
                <w:sz w:val="20"/>
                <w:szCs w:val="20"/>
              </w:rPr>
            </w:pPr>
            <w:r w:rsidRPr="00D66C65">
              <w:rPr>
                <w:rFonts w:eastAsia="Calibri"/>
                <w:sz w:val="20"/>
                <w:szCs w:val="20"/>
              </w:rPr>
              <w:t>4.615</w:t>
            </w:r>
          </w:p>
        </w:tc>
      </w:tr>
      <w:tr w:rsidR="00D66C65" w:rsidRPr="00D66C65" w14:paraId="48E4B1D7" w14:textId="77777777" w:rsidTr="00D66C65">
        <w:trPr>
          <w:trHeight w:val="297"/>
          <w:jc w:val="center"/>
        </w:trPr>
        <w:tc>
          <w:tcPr>
            <w:tcW w:w="3312" w:type="dxa"/>
            <w:tcBorders>
              <w:left w:val="double" w:sz="4" w:space="0" w:color="auto"/>
              <w:bottom w:val="double" w:sz="4" w:space="0" w:color="auto"/>
              <w:right w:val="double" w:sz="4" w:space="0" w:color="auto"/>
            </w:tcBorders>
            <w:vAlign w:val="center"/>
          </w:tcPr>
          <w:p w14:paraId="00D445FA" w14:textId="77777777" w:rsidR="00F31DD9" w:rsidRPr="00D66C65" w:rsidRDefault="00F31DD9" w:rsidP="00E14270">
            <w:pPr>
              <w:spacing w:line="240" w:lineRule="auto"/>
              <w:rPr>
                <w:rFonts w:eastAsia="Calibri"/>
                <w:b/>
                <w:sz w:val="20"/>
                <w:szCs w:val="20"/>
              </w:rPr>
            </w:pPr>
            <w:r w:rsidRPr="00D66C65">
              <w:rPr>
                <w:rFonts w:eastAsia="Calibri"/>
                <w:b/>
                <w:sz w:val="20"/>
                <w:szCs w:val="20"/>
              </w:rPr>
              <w:t>Household average commute distance</w:t>
            </w:r>
          </w:p>
        </w:tc>
        <w:tc>
          <w:tcPr>
            <w:tcW w:w="886" w:type="dxa"/>
            <w:tcBorders>
              <w:left w:val="double" w:sz="4" w:space="0" w:color="auto"/>
              <w:bottom w:val="double" w:sz="4" w:space="0" w:color="auto"/>
              <w:right w:val="single" w:sz="4" w:space="0" w:color="auto"/>
            </w:tcBorders>
            <w:vAlign w:val="center"/>
          </w:tcPr>
          <w:p w14:paraId="6A8D3C45" w14:textId="7EB6B82C"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36" w:type="dxa"/>
            <w:tcBorders>
              <w:left w:val="single" w:sz="4" w:space="0" w:color="auto"/>
              <w:bottom w:val="double" w:sz="4" w:space="0" w:color="auto"/>
              <w:right w:val="double" w:sz="4" w:space="0" w:color="auto"/>
            </w:tcBorders>
            <w:vAlign w:val="center"/>
          </w:tcPr>
          <w:p w14:paraId="474E029A" w14:textId="42C45E0E"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50" w:type="dxa"/>
            <w:tcBorders>
              <w:left w:val="double" w:sz="4" w:space="0" w:color="auto"/>
              <w:bottom w:val="double" w:sz="4" w:space="0" w:color="auto"/>
              <w:right w:val="single" w:sz="4" w:space="0" w:color="auto"/>
            </w:tcBorders>
            <w:vAlign w:val="center"/>
          </w:tcPr>
          <w:p w14:paraId="16C6A397" w14:textId="0259127C"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76" w:type="dxa"/>
            <w:tcBorders>
              <w:left w:val="single" w:sz="4" w:space="0" w:color="auto"/>
              <w:bottom w:val="double" w:sz="4" w:space="0" w:color="auto"/>
              <w:right w:val="double" w:sz="4" w:space="0" w:color="auto"/>
            </w:tcBorders>
            <w:vAlign w:val="center"/>
          </w:tcPr>
          <w:p w14:paraId="5D7EA2EF" w14:textId="2E26D8E5"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43" w:type="dxa"/>
            <w:tcBorders>
              <w:left w:val="double" w:sz="4" w:space="0" w:color="auto"/>
              <w:bottom w:val="double" w:sz="4" w:space="0" w:color="auto"/>
            </w:tcBorders>
            <w:vAlign w:val="center"/>
          </w:tcPr>
          <w:p w14:paraId="5E3D84D0" w14:textId="235B855D"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bottom w:val="double" w:sz="4" w:space="0" w:color="auto"/>
              <w:right w:val="double" w:sz="4" w:space="0" w:color="auto"/>
            </w:tcBorders>
            <w:vAlign w:val="center"/>
          </w:tcPr>
          <w:p w14:paraId="791CFF2B" w14:textId="091805CC"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bottom w:val="double" w:sz="4" w:space="0" w:color="auto"/>
            </w:tcBorders>
            <w:vAlign w:val="center"/>
          </w:tcPr>
          <w:p w14:paraId="68760C21" w14:textId="79A321BF"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39" w:type="dxa"/>
            <w:tcBorders>
              <w:bottom w:val="double" w:sz="4" w:space="0" w:color="auto"/>
              <w:right w:val="double" w:sz="4" w:space="0" w:color="auto"/>
            </w:tcBorders>
            <w:vAlign w:val="center"/>
          </w:tcPr>
          <w:p w14:paraId="13BC4367" w14:textId="025296E6"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left w:val="double" w:sz="4" w:space="0" w:color="auto"/>
              <w:bottom w:val="double" w:sz="4" w:space="0" w:color="auto"/>
            </w:tcBorders>
            <w:vAlign w:val="center"/>
          </w:tcPr>
          <w:p w14:paraId="38729219" w14:textId="3573A86F"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bottom w:val="double" w:sz="4" w:space="0" w:color="auto"/>
              <w:right w:val="double" w:sz="4" w:space="0" w:color="auto"/>
            </w:tcBorders>
            <w:vAlign w:val="center"/>
          </w:tcPr>
          <w:p w14:paraId="1E5B8E18" w14:textId="31116A9E"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797" w:type="dxa"/>
            <w:tcBorders>
              <w:left w:val="double" w:sz="4" w:space="0" w:color="auto"/>
              <w:bottom w:val="double" w:sz="4" w:space="0" w:color="auto"/>
            </w:tcBorders>
            <w:vAlign w:val="center"/>
          </w:tcPr>
          <w:p w14:paraId="3966ED5C" w14:textId="0433F409" w:rsidR="00F31DD9" w:rsidRPr="00D66C65" w:rsidRDefault="005A1D67" w:rsidP="00E14270">
            <w:pPr>
              <w:spacing w:line="240" w:lineRule="auto"/>
              <w:jc w:val="center"/>
              <w:rPr>
                <w:rFonts w:eastAsia="Calibri"/>
                <w:sz w:val="20"/>
                <w:szCs w:val="20"/>
              </w:rPr>
            </w:pPr>
            <w:r>
              <w:rPr>
                <w:rFonts w:eastAsia="Calibri"/>
                <w:sz w:val="20"/>
                <w:szCs w:val="20"/>
              </w:rPr>
              <w:t>-</w:t>
            </w:r>
          </w:p>
        </w:tc>
        <w:tc>
          <w:tcPr>
            <w:tcW w:w="810" w:type="dxa"/>
            <w:tcBorders>
              <w:bottom w:val="double" w:sz="4" w:space="0" w:color="auto"/>
              <w:right w:val="double" w:sz="4" w:space="0" w:color="auto"/>
            </w:tcBorders>
            <w:vAlign w:val="center"/>
          </w:tcPr>
          <w:p w14:paraId="3CACB691" w14:textId="5825BF6E" w:rsidR="00F31DD9" w:rsidRPr="00D66C65" w:rsidRDefault="005A1D67" w:rsidP="00E14270">
            <w:pPr>
              <w:spacing w:line="240" w:lineRule="auto"/>
              <w:jc w:val="center"/>
              <w:rPr>
                <w:rFonts w:eastAsia="Calibri"/>
                <w:sz w:val="20"/>
                <w:szCs w:val="20"/>
              </w:rPr>
            </w:pPr>
            <w:r>
              <w:rPr>
                <w:rFonts w:eastAsia="Calibri"/>
                <w:sz w:val="20"/>
                <w:szCs w:val="20"/>
              </w:rPr>
              <w:t>-</w:t>
            </w:r>
          </w:p>
        </w:tc>
      </w:tr>
    </w:tbl>
    <w:p w14:paraId="3A8F696B" w14:textId="77777777" w:rsidR="00194720" w:rsidRPr="00194720" w:rsidRDefault="00194720" w:rsidP="00194720">
      <w:pPr>
        <w:jc w:val="center"/>
        <w:rPr>
          <w:b/>
        </w:rPr>
      </w:pPr>
    </w:p>
    <w:p w14:paraId="2ACC1188" w14:textId="77777777" w:rsidR="00194720" w:rsidRPr="00194720" w:rsidRDefault="00194720" w:rsidP="00194720">
      <w:pPr>
        <w:jc w:val="center"/>
        <w:rPr>
          <w:b/>
        </w:rPr>
      </w:pPr>
    </w:p>
    <w:p w14:paraId="71C948D9" w14:textId="77777777" w:rsidR="00194720" w:rsidRPr="00194720" w:rsidRDefault="00194720" w:rsidP="00194720">
      <w:pPr>
        <w:jc w:val="center"/>
        <w:rPr>
          <w:b/>
        </w:rPr>
      </w:pPr>
    </w:p>
    <w:p w14:paraId="51FCA0BF" w14:textId="77777777" w:rsidR="00194720" w:rsidRPr="00194720" w:rsidRDefault="00194720" w:rsidP="00194720">
      <w:pPr>
        <w:ind w:firstLine="720"/>
        <w:jc w:val="both"/>
      </w:pPr>
      <w:r w:rsidRPr="00194720">
        <w:t xml:space="preserve">  </w:t>
      </w:r>
    </w:p>
    <w:p w14:paraId="63AF9939" w14:textId="77777777" w:rsidR="00194720" w:rsidRPr="00194720" w:rsidRDefault="00194720" w:rsidP="00194720">
      <w:pPr>
        <w:ind w:firstLine="720"/>
        <w:jc w:val="both"/>
      </w:pPr>
      <w:r w:rsidRPr="00194720">
        <w:t xml:space="preserve"> </w:t>
      </w:r>
    </w:p>
    <w:p w14:paraId="42B3A9BA" w14:textId="77777777" w:rsidR="00D66C65" w:rsidRDefault="00D66C65">
      <w:pPr>
        <w:spacing w:after="200" w:line="276" w:lineRule="auto"/>
        <w:rPr>
          <w:b/>
          <w:i/>
        </w:rPr>
      </w:pPr>
      <w:r>
        <w:rPr>
          <w:b/>
          <w:i/>
        </w:rPr>
        <w:br w:type="page"/>
      </w:r>
    </w:p>
    <w:p w14:paraId="3012091C" w14:textId="77777777" w:rsidR="00D66C65" w:rsidRDefault="00D66C65" w:rsidP="00194720">
      <w:pPr>
        <w:jc w:val="center"/>
        <w:rPr>
          <w:b/>
        </w:rPr>
      </w:pPr>
    </w:p>
    <w:p w14:paraId="629617BE" w14:textId="5F573827" w:rsidR="00194720" w:rsidRPr="00D66C65" w:rsidRDefault="00D66C65" w:rsidP="00194720">
      <w:pPr>
        <w:jc w:val="center"/>
        <w:rPr>
          <w:b/>
        </w:rPr>
      </w:pPr>
      <w:r>
        <w:rPr>
          <w:b/>
        </w:rPr>
        <w:t>Table 4 (Cont.)</w:t>
      </w:r>
      <w:r w:rsidR="00194720" w:rsidRPr="00D66C65">
        <w:rPr>
          <w:b/>
        </w:rPr>
        <w:t xml:space="preserve"> Endogenous </w:t>
      </w:r>
      <w:r>
        <w:rPr>
          <w:b/>
        </w:rPr>
        <w:t>E</w:t>
      </w:r>
      <w:r w:rsidR="00194720" w:rsidRPr="00D66C65">
        <w:rPr>
          <w:b/>
        </w:rPr>
        <w:t>ffects</w:t>
      </w:r>
    </w:p>
    <w:tbl>
      <w:tblPr>
        <w:tblStyle w:val="TableGrid8"/>
        <w:tblW w:w="13759" w:type="dxa"/>
        <w:jc w:val="center"/>
        <w:tblLayout w:type="fixed"/>
        <w:tblLook w:val="04A0" w:firstRow="1" w:lastRow="0" w:firstColumn="1" w:lastColumn="0" w:noHBand="0" w:noVBand="1"/>
      </w:tblPr>
      <w:tblGrid>
        <w:gridCol w:w="1921"/>
        <w:gridCol w:w="666"/>
        <w:gridCol w:w="757"/>
        <w:gridCol w:w="746"/>
        <w:gridCol w:w="798"/>
        <w:gridCol w:w="768"/>
        <w:gridCol w:w="772"/>
        <w:gridCol w:w="720"/>
        <w:gridCol w:w="810"/>
        <w:gridCol w:w="701"/>
        <w:gridCol w:w="755"/>
        <w:gridCol w:w="700"/>
        <w:gridCol w:w="742"/>
        <w:gridCol w:w="666"/>
        <w:gridCol w:w="720"/>
        <w:gridCol w:w="750"/>
        <w:gridCol w:w="767"/>
      </w:tblGrid>
      <w:tr w:rsidR="00D66C65" w:rsidRPr="00D66C65" w14:paraId="3925F045" w14:textId="544334BC" w:rsidTr="00D66C65">
        <w:trPr>
          <w:trHeight w:val="576"/>
          <w:jc w:val="center"/>
        </w:trPr>
        <w:tc>
          <w:tcPr>
            <w:tcW w:w="1921" w:type="dxa"/>
            <w:vMerge w:val="restart"/>
            <w:tcBorders>
              <w:top w:val="double" w:sz="4" w:space="0" w:color="auto"/>
              <w:left w:val="double" w:sz="4" w:space="0" w:color="auto"/>
              <w:right w:val="double" w:sz="4" w:space="0" w:color="auto"/>
            </w:tcBorders>
            <w:vAlign w:val="center"/>
          </w:tcPr>
          <w:p w14:paraId="216E5790" w14:textId="77777777" w:rsidR="00D66C65" w:rsidRPr="00D66C65" w:rsidRDefault="00D66C65" w:rsidP="00F31DD9">
            <w:pPr>
              <w:spacing w:line="240" w:lineRule="auto"/>
              <w:jc w:val="center"/>
              <w:rPr>
                <w:rFonts w:eastAsia="Calibri"/>
                <w:b/>
                <w:sz w:val="20"/>
                <w:szCs w:val="20"/>
              </w:rPr>
            </w:pPr>
            <w:r w:rsidRPr="00D66C65">
              <w:rPr>
                <w:rFonts w:eastAsia="Calibri"/>
                <w:b/>
                <w:sz w:val="20"/>
                <w:szCs w:val="20"/>
              </w:rPr>
              <w:t>Dependent Variables</w:t>
            </w:r>
          </w:p>
        </w:tc>
        <w:tc>
          <w:tcPr>
            <w:tcW w:w="7493" w:type="dxa"/>
            <w:gridSpan w:val="10"/>
            <w:tcBorders>
              <w:top w:val="double" w:sz="4" w:space="0" w:color="auto"/>
              <w:left w:val="double" w:sz="4" w:space="0" w:color="auto"/>
              <w:right w:val="double" w:sz="4" w:space="0" w:color="auto"/>
            </w:tcBorders>
            <w:vAlign w:val="center"/>
          </w:tcPr>
          <w:p w14:paraId="2121FAEB" w14:textId="1911A09D" w:rsidR="00D66C65" w:rsidRPr="00D66C65" w:rsidRDefault="00D66C65" w:rsidP="00F31DD9">
            <w:pPr>
              <w:spacing w:line="240" w:lineRule="auto"/>
              <w:jc w:val="center"/>
              <w:rPr>
                <w:rFonts w:eastAsia="Calibri"/>
                <w:sz w:val="20"/>
                <w:szCs w:val="20"/>
              </w:rPr>
            </w:pPr>
            <w:r w:rsidRPr="00D66C65">
              <w:rPr>
                <w:rFonts w:eastAsia="Calibri"/>
                <w:sz w:val="20"/>
                <w:szCs w:val="20"/>
              </w:rPr>
              <w:t xml:space="preserve">   Square footage of house (base: 1,000 sq. feet or less)</w:t>
            </w:r>
          </w:p>
        </w:tc>
        <w:tc>
          <w:tcPr>
            <w:tcW w:w="2828" w:type="dxa"/>
            <w:gridSpan w:val="4"/>
            <w:tcBorders>
              <w:top w:val="double" w:sz="4" w:space="0" w:color="auto"/>
              <w:left w:val="double" w:sz="4" w:space="0" w:color="auto"/>
              <w:right w:val="double" w:sz="4" w:space="0" w:color="auto"/>
            </w:tcBorders>
            <w:vAlign w:val="center"/>
          </w:tcPr>
          <w:p w14:paraId="59C08532" w14:textId="77777777" w:rsidR="00D66C65" w:rsidRPr="00D66C65" w:rsidRDefault="00D66C65" w:rsidP="00D66C65">
            <w:pPr>
              <w:spacing w:line="240" w:lineRule="auto"/>
              <w:jc w:val="center"/>
              <w:rPr>
                <w:rFonts w:eastAsia="Calibri"/>
                <w:sz w:val="20"/>
                <w:szCs w:val="20"/>
              </w:rPr>
            </w:pPr>
            <w:r w:rsidRPr="00D66C65">
              <w:rPr>
                <w:rFonts w:eastAsia="Calibri"/>
                <w:sz w:val="20"/>
                <w:szCs w:val="20"/>
              </w:rPr>
              <w:t xml:space="preserve">Residential location </w:t>
            </w:r>
          </w:p>
          <w:p w14:paraId="2FA3C76A" w14:textId="49C2A675" w:rsidR="00D66C65" w:rsidRPr="00D66C65" w:rsidRDefault="00D66C65" w:rsidP="00D66C65">
            <w:pPr>
              <w:spacing w:line="240" w:lineRule="auto"/>
              <w:jc w:val="center"/>
              <w:rPr>
                <w:rFonts w:eastAsia="Calibri"/>
                <w:sz w:val="20"/>
                <w:szCs w:val="20"/>
              </w:rPr>
            </w:pPr>
            <w:r w:rsidRPr="00D66C65">
              <w:rPr>
                <w:rFonts w:eastAsia="Calibri"/>
                <w:sz w:val="20"/>
                <w:szCs w:val="20"/>
              </w:rPr>
              <w:t>(base: suburb)</w:t>
            </w:r>
          </w:p>
        </w:tc>
        <w:tc>
          <w:tcPr>
            <w:tcW w:w="1517" w:type="dxa"/>
            <w:gridSpan w:val="2"/>
            <w:tcBorders>
              <w:top w:val="double" w:sz="4" w:space="0" w:color="auto"/>
              <w:left w:val="double" w:sz="4" w:space="0" w:color="auto"/>
              <w:right w:val="double" w:sz="4" w:space="0" w:color="auto"/>
            </w:tcBorders>
            <w:vAlign w:val="center"/>
          </w:tcPr>
          <w:p w14:paraId="314AF6BA" w14:textId="3330DA9B" w:rsidR="00D66C65" w:rsidRPr="00D66C65" w:rsidRDefault="00D66C65" w:rsidP="00D66C65">
            <w:pPr>
              <w:spacing w:line="240" w:lineRule="auto"/>
              <w:jc w:val="center"/>
              <w:rPr>
                <w:rFonts w:eastAsia="Calibri"/>
                <w:sz w:val="20"/>
                <w:szCs w:val="20"/>
              </w:rPr>
            </w:pPr>
            <w:r w:rsidRPr="00D66C65">
              <w:rPr>
                <w:rFonts w:eastAsia="Calibri"/>
                <w:sz w:val="20"/>
                <w:szCs w:val="20"/>
              </w:rPr>
              <w:t>Tenure type (base: rented)</w:t>
            </w:r>
          </w:p>
        </w:tc>
      </w:tr>
      <w:tr w:rsidR="00D66C65" w:rsidRPr="00D66C65" w14:paraId="254280DD" w14:textId="23E7FCA9" w:rsidTr="005A1D67">
        <w:trPr>
          <w:trHeight w:val="576"/>
          <w:jc w:val="center"/>
        </w:trPr>
        <w:tc>
          <w:tcPr>
            <w:tcW w:w="1921" w:type="dxa"/>
            <w:vMerge/>
            <w:tcBorders>
              <w:top w:val="double" w:sz="4" w:space="0" w:color="auto"/>
              <w:left w:val="double" w:sz="4" w:space="0" w:color="auto"/>
              <w:right w:val="double" w:sz="4" w:space="0" w:color="auto"/>
            </w:tcBorders>
            <w:vAlign w:val="center"/>
          </w:tcPr>
          <w:p w14:paraId="7F7F5AD5" w14:textId="77777777" w:rsidR="00D66C65" w:rsidRPr="00D66C65" w:rsidRDefault="00D66C65" w:rsidP="00F31DD9">
            <w:pPr>
              <w:spacing w:line="240" w:lineRule="auto"/>
              <w:jc w:val="center"/>
              <w:rPr>
                <w:rFonts w:eastAsia="Calibri"/>
                <w:b/>
                <w:sz w:val="20"/>
                <w:szCs w:val="20"/>
              </w:rPr>
            </w:pPr>
          </w:p>
        </w:tc>
        <w:tc>
          <w:tcPr>
            <w:tcW w:w="1423" w:type="dxa"/>
            <w:gridSpan w:val="2"/>
            <w:tcBorders>
              <w:top w:val="double" w:sz="4" w:space="0" w:color="auto"/>
              <w:left w:val="double" w:sz="4" w:space="0" w:color="auto"/>
              <w:right w:val="double" w:sz="4" w:space="0" w:color="auto"/>
            </w:tcBorders>
            <w:vAlign w:val="center"/>
          </w:tcPr>
          <w:p w14:paraId="53CCA06D" w14:textId="77777777" w:rsidR="00D66C65" w:rsidRPr="00D66C65" w:rsidRDefault="00D66C65" w:rsidP="00F31DD9">
            <w:pPr>
              <w:spacing w:line="240" w:lineRule="auto"/>
              <w:jc w:val="center"/>
              <w:rPr>
                <w:rFonts w:eastAsia="Calibri"/>
                <w:sz w:val="20"/>
                <w:szCs w:val="20"/>
              </w:rPr>
            </w:pPr>
            <w:r w:rsidRPr="00D66C65">
              <w:rPr>
                <w:rFonts w:eastAsia="Calibri"/>
                <w:sz w:val="20"/>
                <w:szCs w:val="20"/>
              </w:rPr>
              <w:t xml:space="preserve">  1001 – 1500</w:t>
            </w:r>
          </w:p>
        </w:tc>
        <w:tc>
          <w:tcPr>
            <w:tcW w:w="1544" w:type="dxa"/>
            <w:gridSpan w:val="2"/>
            <w:tcBorders>
              <w:top w:val="double" w:sz="4" w:space="0" w:color="auto"/>
              <w:left w:val="double" w:sz="4" w:space="0" w:color="auto"/>
              <w:right w:val="double" w:sz="4" w:space="0" w:color="auto"/>
            </w:tcBorders>
            <w:vAlign w:val="center"/>
          </w:tcPr>
          <w:p w14:paraId="6C3369F5" w14:textId="77777777" w:rsidR="00D66C65" w:rsidRPr="00D66C65" w:rsidRDefault="00D66C65" w:rsidP="00F31DD9">
            <w:pPr>
              <w:spacing w:line="240" w:lineRule="auto"/>
              <w:jc w:val="center"/>
              <w:rPr>
                <w:rFonts w:eastAsia="Calibri"/>
                <w:sz w:val="20"/>
                <w:szCs w:val="20"/>
              </w:rPr>
            </w:pPr>
            <w:r w:rsidRPr="00D66C65">
              <w:rPr>
                <w:rFonts w:eastAsia="Calibri"/>
                <w:sz w:val="20"/>
                <w:szCs w:val="20"/>
              </w:rPr>
              <w:t>1501 – 2000</w:t>
            </w:r>
          </w:p>
        </w:tc>
        <w:tc>
          <w:tcPr>
            <w:tcW w:w="1540" w:type="dxa"/>
            <w:gridSpan w:val="2"/>
            <w:tcBorders>
              <w:top w:val="double" w:sz="4" w:space="0" w:color="auto"/>
              <w:left w:val="double" w:sz="4" w:space="0" w:color="auto"/>
              <w:right w:val="double" w:sz="4" w:space="0" w:color="auto"/>
            </w:tcBorders>
            <w:vAlign w:val="center"/>
          </w:tcPr>
          <w:p w14:paraId="0B74DF95" w14:textId="77777777" w:rsidR="00D66C65" w:rsidRPr="00D66C65" w:rsidRDefault="00D66C65" w:rsidP="00F31DD9">
            <w:pPr>
              <w:spacing w:line="240" w:lineRule="auto"/>
              <w:jc w:val="center"/>
              <w:rPr>
                <w:rFonts w:eastAsia="Calibri"/>
                <w:sz w:val="20"/>
                <w:szCs w:val="20"/>
              </w:rPr>
            </w:pPr>
            <w:r w:rsidRPr="00D66C65">
              <w:rPr>
                <w:rFonts w:eastAsia="Calibri"/>
                <w:sz w:val="20"/>
                <w:szCs w:val="20"/>
              </w:rPr>
              <w:t>2001 – 2500</w:t>
            </w:r>
          </w:p>
        </w:tc>
        <w:tc>
          <w:tcPr>
            <w:tcW w:w="1530" w:type="dxa"/>
            <w:gridSpan w:val="2"/>
            <w:tcBorders>
              <w:top w:val="double" w:sz="4" w:space="0" w:color="auto"/>
              <w:left w:val="double" w:sz="4" w:space="0" w:color="auto"/>
              <w:right w:val="double" w:sz="4" w:space="0" w:color="auto"/>
            </w:tcBorders>
            <w:vAlign w:val="center"/>
          </w:tcPr>
          <w:p w14:paraId="1DB2091C" w14:textId="77777777" w:rsidR="00D66C65" w:rsidRPr="00D66C65" w:rsidRDefault="00D66C65" w:rsidP="00F31DD9">
            <w:pPr>
              <w:spacing w:line="240" w:lineRule="auto"/>
              <w:jc w:val="center"/>
              <w:rPr>
                <w:rFonts w:eastAsia="Calibri"/>
                <w:sz w:val="20"/>
                <w:szCs w:val="20"/>
              </w:rPr>
            </w:pPr>
            <w:r w:rsidRPr="00D66C65">
              <w:rPr>
                <w:rFonts w:eastAsia="Calibri"/>
                <w:sz w:val="20"/>
                <w:szCs w:val="20"/>
              </w:rPr>
              <w:t>2501 – 3000</w:t>
            </w:r>
          </w:p>
        </w:tc>
        <w:tc>
          <w:tcPr>
            <w:tcW w:w="1456" w:type="dxa"/>
            <w:gridSpan w:val="2"/>
            <w:tcBorders>
              <w:top w:val="double" w:sz="4" w:space="0" w:color="auto"/>
              <w:left w:val="double" w:sz="4" w:space="0" w:color="auto"/>
              <w:right w:val="double" w:sz="4" w:space="0" w:color="auto"/>
            </w:tcBorders>
            <w:vAlign w:val="center"/>
          </w:tcPr>
          <w:p w14:paraId="52143091" w14:textId="77777777" w:rsidR="00D66C65" w:rsidRPr="00D66C65" w:rsidRDefault="00D66C65" w:rsidP="00F31DD9">
            <w:pPr>
              <w:spacing w:line="240" w:lineRule="auto"/>
              <w:jc w:val="center"/>
              <w:rPr>
                <w:rFonts w:eastAsia="Calibri"/>
                <w:sz w:val="20"/>
                <w:szCs w:val="20"/>
              </w:rPr>
            </w:pPr>
            <w:r w:rsidRPr="00D66C65">
              <w:rPr>
                <w:rFonts w:eastAsia="Calibri"/>
                <w:sz w:val="20"/>
                <w:szCs w:val="20"/>
              </w:rPr>
              <w:t xml:space="preserve">   3001 and above</w:t>
            </w:r>
          </w:p>
        </w:tc>
        <w:tc>
          <w:tcPr>
            <w:tcW w:w="1442" w:type="dxa"/>
            <w:gridSpan w:val="2"/>
            <w:tcBorders>
              <w:top w:val="double" w:sz="4" w:space="0" w:color="auto"/>
              <w:left w:val="double" w:sz="4" w:space="0" w:color="auto"/>
              <w:bottom w:val="single" w:sz="4" w:space="0" w:color="auto"/>
              <w:right w:val="double" w:sz="4" w:space="0" w:color="auto"/>
            </w:tcBorders>
            <w:vAlign w:val="center"/>
          </w:tcPr>
          <w:p w14:paraId="6B9809C2" w14:textId="76405EDC" w:rsidR="00D66C65" w:rsidRPr="00D66C65" w:rsidRDefault="00D66C65" w:rsidP="00D66C65">
            <w:pPr>
              <w:spacing w:line="240" w:lineRule="auto"/>
              <w:jc w:val="center"/>
              <w:rPr>
                <w:rFonts w:eastAsia="Calibri"/>
                <w:sz w:val="20"/>
                <w:szCs w:val="20"/>
              </w:rPr>
            </w:pPr>
            <w:r w:rsidRPr="00D66C65">
              <w:rPr>
                <w:rFonts w:eastAsia="Calibri"/>
                <w:sz w:val="20"/>
                <w:szCs w:val="20"/>
              </w:rPr>
              <w:t>Primary city</w:t>
            </w:r>
          </w:p>
        </w:tc>
        <w:tc>
          <w:tcPr>
            <w:tcW w:w="1386" w:type="dxa"/>
            <w:gridSpan w:val="2"/>
            <w:tcBorders>
              <w:top w:val="double" w:sz="4" w:space="0" w:color="auto"/>
              <w:left w:val="double" w:sz="4" w:space="0" w:color="auto"/>
              <w:bottom w:val="single" w:sz="4" w:space="0" w:color="auto"/>
              <w:right w:val="double" w:sz="4" w:space="0" w:color="auto"/>
            </w:tcBorders>
            <w:vAlign w:val="center"/>
          </w:tcPr>
          <w:p w14:paraId="42BB4493" w14:textId="77777777" w:rsidR="00D66C65" w:rsidRPr="00D66C65" w:rsidRDefault="00D66C65" w:rsidP="00D66C65">
            <w:pPr>
              <w:spacing w:line="240" w:lineRule="auto"/>
              <w:jc w:val="center"/>
              <w:rPr>
                <w:rFonts w:eastAsia="Calibri"/>
                <w:sz w:val="20"/>
                <w:szCs w:val="20"/>
              </w:rPr>
            </w:pPr>
            <w:r w:rsidRPr="00D66C65">
              <w:rPr>
                <w:rFonts w:eastAsia="Calibri"/>
                <w:sz w:val="20"/>
                <w:szCs w:val="20"/>
              </w:rPr>
              <w:t>Secondary city</w:t>
            </w:r>
          </w:p>
        </w:tc>
        <w:tc>
          <w:tcPr>
            <w:tcW w:w="1517" w:type="dxa"/>
            <w:gridSpan w:val="2"/>
            <w:tcBorders>
              <w:top w:val="double" w:sz="4" w:space="0" w:color="auto"/>
              <w:left w:val="double" w:sz="4" w:space="0" w:color="auto"/>
              <w:bottom w:val="single" w:sz="4" w:space="0" w:color="auto"/>
              <w:right w:val="double" w:sz="4" w:space="0" w:color="auto"/>
            </w:tcBorders>
            <w:vAlign w:val="center"/>
          </w:tcPr>
          <w:p w14:paraId="15D4B6FD" w14:textId="009F4A80" w:rsidR="00D66C65" w:rsidRPr="00D66C65" w:rsidRDefault="00D66C65" w:rsidP="00D66C65">
            <w:pPr>
              <w:spacing w:line="240" w:lineRule="auto"/>
              <w:jc w:val="center"/>
              <w:rPr>
                <w:rFonts w:eastAsia="Calibri"/>
                <w:sz w:val="20"/>
                <w:szCs w:val="20"/>
              </w:rPr>
            </w:pPr>
            <w:r w:rsidRPr="00D66C65">
              <w:rPr>
                <w:rFonts w:eastAsia="Calibri"/>
                <w:sz w:val="20"/>
                <w:szCs w:val="20"/>
              </w:rPr>
              <w:t>Owned</w:t>
            </w:r>
          </w:p>
        </w:tc>
      </w:tr>
      <w:tr w:rsidR="00D66C65" w:rsidRPr="00D66C65" w14:paraId="2E853C61" w14:textId="1C7CC85A" w:rsidTr="00D66C65">
        <w:trPr>
          <w:trHeight w:val="377"/>
          <w:jc w:val="center"/>
        </w:trPr>
        <w:tc>
          <w:tcPr>
            <w:tcW w:w="1921" w:type="dxa"/>
            <w:vMerge/>
            <w:tcBorders>
              <w:left w:val="double" w:sz="4" w:space="0" w:color="auto"/>
              <w:bottom w:val="double" w:sz="4" w:space="0" w:color="auto"/>
              <w:right w:val="double" w:sz="4" w:space="0" w:color="auto"/>
            </w:tcBorders>
            <w:vAlign w:val="center"/>
          </w:tcPr>
          <w:p w14:paraId="03566060" w14:textId="77777777" w:rsidR="00D66C65" w:rsidRPr="00D66C65" w:rsidRDefault="00D66C65" w:rsidP="00F31DD9">
            <w:pPr>
              <w:spacing w:line="240" w:lineRule="auto"/>
              <w:jc w:val="center"/>
              <w:rPr>
                <w:rFonts w:eastAsia="Calibri"/>
                <w:b/>
                <w:sz w:val="20"/>
                <w:szCs w:val="20"/>
              </w:rPr>
            </w:pPr>
          </w:p>
        </w:tc>
        <w:tc>
          <w:tcPr>
            <w:tcW w:w="666" w:type="dxa"/>
            <w:tcBorders>
              <w:left w:val="double" w:sz="4" w:space="0" w:color="auto"/>
              <w:bottom w:val="double" w:sz="4" w:space="0" w:color="auto"/>
              <w:right w:val="single" w:sz="4" w:space="0" w:color="auto"/>
            </w:tcBorders>
            <w:tcMar>
              <w:left w:w="58" w:type="dxa"/>
              <w:right w:w="58" w:type="dxa"/>
            </w:tcMar>
            <w:vAlign w:val="center"/>
          </w:tcPr>
          <w:p w14:paraId="23BBFE4C" w14:textId="77777777" w:rsidR="00D66C65" w:rsidRPr="00D66C65" w:rsidRDefault="00D66C65" w:rsidP="00F31DD9">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757" w:type="dxa"/>
            <w:tcBorders>
              <w:left w:val="single" w:sz="4" w:space="0" w:color="auto"/>
              <w:bottom w:val="double" w:sz="4" w:space="0" w:color="auto"/>
              <w:right w:val="double" w:sz="4" w:space="0" w:color="auto"/>
            </w:tcBorders>
            <w:tcMar>
              <w:left w:w="58" w:type="dxa"/>
              <w:right w:w="58" w:type="dxa"/>
            </w:tcMar>
            <w:vAlign w:val="center"/>
          </w:tcPr>
          <w:p w14:paraId="7E175EA8" w14:textId="77777777" w:rsidR="00D66C65" w:rsidRPr="00D66C65" w:rsidRDefault="00D66C65" w:rsidP="00F31DD9">
            <w:pPr>
              <w:spacing w:line="240" w:lineRule="auto"/>
              <w:jc w:val="center"/>
              <w:rPr>
                <w:rFonts w:eastAsia="Calibri"/>
                <w:b/>
                <w:sz w:val="20"/>
                <w:szCs w:val="20"/>
              </w:rPr>
            </w:pPr>
            <w:r w:rsidRPr="00D66C65">
              <w:rPr>
                <w:rFonts w:eastAsia="Calibri"/>
                <w:b/>
                <w:sz w:val="20"/>
                <w:szCs w:val="20"/>
              </w:rPr>
              <w:t>T-stat</w:t>
            </w:r>
          </w:p>
        </w:tc>
        <w:tc>
          <w:tcPr>
            <w:tcW w:w="746" w:type="dxa"/>
            <w:tcBorders>
              <w:left w:val="double" w:sz="4" w:space="0" w:color="auto"/>
              <w:bottom w:val="double" w:sz="4" w:space="0" w:color="auto"/>
            </w:tcBorders>
            <w:tcMar>
              <w:left w:w="58" w:type="dxa"/>
              <w:right w:w="58" w:type="dxa"/>
            </w:tcMar>
            <w:vAlign w:val="center"/>
          </w:tcPr>
          <w:p w14:paraId="619743F2" w14:textId="77777777" w:rsidR="00D66C65" w:rsidRPr="00D66C65" w:rsidRDefault="00D66C65" w:rsidP="00F31DD9">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798" w:type="dxa"/>
            <w:tcBorders>
              <w:bottom w:val="double" w:sz="4" w:space="0" w:color="auto"/>
              <w:right w:val="double" w:sz="4" w:space="0" w:color="auto"/>
            </w:tcBorders>
            <w:tcMar>
              <w:left w:w="58" w:type="dxa"/>
              <w:right w:w="58" w:type="dxa"/>
            </w:tcMar>
            <w:vAlign w:val="center"/>
          </w:tcPr>
          <w:p w14:paraId="031690EE" w14:textId="77777777" w:rsidR="00D66C65" w:rsidRPr="00D66C65" w:rsidRDefault="00D66C65" w:rsidP="00F31DD9">
            <w:pPr>
              <w:spacing w:line="240" w:lineRule="auto"/>
              <w:jc w:val="center"/>
              <w:rPr>
                <w:rFonts w:eastAsia="Calibri"/>
                <w:b/>
                <w:sz w:val="20"/>
                <w:szCs w:val="20"/>
              </w:rPr>
            </w:pPr>
            <w:r w:rsidRPr="00D66C65">
              <w:rPr>
                <w:rFonts w:eastAsia="Calibri"/>
                <w:b/>
                <w:sz w:val="20"/>
                <w:szCs w:val="20"/>
              </w:rPr>
              <w:t>T-stat</w:t>
            </w:r>
          </w:p>
        </w:tc>
        <w:tc>
          <w:tcPr>
            <w:tcW w:w="768" w:type="dxa"/>
            <w:tcBorders>
              <w:left w:val="double" w:sz="4" w:space="0" w:color="auto"/>
              <w:bottom w:val="double" w:sz="4" w:space="0" w:color="auto"/>
            </w:tcBorders>
            <w:tcMar>
              <w:left w:w="58" w:type="dxa"/>
              <w:right w:w="58" w:type="dxa"/>
            </w:tcMar>
            <w:vAlign w:val="center"/>
          </w:tcPr>
          <w:p w14:paraId="13C2B129" w14:textId="77777777" w:rsidR="00D66C65" w:rsidRPr="00D66C65" w:rsidRDefault="00D66C65" w:rsidP="00F31DD9">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772" w:type="dxa"/>
            <w:tcBorders>
              <w:bottom w:val="double" w:sz="4" w:space="0" w:color="auto"/>
              <w:right w:val="double" w:sz="4" w:space="0" w:color="auto"/>
            </w:tcBorders>
            <w:tcMar>
              <w:left w:w="58" w:type="dxa"/>
              <w:right w:w="58" w:type="dxa"/>
            </w:tcMar>
            <w:vAlign w:val="center"/>
          </w:tcPr>
          <w:p w14:paraId="2F133C4D" w14:textId="77777777" w:rsidR="00D66C65" w:rsidRPr="00D66C65" w:rsidRDefault="00D66C65" w:rsidP="00F31DD9">
            <w:pPr>
              <w:spacing w:line="240" w:lineRule="auto"/>
              <w:jc w:val="center"/>
              <w:rPr>
                <w:rFonts w:eastAsia="Calibri"/>
                <w:b/>
                <w:sz w:val="20"/>
                <w:szCs w:val="20"/>
              </w:rPr>
            </w:pPr>
            <w:r w:rsidRPr="00D66C65">
              <w:rPr>
                <w:rFonts w:eastAsia="Calibri"/>
                <w:b/>
                <w:sz w:val="20"/>
                <w:szCs w:val="20"/>
              </w:rPr>
              <w:t>T-stat</w:t>
            </w:r>
          </w:p>
        </w:tc>
        <w:tc>
          <w:tcPr>
            <w:tcW w:w="720" w:type="dxa"/>
            <w:tcBorders>
              <w:left w:val="double" w:sz="4" w:space="0" w:color="auto"/>
              <w:bottom w:val="double" w:sz="4" w:space="0" w:color="auto"/>
            </w:tcBorders>
            <w:tcMar>
              <w:left w:w="58" w:type="dxa"/>
              <w:right w:w="58" w:type="dxa"/>
            </w:tcMar>
            <w:vAlign w:val="center"/>
          </w:tcPr>
          <w:p w14:paraId="0FFD2E9E" w14:textId="77777777" w:rsidR="00D66C65" w:rsidRPr="00D66C65" w:rsidRDefault="00D66C65" w:rsidP="00F31DD9">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810" w:type="dxa"/>
            <w:tcBorders>
              <w:bottom w:val="double" w:sz="4" w:space="0" w:color="auto"/>
              <w:right w:val="double" w:sz="4" w:space="0" w:color="auto"/>
            </w:tcBorders>
            <w:tcMar>
              <w:left w:w="58" w:type="dxa"/>
              <w:right w:w="58" w:type="dxa"/>
            </w:tcMar>
            <w:vAlign w:val="center"/>
          </w:tcPr>
          <w:p w14:paraId="7EF2124D" w14:textId="77777777" w:rsidR="00D66C65" w:rsidRPr="00D66C65" w:rsidRDefault="00D66C65" w:rsidP="00F31DD9">
            <w:pPr>
              <w:spacing w:line="240" w:lineRule="auto"/>
              <w:jc w:val="center"/>
              <w:rPr>
                <w:rFonts w:eastAsia="Calibri"/>
                <w:b/>
                <w:sz w:val="20"/>
                <w:szCs w:val="20"/>
              </w:rPr>
            </w:pPr>
            <w:r w:rsidRPr="00D66C65">
              <w:rPr>
                <w:rFonts w:eastAsia="Calibri"/>
                <w:b/>
                <w:sz w:val="20"/>
                <w:szCs w:val="20"/>
              </w:rPr>
              <w:t>T-stat</w:t>
            </w:r>
          </w:p>
        </w:tc>
        <w:tc>
          <w:tcPr>
            <w:tcW w:w="701" w:type="dxa"/>
            <w:tcBorders>
              <w:left w:val="double" w:sz="4" w:space="0" w:color="auto"/>
              <w:bottom w:val="double" w:sz="4" w:space="0" w:color="auto"/>
            </w:tcBorders>
            <w:tcMar>
              <w:left w:w="58" w:type="dxa"/>
              <w:right w:w="58" w:type="dxa"/>
            </w:tcMar>
            <w:vAlign w:val="center"/>
          </w:tcPr>
          <w:p w14:paraId="27B508F0" w14:textId="77777777" w:rsidR="00D66C65" w:rsidRPr="00D66C65" w:rsidRDefault="00D66C65" w:rsidP="00F31DD9">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755" w:type="dxa"/>
            <w:tcBorders>
              <w:bottom w:val="double" w:sz="4" w:space="0" w:color="auto"/>
              <w:right w:val="double" w:sz="4" w:space="0" w:color="auto"/>
            </w:tcBorders>
            <w:tcMar>
              <w:left w:w="58" w:type="dxa"/>
              <w:right w:w="58" w:type="dxa"/>
            </w:tcMar>
            <w:vAlign w:val="center"/>
          </w:tcPr>
          <w:p w14:paraId="6724A77E" w14:textId="77777777" w:rsidR="00D66C65" w:rsidRPr="00D66C65" w:rsidRDefault="00D66C65" w:rsidP="00F31DD9">
            <w:pPr>
              <w:spacing w:line="240" w:lineRule="auto"/>
              <w:jc w:val="center"/>
              <w:rPr>
                <w:rFonts w:eastAsia="Calibri"/>
                <w:b/>
                <w:sz w:val="20"/>
                <w:szCs w:val="20"/>
              </w:rPr>
            </w:pPr>
            <w:r w:rsidRPr="00D66C65">
              <w:rPr>
                <w:rFonts w:eastAsia="Calibri"/>
                <w:b/>
                <w:sz w:val="20"/>
                <w:szCs w:val="20"/>
              </w:rPr>
              <w:t>T-stat</w:t>
            </w:r>
          </w:p>
        </w:tc>
        <w:tc>
          <w:tcPr>
            <w:tcW w:w="700" w:type="dxa"/>
            <w:tcBorders>
              <w:bottom w:val="double" w:sz="4" w:space="0" w:color="auto"/>
              <w:right w:val="single" w:sz="4" w:space="0" w:color="auto"/>
            </w:tcBorders>
            <w:tcMar>
              <w:left w:w="58" w:type="dxa"/>
              <w:right w:w="58" w:type="dxa"/>
            </w:tcMar>
            <w:vAlign w:val="center"/>
          </w:tcPr>
          <w:p w14:paraId="043A717B" w14:textId="77777777" w:rsidR="00D66C65" w:rsidRPr="00D66C65" w:rsidRDefault="00D66C65" w:rsidP="00F31DD9">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742" w:type="dxa"/>
            <w:tcBorders>
              <w:left w:val="single" w:sz="4" w:space="0" w:color="auto"/>
              <w:bottom w:val="double" w:sz="4" w:space="0" w:color="auto"/>
              <w:right w:val="double" w:sz="4" w:space="0" w:color="auto"/>
            </w:tcBorders>
            <w:tcMar>
              <w:left w:w="58" w:type="dxa"/>
              <w:right w:w="58" w:type="dxa"/>
            </w:tcMar>
            <w:vAlign w:val="center"/>
          </w:tcPr>
          <w:p w14:paraId="512033F4" w14:textId="77777777" w:rsidR="00D66C65" w:rsidRPr="00D66C65" w:rsidRDefault="00D66C65" w:rsidP="00F31DD9">
            <w:pPr>
              <w:spacing w:line="240" w:lineRule="auto"/>
              <w:jc w:val="center"/>
              <w:rPr>
                <w:rFonts w:eastAsia="Calibri"/>
                <w:b/>
                <w:sz w:val="20"/>
                <w:szCs w:val="20"/>
              </w:rPr>
            </w:pPr>
            <w:r w:rsidRPr="00D66C65">
              <w:rPr>
                <w:rFonts w:eastAsia="Calibri"/>
                <w:b/>
                <w:sz w:val="20"/>
                <w:szCs w:val="20"/>
              </w:rPr>
              <w:t>T-stat</w:t>
            </w:r>
          </w:p>
        </w:tc>
        <w:tc>
          <w:tcPr>
            <w:tcW w:w="666" w:type="dxa"/>
            <w:tcBorders>
              <w:bottom w:val="double" w:sz="4" w:space="0" w:color="auto"/>
              <w:right w:val="single" w:sz="4" w:space="0" w:color="auto"/>
            </w:tcBorders>
            <w:tcMar>
              <w:left w:w="58" w:type="dxa"/>
              <w:right w:w="58" w:type="dxa"/>
            </w:tcMar>
            <w:vAlign w:val="center"/>
          </w:tcPr>
          <w:p w14:paraId="5B76014A" w14:textId="77777777" w:rsidR="00D66C65" w:rsidRPr="00D66C65" w:rsidRDefault="00D66C65" w:rsidP="00F31DD9">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720" w:type="dxa"/>
            <w:tcBorders>
              <w:left w:val="single" w:sz="4" w:space="0" w:color="auto"/>
              <w:bottom w:val="double" w:sz="4" w:space="0" w:color="auto"/>
              <w:right w:val="double" w:sz="4" w:space="0" w:color="auto"/>
            </w:tcBorders>
            <w:tcMar>
              <w:left w:w="58" w:type="dxa"/>
              <w:right w:w="58" w:type="dxa"/>
            </w:tcMar>
            <w:vAlign w:val="center"/>
          </w:tcPr>
          <w:p w14:paraId="591C5211" w14:textId="77777777" w:rsidR="00D66C65" w:rsidRPr="00D66C65" w:rsidRDefault="00D66C65" w:rsidP="00F31DD9">
            <w:pPr>
              <w:spacing w:line="240" w:lineRule="auto"/>
              <w:jc w:val="center"/>
              <w:rPr>
                <w:rFonts w:eastAsia="Calibri"/>
                <w:b/>
                <w:sz w:val="20"/>
                <w:szCs w:val="20"/>
              </w:rPr>
            </w:pPr>
            <w:r w:rsidRPr="00D66C65">
              <w:rPr>
                <w:rFonts w:eastAsia="Calibri"/>
                <w:b/>
                <w:sz w:val="20"/>
                <w:szCs w:val="20"/>
              </w:rPr>
              <w:t>T-stat</w:t>
            </w:r>
          </w:p>
        </w:tc>
        <w:tc>
          <w:tcPr>
            <w:tcW w:w="750" w:type="dxa"/>
            <w:tcBorders>
              <w:left w:val="single" w:sz="4" w:space="0" w:color="auto"/>
              <w:bottom w:val="double" w:sz="4" w:space="0" w:color="auto"/>
              <w:right w:val="single" w:sz="4" w:space="0" w:color="auto"/>
            </w:tcBorders>
            <w:tcMar>
              <w:left w:w="58" w:type="dxa"/>
              <w:right w:w="58" w:type="dxa"/>
            </w:tcMar>
            <w:vAlign w:val="center"/>
          </w:tcPr>
          <w:p w14:paraId="04C06029" w14:textId="26E8E92D" w:rsidR="00D66C65" w:rsidRPr="00D66C65" w:rsidRDefault="00D66C65" w:rsidP="00F31DD9">
            <w:pPr>
              <w:spacing w:line="240" w:lineRule="auto"/>
              <w:jc w:val="center"/>
              <w:rPr>
                <w:rFonts w:eastAsia="Calibri"/>
                <w:b/>
                <w:sz w:val="20"/>
                <w:szCs w:val="20"/>
              </w:rPr>
            </w:pPr>
            <w:proofErr w:type="spellStart"/>
            <w:r w:rsidRPr="00D66C65">
              <w:rPr>
                <w:rFonts w:eastAsia="Calibri"/>
                <w:b/>
                <w:sz w:val="20"/>
                <w:szCs w:val="20"/>
              </w:rPr>
              <w:t>Coeff</w:t>
            </w:r>
            <w:proofErr w:type="spellEnd"/>
          </w:p>
        </w:tc>
        <w:tc>
          <w:tcPr>
            <w:tcW w:w="767" w:type="dxa"/>
            <w:tcBorders>
              <w:left w:val="single" w:sz="4" w:space="0" w:color="auto"/>
              <w:bottom w:val="double" w:sz="4" w:space="0" w:color="auto"/>
              <w:right w:val="double" w:sz="4" w:space="0" w:color="auto"/>
            </w:tcBorders>
            <w:tcMar>
              <w:left w:w="58" w:type="dxa"/>
              <w:right w:w="58" w:type="dxa"/>
            </w:tcMar>
            <w:vAlign w:val="center"/>
          </w:tcPr>
          <w:p w14:paraId="7A1EE043" w14:textId="5046201D" w:rsidR="00D66C65" w:rsidRPr="00D66C65" w:rsidRDefault="00D66C65" w:rsidP="00F31DD9">
            <w:pPr>
              <w:spacing w:line="240" w:lineRule="auto"/>
              <w:jc w:val="center"/>
              <w:rPr>
                <w:rFonts w:eastAsia="Calibri"/>
                <w:b/>
                <w:sz w:val="20"/>
                <w:szCs w:val="20"/>
              </w:rPr>
            </w:pPr>
            <w:r w:rsidRPr="00D66C65">
              <w:rPr>
                <w:rFonts w:eastAsia="Calibri"/>
                <w:b/>
                <w:sz w:val="20"/>
                <w:szCs w:val="20"/>
              </w:rPr>
              <w:t>T-stat</w:t>
            </w:r>
          </w:p>
        </w:tc>
      </w:tr>
      <w:tr w:rsidR="00D66C65" w:rsidRPr="00D66C65" w14:paraId="5B2994D5" w14:textId="0D8E53B1" w:rsidTr="00D66C65">
        <w:trPr>
          <w:trHeight w:val="274"/>
          <w:jc w:val="center"/>
        </w:trPr>
        <w:tc>
          <w:tcPr>
            <w:tcW w:w="1921" w:type="dxa"/>
            <w:tcBorders>
              <w:left w:val="double" w:sz="4" w:space="0" w:color="auto"/>
              <w:right w:val="double" w:sz="4" w:space="0" w:color="auto"/>
            </w:tcBorders>
          </w:tcPr>
          <w:p w14:paraId="486A25C9" w14:textId="77777777" w:rsidR="00D66C65" w:rsidRPr="00D66C65" w:rsidRDefault="00D66C65" w:rsidP="00F31DD9">
            <w:pPr>
              <w:spacing w:line="240" w:lineRule="auto"/>
              <w:rPr>
                <w:rFonts w:eastAsia="Calibri"/>
                <w:b/>
                <w:sz w:val="20"/>
                <w:szCs w:val="20"/>
              </w:rPr>
            </w:pPr>
            <w:r w:rsidRPr="00D66C65">
              <w:rPr>
                <w:rFonts w:eastAsia="Calibri"/>
                <w:b/>
                <w:sz w:val="20"/>
                <w:szCs w:val="20"/>
              </w:rPr>
              <w:t xml:space="preserve">Housing cost </w:t>
            </w:r>
          </w:p>
        </w:tc>
        <w:tc>
          <w:tcPr>
            <w:tcW w:w="666" w:type="dxa"/>
            <w:tcBorders>
              <w:left w:val="double" w:sz="4" w:space="0" w:color="auto"/>
              <w:right w:val="single" w:sz="4" w:space="0" w:color="auto"/>
            </w:tcBorders>
            <w:tcMar>
              <w:left w:w="58" w:type="dxa"/>
              <w:right w:w="58" w:type="dxa"/>
            </w:tcMar>
            <w:vAlign w:val="center"/>
          </w:tcPr>
          <w:p w14:paraId="2B3873FA" w14:textId="3B2DC7B6"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57" w:type="dxa"/>
            <w:tcBorders>
              <w:left w:val="single" w:sz="4" w:space="0" w:color="auto"/>
              <w:right w:val="double" w:sz="4" w:space="0" w:color="auto"/>
            </w:tcBorders>
            <w:tcMar>
              <w:left w:w="58" w:type="dxa"/>
              <w:right w:w="58" w:type="dxa"/>
            </w:tcMar>
            <w:vAlign w:val="center"/>
          </w:tcPr>
          <w:p w14:paraId="2FC5FD23" w14:textId="66536868"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46" w:type="dxa"/>
            <w:tcBorders>
              <w:left w:val="double" w:sz="4" w:space="0" w:color="auto"/>
            </w:tcBorders>
            <w:tcMar>
              <w:left w:w="58" w:type="dxa"/>
              <w:right w:w="58" w:type="dxa"/>
            </w:tcMar>
            <w:vAlign w:val="center"/>
          </w:tcPr>
          <w:p w14:paraId="598CEDD9" w14:textId="28D94F13"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98" w:type="dxa"/>
            <w:tcBorders>
              <w:right w:val="double" w:sz="4" w:space="0" w:color="auto"/>
            </w:tcBorders>
            <w:tcMar>
              <w:left w:w="58" w:type="dxa"/>
              <w:right w:w="58" w:type="dxa"/>
            </w:tcMar>
            <w:vAlign w:val="center"/>
          </w:tcPr>
          <w:p w14:paraId="0E8D7846" w14:textId="33BB57F5"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68" w:type="dxa"/>
            <w:tcBorders>
              <w:left w:val="double" w:sz="4" w:space="0" w:color="auto"/>
            </w:tcBorders>
            <w:tcMar>
              <w:left w:w="58" w:type="dxa"/>
              <w:right w:w="58" w:type="dxa"/>
            </w:tcMar>
            <w:vAlign w:val="center"/>
          </w:tcPr>
          <w:p w14:paraId="644BD21F" w14:textId="352A137E"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72" w:type="dxa"/>
            <w:tcBorders>
              <w:top w:val="double" w:sz="4" w:space="0" w:color="auto"/>
              <w:right w:val="double" w:sz="4" w:space="0" w:color="auto"/>
            </w:tcBorders>
            <w:tcMar>
              <w:left w:w="58" w:type="dxa"/>
              <w:right w:w="58" w:type="dxa"/>
            </w:tcMar>
            <w:vAlign w:val="center"/>
          </w:tcPr>
          <w:p w14:paraId="4BC8CE0C" w14:textId="2A3A992C"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top w:val="double" w:sz="4" w:space="0" w:color="auto"/>
              <w:left w:val="double" w:sz="4" w:space="0" w:color="auto"/>
            </w:tcBorders>
            <w:tcMar>
              <w:left w:w="58" w:type="dxa"/>
              <w:right w:w="58" w:type="dxa"/>
            </w:tcMar>
            <w:vAlign w:val="center"/>
          </w:tcPr>
          <w:p w14:paraId="71957394" w14:textId="25130301"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810" w:type="dxa"/>
            <w:tcBorders>
              <w:top w:val="double" w:sz="4" w:space="0" w:color="auto"/>
              <w:right w:val="double" w:sz="4" w:space="0" w:color="auto"/>
            </w:tcBorders>
            <w:tcMar>
              <w:left w:w="58" w:type="dxa"/>
              <w:right w:w="58" w:type="dxa"/>
            </w:tcMar>
            <w:vAlign w:val="center"/>
          </w:tcPr>
          <w:p w14:paraId="0D7FF113" w14:textId="656704EB"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01" w:type="dxa"/>
            <w:tcBorders>
              <w:top w:val="double" w:sz="4" w:space="0" w:color="auto"/>
              <w:left w:val="double" w:sz="4" w:space="0" w:color="auto"/>
            </w:tcBorders>
            <w:tcMar>
              <w:left w:w="58" w:type="dxa"/>
              <w:right w:w="58" w:type="dxa"/>
            </w:tcMar>
            <w:vAlign w:val="center"/>
          </w:tcPr>
          <w:p w14:paraId="00502692" w14:textId="3C34971E"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55" w:type="dxa"/>
            <w:tcBorders>
              <w:top w:val="double" w:sz="4" w:space="0" w:color="auto"/>
              <w:right w:val="double" w:sz="4" w:space="0" w:color="auto"/>
            </w:tcBorders>
            <w:tcMar>
              <w:left w:w="58" w:type="dxa"/>
              <w:right w:w="58" w:type="dxa"/>
            </w:tcMar>
            <w:vAlign w:val="center"/>
          </w:tcPr>
          <w:p w14:paraId="1DE45927" w14:textId="48963B61"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00" w:type="dxa"/>
            <w:tcBorders>
              <w:top w:val="double" w:sz="4" w:space="0" w:color="auto"/>
              <w:right w:val="single" w:sz="4" w:space="0" w:color="auto"/>
            </w:tcBorders>
            <w:tcMar>
              <w:left w:w="58" w:type="dxa"/>
              <w:right w:w="58" w:type="dxa"/>
            </w:tcMar>
            <w:vAlign w:val="center"/>
          </w:tcPr>
          <w:p w14:paraId="5C3CE3CA" w14:textId="4670DE24"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42" w:type="dxa"/>
            <w:tcBorders>
              <w:top w:val="double" w:sz="4" w:space="0" w:color="auto"/>
              <w:left w:val="single" w:sz="4" w:space="0" w:color="auto"/>
              <w:right w:val="double" w:sz="4" w:space="0" w:color="auto"/>
            </w:tcBorders>
            <w:tcMar>
              <w:left w:w="58" w:type="dxa"/>
              <w:right w:w="58" w:type="dxa"/>
            </w:tcMar>
            <w:vAlign w:val="center"/>
          </w:tcPr>
          <w:p w14:paraId="26FBB492" w14:textId="7306E61D"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666" w:type="dxa"/>
            <w:tcBorders>
              <w:top w:val="double" w:sz="4" w:space="0" w:color="auto"/>
              <w:right w:val="single" w:sz="4" w:space="0" w:color="auto"/>
            </w:tcBorders>
            <w:tcMar>
              <w:left w:w="58" w:type="dxa"/>
              <w:right w:w="58" w:type="dxa"/>
            </w:tcMar>
            <w:vAlign w:val="center"/>
          </w:tcPr>
          <w:p w14:paraId="214B0601" w14:textId="6AB6DAF9"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top w:val="double" w:sz="4" w:space="0" w:color="auto"/>
              <w:left w:val="single" w:sz="4" w:space="0" w:color="auto"/>
              <w:right w:val="double" w:sz="4" w:space="0" w:color="auto"/>
            </w:tcBorders>
            <w:tcMar>
              <w:left w:w="58" w:type="dxa"/>
              <w:right w:w="58" w:type="dxa"/>
            </w:tcMar>
            <w:vAlign w:val="center"/>
          </w:tcPr>
          <w:p w14:paraId="56321A58" w14:textId="03FB66A4"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50" w:type="dxa"/>
            <w:tcBorders>
              <w:top w:val="double" w:sz="4" w:space="0" w:color="auto"/>
              <w:left w:val="single" w:sz="4" w:space="0" w:color="auto"/>
              <w:right w:val="single" w:sz="4" w:space="0" w:color="auto"/>
            </w:tcBorders>
            <w:tcMar>
              <w:left w:w="58" w:type="dxa"/>
              <w:right w:w="58" w:type="dxa"/>
            </w:tcMar>
            <w:vAlign w:val="center"/>
          </w:tcPr>
          <w:p w14:paraId="1D343A1A" w14:textId="5E9D4F6F" w:rsidR="00D66C65" w:rsidRPr="00D66C65" w:rsidRDefault="005A1D67" w:rsidP="00F31DD9">
            <w:pPr>
              <w:spacing w:line="240" w:lineRule="auto"/>
              <w:jc w:val="center"/>
              <w:rPr>
                <w:rFonts w:eastAsia="Calibri"/>
                <w:sz w:val="20"/>
                <w:szCs w:val="20"/>
              </w:rPr>
            </w:pPr>
            <w:r>
              <w:rPr>
                <w:rFonts w:eastAsia="Calibri"/>
                <w:sz w:val="20"/>
                <w:szCs w:val="20"/>
              </w:rPr>
              <w:t>-</w:t>
            </w:r>
          </w:p>
        </w:tc>
        <w:tc>
          <w:tcPr>
            <w:tcW w:w="767" w:type="dxa"/>
            <w:tcBorders>
              <w:top w:val="double" w:sz="4" w:space="0" w:color="auto"/>
              <w:left w:val="single" w:sz="4" w:space="0" w:color="auto"/>
              <w:right w:val="double" w:sz="4" w:space="0" w:color="auto"/>
            </w:tcBorders>
            <w:tcMar>
              <w:left w:w="58" w:type="dxa"/>
              <w:right w:w="58" w:type="dxa"/>
            </w:tcMar>
            <w:vAlign w:val="center"/>
          </w:tcPr>
          <w:p w14:paraId="282D6F9D" w14:textId="53FD3575" w:rsidR="00D66C65" w:rsidRPr="00D66C65" w:rsidRDefault="005A1D67" w:rsidP="00F31DD9">
            <w:pPr>
              <w:spacing w:line="240" w:lineRule="auto"/>
              <w:jc w:val="center"/>
              <w:rPr>
                <w:rFonts w:eastAsia="Calibri"/>
                <w:sz w:val="20"/>
                <w:szCs w:val="20"/>
              </w:rPr>
            </w:pPr>
            <w:r>
              <w:rPr>
                <w:rFonts w:eastAsia="Calibri"/>
                <w:sz w:val="20"/>
                <w:szCs w:val="20"/>
              </w:rPr>
              <w:t>-</w:t>
            </w:r>
          </w:p>
        </w:tc>
      </w:tr>
      <w:tr w:rsidR="005A1D67" w:rsidRPr="00D66C65" w14:paraId="00AF3B06" w14:textId="721FAA5B" w:rsidTr="00D66C65">
        <w:trPr>
          <w:trHeight w:val="274"/>
          <w:jc w:val="center"/>
        </w:trPr>
        <w:tc>
          <w:tcPr>
            <w:tcW w:w="1921" w:type="dxa"/>
            <w:tcBorders>
              <w:left w:val="double" w:sz="4" w:space="0" w:color="auto"/>
              <w:right w:val="double" w:sz="4" w:space="0" w:color="auto"/>
            </w:tcBorders>
          </w:tcPr>
          <w:p w14:paraId="653F9AAD" w14:textId="0EF47442" w:rsidR="005A1D67" w:rsidRPr="00D66C65" w:rsidRDefault="005A1D67" w:rsidP="00F31DD9">
            <w:pPr>
              <w:spacing w:line="240" w:lineRule="auto"/>
              <w:rPr>
                <w:rFonts w:eastAsia="Calibri"/>
                <w:b/>
                <w:sz w:val="20"/>
                <w:szCs w:val="20"/>
              </w:rPr>
            </w:pPr>
            <w:r w:rsidRPr="00D66C65">
              <w:rPr>
                <w:rFonts w:eastAsia="Calibri"/>
                <w:b/>
                <w:sz w:val="20"/>
                <w:szCs w:val="20"/>
              </w:rPr>
              <w:t xml:space="preserve">Square footage of </w:t>
            </w:r>
            <w:r w:rsidR="001B69D9">
              <w:rPr>
                <w:rFonts w:eastAsia="Calibri"/>
                <w:b/>
                <w:sz w:val="20"/>
                <w:szCs w:val="20"/>
              </w:rPr>
              <w:t>the dwelling unit</w:t>
            </w:r>
          </w:p>
        </w:tc>
        <w:tc>
          <w:tcPr>
            <w:tcW w:w="666" w:type="dxa"/>
            <w:tcBorders>
              <w:left w:val="double" w:sz="4" w:space="0" w:color="auto"/>
              <w:right w:val="single" w:sz="4" w:space="0" w:color="auto"/>
            </w:tcBorders>
            <w:tcMar>
              <w:left w:w="58" w:type="dxa"/>
              <w:right w:w="58" w:type="dxa"/>
            </w:tcMar>
            <w:vAlign w:val="center"/>
          </w:tcPr>
          <w:p w14:paraId="541DBCE2" w14:textId="3BC7BE06"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7" w:type="dxa"/>
            <w:tcBorders>
              <w:left w:val="single" w:sz="4" w:space="0" w:color="auto"/>
              <w:right w:val="double" w:sz="4" w:space="0" w:color="auto"/>
            </w:tcBorders>
            <w:tcMar>
              <w:left w:w="58" w:type="dxa"/>
              <w:right w:w="58" w:type="dxa"/>
            </w:tcMar>
            <w:vAlign w:val="center"/>
          </w:tcPr>
          <w:p w14:paraId="13E4025F" w14:textId="78D1C9B0"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46" w:type="dxa"/>
            <w:tcBorders>
              <w:left w:val="double" w:sz="4" w:space="0" w:color="auto"/>
            </w:tcBorders>
            <w:tcMar>
              <w:left w:w="58" w:type="dxa"/>
              <w:right w:w="58" w:type="dxa"/>
            </w:tcMar>
            <w:vAlign w:val="center"/>
          </w:tcPr>
          <w:p w14:paraId="2D3BA8F1" w14:textId="23335927"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98" w:type="dxa"/>
            <w:tcBorders>
              <w:right w:val="double" w:sz="4" w:space="0" w:color="auto"/>
            </w:tcBorders>
            <w:tcMar>
              <w:left w:w="58" w:type="dxa"/>
              <w:right w:w="58" w:type="dxa"/>
            </w:tcMar>
            <w:vAlign w:val="center"/>
          </w:tcPr>
          <w:p w14:paraId="64CCE264" w14:textId="03EFFC85"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68" w:type="dxa"/>
            <w:tcBorders>
              <w:left w:val="double" w:sz="4" w:space="0" w:color="auto"/>
            </w:tcBorders>
            <w:tcMar>
              <w:left w:w="58" w:type="dxa"/>
              <w:right w:w="58" w:type="dxa"/>
            </w:tcMar>
            <w:vAlign w:val="center"/>
          </w:tcPr>
          <w:p w14:paraId="2316030D" w14:textId="28B73B81"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72" w:type="dxa"/>
            <w:tcBorders>
              <w:right w:val="double" w:sz="4" w:space="0" w:color="auto"/>
            </w:tcBorders>
            <w:tcMar>
              <w:left w:w="58" w:type="dxa"/>
              <w:right w:w="58" w:type="dxa"/>
            </w:tcMar>
            <w:vAlign w:val="center"/>
          </w:tcPr>
          <w:p w14:paraId="1E7FD2B5" w14:textId="18729EC1"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double" w:sz="4" w:space="0" w:color="auto"/>
            </w:tcBorders>
            <w:tcMar>
              <w:left w:w="58" w:type="dxa"/>
              <w:right w:w="58" w:type="dxa"/>
            </w:tcMar>
            <w:vAlign w:val="center"/>
          </w:tcPr>
          <w:p w14:paraId="28C31A16" w14:textId="00411242"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tcMar>
              <w:left w:w="58" w:type="dxa"/>
              <w:right w:w="58" w:type="dxa"/>
            </w:tcMar>
            <w:vAlign w:val="center"/>
          </w:tcPr>
          <w:p w14:paraId="5FCC7789" w14:textId="5B660DAB"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01" w:type="dxa"/>
            <w:tcBorders>
              <w:left w:val="double" w:sz="4" w:space="0" w:color="auto"/>
            </w:tcBorders>
            <w:tcMar>
              <w:left w:w="58" w:type="dxa"/>
              <w:right w:w="58" w:type="dxa"/>
            </w:tcMar>
            <w:vAlign w:val="center"/>
          </w:tcPr>
          <w:p w14:paraId="4212AFCA" w14:textId="752752F4"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5" w:type="dxa"/>
            <w:tcBorders>
              <w:right w:val="double" w:sz="4" w:space="0" w:color="auto"/>
            </w:tcBorders>
            <w:tcMar>
              <w:left w:w="58" w:type="dxa"/>
              <w:right w:w="58" w:type="dxa"/>
            </w:tcMar>
            <w:vAlign w:val="center"/>
          </w:tcPr>
          <w:p w14:paraId="61EEBD3C" w14:textId="00A65035"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00" w:type="dxa"/>
            <w:tcBorders>
              <w:right w:val="single" w:sz="4" w:space="0" w:color="auto"/>
            </w:tcBorders>
            <w:tcMar>
              <w:left w:w="58" w:type="dxa"/>
              <w:right w:w="58" w:type="dxa"/>
            </w:tcMar>
            <w:vAlign w:val="center"/>
          </w:tcPr>
          <w:p w14:paraId="1EDE935F" w14:textId="075FB495"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42" w:type="dxa"/>
            <w:tcBorders>
              <w:left w:val="single" w:sz="4" w:space="0" w:color="auto"/>
              <w:right w:val="double" w:sz="4" w:space="0" w:color="auto"/>
            </w:tcBorders>
            <w:tcMar>
              <w:left w:w="58" w:type="dxa"/>
              <w:right w:w="58" w:type="dxa"/>
            </w:tcMar>
            <w:vAlign w:val="center"/>
          </w:tcPr>
          <w:p w14:paraId="5BC85E8E" w14:textId="7D9F7BDD"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666" w:type="dxa"/>
            <w:tcBorders>
              <w:right w:val="single" w:sz="4" w:space="0" w:color="auto"/>
            </w:tcBorders>
            <w:tcMar>
              <w:left w:w="58" w:type="dxa"/>
              <w:right w:w="58" w:type="dxa"/>
            </w:tcMar>
            <w:vAlign w:val="center"/>
          </w:tcPr>
          <w:p w14:paraId="30E04C85" w14:textId="6A5FBA6A"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single" w:sz="4" w:space="0" w:color="auto"/>
              <w:right w:val="double" w:sz="4" w:space="0" w:color="auto"/>
            </w:tcBorders>
            <w:tcMar>
              <w:left w:w="58" w:type="dxa"/>
              <w:right w:w="58" w:type="dxa"/>
            </w:tcMar>
            <w:vAlign w:val="center"/>
          </w:tcPr>
          <w:p w14:paraId="27E4697A" w14:textId="757F76F4"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0" w:type="dxa"/>
            <w:tcBorders>
              <w:left w:val="single" w:sz="4" w:space="0" w:color="auto"/>
              <w:right w:val="single" w:sz="4" w:space="0" w:color="auto"/>
            </w:tcBorders>
            <w:tcMar>
              <w:left w:w="58" w:type="dxa"/>
              <w:right w:w="58" w:type="dxa"/>
            </w:tcMar>
            <w:vAlign w:val="center"/>
          </w:tcPr>
          <w:p w14:paraId="2CA8CE3B" w14:textId="360377E9"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67" w:type="dxa"/>
            <w:tcBorders>
              <w:left w:val="single" w:sz="4" w:space="0" w:color="auto"/>
              <w:right w:val="double" w:sz="4" w:space="0" w:color="auto"/>
            </w:tcBorders>
            <w:tcMar>
              <w:left w:w="58" w:type="dxa"/>
              <w:right w:w="58" w:type="dxa"/>
            </w:tcMar>
            <w:vAlign w:val="center"/>
          </w:tcPr>
          <w:p w14:paraId="43D75A79" w14:textId="3E1BF67E" w:rsidR="005A1D67" w:rsidRPr="00D66C65" w:rsidRDefault="005A1D67" w:rsidP="00F31DD9">
            <w:pPr>
              <w:spacing w:line="240" w:lineRule="auto"/>
              <w:jc w:val="center"/>
              <w:rPr>
                <w:rFonts w:eastAsia="Calibri"/>
                <w:sz w:val="20"/>
                <w:szCs w:val="20"/>
              </w:rPr>
            </w:pPr>
            <w:r>
              <w:rPr>
                <w:rFonts w:eastAsia="Calibri"/>
                <w:sz w:val="20"/>
                <w:szCs w:val="20"/>
              </w:rPr>
              <w:t>-</w:t>
            </w:r>
          </w:p>
        </w:tc>
      </w:tr>
      <w:tr w:rsidR="005A1D67" w:rsidRPr="00D66C65" w14:paraId="222CCE07" w14:textId="37B69FB6" w:rsidTr="00D66C65">
        <w:trPr>
          <w:trHeight w:val="274"/>
          <w:jc w:val="center"/>
        </w:trPr>
        <w:tc>
          <w:tcPr>
            <w:tcW w:w="1921" w:type="dxa"/>
            <w:tcBorders>
              <w:left w:val="double" w:sz="4" w:space="0" w:color="auto"/>
              <w:right w:val="double" w:sz="4" w:space="0" w:color="auto"/>
            </w:tcBorders>
          </w:tcPr>
          <w:p w14:paraId="5D781684" w14:textId="790FA530" w:rsidR="005A1D67" w:rsidRPr="00D66C65" w:rsidRDefault="005A1D67" w:rsidP="00D66C65">
            <w:pPr>
              <w:spacing w:line="240" w:lineRule="auto"/>
              <w:rPr>
                <w:rFonts w:eastAsia="Calibri"/>
                <w:b/>
                <w:sz w:val="20"/>
                <w:szCs w:val="20"/>
              </w:rPr>
            </w:pPr>
            <w:r w:rsidRPr="00D66C65">
              <w:rPr>
                <w:rFonts w:eastAsia="Calibri"/>
                <w:b/>
                <w:sz w:val="20"/>
                <w:szCs w:val="20"/>
              </w:rPr>
              <w:t>Residential location (base: suburb)</w:t>
            </w:r>
          </w:p>
        </w:tc>
        <w:tc>
          <w:tcPr>
            <w:tcW w:w="666" w:type="dxa"/>
            <w:tcBorders>
              <w:left w:val="double" w:sz="4" w:space="0" w:color="auto"/>
              <w:right w:val="single" w:sz="4" w:space="0" w:color="auto"/>
            </w:tcBorders>
            <w:tcMar>
              <w:left w:w="58" w:type="dxa"/>
              <w:right w:w="58" w:type="dxa"/>
            </w:tcMar>
            <w:vAlign w:val="center"/>
          </w:tcPr>
          <w:p w14:paraId="6304AEC7" w14:textId="77777777" w:rsidR="005A1D67" w:rsidRPr="00D66C65" w:rsidRDefault="005A1D67" w:rsidP="00F31DD9">
            <w:pPr>
              <w:spacing w:line="240" w:lineRule="auto"/>
              <w:jc w:val="center"/>
              <w:rPr>
                <w:rFonts w:eastAsia="Calibri"/>
                <w:sz w:val="20"/>
                <w:szCs w:val="20"/>
              </w:rPr>
            </w:pPr>
          </w:p>
        </w:tc>
        <w:tc>
          <w:tcPr>
            <w:tcW w:w="757" w:type="dxa"/>
            <w:tcBorders>
              <w:left w:val="single" w:sz="4" w:space="0" w:color="auto"/>
              <w:right w:val="double" w:sz="4" w:space="0" w:color="auto"/>
            </w:tcBorders>
            <w:tcMar>
              <w:left w:w="58" w:type="dxa"/>
              <w:right w:w="58" w:type="dxa"/>
            </w:tcMar>
            <w:vAlign w:val="center"/>
          </w:tcPr>
          <w:p w14:paraId="45B1F204" w14:textId="77777777" w:rsidR="005A1D67" w:rsidRPr="00D66C65" w:rsidRDefault="005A1D67" w:rsidP="00F31DD9">
            <w:pPr>
              <w:spacing w:line="240" w:lineRule="auto"/>
              <w:jc w:val="center"/>
              <w:rPr>
                <w:rFonts w:eastAsia="Calibri"/>
                <w:sz w:val="20"/>
                <w:szCs w:val="20"/>
              </w:rPr>
            </w:pPr>
          </w:p>
        </w:tc>
        <w:tc>
          <w:tcPr>
            <w:tcW w:w="746" w:type="dxa"/>
            <w:tcBorders>
              <w:left w:val="double" w:sz="4" w:space="0" w:color="auto"/>
            </w:tcBorders>
            <w:tcMar>
              <w:left w:w="58" w:type="dxa"/>
              <w:right w:w="58" w:type="dxa"/>
            </w:tcMar>
            <w:vAlign w:val="center"/>
          </w:tcPr>
          <w:p w14:paraId="569E689B" w14:textId="77777777" w:rsidR="005A1D67" w:rsidRPr="00D66C65" w:rsidRDefault="005A1D67" w:rsidP="00F31DD9">
            <w:pPr>
              <w:spacing w:line="240" w:lineRule="auto"/>
              <w:jc w:val="center"/>
              <w:rPr>
                <w:rFonts w:eastAsia="Calibri"/>
                <w:sz w:val="20"/>
                <w:szCs w:val="20"/>
              </w:rPr>
            </w:pPr>
          </w:p>
        </w:tc>
        <w:tc>
          <w:tcPr>
            <w:tcW w:w="798" w:type="dxa"/>
            <w:tcBorders>
              <w:right w:val="double" w:sz="4" w:space="0" w:color="auto"/>
            </w:tcBorders>
            <w:tcMar>
              <w:left w:w="58" w:type="dxa"/>
              <w:right w:w="58" w:type="dxa"/>
            </w:tcMar>
            <w:vAlign w:val="center"/>
          </w:tcPr>
          <w:p w14:paraId="161FE465" w14:textId="77777777" w:rsidR="005A1D67" w:rsidRPr="00D66C65" w:rsidRDefault="005A1D67" w:rsidP="00F31DD9">
            <w:pPr>
              <w:spacing w:line="240" w:lineRule="auto"/>
              <w:jc w:val="center"/>
              <w:rPr>
                <w:rFonts w:eastAsia="Calibri"/>
                <w:sz w:val="20"/>
                <w:szCs w:val="20"/>
              </w:rPr>
            </w:pPr>
          </w:p>
        </w:tc>
        <w:tc>
          <w:tcPr>
            <w:tcW w:w="768" w:type="dxa"/>
            <w:tcBorders>
              <w:left w:val="double" w:sz="4" w:space="0" w:color="auto"/>
            </w:tcBorders>
            <w:tcMar>
              <w:left w:w="58" w:type="dxa"/>
              <w:right w:w="58" w:type="dxa"/>
            </w:tcMar>
            <w:vAlign w:val="center"/>
          </w:tcPr>
          <w:p w14:paraId="6089A140" w14:textId="77777777" w:rsidR="005A1D67" w:rsidRPr="00D66C65" w:rsidRDefault="005A1D67" w:rsidP="00F31DD9">
            <w:pPr>
              <w:spacing w:line="240" w:lineRule="auto"/>
              <w:jc w:val="center"/>
              <w:rPr>
                <w:rFonts w:eastAsia="Calibri"/>
                <w:sz w:val="20"/>
                <w:szCs w:val="20"/>
              </w:rPr>
            </w:pPr>
          </w:p>
        </w:tc>
        <w:tc>
          <w:tcPr>
            <w:tcW w:w="772" w:type="dxa"/>
            <w:tcBorders>
              <w:right w:val="double" w:sz="4" w:space="0" w:color="auto"/>
            </w:tcBorders>
            <w:tcMar>
              <w:left w:w="58" w:type="dxa"/>
              <w:right w:w="58" w:type="dxa"/>
            </w:tcMar>
            <w:vAlign w:val="center"/>
          </w:tcPr>
          <w:p w14:paraId="1AFBF4AF" w14:textId="77777777" w:rsidR="005A1D67" w:rsidRPr="00D66C65" w:rsidRDefault="005A1D67" w:rsidP="00F31DD9">
            <w:pPr>
              <w:spacing w:line="240" w:lineRule="auto"/>
              <w:jc w:val="center"/>
              <w:rPr>
                <w:rFonts w:eastAsia="Calibri"/>
                <w:sz w:val="20"/>
                <w:szCs w:val="20"/>
              </w:rPr>
            </w:pPr>
          </w:p>
        </w:tc>
        <w:tc>
          <w:tcPr>
            <w:tcW w:w="720" w:type="dxa"/>
            <w:tcBorders>
              <w:left w:val="double" w:sz="4" w:space="0" w:color="auto"/>
            </w:tcBorders>
            <w:tcMar>
              <w:left w:w="58" w:type="dxa"/>
              <w:right w:w="58" w:type="dxa"/>
            </w:tcMar>
            <w:vAlign w:val="center"/>
          </w:tcPr>
          <w:p w14:paraId="4EE6AEA5" w14:textId="77777777" w:rsidR="005A1D67" w:rsidRPr="00D66C65" w:rsidRDefault="005A1D67" w:rsidP="00F31DD9">
            <w:pPr>
              <w:spacing w:line="240" w:lineRule="auto"/>
              <w:jc w:val="center"/>
              <w:rPr>
                <w:rFonts w:eastAsia="Calibri"/>
                <w:sz w:val="20"/>
                <w:szCs w:val="20"/>
              </w:rPr>
            </w:pPr>
          </w:p>
        </w:tc>
        <w:tc>
          <w:tcPr>
            <w:tcW w:w="810" w:type="dxa"/>
            <w:tcBorders>
              <w:right w:val="double" w:sz="4" w:space="0" w:color="auto"/>
            </w:tcBorders>
            <w:tcMar>
              <w:left w:w="58" w:type="dxa"/>
              <w:right w:w="58" w:type="dxa"/>
            </w:tcMar>
            <w:vAlign w:val="center"/>
          </w:tcPr>
          <w:p w14:paraId="02C6DE51" w14:textId="77777777" w:rsidR="005A1D67" w:rsidRPr="00D66C65" w:rsidRDefault="005A1D67" w:rsidP="00F31DD9">
            <w:pPr>
              <w:spacing w:line="240" w:lineRule="auto"/>
              <w:jc w:val="center"/>
              <w:rPr>
                <w:rFonts w:eastAsia="Calibri"/>
                <w:sz w:val="20"/>
                <w:szCs w:val="20"/>
              </w:rPr>
            </w:pPr>
          </w:p>
        </w:tc>
        <w:tc>
          <w:tcPr>
            <w:tcW w:w="701" w:type="dxa"/>
            <w:tcBorders>
              <w:left w:val="double" w:sz="4" w:space="0" w:color="auto"/>
            </w:tcBorders>
            <w:tcMar>
              <w:left w:w="58" w:type="dxa"/>
              <w:right w:w="58" w:type="dxa"/>
            </w:tcMar>
            <w:vAlign w:val="center"/>
          </w:tcPr>
          <w:p w14:paraId="224B6BE5" w14:textId="77777777" w:rsidR="005A1D67" w:rsidRPr="00D66C65" w:rsidRDefault="005A1D67" w:rsidP="00F31DD9">
            <w:pPr>
              <w:spacing w:line="240" w:lineRule="auto"/>
              <w:jc w:val="center"/>
              <w:rPr>
                <w:rFonts w:eastAsia="Calibri"/>
                <w:sz w:val="20"/>
                <w:szCs w:val="20"/>
              </w:rPr>
            </w:pPr>
          </w:p>
        </w:tc>
        <w:tc>
          <w:tcPr>
            <w:tcW w:w="755" w:type="dxa"/>
            <w:tcBorders>
              <w:right w:val="double" w:sz="4" w:space="0" w:color="auto"/>
            </w:tcBorders>
            <w:tcMar>
              <w:left w:w="58" w:type="dxa"/>
              <w:right w:w="58" w:type="dxa"/>
            </w:tcMar>
            <w:vAlign w:val="center"/>
          </w:tcPr>
          <w:p w14:paraId="4276F8F3" w14:textId="77777777" w:rsidR="005A1D67" w:rsidRPr="00D66C65" w:rsidRDefault="005A1D67" w:rsidP="00F31DD9">
            <w:pPr>
              <w:spacing w:line="240" w:lineRule="auto"/>
              <w:jc w:val="center"/>
              <w:rPr>
                <w:rFonts w:eastAsia="Calibri"/>
                <w:sz w:val="20"/>
                <w:szCs w:val="20"/>
              </w:rPr>
            </w:pPr>
          </w:p>
        </w:tc>
        <w:tc>
          <w:tcPr>
            <w:tcW w:w="700" w:type="dxa"/>
            <w:tcBorders>
              <w:right w:val="single" w:sz="4" w:space="0" w:color="auto"/>
            </w:tcBorders>
            <w:tcMar>
              <w:left w:w="58" w:type="dxa"/>
              <w:right w:w="58" w:type="dxa"/>
            </w:tcMar>
            <w:vAlign w:val="center"/>
          </w:tcPr>
          <w:p w14:paraId="69395B11" w14:textId="77777777" w:rsidR="005A1D67" w:rsidRPr="00D66C65" w:rsidRDefault="005A1D67" w:rsidP="00F31DD9">
            <w:pPr>
              <w:spacing w:line="240" w:lineRule="auto"/>
              <w:jc w:val="center"/>
              <w:rPr>
                <w:rFonts w:eastAsia="Calibri"/>
                <w:sz w:val="20"/>
                <w:szCs w:val="20"/>
              </w:rPr>
            </w:pPr>
          </w:p>
        </w:tc>
        <w:tc>
          <w:tcPr>
            <w:tcW w:w="742" w:type="dxa"/>
            <w:tcBorders>
              <w:left w:val="single" w:sz="4" w:space="0" w:color="auto"/>
              <w:right w:val="double" w:sz="4" w:space="0" w:color="auto"/>
            </w:tcBorders>
            <w:tcMar>
              <w:left w:w="58" w:type="dxa"/>
              <w:right w:w="58" w:type="dxa"/>
            </w:tcMar>
            <w:vAlign w:val="center"/>
          </w:tcPr>
          <w:p w14:paraId="58677E61" w14:textId="77777777" w:rsidR="005A1D67" w:rsidRPr="00D66C65" w:rsidRDefault="005A1D67" w:rsidP="00F31DD9">
            <w:pPr>
              <w:spacing w:line="240" w:lineRule="auto"/>
              <w:jc w:val="center"/>
              <w:rPr>
                <w:rFonts w:eastAsia="Calibri"/>
                <w:sz w:val="20"/>
                <w:szCs w:val="20"/>
              </w:rPr>
            </w:pPr>
          </w:p>
        </w:tc>
        <w:tc>
          <w:tcPr>
            <w:tcW w:w="666" w:type="dxa"/>
            <w:tcBorders>
              <w:right w:val="single" w:sz="4" w:space="0" w:color="auto"/>
            </w:tcBorders>
            <w:tcMar>
              <w:left w:w="58" w:type="dxa"/>
              <w:right w:w="58" w:type="dxa"/>
            </w:tcMar>
            <w:vAlign w:val="center"/>
          </w:tcPr>
          <w:p w14:paraId="15683BF6" w14:textId="77777777" w:rsidR="005A1D67" w:rsidRPr="00D66C65" w:rsidRDefault="005A1D67" w:rsidP="00F31DD9">
            <w:pPr>
              <w:spacing w:line="240" w:lineRule="auto"/>
              <w:jc w:val="center"/>
              <w:rPr>
                <w:rFonts w:eastAsia="Calibri"/>
                <w:sz w:val="20"/>
                <w:szCs w:val="20"/>
              </w:rPr>
            </w:pPr>
          </w:p>
        </w:tc>
        <w:tc>
          <w:tcPr>
            <w:tcW w:w="720" w:type="dxa"/>
            <w:tcBorders>
              <w:left w:val="single" w:sz="4" w:space="0" w:color="auto"/>
              <w:right w:val="double" w:sz="4" w:space="0" w:color="auto"/>
            </w:tcBorders>
            <w:tcMar>
              <w:left w:w="58" w:type="dxa"/>
              <w:right w:w="58" w:type="dxa"/>
            </w:tcMar>
            <w:vAlign w:val="center"/>
          </w:tcPr>
          <w:p w14:paraId="5AD11559" w14:textId="77777777" w:rsidR="005A1D67" w:rsidRPr="00D66C65" w:rsidRDefault="005A1D67" w:rsidP="00F31DD9">
            <w:pPr>
              <w:spacing w:line="240" w:lineRule="auto"/>
              <w:jc w:val="center"/>
              <w:rPr>
                <w:rFonts w:eastAsia="Calibri"/>
                <w:sz w:val="20"/>
                <w:szCs w:val="20"/>
              </w:rPr>
            </w:pPr>
          </w:p>
        </w:tc>
        <w:tc>
          <w:tcPr>
            <w:tcW w:w="750" w:type="dxa"/>
            <w:tcBorders>
              <w:left w:val="single" w:sz="4" w:space="0" w:color="auto"/>
              <w:right w:val="single" w:sz="4" w:space="0" w:color="auto"/>
            </w:tcBorders>
            <w:tcMar>
              <w:left w:w="58" w:type="dxa"/>
              <w:right w:w="58" w:type="dxa"/>
            </w:tcMar>
            <w:vAlign w:val="center"/>
          </w:tcPr>
          <w:p w14:paraId="0B8B295E" w14:textId="77777777" w:rsidR="005A1D67" w:rsidRPr="00D66C65" w:rsidRDefault="005A1D67" w:rsidP="00F31DD9">
            <w:pPr>
              <w:spacing w:line="240" w:lineRule="auto"/>
              <w:jc w:val="center"/>
              <w:rPr>
                <w:rFonts w:eastAsia="Calibri"/>
                <w:sz w:val="20"/>
                <w:szCs w:val="20"/>
              </w:rPr>
            </w:pPr>
          </w:p>
        </w:tc>
        <w:tc>
          <w:tcPr>
            <w:tcW w:w="767" w:type="dxa"/>
            <w:tcBorders>
              <w:left w:val="single" w:sz="4" w:space="0" w:color="auto"/>
              <w:right w:val="double" w:sz="4" w:space="0" w:color="auto"/>
            </w:tcBorders>
            <w:tcMar>
              <w:left w:w="58" w:type="dxa"/>
              <w:right w:w="58" w:type="dxa"/>
            </w:tcMar>
            <w:vAlign w:val="center"/>
          </w:tcPr>
          <w:p w14:paraId="7419D517" w14:textId="77777777" w:rsidR="005A1D67" w:rsidRPr="00D66C65" w:rsidRDefault="005A1D67" w:rsidP="00F31DD9">
            <w:pPr>
              <w:spacing w:line="240" w:lineRule="auto"/>
              <w:jc w:val="center"/>
              <w:rPr>
                <w:rFonts w:eastAsia="Calibri"/>
                <w:sz w:val="20"/>
                <w:szCs w:val="20"/>
              </w:rPr>
            </w:pPr>
          </w:p>
        </w:tc>
      </w:tr>
      <w:tr w:rsidR="005A1D67" w:rsidRPr="00D66C65" w14:paraId="67BE9E44" w14:textId="1E10DA9A" w:rsidTr="00D66C65">
        <w:trPr>
          <w:trHeight w:val="274"/>
          <w:jc w:val="center"/>
        </w:trPr>
        <w:tc>
          <w:tcPr>
            <w:tcW w:w="1921" w:type="dxa"/>
            <w:tcBorders>
              <w:left w:val="double" w:sz="4" w:space="0" w:color="auto"/>
              <w:right w:val="double" w:sz="4" w:space="0" w:color="auto"/>
            </w:tcBorders>
          </w:tcPr>
          <w:p w14:paraId="2BE89C17" w14:textId="77777777" w:rsidR="005A1D67" w:rsidRPr="00D66C65" w:rsidRDefault="005A1D67" w:rsidP="00F31DD9">
            <w:pPr>
              <w:spacing w:line="240" w:lineRule="auto"/>
              <w:rPr>
                <w:rFonts w:eastAsia="Calibri"/>
                <w:sz w:val="20"/>
                <w:szCs w:val="20"/>
              </w:rPr>
            </w:pPr>
            <w:r w:rsidRPr="00D66C65">
              <w:rPr>
                <w:rFonts w:eastAsia="Calibri"/>
                <w:sz w:val="20"/>
                <w:szCs w:val="20"/>
              </w:rPr>
              <w:t xml:space="preserve">   Secondary city</w:t>
            </w:r>
          </w:p>
        </w:tc>
        <w:tc>
          <w:tcPr>
            <w:tcW w:w="666" w:type="dxa"/>
            <w:tcBorders>
              <w:left w:val="double" w:sz="4" w:space="0" w:color="auto"/>
              <w:right w:val="single" w:sz="4" w:space="0" w:color="auto"/>
            </w:tcBorders>
            <w:tcMar>
              <w:left w:w="58" w:type="dxa"/>
              <w:right w:w="58" w:type="dxa"/>
            </w:tcMar>
            <w:vAlign w:val="center"/>
          </w:tcPr>
          <w:p w14:paraId="15B8E504"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-0.140</w:t>
            </w:r>
          </w:p>
        </w:tc>
        <w:tc>
          <w:tcPr>
            <w:tcW w:w="757" w:type="dxa"/>
            <w:tcBorders>
              <w:left w:val="single" w:sz="4" w:space="0" w:color="auto"/>
              <w:right w:val="double" w:sz="4" w:space="0" w:color="auto"/>
            </w:tcBorders>
            <w:tcMar>
              <w:left w:w="58" w:type="dxa"/>
              <w:right w:w="58" w:type="dxa"/>
            </w:tcMar>
            <w:vAlign w:val="center"/>
          </w:tcPr>
          <w:p w14:paraId="713688F1"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-2.912</w:t>
            </w:r>
          </w:p>
        </w:tc>
        <w:tc>
          <w:tcPr>
            <w:tcW w:w="746" w:type="dxa"/>
            <w:tcBorders>
              <w:left w:val="double" w:sz="4" w:space="0" w:color="auto"/>
            </w:tcBorders>
            <w:tcMar>
              <w:left w:w="58" w:type="dxa"/>
              <w:right w:w="58" w:type="dxa"/>
            </w:tcMar>
            <w:vAlign w:val="center"/>
          </w:tcPr>
          <w:p w14:paraId="5430721F"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-0.140</w:t>
            </w:r>
          </w:p>
        </w:tc>
        <w:tc>
          <w:tcPr>
            <w:tcW w:w="798" w:type="dxa"/>
            <w:tcBorders>
              <w:right w:val="double" w:sz="4" w:space="0" w:color="auto"/>
            </w:tcBorders>
            <w:tcMar>
              <w:left w:w="58" w:type="dxa"/>
              <w:right w:w="58" w:type="dxa"/>
            </w:tcMar>
            <w:vAlign w:val="center"/>
          </w:tcPr>
          <w:p w14:paraId="6196F0BE"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-2.912</w:t>
            </w:r>
          </w:p>
        </w:tc>
        <w:tc>
          <w:tcPr>
            <w:tcW w:w="768" w:type="dxa"/>
            <w:tcBorders>
              <w:left w:val="double" w:sz="4" w:space="0" w:color="auto"/>
            </w:tcBorders>
            <w:tcMar>
              <w:left w:w="58" w:type="dxa"/>
              <w:right w:w="58" w:type="dxa"/>
            </w:tcMar>
            <w:vAlign w:val="center"/>
          </w:tcPr>
          <w:p w14:paraId="769E8EEC"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-0.140</w:t>
            </w:r>
          </w:p>
        </w:tc>
        <w:tc>
          <w:tcPr>
            <w:tcW w:w="772" w:type="dxa"/>
            <w:tcBorders>
              <w:right w:val="double" w:sz="4" w:space="0" w:color="auto"/>
            </w:tcBorders>
            <w:tcMar>
              <w:left w:w="58" w:type="dxa"/>
              <w:right w:w="58" w:type="dxa"/>
            </w:tcMar>
            <w:vAlign w:val="center"/>
          </w:tcPr>
          <w:p w14:paraId="3BDDF523"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-2.912</w:t>
            </w:r>
          </w:p>
        </w:tc>
        <w:tc>
          <w:tcPr>
            <w:tcW w:w="720" w:type="dxa"/>
            <w:tcBorders>
              <w:left w:val="double" w:sz="4" w:space="0" w:color="auto"/>
            </w:tcBorders>
            <w:tcMar>
              <w:left w:w="58" w:type="dxa"/>
              <w:right w:w="58" w:type="dxa"/>
            </w:tcMar>
            <w:vAlign w:val="center"/>
          </w:tcPr>
          <w:p w14:paraId="4D120DDD"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-0.140</w:t>
            </w:r>
          </w:p>
        </w:tc>
        <w:tc>
          <w:tcPr>
            <w:tcW w:w="810" w:type="dxa"/>
            <w:tcBorders>
              <w:right w:val="double" w:sz="4" w:space="0" w:color="auto"/>
            </w:tcBorders>
            <w:tcMar>
              <w:left w:w="58" w:type="dxa"/>
              <w:right w:w="58" w:type="dxa"/>
            </w:tcMar>
            <w:vAlign w:val="center"/>
          </w:tcPr>
          <w:p w14:paraId="48AAC26F"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-2.912</w:t>
            </w:r>
          </w:p>
        </w:tc>
        <w:tc>
          <w:tcPr>
            <w:tcW w:w="701" w:type="dxa"/>
            <w:tcBorders>
              <w:left w:val="double" w:sz="4" w:space="0" w:color="auto"/>
            </w:tcBorders>
            <w:tcMar>
              <w:left w:w="58" w:type="dxa"/>
              <w:right w:w="58" w:type="dxa"/>
            </w:tcMar>
            <w:vAlign w:val="center"/>
          </w:tcPr>
          <w:p w14:paraId="59F1EC6C"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-0.140</w:t>
            </w:r>
          </w:p>
        </w:tc>
        <w:tc>
          <w:tcPr>
            <w:tcW w:w="755" w:type="dxa"/>
            <w:tcBorders>
              <w:right w:val="double" w:sz="4" w:space="0" w:color="auto"/>
            </w:tcBorders>
            <w:tcMar>
              <w:left w:w="58" w:type="dxa"/>
              <w:right w:w="58" w:type="dxa"/>
            </w:tcMar>
            <w:vAlign w:val="center"/>
          </w:tcPr>
          <w:p w14:paraId="3107CBBE"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-2.912</w:t>
            </w:r>
          </w:p>
        </w:tc>
        <w:tc>
          <w:tcPr>
            <w:tcW w:w="700" w:type="dxa"/>
            <w:tcBorders>
              <w:right w:val="single" w:sz="4" w:space="0" w:color="auto"/>
            </w:tcBorders>
            <w:tcMar>
              <w:left w:w="58" w:type="dxa"/>
              <w:right w:w="58" w:type="dxa"/>
            </w:tcMar>
            <w:vAlign w:val="center"/>
          </w:tcPr>
          <w:p w14:paraId="13201011" w14:textId="1925E7BE"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42" w:type="dxa"/>
            <w:tcBorders>
              <w:left w:val="single" w:sz="4" w:space="0" w:color="auto"/>
              <w:right w:val="double" w:sz="4" w:space="0" w:color="auto"/>
            </w:tcBorders>
            <w:tcMar>
              <w:left w:w="58" w:type="dxa"/>
              <w:right w:w="58" w:type="dxa"/>
            </w:tcMar>
            <w:vAlign w:val="center"/>
          </w:tcPr>
          <w:p w14:paraId="5015200F" w14:textId="5E382895"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666" w:type="dxa"/>
            <w:tcBorders>
              <w:right w:val="single" w:sz="4" w:space="0" w:color="auto"/>
            </w:tcBorders>
            <w:tcMar>
              <w:left w:w="58" w:type="dxa"/>
              <w:right w:w="58" w:type="dxa"/>
            </w:tcMar>
            <w:vAlign w:val="center"/>
          </w:tcPr>
          <w:p w14:paraId="557BCF04" w14:textId="2B79BDB0"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single" w:sz="4" w:space="0" w:color="auto"/>
              <w:right w:val="double" w:sz="4" w:space="0" w:color="auto"/>
            </w:tcBorders>
            <w:tcMar>
              <w:left w:w="58" w:type="dxa"/>
              <w:right w:w="58" w:type="dxa"/>
            </w:tcMar>
            <w:vAlign w:val="center"/>
          </w:tcPr>
          <w:p w14:paraId="09C1B80E" w14:textId="786ECF71"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0" w:type="dxa"/>
            <w:tcBorders>
              <w:left w:val="single" w:sz="4" w:space="0" w:color="auto"/>
              <w:right w:val="single" w:sz="4" w:space="0" w:color="auto"/>
            </w:tcBorders>
            <w:tcMar>
              <w:left w:w="58" w:type="dxa"/>
              <w:right w:w="58" w:type="dxa"/>
            </w:tcMar>
            <w:vAlign w:val="center"/>
          </w:tcPr>
          <w:p w14:paraId="504F980A" w14:textId="4E191F55"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67" w:type="dxa"/>
            <w:tcBorders>
              <w:left w:val="single" w:sz="4" w:space="0" w:color="auto"/>
              <w:right w:val="double" w:sz="4" w:space="0" w:color="auto"/>
            </w:tcBorders>
            <w:tcMar>
              <w:left w:w="58" w:type="dxa"/>
              <w:right w:w="58" w:type="dxa"/>
            </w:tcMar>
            <w:vAlign w:val="center"/>
          </w:tcPr>
          <w:p w14:paraId="079F1A8B" w14:textId="34D3CE54" w:rsidR="005A1D67" w:rsidRPr="00D66C65" w:rsidRDefault="005A1D67" w:rsidP="00F31DD9">
            <w:pPr>
              <w:spacing w:line="240" w:lineRule="auto"/>
              <w:jc w:val="center"/>
              <w:rPr>
                <w:rFonts w:eastAsia="Calibri"/>
                <w:sz w:val="20"/>
                <w:szCs w:val="20"/>
              </w:rPr>
            </w:pPr>
            <w:r>
              <w:rPr>
                <w:rFonts w:eastAsia="Calibri"/>
                <w:sz w:val="20"/>
                <w:szCs w:val="20"/>
              </w:rPr>
              <w:t>-</w:t>
            </w:r>
          </w:p>
        </w:tc>
      </w:tr>
      <w:tr w:rsidR="005A1D67" w:rsidRPr="00D66C65" w14:paraId="6D3EA2C8" w14:textId="7DC9FCBE" w:rsidTr="00D66C65">
        <w:trPr>
          <w:trHeight w:val="274"/>
          <w:jc w:val="center"/>
        </w:trPr>
        <w:tc>
          <w:tcPr>
            <w:tcW w:w="1921" w:type="dxa"/>
            <w:tcBorders>
              <w:left w:val="double" w:sz="4" w:space="0" w:color="auto"/>
              <w:right w:val="double" w:sz="4" w:space="0" w:color="auto"/>
            </w:tcBorders>
          </w:tcPr>
          <w:p w14:paraId="16CA84DA" w14:textId="77777777" w:rsidR="005A1D67" w:rsidRPr="00D66C65" w:rsidRDefault="005A1D67" w:rsidP="00F31DD9">
            <w:pPr>
              <w:spacing w:line="240" w:lineRule="auto"/>
              <w:rPr>
                <w:rFonts w:eastAsia="Calibri"/>
                <w:sz w:val="20"/>
                <w:szCs w:val="20"/>
              </w:rPr>
            </w:pPr>
            <w:r w:rsidRPr="00D66C65">
              <w:rPr>
                <w:rFonts w:eastAsia="Calibri"/>
                <w:sz w:val="20"/>
                <w:szCs w:val="20"/>
              </w:rPr>
              <w:t xml:space="preserve">   Primary city</w:t>
            </w:r>
          </w:p>
        </w:tc>
        <w:tc>
          <w:tcPr>
            <w:tcW w:w="666" w:type="dxa"/>
            <w:tcBorders>
              <w:left w:val="double" w:sz="4" w:space="0" w:color="auto"/>
              <w:right w:val="single" w:sz="4" w:space="0" w:color="auto"/>
            </w:tcBorders>
            <w:tcMar>
              <w:left w:w="58" w:type="dxa"/>
              <w:right w:w="58" w:type="dxa"/>
            </w:tcMar>
            <w:vAlign w:val="center"/>
          </w:tcPr>
          <w:p w14:paraId="7257531E"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-0.847</w:t>
            </w:r>
          </w:p>
        </w:tc>
        <w:tc>
          <w:tcPr>
            <w:tcW w:w="757" w:type="dxa"/>
            <w:tcBorders>
              <w:left w:val="single" w:sz="4" w:space="0" w:color="auto"/>
              <w:right w:val="double" w:sz="4" w:space="0" w:color="auto"/>
            </w:tcBorders>
            <w:tcMar>
              <w:left w:w="58" w:type="dxa"/>
              <w:right w:w="58" w:type="dxa"/>
            </w:tcMar>
            <w:vAlign w:val="center"/>
          </w:tcPr>
          <w:p w14:paraId="1B1CA162"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-2.684</w:t>
            </w:r>
          </w:p>
        </w:tc>
        <w:tc>
          <w:tcPr>
            <w:tcW w:w="746" w:type="dxa"/>
            <w:tcBorders>
              <w:left w:val="double" w:sz="4" w:space="0" w:color="auto"/>
            </w:tcBorders>
            <w:tcMar>
              <w:left w:w="58" w:type="dxa"/>
              <w:right w:w="58" w:type="dxa"/>
            </w:tcMar>
            <w:vAlign w:val="center"/>
          </w:tcPr>
          <w:p w14:paraId="3467ED44"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-0.847</w:t>
            </w:r>
          </w:p>
        </w:tc>
        <w:tc>
          <w:tcPr>
            <w:tcW w:w="798" w:type="dxa"/>
            <w:tcBorders>
              <w:right w:val="double" w:sz="4" w:space="0" w:color="auto"/>
            </w:tcBorders>
            <w:tcMar>
              <w:left w:w="58" w:type="dxa"/>
              <w:right w:w="58" w:type="dxa"/>
            </w:tcMar>
            <w:vAlign w:val="center"/>
          </w:tcPr>
          <w:p w14:paraId="12061A2E"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-2.684</w:t>
            </w:r>
          </w:p>
        </w:tc>
        <w:tc>
          <w:tcPr>
            <w:tcW w:w="768" w:type="dxa"/>
            <w:tcBorders>
              <w:left w:val="double" w:sz="4" w:space="0" w:color="auto"/>
            </w:tcBorders>
            <w:tcMar>
              <w:left w:w="58" w:type="dxa"/>
              <w:right w:w="58" w:type="dxa"/>
            </w:tcMar>
            <w:vAlign w:val="center"/>
          </w:tcPr>
          <w:p w14:paraId="0F270D56"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-0.847</w:t>
            </w:r>
          </w:p>
        </w:tc>
        <w:tc>
          <w:tcPr>
            <w:tcW w:w="772" w:type="dxa"/>
            <w:tcBorders>
              <w:right w:val="double" w:sz="4" w:space="0" w:color="auto"/>
            </w:tcBorders>
            <w:tcMar>
              <w:left w:w="58" w:type="dxa"/>
              <w:right w:w="58" w:type="dxa"/>
            </w:tcMar>
            <w:vAlign w:val="center"/>
          </w:tcPr>
          <w:p w14:paraId="68375FAD"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-2.684</w:t>
            </w:r>
          </w:p>
        </w:tc>
        <w:tc>
          <w:tcPr>
            <w:tcW w:w="720" w:type="dxa"/>
            <w:tcBorders>
              <w:left w:val="double" w:sz="4" w:space="0" w:color="auto"/>
            </w:tcBorders>
            <w:tcMar>
              <w:left w:w="58" w:type="dxa"/>
              <w:right w:w="58" w:type="dxa"/>
            </w:tcMar>
            <w:vAlign w:val="center"/>
          </w:tcPr>
          <w:p w14:paraId="2F5E5BF8"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-1.656</w:t>
            </w:r>
          </w:p>
        </w:tc>
        <w:tc>
          <w:tcPr>
            <w:tcW w:w="810" w:type="dxa"/>
            <w:tcBorders>
              <w:right w:val="double" w:sz="4" w:space="0" w:color="auto"/>
            </w:tcBorders>
            <w:tcMar>
              <w:left w:w="58" w:type="dxa"/>
              <w:right w:w="58" w:type="dxa"/>
            </w:tcMar>
            <w:vAlign w:val="center"/>
          </w:tcPr>
          <w:p w14:paraId="51FB170E"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-2.607</w:t>
            </w:r>
          </w:p>
        </w:tc>
        <w:tc>
          <w:tcPr>
            <w:tcW w:w="701" w:type="dxa"/>
            <w:tcBorders>
              <w:left w:val="double" w:sz="4" w:space="0" w:color="auto"/>
            </w:tcBorders>
            <w:tcMar>
              <w:left w:w="58" w:type="dxa"/>
              <w:right w:w="58" w:type="dxa"/>
            </w:tcMar>
            <w:vAlign w:val="center"/>
          </w:tcPr>
          <w:p w14:paraId="28B04563"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-1.656</w:t>
            </w:r>
          </w:p>
        </w:tc>
        <w:tc>
          <w:tcPr>
            <w:tcW w:w="755" w:type="dxa"/>
            <w:tcBorders>
              <w:right w:val="double" w:sz="4" w:space="0" w:color="auto"/>
            </w:tcBorders>
            <w:tcMar>
              <w:left w:w="58" w:type="dxa"/>
              <w:right w:w="58" w:type="dxa"/>
            </w:tcMar>
            <w:vAlign w:val="center"/>
          </w:tcPr>
          <w:p w14:paraId="0D629D84"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-2.607</w:t>
            </w:r>
          </w:p>
        </w:tc>
        <w:tc>
          <w:tcPr>
            <w:tcW w:w="700" w:type="dxa"/>
            <w:tcBorders>
              <w:right w:val="single" w:sz="4" w:space="0" w:color="auto"/>
            </w:tcBorders>
            <w:tcMar>
              <w:left w:w="58" w:type="dxa"/>
              <w:right w:w="58" w:type="dxa"/>
            </w:tcMar>
            <w:vAlign w:val="center"/>
          </w:tcPr>
          <w:p w14:paraId="1B418D6C" w14:textId="0FB7EAA6"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42" w:type="dxa"/>
            <w:tcBorders>
              <w:left w:val="single" w:sz="4" w:space="0" w:color="auto"/>
              <w:right w:val="double" w:sz="4" w:space="0" w:color="auto"/>
            </w:tcBorders>
            <w:tcMar>
              <w:left w:w="58" w:type="dxa"/>
              <w:right w:w="58" w:type="dxa"/>
            </w:tcMar>
            <w:vAlign w:val="center"/>
          </w:tcPr>
          <w:p w14:paraId="3CDB321D" w14:textId="1DB1939C"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666" w:type="dxa"/>
            <w:tcBorders>
              <w:right w:val="single" w:sz="4" w:space="0" w:color="auto"/>
            </w:tcBorders>
            <w:tcMar>
              <w:left w:w="58" w:type="dxa"/>
              <w:right w:w="58" w:type="dxa"/>
            </w:tcMar>
            <w:vAlign w:val="center"/>
          </w:tcPr>
          <w:p w14:paraId="401E601F" w14:textId="40788F14"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single" w:sz="4" w:space="0" w:color="auto"/>
              <w:right w:val="double" w:sz="4" w:space="0" w:color="auto"/>
            </w:tcBorders>
            <w:tcMar>
              <w:left w:w="58" w:type="dxa"/>
              <w:right w:w="58" w:type="dxa"/>
            </w:tcMar>
            <w:vAlign w:val="center"/>
          </w:tcPr>
          <w:p w14:paraId="685A5A14" w14:textId="6C15D013"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0" w:type="dxa"/>
            <w:tcBorders>
              <w:left w:val="single" w:sz="4" w:space="0" w:color="auto"/>
              <w:right w:val="single" w:sz="4" w:space="0" w:color="auto"/>
            </w:tcBorders>
            <w:tcMar>
              <w:left w:w="58" w:type="dxa"/>
              <w:right w:w="58" w:type="dxa"/>
            </w:tcMar>
            <w:vAlign w:val="center"/>
          </w:tcPr>
          <w:p w14:paraId="4CEDC1D9" w14:textId="1BDC52A1"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67" w:type="dxa"/>
            <w:tcBorders>
              <w:left w:val="single" w:sz="4" w:space="0" w:color="auto"/>
              <w:right w:val="double" w:sz="4" w:space="0" w:color="auto"/>
            </w:tcBorders>
            <w:tcMar>
              <w:left w:w="58" w:type="dxa"/>
              <w:right w:w="58" w:type="dxa"/>
            </w:tcMar>
            <w:vAlign w:val="center"/>
          </w:tcPr>
          <w:p w14:paraId="48F1F258" w14:textId="6E5AA95A" w:rsidR="005A1D67" w:rsidRPr="00D66C65" w:rsidRDefault="005A1D67" w:rsidP="00F31DD9">
            <w:pPr>
              <w:spacing w:line="240" w:lineRule="auto"/>
              <w:jc w:val="center"/>
              <w:rPr>
                <w:rFonts w:eastAsia="Calibri"/>
                <w:sz w:val="20"/>
                <w:szCs w:val="20"/>
              </w:rPr>
            </w:pPr>
            <w:r>
              <w:rPr>
                <w:rFonts w:eastAsia="Calibri"/>
                <w:sz w:val="20"/>
                <w:szCs w:val="20"/>
              </w:rPr>
              <w:t>-</w:t>
            </w:r>
          </w:p>
        </w:tc>
      </w:tr>
      <w:tr w:rsidR="005A1D67" w:rsidRPr="00D66C65" w14:paraId="7143B93E" w14:textId="04EAF469" w:rsidTr="00D66C65">
        <w:trPr>
          <w:trHeight w:val="274"/>
          <w:jc w:val="center"/>
        </w:trPr>
        <w:tc>
          <w:tcPr>
            <w:tcW w:w="1921" w:type="dxa"/>
            <w:tcBorders>
              <w:left w:val="double" w:sz="4" w:space="0" w:color="auto"/>
              <w:right w:val="double" w:sz="4" w:space="0" w:color="auto"/>
            </w:tcBorders>
          </w:tcPr>
          <w:p w14:paraId="16F7B39E" w14:textId="71D48EA5" w:rsidR="005A1D67" w:rsidRPr="00D66C65" w:rsidRDefault="005A1D67" w:rsidP="00D66C65">
            <w:pPr>
              <w:spacing w:line="240" w:lineRule="auto"/>
              <w:rPr>
                <w:rFonts w:eastAsia="Calibri"/>
                <w:b/>
                <w:sz w:val="20"/>
                <w:szCs w:val="20"/>
              </w:rPr>
            </w:pPr>
            <w:r w:rsidRPr="00D66C65">
              <w:rPr>
                <w:rFonts w:eastAsia="Calibri"/>
                <w:b/>
                <w:sz w:val="20"/>
                <w:szCs w:val="20"/>
              </w:rPr>
              <w:t>Tenure type (base: owned)</w:t>
            </w:r>
          </w:p>
        </w:tc>
        <w:tc>
          <w:tcPr>
            <w:tcW w:w="666" w:type="dxa"/>
            <w:tcBorders>
              <w:left w:val="double" w:sz="4" w:space="0" w:color="auto"/>
              <w:right w:val="single" w:sz="4" w:space="0" w:color="auto"/>
            </w:tcBorders>
            <w:tcMar>
              <w:left w:w="58" w:type="dxa"/>
              <w:right w:w="58" w:type="dxa"/>
            </w:tcMar>
            <w:vAlign w:val="center"/>
          </w:tcPr>
          <w:p w14:paraId="37B269AC" w14:textId="77777777" w:rsidR="005A1D67" w:rsidRPr="00D66C65" w:rsidRDefault="005A1D67" w:rsidP="00F31DD9">
            <w:pPr>
              <w:spacing w:line="240" w:lineRule="auto"/>
              <w:jc w:val="center"/>
              <w:rPr>
                <w:rFonts w:eastAsia="Calibri"/>
                <w:sz w:val="20"/>
                <w:szCs w:val="20"/>
              </w:rPr>
            </w:pPr>
          </w:p>
        </w:tc>
        <w:tc>
          <w:tcPr>
            <w:tcW w:w="757" w:type="dxa"/>
            <w:tcBorders>
              <w:left w:val="single" w:sz="4" w:space="0" w:color="auto"/>
              <w:right w:val="double" w:sz="4" w:space="0" w:color="auto"/>
            </w:tcBorders>
            <w:tcMar>
              <w:left w:w="58" w:type="dxa"/>
              <w:right w:w="58" w:type="dxa"/>
            </w:tcMar>
            <w:vAlign w:val="center"/>
          </w:tcPr>
          <w:p w14:paraId="528CCAF1" w14:textId="77777777" w:rsidR="005A1D67" w:rsidRPr="00D66C65" w:rsidRDefault="005A1D67" w:rsidP="00F31DD9">
            <w:pPr>
              <w:spacing w:line="240" w:lineRule="auto"/>
              <w:jc w:val="center"/>
              <w:rPr>
                <w:rFonts w:eastAsia="Calibri"/>
                <w:sz w:val="20"/>
                <w:szCs w:val="20"/>
              </w:rPr>
            </w:pPr>
          </w:p>
        </w:tc>
        <w:tc>
          <w:tcPr>
            <w:tcW w:w="746" w:type="dxa"/>
            <w:tcBorders>
              <w:left w:val="double" w:sz="4" w:space="0" w:color="auto"/>
            </w:tcBorders>
            <w:tcMar>
              <w:left w:w="58" w:type="dxa"/>
              <w:right w:w="58" w:type="dxa"/>
            </w:tcMar>
            <w:vAlign w:val="center"/>
          </w:tcPr>
          <w:p w14:paraId="7E52691F" w14:textId="77777777" w:rsidR="005A1D67" w:rsidRPr="00D66C65" w:rsidRDefault="005A1D67" w:rsidP="00F31DD9">
            <w:pPr>
              <w:spacing w:line="240" w:lineRule="auto"/>
              <w:jc w:val="center"/>
              <w:rPr>
                <w:rFonts w:eastAsia="Calibri"/>
                <w:sz w:val="20"/>
                <w:szCs w:val="20"/>
              </w:rPr>
            </w:pPr>
          </w:p>
        </w:tc>
        <w:tc>
          <w:tcPr>
            <w:tcW w:w="798" w:type="dxa"/>
            <w:tcBorders>
              <w:right w:val="double" w:sz="4" w:space="0" w:color="auto"/>
            </w:tcBorders>
            <w:tcMar>
              <w:left w:w="58" w:type="dxa"/>
              <w:right w:w="58" w:type="dxa"/>
            </w:tcMar>
            <w:vAlign w:val="center"/>
          </w:tcPr>
          <w:p w14:paraId="3A97C7D8" w14:textId="77777777" w:rsidR="005A1D67" w:rsidRPr="00D66C65" w:rsidRDefault="005A1D67" w:rsidP="00F31DD9">
            <w:pPr>
              <w:spacing w:line="240" w:lineRule="auto"/>
              <w:jc w:val="center"/>
              <w:rPr>
                <w:rFonts w:eastAsia="Calibri"/>
                <w:sz w:val="20"/>
                <w:szCs w:val="20"/>
              </w:rPr>
            </w:pPr>
          </w:p>
        </w:tc>
        <w:tc>
          <w:tcPr>
            <w:tcW w:w="768" w:type="dxa"/>
            <w:tcBorders>
              <w:left w:val="double" w:sz="4" w:space="0" w:color="auto"/>
            </w:tcBorders>
            <w:tcMar>
              <w:left w:w="58" w:type="dxa"/>
              <w:right w:w="58" w:type="dxa"/>
            </w:tcMar>
            <w:vAlign w:val="center"/>
          </w:tcPr>
          <w:p w14:paraId="6BDA6D6D" w14:textId="77777777" w:rsidR="005A1D67" w:rsidRPr="00D66C65" w:rsidRDefault="005A1D67" w:rsidP="00F31DD9">
            <w:pPr>
              <w:spacing w:line="240" w:lineRule="auto"/>
              <w:jc w:val="center"/>
              <w:rPr>
                <w:rFonts w:eastAsia="Calibri"/>
                <w:sz w:val="20"/>
                <w:szCs w:val="20"/>
              </w:rPr>
            </w:pPr>
          </w:p>
        </w:tc>
        <w:tc>
          <w:tcPr>
            <w:tcW w:w="772" w:type="dxa"/>
            <w:tcBorders>
              <w:right w:val="double" w:sz="4" w:space="0" w:color="auto"/>
            </w:tcBorders>
            <w:tcMar>
              <w:left w:w="58" w:type="dxa"/>
              <w:right w:w="58" w:type="dxa"/>
            </w:tcMar>
            <w:vAlign w:val="center"/>
          </w:tcPr>
          <w:p w14:paraId="35A4E523" w14:textId="77777777" w:rsidR="005A1D67" w:rsidRPr="00D66C65" w:rsidRDefault="005A1D67" w:rsidP="00F31DD9">
            <w:pPr>
              <w:spacing w:line="240" w:lineRule="auto"/>
              <w:jc w:val="center"/>
              <w:rPr>
                <w:rFonts w:eastAsia="Calibri"/>
                <w:sz w:val="20"/>
                <w:szCs w:val="20"/>
              </w:rPr>
            </w:pPr>
          </w:p>
        </w:tc>
        <w:tc>
          <w:tcPr>
            <w:tcW w:w="720" w:type="dxa"/>
            <w:tcBorders>
              <w:left w:val="double" w:sz="4" w:space="0" w:color="auto"/>
            </w:tcBorders>
            <w:tcMar>
              <w:left w:w="58" w:type="dxa"/>
              <w:right w:w="58" w:type="dxa"/>
            </w:tcMar>
            <w:vAlign w:val="center"/>
          </w:tcPr>
          <w:p w14:paraId="11F730FB" w14:textId="77777777" w:rsidR="005A1D67" w:rsidRPr="00D66C65" w:rsidRDefault="005A1D67" w:rsidP="00F31DD9">
            <w:pPr>
              <w:spacing w:line="240" w:lineRule="auto"/>
              <w:jc w:val="center"/>
              <w:rPr>
                <w:rFonts w:eastAsia="Calibri"/>
                <w:sz w:val="20"/>
                <w:szCs w:val="20"/>
              </w:rPr>
            </w:pPr>
          </w:p>
        </w:tc>
        <w:tc>
          <w:tcPr>
            <w:tcW w:w="810" w:type="dxa"/>
            <w:tcBorders>
              <w:right w:val="double" w:sz="4" w:space="0" w:color="auto"/>
            </w:tcBorders>
            <w:tcMar>
              <w:left w:w="58" w:type="dxa"/>
              <w:right w:w="58" w:type="dxa"/>
            </w:tcMar>
            <w:vAlign w:val="center"/>
          </w:tcPr>
          <w:p w14:paraId="531EC8AD" w14:textId="77777777" w:rsidR="005A1D67" w:rsidRPr="00D66C65" w:rsidRDefault="005A1D67" w:rsidP="00F31DD9">
            <w:pPr>
              <w:spacing w:line="240" w:lineRule="auto"/>
              <w:jc w:val="center"/>
              <w:rPr>
                <w:rFonts w:eastAsia="Calibri"/>
                <w:sz w:val="20"/>
                <w:szCs w:val="20"/>
              </w:rPr>
            </w:pPr>
          </w:p>
        </w:tc>
        <w:tc>
          <w:tcPr>
            <w:tcW w:w="701" w:type="dxa"/>
            <w:tcBorders>
              <w:left w:val="double" w:sz="4" w:space="0" w:color="auto"/>
            </w:tcBorders>
            <w:tcMar>
              <w:left w:w="58" w:type="dxa"/>
              <w:right w:w="58" w:type="dxa"/>
            </w:tcMar>
            <w:vAlign w:val="center"/>
          </w:tcPr>
          <w:p w14:paraId="5F05773A" w14:textId="77777777" w:rsidR="005A1D67" w:rsidRPr="00D66C65" w:rsidRDefault="005A1D67" w:rsidP="00F31DD9">
            <w:pPr>
              <w:spacing w:line="240" w:lineRule="auto"/>
              <w:jc w:val="center"/>
              <w:rPr>
                <w:rFonts w:eastAsia="Calibri"/>
                <w:sz w:val="20"/>
                <w:szCs w:val="20"/>
              </w:rPr>
            </w:pPr>
          </w:p>
        </w:tc>
        <w:tc>
          <w:tcPr>
            <w:tcW w:w="755" w:type="dxa"/>
            <w:tcBorders>
              <w:right w:val="double" w:sz="4" w:space="0" w:color="auto"/>
            </w:tcBorders>
            <w:tcMar>
              <w:left w:w="58" w:type="dxa"/>
              <w:right w:w="58" w:type="dxa"/>
            </w:tcMar>
            <w:vAlign w:val="center"/>
          </w:tcPr>
          <w:p w14:paraId="6FBBD8DD" w14:textId="77777777" w:rsidR="005A1D67" w:rsidRPr="00D66C65" w:rsidRDefault="005A1D67" w:rsidP="00F31DD9">
            <w:pPr>
              <w:spacing w:line="240" w:lineRule="auto"/>
              <w:jc w:val="center"/>
              <w:rPr>
                <w:rFonts w:eastAsia="Calibri"/>
                <w:sz w:val="20"/>
                <w:szCs w:val="20"/>
              </w:rPr>
            </w:pPr>
          </w:p>
        </w:tc>
        <w:tc>
          <w:tcPr>
            <w:tcW w:w="700" w:type="dxa"/>
            <w:tcBorders>
              <w:right w:val="single" w:sz="4" w:space="0" w:color="auto"/>
            </w:tcBorders>
            <w:tcMar>
              <w:left w:w="58" w:type="dxa"/>
              <w:right w:w="58" w:type="dxa"/>
            </w:tcMar>
            <w:vAlign w:val="center"/>
          </w:tcPr>
          <w:p w14:paraId="147B8C9A" w14:textId="77777777" w:rsidR="005A1D67" w:rsidRPr="00D66C65" w:rsidRDefault="005A1D67" w:rsidP="00F31DD9">
            <w:pPr>
              <w:spacing w:line="240" w:lineRule="auto"/>
              <w:jc w:val="center"/>
              <w:rPr>
                <w:rFonts w:eastAsia="Calibri"/>
                <w:sz w:val="20"/>
                <w:szCs w:val="20"/>
              </w:rPr>
            </w:pPr>
          </w:p>
        </w:tc>
        <w:tc>
          <w:tcPr>
            <w:tcW w:w="742" w:type="dxa"/>
            <w:tcBorders>
              <w:left w:val="single" w:sz="4" w:space="0" w:color="auto"/>
              <w:right w:val="double" w:sz="4" w:space="0" w:color="auto"/>
            </w:tcBorders>
            <w:tcMar>
              <w:left w:w="58" w:type="dxa"/>
              <w:right w:w="58" w:type="dxa"/>
            </w:tcMar>
            <w:vAlign w:val="center"/>
          </w:tcPr>
          <w:p w14:paraId="62CD9C3A" w14:textId="77777777" w:rsidR="005A1D67" w:rsidRPr="00D66C65" w:rsidRDefault="005A1D67" w:rsidP="00F31DD9">
            <w:pPr>
              <w:spacing w:line="240" w:lineRule="auto"/>
              <w:jc w:val="center"/>
              <w:rPr>
                <w:rFonts w:eastAsia="Calibri"/>
                <w:sz w:val="20"/>
                <w:szCs w:val="20"/>
              </w:rPr>
            </w:pPr>
          </w:p>
        </w:tc>
        <w:tc>
          <w:tcPr>
            <w:tcW w:w="666" w:type="dxa"/>
            <w:tcBorders>
              <w:right w:val="single" w:sz="4" w:space="0" w:color="auto"/>
            </w:tcBorders>
            <w:tcMar>
              <w:left w:w="58" w:type="dxa"/>
              <w:right w:w="58" w:type="dxa"/>
            </w:tcMar>
            <w:vAlign w:val="center"/>
          </w:tcPr>
          <w:p w14:paraId="04EF4453" w14:textId="77777777" w:rsidR="005A1D67" w:rsidRPr="00D66C65" w:rsidRDefault="005A1D67" w:rsidP="00F31DD9">
            <w:pPr>
              <w:spacing w:line="240" w:lineRule="auto"/>
              <w:jc w:val="center"/>
              <w:rPr>
                <w:rFonts w:eastAsia="Calibri"/>
                <w:sz w:val="20"/>
                <w:szCs w:val="20"/>
              </w:rPr>
            </w:pPr>
          </w:p>
        </w:tc>
        <w:tc>
          <w:tcPr>
            <w:tcW w:w="720" w:type="dxa"/>
            <w:tcBorders>
              <w:left w:val="single" w:sz="4" w:space="0" w:color="auto"/>
              <w:right w:val="double" w:sz="4" w:space="0" w:color="auto"/>
            </w:tcBorders>
            <w:tcMar>
              <w:left w:w="58" w:type="dxa"/>
              <w:right w:w="58" w:type="dxa"/>
            </w:tcMar>
            <w:vAlign w:val="center"/>
          </w:tcPr>
          <w:p w14:paraId="6A1CE32A" w14:textId="77777777" w:rsidR="005A1D67" w:rsidRPr="00D66C65" w:rsidRDefault="005A1D67" w:rsidP="00F31DD9">
            <w:pPr>
              <w:spacing w:line="240" w:lineRule="auto"/>
              <w:jc w:val="center"/>
              <w:rPr>
                <w:rFonts w:eastAsia="Calibri"/>
                <w:sz w:val="20"/>
                <w:szCs w:val="20"/>
              </w:rPr>
            </w:pPr>
          </w:p>
        </w:tc>
        <w:tc>
          <w:tcPr>
            <w:tcW w:w="750" w:type="dxa"/>
            <w:tcBorders>
              <w:left w:val="single" w:sz="4" w:space="0" w:color="auto"/>
              <w:right w:val="single" w:sz="4" w:space="0" w:color="auto"/>
            </w:tcBorders>
            <w:tcMar>
              <w:left w:w="58" w:type="dxa"/>
              <w:right w:w="58" w:type="dxa"/>
            </w:tcMar>
            <w:vAlign w:val="center"/>
          </w:tcPr>
          <w:p w14:paraId="262C2B39" w14:textId="77777777" w:rsidR="005A1D67" w:rsidRPr="00D66C65" w:rsidRDefault="005A1D67" w:rsidP="00F31DD9">
            <w:pPr>
              <w:spacing w:line="240" w:lineRule="auto"/>
              <w:jc w:val="center"/>
              <w:rPr>
                <w:rFonts w:eastAsia="Calibri"/>
                <w:sz w:val="20"/>
                <w:szCs w:val="20"/>
              </w:rPr>
            </w:pPr>
          </w:p>
        </w:tc>
        <w:tc>
          <w:tcPr>
            <w:tcW w:w="767" w:type="dxa"/>
            <w:tcBorders>
              <w:left w:val="single" w:sz="4" w:space="0" w:color="auto"/>
              <w:right w:val="double" w:sz="4" w:space="0" w:color="auto"/>
            </w:tcBorders>
            <w:tcMar>
              <w:left w:w="58" w:type="dxa"/>
              <w:right w:w="58" w:type="dxa"/>
            </w:tcMar>
            <w:vAlign w:val="center"/>
          </w:tcPr>
          <w:p w14:paraId="44AF1CD6" w14:textId="77777777" w:rsidR="005A1D67" w:rsidRPr="00D66C65" w:rsidRDefault="005A1D67" w:rsidP="00F31DD9">
            <w:pPr>
              <w:spacing w:line="240" w:lineRule="auto"/>
              <w:jc w:val="center"/>
              <w:rPr>
                <w:rFonts w:eastAsia="Calibri"/>
                <w:sz w:val="20"/>
                <w:szCs w:val="20"/>
              </w:rPr>
            </w:pPr>
          </w:p>
        </w:tc>
      </w:tr>
      <w:tr w:rsidR="005A1D67" w:rsidRPr="00D66C65" w14:paraId="43DCCA63" w14:textId="0CF21C88" w:rsidTr="00D66C65">
        <w:trPr>
          <w:trHeight w:val="274"/>
          <w:jc w:val="center"/>
        </w:trPr>
        <w:tc>
          <w:tcPr>
            <w:tcW w:w="1921" w:type="dxa"/>
            <w:tcBorders>
              <w:left w:val="double" w:sz="4" w:space="0" w:color="auto"/>
              <w:right w:val="double" w:sz="4" w:space="0" w:color="auto"/>
            </w:tcBorders>
          </w:tcPr>
          <w:p w14:paraId="4E266A72" w14:textId="77777777" w:rsidR="005A1D67" w:rsidRPr="00D66C65" w:rsidRDefault="005A1D67" w:rsidP="00F31DD9">
            <w:pPr>
              <w:spacing w:line="240" w:lineRule="auto"/>
              <w:rPr>
                <w:rFonts w:eastAsia="Calibri"/>
                <w:sz w:val="20"/>
                <w:szCs w:val="20"/>
              </w:rPr>
            </w:pPr>
            <w:r w:rsidRPr="00D66C65">
              <w:rPr>
                <w:rFonts w:eastAsia="Calibri"/>
                <w:sz w:val="20"/>
                <w:szCs w:val="20"/>
              </w:rPr>
              <w:t xml:space="preserve">   Rented</w:t>
            </w:r>
          </w:p>
        </w:tc>
        <w:tc>
          <w:tcPr>
            <w:tcW w:w="666" w:type="dxa"/>
            <w:tcBorders>
              <w:left w:val="double" w:sz="4" w:space="0" w:color="auto"/>
              <w:right w:val="single" w:sz="4" w:space="0" w:color="auto"/>
            </w:tcBorders>
            <w:tcMar>
              <w:left w:w="58" w:type="dxa"/>
              <w:right w:w="58" w:type="dxa"/>
            </w:tcMar>
            <w:vAlign w:val="center"/>
          </w:tcPr>
          <w:p w14:paraId="32CE790C" w14:textId="096A06BE"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7" w:type="dxa"/>
            <w:tcBorders>
              <w:left w:val="single" w:sz="4" w:space="0" w:color="auto"/>
              <w:right w:val="double" w:sz="4" w:space="0" w:color="auto"/>
            </w:tcBorders>
            <w:tcMar>
              <w:left w:w="58" w:type="dxa"/>
              <w:right w:w="58" w:type="dxa"/>
            </w:tcMar>
            <w:vAlign w:val="center"/>
          </w:tcPr>
          <w:p w14:paraId="36068ED6" w14:textId="43915F38"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46" w:type="dxa"/>
            <w:tcBorders>
              <w:left w:val="double" w:sz="4" w:space="0" w:color="auto"/>
            </w:tcBorders>
            <w:tcMar>
              <w:left w:w="58" w:type="dxa"/>
              <w:right w:w="58" w:type="dxa"/>
            </w:tcMar>
            <w:vAlign w:val="center"/>
          </w:tcPr>
          <w:p w14:paraId="34A27A8A" w14:textId="3AFECA06"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98" w:type="dxa"/>
            <w:tcBorders>
              <w:right w:val="double" w:sz="4" w:space="0" w:color="auto"/>
            </w:tcBorders>
            <w:tcMar>
              <w:left w:w="58" w:type="dxa"/>
              <w:right w:w="58" w:type="dxa"/>
            </w:tcMar>
            <w:vAlign w:val="center"/>
          </w:tcPr>
          <w:p w14:paraId="5843CEF5" w14:textId="5B992A7C"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68" w:type="dxa"/>
            <w:tcBorders>
              <w:left w:val="double" w:sz="4" w:space="0" w:color="auto"/>
            </w:tcBorders>
            <w:tcMar>
              <w:left w:w="58" w:type="dxa"/>
              <w:right w:w="58" w:type="dxa"/>
            </w:tcMar>
            <w:vAlign w:val="center"/>
          </w:tcPr>
          <w:p w14:paraId="3C676A24" w14:textId="1DFFBCE0"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72" w:type="dxa"/>
            <w:tcBorders>
              <w:right w:val="double" w:sz="4" w:space="0" w:color="auto"/>
            </w:tcBorders>
            <w:tcMar>
              <w:left w:w="58" w:type="dxa"/>
              <w:right w:w="58" w:type="dxa"/>
            </w:tcMar>
            <w:vAlign w:val="center"/>
          </w:tcPr>
          <w:p w14:paraId="665FB873" w14:textId="76FDB171"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double" w:sz="4" w:space="0" w:color="auto"/>
            </w:tcBorders>
            <w:tcMar>
              <w:left w:w="58" w:type="dxa"/>
              <w:right w:w="58" w:type="dxa"/>
            </w:tcMar>
            <w:vAlign w:val="center"/>
          </w:tcPr>
          <w:p w14:paraId="0133F7A9" w14:textId="7D8D349B"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tcMar>
              <w:left w:w="58" w:type="dxa"/>
              <w:right w:w="58" w:type="dxa"/>
            </w:tcMar>
            <w:vAlign w:val="center"/>
          </w:tcPr>
          <w:p w14:paraId="41B0C6BE" w14:textId="2D28288E"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01" w:type="dxa"/>
            <w:tcBorders>
              <w:left w:val="double" w:sz="4" w:space="0" w:color="auto"/>
            </w:tcBorders>
            <w:tcMar>
              <w:left w:w="58" w:type="dxa"/>
              <w:right w:w="58" w:type="dxa"/>
            </w:tcMar>
            <w:vAlign w:val="center"/>
          </w:tcPr>
          <w:p w14:paraId="35C53148" w14:textId="78A88801"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5" w:type="dxa"/>
            <w:tcBorders>
              <w:right w:val="double" w:sz="4" w:space="0" w:color="auto"/>
            </w:tcBorders>
            <w:tcMar>
              <w:left w:w="58" w:type="dxa"/>
              <w:right w:w="58" w:type="dxa"/>
            </w:tcMar>
            <w:vAlign w:val="center"/>
          </w:tcPr>
          <w:p w14:paraId="69005652" w14:textId="747685F2"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00" w:type="dxa"/>
            <w:tcBorders>
              <w:right w:val="single" w:sz="4" w:space="0" w:color="auto"/>
            </w:tcBorders>
            <w:tcMar>
              <w:left w:w="58" w:type="dxa"/>
              <w:right w:w="58" w:type="dxa"/>
            </w:tcMar>
            <w:vAlign w:val="center"/>
          </w:tcPr>
          <w:p w14:paraId="4CFC6659"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 xml:space="preserve"> 0.238</w:t>
            </w:r>
          </w:p>
        </w:tc>
        <w:tc>
          <w:tcPr>
            <w:tcW w:w="742" w:type="dxa"/>
            <w:tcBorders>
              <w:left w:val="single" w:sz="4" w:space="0" w:color="auto"/>
              <w:right w:val="double" w:sz="4" w:space="0" w:color="auto"/>
            </w:tcBorders>
            <w:tcMar>
              <w:left w:w="58" w:type="dxa"/>
              <w:right w:w="58" w:type="dxa"/>
            </w:tcMar>
            <w:vAlign w:val="center"/>
          </w:tcPr>
          <w:p w14:paraId="09EF4704"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 xml:space="preserve"> 6.956</w:t>
            </w:r>
          </w:p>
        </w:tc>
        <w:tc>
          <w:tcPr>
            <w:tcW w:w="666" w:type="dxa"/>
            <w:tcBorders>
              <w:right w:val="single" w:sz="4" w:space="0" w:color="auto"/>
            </w:tcBorders>
            <w:tcMar>
              <w:left w:w="58" w:type="dxa"/>
              <w:right w:w="58" w:type="dxa"/>
            </w:tcMar>
            <w:vAlign w:val="center"/>
          </w:tcPr>
          <w:p w14:paraId="3B842065"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 xml:space="preserve"> 0.160</w:t>
            </w:r>
          </w:p>
        </w:tc>
        <w:tc>
          <w:tcPr>
            <w:tcW w:w="720" w:type="dxa"/>
            <w:tcBorders>
              <w:left w:val="single" w:sz="4" w:space="0" w:color="auto"/>
              <w:right w:val="double" w:sz="4" w:space="0" w:color="auto"/>
            </w:tcBorders>
            <w:tcMar>
              <w:left w:w="58" w:type="dxa"/>
              <w:right w:w="58" w:type="dxa"/>
            </w:tcMar>
            <w:vAlign w:val="center"/>
          </w:tcPr>
          <w:p w14:paraId="56DBA885"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 xml:space="preserve"> 3.746</w:t>
            </w:r>
          </w:p>
        </w:tc>
        <w:tc>
          <w:tcPr>
            <w:tcW w:w="750" w:type="dxa"/>
            <w:tcBorders>
              <w:left w:val="single" w:sz="4" w:space="0" w:color="auto"/>
              <w:right w:val="single" w:sz="4" w:space="0" w:color="auto"/>
            </w:tcBorders>
            <w:tcMar>
              <w:left w:w="58" w:type="dxa"/>
              <w:right w:w="58" w:type="dxa"/>
            </w:tcMar>
            <w:vAlign w:val="center"/>
          </w:tcPr>
          <w:p w14:paraId="46EFB1C2" w14:textId="271FCABF"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67" w:type="dxa"/>
            <w:tcBorders>
              <w:left w:val="single" w:sz="4" w:space="0" w:color="auto"/>
              <w:right w:val="double" w:sz="4" w:space="0" w:color="auto"/>
            </w:tcBorders>
            <w:tcMar>
              <w:left w:w="58" w:type="dxa"/>
              <w:right w:w="58" w:type="dxa"/>
            </w:tcMar>
            <w:vAlign w:val="center"/>
          </w:tcPr>
          <w:p w14:paraId="3F3D3844" w14:textId="09B1CE31" w:rsidR="005A1D67" w:rsidRPr="00D66C65" w:rsidRDefault="005A1D67" w:rsidP="00F31DD9">
            <w:pPr>
              <w:spacing w:line="240" w:lineRule="auto"/>
              <w:jc w:val="center"/>
              <w:rPr>
                <w:rFonts w:eastAsia="Calibri"/>
                <w:sz w:val="20"/>
                <w:szCs w:val="20"/>
              </w:rPr>
            </w:pPr>
            <w:r>
              <w:rPr>
                <w:rFonts w:eastAsia="Calibri"/>
                <w:sz w:val="20"/>
                <w:szCs w:val="20"/>
              </w:rPr>
              <w:t>-</w:t>
            </w:r>
          </w:p>
        </w:tc>
      </w:tr>
      <w:tr w:rsidR="005A1D67" w:rsidRPr="00D66C65" w14:paraId="3A071704" w14:textId="2AA45EA6" w:rsidTr="00D66C65">
        <w:trPr>
          <w:trHeight w:val="274"/>
          <w:jc w:val="center"/>
        </w:trPr>
        <w:tc>
          <w:tcPr>
            <w:tcW w:w="1921" w:type="dxa"/>
            <w:tcBorders>
              <w:left w:val="double" w:sz="4" w:space="0" w:color="auto"/>
              <w:right w:val="double" w:sz="4" w:space="0" w:color="auto"/>
            </w:tcBorders>
          </w:tcPr>
          <w:p w14:paraId="084D0A2A" w14:textId="5AB1CB63" w:rsidR="005A1D67" w:rsidRPr="00D66C65" w:rsidRDefault="005A1D67" w:rsidP="00F31DD9">
            <w:pPr>
              <w:spacing w:line="240" w:lineRule="auto"/>
              <w:rPr>
                <w:rFonts w:eastAsia="Calibri"/>
                <w:b/>
                <w:sz w:val="20"/>
                <w:szCs w:val="20"/>
              </w:rPr>
            </w:pPr>
            <w:proofErr w:type="spellStart"/>
            <w:r w:rsidRPr="00D66C65">
              <w:rPr>
                <w:rFonts w:eastAsia="Calibri"/>
                <w:b/>
                <w:sz w:val="20"/>
                <w:szCs w:val="20"/>
              </w:rPr>
              <w:t>Storey</w:t>
            </w:r>
            <w:proofErr w:type="spellEnd"/>
            <w:r w:rsidRPr="00D66C65">
              <w:rPr>
                <w:rFonts w:eastAsia="Calibri"/>
                <w:b/>
                <w:sz w:val="20"/>
                <w:szCs w:val="20"/>
              </w:rPr>
              <w:t xml:space="preserve"> type (base: multi-</w:t>
            </w:r>
            <w:proofErr w:type="spellStart"/>
            <w:r w:rsidRPr="00D66C65">
              <w:rPr>
                <w:rFonts w:eastAsia="Calibri"/>
                <w:b/>
                <w:sz w:val="20"/>
                <w:szCs w:val="20"/>
              </w:rPr>
              <w:t>storey</w:t>
            </w:r>
            <w:proofErr w:type="spellEnd"/>
            <w:r w:rsidRPr="00D66C65">
              <w:rPr>
                <w:rFonts w:eastAsia="Calibri"/>
                <w:b/>
                <w:sz w:val="20"/>
                <w:szCs w:val="20"/>
              </w:rPr>
              <w:t>)</w:t>
            </w:r>
          </w:p>
        </w:tc>
        <w:tc>
          <w:tcPr>
            <w:tcW w:w="666" w:type="dxa"/>
            <w:tcBorders>
              <w:left w:val="double" w:sz="4" w:space="0" w:color="auto"/>
              <w:right w:val="single" w:sz="4" w:space="0" w:color="auto"/>
            </w:tcBorders>
            <w:tcMar>
              <w:left w:w="58" w:type="dxa"/>
              <w:right w:w="58" w:type="dxa"/>
            </w:tcMar>
            <w:vAlign w:val="center"/>
          </w:tcPr>
          <w:p w14:paraId="0E8BAAB4" w14:textId="77777777" w:rsidR="005A1D67" w:rsidRPr="00D66C65" w:rsidRDefault="005A1D67" w:rsidP="00F31DD9">
            <w:pPr>
              <w:spacing w:line="240" w:lineRule="auto"/>
              <w:jc w:val="center"/>
              <w:rPr>
                <w:rFonts w:eastAsia="Calibri"/>
                <w:sz w:val="20"/>
                <w:szCs w:val="20"/>
              </w:rPr>
            </w:pPr>
          </w:p>
        </w:tc>
        <w:tc>
          <w:tcPr>
            <w:tcW w:w="757" w:type="dxa"/>
            <w:tcBorders>
              <w:left w:val="single" w:sz="4" w:space="0" w:color="auto"/>
              <w:right w:val="double" w:sz="4" w:space="0" w:color="auto"/>
            </w:tcBorders>
            <w:tcMar>
              <w:left w:w="58" w:type="dxa"/>
              <w:right w:w="58" w:type="dxa"/>
            </w:tcMar>
            <w:vAlign w:val="center"/>
          </w:tcPr>
          <w:p w14:paraId="1F206CC5" w14:textId="77777777" w:rsidR="005A1D67" w:rsidRPr="00D66C65" w:rsidRDefault="005A1D67" w:rsidP="00F31DD9">
            <w:pPr>
              <w:spacing w:line="240" w:lineRule="auto"/>
              <w:jc w:val="center"/>
              <w:rPr>
                <w:rFonts w:eastAsia="Calibri"/>
                <w:sz w:val="20"/>
                <w:szCs w:val="20"/>
              </w:rPr>
            </w:pPr>
          </w:p>
        </w:tc>
        <w:tc>
          <w:tcPr>
            <w:tcW w:w="746" w:type="dxa"/>
            <w:tcBorders>
              <w:left w:val="double" w:sz="4" w:space="0" w:color="auto"/>
            </w:tcBorders>
            <w:tcMar>
              <w:left w:w="58" w:type="dxa"/>
              <w:right w:w="58" w:type="dxa"/>
            </w:tcMar>
            <w:vAlign w:val="center"/>
          </w:tcPr>
          <w:p w14:paraId="39F98FF1" w14:textId="77777777" w:rsidR="005A1D67" w:rsidRPr="00D66C65" w:rsidRDefault="005A1D67" w:rsidP="00F31DD9">
            <w:pPr>
              <w:spacing w:line="240" w:lineRule="auto"/>
              <w:jc w:val="center"/>
              <w:rPr>
                <w:rFonts w:eastAsia="Calibri"/>
                <w:sz w:val="20"/>
                <w:szCs w:val="20"/>
              </w:rPr>
            </w:pPr>
          </w:p>
        </w:tc>
        <w:tc>
          <w:tcPr>
            <w:tcW w:w="798" w:type="dxa"/>
            <w:tcBorders>
              <w:right w:val="double" w:sz="4" w:space="0" w:color="auto"/>
            </w:tcBorders>
            <w:tcMar>
              <w:left w:w="58" w:type="dxa"/>
              <w:right w:w="58" w:type="dxa"/>
            </w:tcMar>
            <w:vAlign w:val="center"/>
          </w:tcPr>
          <w:p w14:paraId="3613EA3E" w14:textId="77777777" w:rsidR="005A1D67" w:rsidRPr="00D66C65" w:rsidRDefault="005A1D67" w:rsidP="00F31DD9">
            <w:pPr>
              <w:spacing w:line="240" w:lineRule="auto"/>
              <w:jc w:val="center"/>
              <w:rPr>
                <w:rFonts w:eastAsia="Calibri"/>
                <w:sz w:val="20"/>
                <w:szCs w:val="20"/>
              </w:rPr>
            </w:pPr>
          </w:p>
        </w:tc>
        <w:tc>
          <w:tcPr>
            <w:tcW w:w="768" w:type="dxa"/>
            <w:tcBorders>
              <w:left w:val="double" w:sz="4" w:space="0" w:color="auto"/>
            </w:tcBorders>
            <w:tcMar>
              <w:left w:w="58" w:type="dxa"/>
              <w:right w:w="58" w:type="dxa"/>
            </w:tcMar>
            <w:vAlign w:val="center"/>
          </w:tcPr>
          <w:p w14:paraId="350E1042" w14:textId="77777777" w:rsidR="005A1D67" w:rsidRPr="00D66C65" w:rsidRDefault="005A1D67" w:rsidP="00F31DD9">
            <w:pPr>
              <w:spacing w:line="240" w:lineRule="auto"/>
              <w:jc w:val="center"/>
              <w:rPr>
                <w:rFonts w:eastAsia="Calibri"/>
                <w:sz w:val="20"/>
                <w:szCs w:val="20"/>
              </w:rPr>
            </w:pPr>
          </w:p>
        </w:tc>
        <w:tc>
          <w:tcPr>
            <w:tcW w:w="772" w:type="dxa"/>
            <w:tcBorders>
              <w:right w:val="double" w:sz="4" w:space="0" w:color="auto"/>
            </w:tcBorders>
            <w:tcMar>
              <w:left w:w="58" w:type="dxa"/>
              <w:right w:w="58" w:type="dxa"/>
            </w:tcMar>
            <w:vAlign w:val="center"/>
          </w:tcPr>
          <w:p w14:paraId="7792959B" w14:textId="77777777" w:rsidR="005A1D67" w:rsidRPr="00D66C65" w:rsidRDefault="005A1D67" w:rsidP="00F31DD9">
            <w:pPr>
              <w:spacing w:line="240" w:lineRule="auto"/>
              <w:jc w:val="center"/>
              <w:rPr>
                <w:rFonts w:eastAsia="Calibri"/>
                <w:sz w:val="20"/>
                <w:szCs w:val="20"/>
              </w:rPr>
            </w:pPr>
          </w:p>
        </w:tc>
        <w:tc>
          <w:tcPr>
            <w:tcW w:w="720" w:type="dxa"/>
            <w:tcBorders>
              <w:left w:val="double" w:sz="4" w:space="0" w:color="auto"/>
            </w:tcBorders>
            <w:tcMar>
              <w:left w:w="58" w:type="dxa"/>
              <w:right w:w="58" w:type="dxa"/>
            </w:tcMar>
            <w:vAlign w:val="center"/>
          </w:tcPr>
          <w:p w14:paraId="4D824F26" w14:textId="77777777" w:rsidR="005A1D67" w:rsidRPr="00D66C65" w:rsidRDefault="005A1D67" w:rsidP="00F31DD9">
            <w:pPr>
              <w:spacing w:line="240" w:lineRule="auto"/>
              <w:jc w:val="center"/>
              <w:rPr>
                <w:rFonts w:eastAsia="Calibri"/>
                <w:sz w:val="20"/>
                <w:szCs w:val="20"/>
              </w:rPr>
            </w:pPr>
          </w:p>
        </w:tc>
        <w:tc>
          <w:tcPr>
            <w:tcW w:w="810" w:type="dxa"/>
            <w:tcBorders>
              <w:right w:val="double" w:sz="4" w:space="0" w:color="auto"/>
            </w:tcBorders>
            <w:tcMar>
              <w:left w:w="58" w:type="dxa"/>
              <w:right w:w="58" w:type="dxa"/>
            </w:tcMar>
            <w:vAlign w:val="center"/>
          </w:tcPr>
          <w:p w14:paraId="1B2337C1" w14:textId="77777777" w:rsidR="005A1D67" w:rsidRPr="00D66C65" w:rsidRDefault="005A1D67" w:rsidP="00F31DD9">
            <w:pPr>
              <w:spacing w:line="240" w:lineRule="auto"/>
              <w:jc w:val="center"/>
              <w:rPr>
                <w:rFonts w:eastAsia="Calibri"/>
                <w:sz w:val="20"/>
                <w:szCs w:val="20"/>
              </w:rPr>
            </w:pPr>
          </w:p>
        </w:tc>
        <w:tc>
          <w:tcPr>
            <w:tcW w:w="701" w:type="dxa"/>
            <w:tcBorders>
              <w:left w:val="double" w:sz="4" w:space="0" w:color="auto"/>
            </w:tcBorders>
            <w:tcMar>
              <w:left w:w="58" w:type="dxa"/>
              <w:right w:w="58" w:type="dxa"/>
            </w:tcMar>
            <w:vAlign w:val="center"/>
          </w:tcPr>
          <w:p w14:paraId="311E9D83" w14:textId="77777777" w:rsidR="005A1D67" w:rsidRPr="00D66C65" w:rsidRDefault="005A1D67" w:rsidP="00F31DD9">
            <w:pPr>
              <w:spacing w:line="240" w:lineRule="auto"/>
              <w:jc w:val="center"/>
              <w:rPr>
                <w:rFonts w:eastAsia="Calibri"/>
                <w:sz w:val="20"/>
                <w:szCs w:val="20"/>
              </w:rPr>
            </w:pPr>
          </w:p>
        </w:tc>
        <w:tc>
          <w:tcPr>
            <w:tcW w:w="755" w:type="dxa"/>
            <w:tcBorders>
              <w:right w:val="double" w:sz="4" w:space="0" w:color="auto"/>
            </w:tcBorders>
            <w:tcMar>
              <w:left w:w="58" w:type="dxa"/>
              <w:right w:w="58" w:type="dxa"/>
            </w:tcMar>
            <w:vAlign w:val="center"/>
          </w:tcPr>
          <w:p w14:paraId="7E8D7F7B" w14:textId="77777777" w:rsidR="005A1D67" w:rsidRPr="00D66C65" w:rsidRDefault="005A1D67" w:rsidP="00F31DD9">
            <w:pPr>
              <w:spacing w:line="240" w:lineRule="auto"/>
              <w:jc w:val="center"/>
              <w:rPr>
                <w:rFonts w:eastAsia="Calibri"/>
                <w:sz w:val="20"/>
                <w:szCs w:val="20"/>
              </w:rPr>
            </w:pPr>
          </w:p>
        </w:tc>
        <w:tc>
          <w:tcPr>
            <w:tcW w:w="700" w:type="dxa"/>
            <w:tcBorders>
              <w:right w:val="single" w:sz="4" w:space="0" w:color="auto"/>
            </w:tcBorders>
            <w:tcMar>
              <w:left w:w="58" w:type="dxa"/>
              <w:right w:w="58" w:type="dxa"/>
            </w:tcMar>
            <w:vAlign w:val="center"/>
          </w:tcPr>
          <w:p w14:paraId="15608A2C" w14:textId="77777777" w:rsidR="005A1D67" w:rsidRPr="00D66C65" w:rsidRDefault="005A1D67" w:rsidP="00F31DD9">
            <w:pPr>
              <w:spacing w:line="240" w:lineRule="auto"/>
              <w:jc w:val="center"/>
              <w:rPr>
                <w:rFonts w:eastAsia="Calibri"/>
                <w:sz w:val="20"/>
                <w:szCs w:val="20"/>
              </w:rPr>
            </w:pPr>
          </w:p>
        </w:tc>
        <w:tc>
          <w:tcPr>
            <w:tcW w:w="742" w:type="dxa"/>
            <w:tcBorders>
              <w:left w:val="single" w:sz="4" w:space="0" w:color="auto"/>
              <w:right w:val="double" w:sz="4" w:space="0" w:color="auto"/>
            </w:tcBorders>
            <w:tcMar>
              <w:left w:w="58" w:type="dxa"/>
              <w:right w:w="58" w:type="dxa"/>
            </w:tcMar>
            <w:vAlign w:val="center"/>
          </w:tcPr>
          <w:p w14:paraId="33A17075" w14:textId="77777777" w:rsidR="005A1D67" w:rsidRPr="00D66C65" w:rsidRDefault="005A1D67" w:rsidP="00F31DD9">
            <w:pPr>
              <w:spacing w:line="240" w:lineRule="auto"/>
              <w:jc w:val="center"/>
              <w:rPr>
                <w:rFonts w:eastAsia="Calibri"/>
                <w:sz w:val="20"/>
                <w:szCs w:val="20"/>
              </w:rPr>
            </w:pPr>
          </w:p>
        </w:tc>
        <w:tc>
          <w:tcPr>
            <w:tcW w:w="666" w:type="dxa"/>
            <w:tcBorders>
              <w:right w:val="single" w:sz="4" w:space="0" w:color="auto"/>
            </w:tcBorders>
            <w:tcMar>
              <w:left w:w="58" w:type="dxa"/>
              <w:right w:w="58" w:type="dxa"/>
            </w:tcMar>
            <w:vAlign w:val="center"/>
          </w:tcPr>
          <w:p w14:paraId="5364145D" w14:textId="77777777" w:rsidR="005A1D67" w:rsidRPr="00D66C65" w:rsidRDefault="005A1D67" w:rsidP="00F31DD9">
            <w:pPr>
              <w:spacing w:line="240" w:lineRule="auto"/>
              <w:jc w:val="center"/>
              <w:rPr>
                <w:rFonts w:eastAsia="Calibri"/>
                <w:sz w:val="20"/>
                <w:szCs w:val="20"/>
              </w:rPr>
            </w:pPr>
          </w:p>
        </w:tc>
        <w:tc>
          <w:tcPr>
            <w:tcW w:w="720" w:type="dxa"/>
            <w:tcBorders>
              <w:left w:val="single" w:sz="4" w:space="0" w:color="auto"/>
              <w:right w:val="double" w:sz="4" w:space="0" w:color="auto"/>
            </w:tcBorders>
            <w:tcMar>
              <w:left w:w="58" w:type="dxa"/>
              <w:right w:w="58" w:type="dxa"/>
            </w:tcMar>
            <w:vAlign w:val="center"/>
          </w:tcPr>
          <w:p w14:paraId="416E2826" w14:textId="77777777" w:rsidR="005A1D67" w:rsidRPr="00D66C65" w:rsidRDefault="005A1D67" w:rsidP="00F31DD9">
            <w:pPr>
              <w:spacing w:line="240" w:lineRule="auto"/>
              <w:jc w:val="center"/>
              <w:rPr>
                <w:rFonts w:eastAsia="Calibri"/>
                <w:sz w:val="20"/>
                <w:szCs w:val="20"/>
              </w:rPr>
            </w:pPr>
          </w:p>
        </w:tc>
        <w:tc>
          <w:tcPr>
            <w:tcW w:w="750" w:type="dxa"/>
            <w:tcBorders>
              <w:left w:val="single" w:sz="4" w:space="0" w:color="auto"/>
              <w:right w:val="single" w:sz="4" w:space="0" w:color="auto"/>
            </w:tcBorders>
            <w:tcMar>
              <w:left w:w="58" w:type="dxa"/>
              <w:right w:w="58" w:type="dxa"/>
            </w:tcMar>
            <w:vAlign w:val="center"/>
          </w:tcPr>
          <w:p w14:paraId="681B3707" w14:textId="77777777" w:rsidR="005A1D67" w:rsidRPr="00D66C65" w:rsidRDefault="005A1D67" w:rsidP="00F31DD9">
            <w:pPr>
              <w:spacing w:line="240" w:lineRule="auto"/>
              <w:jc w:val="center"/>
              <w:rPr>
                <w:rFonts w:eastAsia="Calibri"/>
                <w:sz w:val="20"/>
                <w:szCs w:val="20"/>
              </w:rPr>
            </w:pPr>
          </w:p>
        </w:tc>
        <w:tc>
          <w:tcPr>
            <w:tcW w:w="767" w:type="dxa"/>
            <w:tcBorders>
              <w:left w:val="single" w:sz="4" w:space="0" w:color="auto"/>
              <w:right w:val="double" w:sz="4" w:space="0" w:color="auto"/>
            </w:tcBorders>
            <w:tcMar>
              <w:left w:w="58" w:type="dxa"/>
              <w:right w:w="58" w:type="dxa"/>
            </w:tcMar>
            <w:vAlign w:val="center"/>
          </w:tcPr>
          <w:p w14:paraId="7ECFC6E4" w14:textId="77777777" w:rsidR="005A1D67" w:rsidRPr="00D66C65" w:rsidRDefault="005A1D67" w:rsidP="00F31DD9">
            <w:pPr>
              <w:spacing w:line="240" w:lineRule="auto"/>
              <w:jc w:val="center"/>
              <w:rPr>
                <w:rFonts w:eastAsia="Calibri"/>
                <w:sz w:val="20"/>
                <w:szCs w:val="20"/>
              </w:rPr>
            </w:pPr>
          </w:p>
        </w:tc>
      </w:tr>
      <w:tr w:rsidR="005A1D67" w:rsidRPr="00D66C65" w14:paraId="35147E98" w14:textId="040E08B3" w:rsidTr="00D66C65">
        <w:trPr>
          <w:trHeight w:val="274"/>
          <w:jc w:val="center"/>
        </w:trPr>
        <w:tc>
          <w:tcPr>
            <w:tcW w:w="1921" w:type="dxa"/>
            <w:tcBorders>
              <w:left w:val="double" w:sz="4" w:space="0" w:color="auto"/>
              <w:right w:val="double" w:sz="4" w:space="0" w:color="auto"/>
            </w:tcBorders>
          </w:tcPr>
          <w:p w14:paraId="3D0ACCCB" w14:textId="77777777" w:rsidR="005A1D67" w:rsidRPr="00D66C65" w:rsidRDefault="005A1D67" w:rsidP="00F31DD9">
            <w:pPr>
              <w:spacing w:line="240" w:lineRule="auto"/>
              <w:rPr>
                <w:rFonts w:eastAsia="Calibri"/>
                <w:sz w:val="20"/>
                <w:szCs w:val="20"/>
              </w:rPr>
            </w:pPr>
            <w:r w:rsidRPr="00D66C65">
              <w:rPr>
                <w:rFonts w:eastAsia="Calibri"/>
                <w:sz w:val="20"/>
                <w:szCs w:val="20"/>
              </w:rPr>
              <w:t xml:space="preserve">   Single-</w:t>
            </w:r>
            <w:proofErr w:type="spellStart"/>
            <w:r w:rsidRPr="00D66C65">
              <w:rPr>
                <w:rFonts w:eastAsia="Calibri"/>
                <w:sz w:val="20"/>
                <w:szCs w:val="20"/>
              </w:rPr>
              <w:t>storey</w:t>
            </w:r>
            <w:proofErr w:type="spellEnd"/>
          </w:p>
        </w:tc>
        <w:tc>
          <w:tcPr>
            <w:tcW w:w="666" w:type="dxa"/>
            <w:tcBorders>
              <w:left w:val="double" w:sz="4" w:space="0" w:color="auto"/>
              <w:right w:val="single" w:sz="4" w:space="0" w:color="auto"/>
            </w:tcBorders>
            <w:tcMar>
              <w:left w:w="58" w:type="dxa"/>
              <w:right w:w="58" w:type="dxa"/>
            </w:tcMar>
            <w:vAlign w:val="center"/>
          </w:tcPr>
          <w:p w14:paraId="625F6781"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-0.384</w:t>
            </w:r>
          </w:p>
        </w:tc>
        <w:tc>
          <w:tcPr>
            <w:tcW w:w="757" w:type="dxa"/>
            <w:tcBorders>
              <w:left w:val="single" w:sz="4" w:space="0" w:color="auto"/>
              <w:right w:val="double" w:sz="4" w:space="0" w:color="auto"/>
            </w:tcBorders>
            <w:tcMar>
              <w:left w:w="58" w:type="dxa"/>
              <w:right w:w="58" w:type="dxa"/>
            </w:tcMar>
            <w:vAlign w:val="center"/>
          </w:tcPr>
          <w:p w14:paraId="01129EF4"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-7.898</w:t>
            </w:r>
          </w:p>
        </w:tc>
        <w:tc>
          <w:tcPr>
            <w:tcW w:w="746" w:type="dxa"/>
            <w:tcBorders>
              <w:left w:val="double" w:sz="4" w:space="0" w:color="auto"/>
            </w:tcBorders>
            <w:tcMar>
              <w:left w:w="58" w:type="dxa"/>
              <w:right w:w="58" w:type="dxa"/>
            </w:tcMar>
            <w:vAlign w:val="center"/>
          </w:tcPr>
          <w:p w14:paraId="42689703"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-1.454</w:t>
            </w:r>
          </w:p>
        </w:tc>
        <w:tc>
          <w:tcPr>
            <w:tcW w:w="798" w:type="dxa"/>
            <w:tcBorders>
              <w:right w:val="double" w:sz="4" w:space="0" w:color="auto"/>
            </w:tcBorders>
            <w:tcMar>
              <w:left w:w="58" w:type="dxa"/>
              <w:right w:w="58" w:type="dxa"/>
            </w:tcMar>
            <w:vAlign w:val="center"/>
          </w:tcPr>
          <w:p w14:paraId="4176138D"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-27.291</w:t>
            </w:r>
          </w:p>
        </w:tc>
        <w:tc>
          <w:tcPr>
            <w:tcW w:w="768" w:type="dxa"/>
            <w:tcBorders>
              <w:left w:val="double" w:sz="4" w:space="0" w:color="auto"/>
            </w:tcBorders>
            <w:tcMar>
              <w:left w:w="58" w:type="dxa"/>
              <w:right w:w="58" w:type="dxa"/>
            </w:tcMar>
            <w:vAlign w:val="center"/>
          </w:tcPr>
          <w:p w14:paraId="69D8D5C5"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-1.454</w:t>
            </w:r>
          </w:p>
        </w:tc>
        <w:tc>
          <w:tcPr>
            <w:tcW w:w="772" w:type="dxa"/>
            <w:tcBorders>
              <w:right w:val="double" w:sz="4" w:space="0" w:color="auto"/>
            </w:tcBorders>
            <w:tcMar>
              <w:left w:w="58" w:type="dxa"/>
              <w:right w:w="58" w:type="dxa"/>
            </w:tcMar>
            <w:vAlign w:val="center"/>
          </w:tcPr>
          <w:p w14:paraId="3E8DE6B2"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-27.291</w:t>
            </w:r>
          </w:p>
        </w:tc>
        <w:tc>
          <w:tcPr>
            <w:tcW w:w="720" w:type="dxa"/>
            <w:tcBorders>
              <w:left w:val="double" w:sz="4" w:space="0" w:color="auto"/>
            </w:tcBorders>
            <w:tcMar>
              <w:left w:w="58" w:type="dxa"/>
              <w:right w:w="58" w:type="dxa"/>
            </w:tcMar>
            <w:vAlign w:val="center"/>
          </w:tcPr>
          <w:p w14:paraId="64D8055E"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-2.205</w:t>
            </w:r>
          </w:p>
        </w:tc>
        <w:tc>
          <w:tcPr>
            <w:tcW w:w="810" w:type="dxa"/>
            <w:tcBorders>
              <w:right w:val="double" w:sz="4" w:space="0" w:color="auto"/>
            </w:tcBorders>
            <w:tcMar>
              <w:left w:w="58" w:type="dxa"/>
              <w:right w:w="58" w:type="dxa"/>
            </w:tcMar>
            <w:vAlign w:val="center"/>
          </w:tcPr>
          <w:p w14:paraId="4E52C4A9"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-30.361</w:t>
            </w:r>
          </w:p>
        </w:tc>
        <w:tc>
          <w:tcPr>
            <w:tcW w:w="701" w:type="dxa"/>
            <w:tcBorders>
              <w:left w:val="double" w:sz="4" w:space="0" w:color="auto"/>
            </w:tcBorders>
            <w:tcMar>
              <w:left w:w="58" w:type="dxa"/>
              <w:right w:w="58" w:type="dxa"/>
            </w:tcMar>
            <w:vAlign w:val="center"/>
          </w:tcPr>
          <w:p w14:paraId="584F553E"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-2.205</w:t>
            </w:r>
          </w:p>
        </w:tc>
        <w:tc>
          <w:tcPr>
            <w:tcW w:w="755" w:type="dxa"/>
            <w:tcBorders>
              <w:right w:val="double" w:sz="4" w:space="0" w:color="auto"/>
            </w:tcBorders>
            <w:tcMar>
              <w:left w:w="58" w:type="dxa"/>
              <w:right w:w="58" w:type="dxa"/>
            </w:tcMar>
            <w:vAlign w:val="center"/>
          </w:tcPr>
          <w:p w14:paraId="76862128"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-30.361</w:t>
            </w:r>
          </w:p>
        </w:tc>
        <w:tc>
          <w:tcPr>
            <w:tcW w:w="700" w:type="dxa"/>
            <w:tcBorders>
              <w:right w:val="single" w:sz="4" w:space="0" w:color="auto"/>
            </w:tcBorders>
            <w:tcMar>
              <w:left w:w="58" w:type="dxa"/>
              <w:right w:w="58" w:type="dxa"/>
            </w:tcMar>
            <w:vAlign w:val="center"/>
          </w:tcPr>
          <w:p w14:paraId="12B3027B"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-0.663</w:t>
            </w:r>
          </w:p>
        </w:tc>
        <w:tc>
          <w:tcPr>
            <w:tcW w:w="742" w:type="dxa"/>
            <w:tcBorders>
              <w:left w:val="single" w:sz="4" w:space="0" w:color="auto"/>
              <w:right w:val="double" w:sz="4" w:space="0" w:color="auto"/>
            </w:tcBorders>
            <w:tcMar>
              <w:left w:w="58" w:type="dxa"/>
              <w:right w:w="58" w:type="dxa"/>
            </w:tcMar>
            <w:vAlign w:val="center"/>
          </w:tcPr>
          <w:p w14:paraId="7872E167"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-18.785</w:t>
            </w:r>
          </w:p>
        </w:tc>
        <w:tc>
          <w:tcPr>
            <w:tcW w:w="666" w:type="dxa"/>
            <w:tcBorders>
              <w:right w:val="single" w:sz="4" w:space="0" w:color="auto"/>
            </w:tcBorders>
            <w:tcMar>
              <w:left w:w="58" w:type="dxa"/>
              <w:right w:w="58" w:type="dxa"/>
            </w:tcMar>
            <w:vAlign w:val="center"/>
          </w:tcPr>
          <w:p w14:paraId="6A3E1983" w14:textId="33DDB2AA"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single" w:sz="4" w:space="0" w:color="auto"/>
              <w:right w:val="double" w:sz="4" w:space="0" w:color="auto"/>
            </w:tcBorders>
            <w:tcMar>
              <w:left w:w="58" w:type="dxa"/>
              <w:right w:w="58" w:type="dxa"/>
            </w:tcMar>
            <w:vAlign w:val="center"/>
          </w:tcPr>
          <w:p w14:paraId="6B65A269" w14:textId="5B1BEEC2"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0" w:type="dxa"/>
            <w:tcBorders>
              <w:left w:val="single" w:sz="4" w:space="0" w:color="auto"/>
              <w:right w:val="single" w:sz="4" w:space="0" w:color="auto"/>
            </w:tcBorders>
            <w:tcMar>
              <w:left w:w="58" w:type="dxa"/>
              <w:right w:w="58" w:type="dxa"/>
            </w:tcMar>
            <w:vAlign w:val="center"/>
          </w:tcPr>
          <w:p w14:paraId="61784DE7" w14:textId="2820BE45" w:rsidR="005A1D67" w:rsidRPr="00D66C65" w:rsidRDefault="005A1D67" w:rsidP="00F31DD9">
            <w:pPr>
              <w:spacing w:line="240" w:lineRule="auto"/>
              <w:jc w:val="center"/>
              <w:rPr>
                <w:rFonts w:eastAsia="Calibri"/>
                <w:sz w:val="20"/>
                <w:szCs w:val="20"/>
              </w:rPr>
            </w:pPr>
            <w:r w:rsidRPr="00D66C65">
              <w:rPr>
                <w:rFonts w:eastAsia="Calibri"/>
                <w:sz w:val="20"/>
                <w:szCs w:val="20"/>
              </w:rPr>
              <w:t xml:space="preserve"> 0.263</w:t>
            </w:r>
          </w:p>
        </w:tc>
        <w:tc>
          <w:tcPr>
            <w:tcW w:w="767" w:type="dxa"/>
            <w:tcBorders>
              <w:left w:val="single" w:sz="4" w:space="0" w:color="auto"/>
              <w:right w:val="double" w:sz="4" w:space="0" w:color="auto"/>
            </w:tcBorders>
            <w:tcMar>
              <w:left w:w="58" w:type="dxa"/>
              <w:right w:w="58" w:type="dxa"/>
            </w:tcMar>
            <w:vAlign w:val="center"/>
          </w:tcPr>
          <w:p w14:paraId="297075D9" w14:textId="0B3016FD" w:rsidR="005A1D67" w:rsidRPr="00D66C65" w:rsidRDefault="005A1D67" w:rsidP="00F31DD9">
            <w:pPr>
              <w:spacing w:line="240" w:lineRule="auto"/>
              <w:jc w:val="center"/>
              <w:rPr>
                <w:rFonts w:eastAsia="Calibri"/>
                <w:sz w:val="20"/>
                <w:szCs w:val="20"/>
              </w:rPr>
            </w:pPr>
            <w:r w:rsidRPr="00D66C65">
              <w:rPr>
                <w:rFonts w:eastAsia="Calibri"/>
                <w:sz w:val="20"/>
                <w:szCs w:val="20"/>
              </w:rPr>
              <w:t xml:space="preserve"> 6.893</w:t>
            </w:r>
          </w:p>
        </w:tc>
      </w:tr>
      <w:tr w:rsidR="005A1D67" w:rsidRPr="00D66C65" w14:paraId="495E6050" w14:textId="5A65CFDC" w:rsidTr="00D66C65">
        <w:trPr>
          <w:trHeight w:val="274"/>
          <w:jc w:val="center"/>
        </w:trPr>
        <w:tc>
          <w:tcPr>
            <w:tcW w:w="1921" w:type="dxa"/>
            <w:tcBorders>
              <w:left w:val="double" w:sz="4" w:space="0" w:color="auto"/>
              <w:right w:val="double" w:sz="4" w:space="0" w:color="auto"/>
            </w:tcBorders>
          </w:tcPr>
          <w:p w14:paraId="6E496F26" w14:textId="77777777" w:rsidR="005A1D67" w:rsidRPr="00D66C65" w:rsidRDefault="005A1D67" w:rsidP="00F31DD9">
            <w:pPr>
              <w:spacing w:line="240" w:lineRule="auto"/>
              <w:rPr>
                <w:rFonts w:eastAsia="Calibri"/>
                <w:b/>
                <w:sz w:val="20"/>
                <w:szCs w:val="20"/>
              </w:rPr>
            </w:pPr>
            <w:r w:rsidRPr="00D66C65">
              <w:rPr>
                <w:rFonts w:eastAsia="Calibri"/>
                <w:b/>
                <w:sz w:val="20"/>
                <w:szCs w:val="20"/>
              </w:rPr>
              <w:t>Lot size (sq. feet)</w:t>
            </w:r>
          </w:p>
        </w:tc>
        <w:tc>
          <w:tcPr>
            <w:tcW w:w="666" w:type="dxa"/>
            <w:tcBorders>
              <w:left w:val="double" w:sz="4" w:space="0" w:color="auto"/>
              <w:right w:val="single" w:sz="4" w:space="0" w:color="auto"/>
            </w:tcBorders>
            <w:tcMar>
              <w:left w:w="58" w:type="dxa"/>
              <w:right w:w="58" w:type="dxa"/>
            </w:tcMar>
            <w:vAlign w:val="center"/>
          </w:tcPr>
          <w:p w14:paraId="1239EE28" w14:textId="782A47A1"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7" w:type="dxa"/>
            <w:tcBorders>
              <w:left w:val="single" w:sz="4" w:space="0" w:color="auto"/>
              <w:right w:val="double" w:sz="4" w:space="0" w:color="auto"/>
            </w:tcBorders>
            <w:tcMar>
              <w:left w:w="58" w:type="dxa"/>
              <w:right w:w="58" w:type="dxa"/>
            </w:tcMar>
            <w:vAlign w:val="center"/>
          </w:tcPr>
          <w:p w14:paraId="537236FE" w14:textId="090ADC8F"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46" w:type="dxa"/>
            <w:tcBorders>
              <w:left w:val="double" w:sz="4" w:space="0" w:color="auto"/>
            </w:tcBorders>
            <w:tcMar>
              <w:left w:w="58" w:type="dxa"/>
              <w:right w:w="58" w:type="dxa"/>
            </w:tcMar>
            <w:vAlign w:val="center"/>
          </w:tcPr>
          <w:p w14:paraId="5FB48C88" w14:textId="00BC112D"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98" w:type="dxa"/>
            <w:tcBorders>
              <w:right w:val="double" w:sz="4" w:space="0" w:color="auto"/>
            </w:tcBorders>
            <w:tcMar>
              <w:left w:w="58" w:type="dxa"/>
              <w:right w:w="58" w:type="dxa"/>
            </w:tcMar>
            <w:vAlign w:val="center"/>
          </w:tcPr>
          <w:p w14:paraId="2C802A94" w14:textId="49EB99CE"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68" w:type="dxa"/>
            <w:tcBorders>
              <w:left w:val="double" w:sz="4" w:space="0" w:color="auto"/>
            </w:tcBorders>
            <w:tcMar>
              <w:left w:w="58" w:type="dxa"/>
              <w:right w:w="58" w:type="dxa"/>
            </w:tcMar>
            <w:vAlign w:val="center"/>
          </w:tcPr>
          <w:p w14:paraId="4BEE3C31" w14:textId="6E783EFD"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72" w:type="dxa"/>
            <w:tcBorders>
              <w:right w:val="double" w:sz="4" w:space="0" w:color="auto"/>
            </w:tcBorders>
            <w:tcMar>
              <w:left w:w="58" w:type="dxa"/>
              <w:right w:w="58" w:type="dxa"/>
            </w:tcMar>
            <w:vAlign w:val="center"/>
          </w:tcPr>
          <w:p w14:paraId="0D880822" w14:textId="16155C56"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double" w:sz="4" w:space="0" w:color="auto"/>
            </w:tcBorders>
            <w:tcMar>
              <w:left w:w="58" w:type="dxa"/>
              <w:right w:w="58" w:type="dxa"/>
            </w:tcMar>
            <w:vAlign w:val="center"/>
          </w:tcPr>
          <w:p w14:paraId="36ACBC25" w14:textId="4C83FC6C"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tcMar>
              <w:left w:w="58" w:type="dxa"/>
              <w:right w:w="58" w:type="dxa"/>
            </w:tcMar>
            <w:vAlign w:val="center"/>
          </w:tcPr>
          <w:p w14:paraId="1BBAAF56" w14:textId="7E77A960"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01" w:type="dxa"/>
            <w:tcBorders>
              <w:left w:val="double" w:sz="4" w:space="0" w:color="auto"/>
            </w:tcBorders>
            <w:tcMar>
              <w:left w:w="58" w:type="dxa"/>
              <w:right w:w="58" w:type="dxa"/>
            </w:tcMar>
            <w:vAlign w:val="center"/>
          </w:tcPr>
          <w:p w14:paraId="63E52C30" w14:textId="4FA9C887"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5" w:type="dxa"/>
            <w:tcBorders>
              <w:right w:val="double" w:sz="4" w:space="0" w:color="auto"/>
            </w:tcBorders>
            <w:tcMar>
              <w:left w:w="58" w:type="dxa"/>
              <w:right w:w="58" w:type="dxa"/>
            </w:tcMar>
            <w:vAlign w:val="center"/>
          </w:tcPr>
          <w:p w14:paraId="69DD253F" w14:textId="3F7EB83D"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00" w:type="dxa"/>
            <w:tcBorders>
              <w:right w:val="single" w:sz="4" w:space="0" w:color="auto"/>
            </w:tcBorders>
            <w:tcMar>
              <w:left w:w="58" w:type="dxa"/>
              <w:right w:w="58" w:type="dxa"/>
            </w:tcMar>
            <w:vAlign w:val="center"/>
          </w:tcPr>
          <w:p w14:paraId="63EACCBC" w14:textId="6766D0E8"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42" w:type="dxa"/>
            <w:tcBorders>
              <w:left w:val="single" w:sz="4" w:space="0" w:color="auto"/>
              <w:right w:val="double" w:sz="4" w:space="0" w:color="auto"/>
            </w:tcBorders>
            <w:tcMar>
              <w:left w:w="58" w:type="dxa"/>
              <w:right w:w="58" w:type="dxa"/>
            </w:tcMar>
            <w:vAlign w:val="center"/>
          </w:tcPr>
          <w:p w14:paraId="41BD22E3" w14:textId="6E693CBB"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666" w:type="dxa"/>
            <w:tcBorders>
              <w:right w:val="single" w:sz="4" w:space="0" w:color="auto"/>
            </w:tcBorders>
            <w:tcMar>
              <w:left w:w="58" w:type="dxa"/>
              <w:right w:w="58" w:type="dxa"/>
            </w:tcMar>
            <w:vAlign w:val="center"/>
          </w:tcPr>
          <w:p w14:paraId="0FF02919" w14:textId="24F54425"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single" w:sz="4" w:space="0" w:color="auto"/>
              <w:right w:val="double" w:sz="4" w:space="0" w:color="auto"/>
            </w:tcBorders>
            <w:tcMar>
              <w:left w:w="58" w:type="dxa"/>
              <w:right w:w="58" w:type="dxa"/>
            </w:tcMar>
            <w:vAlign w:val="center"/>
          </w:tcPr>
          <w:p w14:paraId="0B655444" w14:textId="70440293"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0" w:type="dxa"/>
            <w:tcBorders>
              <w:left w:val="single" w:sz="4" w:space="0" w:color="auto"/>
              <w:right w:val="single" w:sz="4" w:space="0" w:color="auto"/>
            </w:tcBorders>
            <w:tcMar>
              <w:left w:w="58" w:type="dxa"/>
              <w:right w:w="58" w:type="dxa"/>
            </w:tcMar>
            <w:vAlign w:val="center"/>
          </w:tcPr>
          <w:p w14:paraId="570B5E59" w14:textId="4EEEAB0C" w:rsidR="005A1D67" w:rsidRPr="00D66C65" w:rsidRDefault="005A1D67" w:rsidP="00F31DD9">
            <w:pPr>
              <w:spacing w:line="240" w:lineRule="auto"/>
              <w:jc w:val="center"/>
              <w:rPr>
                <w:rFonts w:eastAsia="Calibri"/>
                <w:sz w:val="20"/>
                <w:szCs w:val="20"/>
              </w:rPr>
            </w:pPr>
            <w:r w:rsidRPr="00D66C65">
              <w:rPr>
                <w:rFonts w:eastAsia="Calibri"/>
                <w:sz w:val="20"/>
                <w:szCs w:val="20"/>
              </w:rPr>
              <w:t xml:space="preserve"> 0.273</w:t>
            </w:r>
          </w:p>
        </w:tc>
        <w:tc>
          <w:tcPr>
            <w:tcW w:w="767" w:type="dxa"/>
            <w:tcBorders>
              <w:left w:val="single" w:sz="4" w:space="0" w:color="auto"/>
              <w:right w:val="double" w:sz="4" w:space="0" w:color="auto"/>
            </w:tcBorders>
            <w:tcMar>
              <w:left w:w="58" w:type="dxa"/>
              <w:right w:w="58" w:type="dxa"/>
            </w:tcMar>
            <w:vAlign w:val="center"/>
          </w:tcPr>
          <w:p w14:paraId="0EE41673" w14:textId="3524BB9C" w:rsidR="005A1D67" w:rsidRPr="00D66C65" w:rsidRDefault="005A1D67" w:rsidP="00F31DD9">
            <w:pPr>
              <w:spacing w:line="240" w:lineRule="auto"/>
              <w:jc w:val="center"/>
              <w:rPr>
                <w:rFonts w:eastAsia="Calibri"/>
                <w:sz w:val="20"/>
                <w:szCs w:val="20"/>
              </w:rPr>
            </w:pPr>
            <w:r w:rsidRPr="00D66C65">
              <w:rPr>
                <w:rFonts w:eastAsia="Calibri"/>
                <w:sz w:val="20"/>
                <w:szCs w:val="20"/>
              </w:rPr>
              <w:t xml:space="preserve"> 14.590</w:t>
            </w:r>
          </w:p>
        </w:tc>
      </w:tr>
      <w:tr w:rsidR="005A1D67" w:rsidRPr="00D66C65" w14:paraId="49E19198" w14:textId="5F3DDFFD" w:rsidTr="00D66C65">
        <w:trPr>
          <w:trHeight w:val="274"/>
          <w:jc w:val="center"/>
        </w:trPr>
        <w:tc>
          <w:tcPr>
            <w:tcW w:w="1921" w:type="dxa"/>
            <w:tcBorders>
              <w:left w:val="double" w:sz="4" w:space="0" w:color="auto"/>
              <w:right w:val="double" w:sz="4" w:space="0" w:color="auto"/>
            </w:tcBorders>
          </w:tcPr>
          <w:p w14:paraId="44A1ABF6" w14:textId="77777777" w:rsidR="005A1D67" w:rsidRPr="00D66C65" w:rsidRDefault="005A1D67" w:rsidP="00F31DD9">
            <w:pPr>
              <w:spacing w:line="240" w:lineRule="auto"/>
              <w:rPr>
                <w:rFonts w:eastAsia="Calibri"/>
                <w:b/>
                <w:sz w:val="20"/>
                <w:szCs w:val="20"/>
              </w:rPr>
            </w:pPr>
            <w:r w:rsidRPr="00D66C65">
              <w:rPr>
                <w:rFonts w:eastAsia="Calibri"/>
                <w:b/>
                <w:sz w:val="20"/>
                <w:szCs w:val="20"/>
              </w:rPr>
              <w:t># of bedrooms</w:t>
            </w:r>
          </w:p>
        </w:tc>
        <w:tc>
          <w:tcPr>
            <w:tcW w:w="666" w:type="dxa"/>
            <w:tcBorders>
              <w:left w:val="double" w:sz="4" w:space="0" w:color="auto"/>
              <w:right w:val="single" w:sz="4" w:space="0" w:color="auto"/>
            </w:tcBorders>
            <w:tcMar>
              <w:left w:w="58" w:type="dxa"/>
              <w:right w:w="58" w:type="dxa"/>
            </w:tcMar>
            <w:vAlign w:val="center"/>
          </w:tcPr>
          <w:p w14:paraId="094EE07A" w14:textId="6184FFEC"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7" w:type="dxa"/>
            <w:tcBorders>
              <w:left w:val="single" w:sz="4" w:space="0" w:color="auto"/>
              <w:right w:val="double" w:sz="4" w:space="0" w:color="auto"/>
            </w:tcBorders>
            <w:tcMar>
              <w:left w:w="58" w:type="dxa"/>
              <w:right w:w="58" w:type="dxa"/>
            </w:tcMar>
            <w:vAlign w:val="center"/>
          </w:tcPr>
          <w:p w14:paraId="32064F36" w14:textId="465AE0F1"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46" w:type="dxa"/>
            <w:tcBorders>
              <w:left w:val="double" w:sz="4" w:space="0" w:color="auto"/>
            </w:tcBorders>
            <w:tcMar>
              <w:left w:w="58" w:type="dxa"/>
              <w:right w:w="58" w:type="dxa"/>
            </w:tcMar>
            <w:vAlign w:val="center"/>
          </w:tcPr>
          <w:p w14:paraId="37198882" w14:textId="27746015"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98" w:type="dxa"/>
            <w:tcBorders>
              <w:right w:val="double" w:sz="4" w:space="0" w:color="auto"/>
            </w:tcBorders>
            <w:tcMar>
              <w:left w:w="58" w:type="dxa"/>
              <w:right w:w="58" w:type="dxa"/>
            </w:tcMar>
            <w:vAlign w:val="center"/>
          </w:tcPr>
          <w:p w14:paraId="6996BE69" w14:textId="3696DA00"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68" w:type="dxa"/>
            <w:tcBorders>
              <w:left w:val="double" w:sz="4" w:space="0" w:color="auto"/>
            </w:tcBorders>
            <w:tcMar>
              <w:left w:w="58" w:type="dxa"/>
              <w:right w:w="58" w:type="dxa"/>
            </w:tcMar>
            <w:vAlign w:val="center"/>
          </w:tcPr>
          <w:p w14:paraId="5713C485" w14:textId="5435F9B5"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72" w:type="dxa"/>
            <w:tcBorders>
              <w:right w:val="double" w:sz="4" w:space="0" w:color="auto"/>
            </w:tcBorders>
            <w:tcMar>
              <w:left w:w="58" w:type="dxa"/>
              <w:right w:w="58" w:type="dxa"/>
            </w:tcMar>
            <w:vAlign w:val="center"/>
          </w:tcPr>
          <w:p w14:paraId="2C66FE41" w14:textId="35B96813"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double" w:sz="4" w:space="0" w:color="auto"/>
            </w:tcBorders>
            <w:tcMar>
              <w:left w:w="58" w:type="dxa"/>
              <w:right w:w="58" w:type="dxa"/>
            </w:tcMar>
            <w:vAlign w:val="center"/>
          </w:tcPr>
          <w:p w14:paraId="0634D896" w14:textId="24DA7A25"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810" w:type="dxa"/>
            <w:tcBorders>
              <w:right w:val="double" w:sz="4" w:space="0" w:color="auto"/>
            </w:tcBorders>
            <w:tcMar>
              <w:left w:w="58" w:type="dxa"/>
              <w:right w:w="58" w:type="dxa"/>
            </w:tcMar>
            <w:vAlign w:val="center"/>
          </w:tcPr>
          <w:p w14:paraId="3465A538" w14:textId="6C8C9DBA"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01" w:type="dxa"/>
            <w:tcBorders>
              <w:left w:val="double" w:sz="4" w:space="0" w:color="auto"/>
            </w:tcBorders>
            <w:tcMar>
              <w:left w:w="58" w:type="dxa"/>
              <w:right w:w="58" w:type="dxa"/>
            </w:tcMar>
            <w:vAlign w:val="center"/>
          </w:tcPr>
          <w:p w14:paraId="3A802E0F" w14:textId="698BE2ED"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5" w:type="dxa"/>
            <w:tcBorders>
              <w:right w:val="double" w:sz="4" w:space="0" w:color="auto"/>
            </w:tcBorders>
            <w:tcMar>
              <w:left w:w="58" w:type="dxa"/>
              <w:right w:w="58" w:type="dxa"/>
            </w:tcMar>
            <w:vAlign w:val="center"/>
          </w:tcPr>
          <w:p w14:paraId="6273D1AF" w14:textId="368D8FC4"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00" w:type="dxa"/>
            <w:tcBorders>
              <w:right w:val="single" w:sz="4" w:space="0" w:color="auto"/>
            </w:tcBorders>
            <w:tcMar>
              <w:left w:w="58" w:type="dxa"/>
              <w:right w:w="58" w:type="dxa"/>
            </w:tcMar>
            <w:vAlign w:val="center"/>
          </w:tcPr>
          <w:p w14:paraId="1040176B" w14:textId="313A4EF8"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42" w:type="dxa"/>
            <w:tcBorders>
              <w:left w:val="single" w:sz="4" w:space="0" w:color="auto"/>
              <w:right w:val="double" w:sz="4" w:space="0" w:color="auto"/>
            </w:tcBorders>
            <w:tcMar>
              <w:left w:w="58" w:type="dxa"/>
              <w:right w:w="58" w:type="dxa"/>
            </w:tcMar>
            <w:vAlign w:val="center"/>
          </w:tcPr>
          <w:p w14:paraId="05CF2C7B" w14:textId="564BB3B7"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666" w:type="dxa"/>
            <w:tcBorders>
              <w:right w:val="single" w:sz="4" w:space="0" w:color="auto"/>
            </w:tcBorders>
            <w:tcMar>
              <w:left w:w="58" w:type="dxa"/>
              <w:right w:w="58" w:type="dxa"/>
            </w:tcMar>
            <w:vAlign w:val="center"/>
          </w:tcPr>
          <w:p w14:paraId="77EA1E88" w14:textId="0671D19C"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single" w:sz="4" w:space="0" w:color="auto"/>
              <w:right w:val="double" w:sz="4" w:space="0" w:color="auto"/>
            </w:tcBorders>
            <w:tcMar>
              <w:left w:w="58" w:type="dxa"/>
              <w:right w:w="58" w:type="dxa"/>
            </w:tcMar>
            <w:vAlign w:val="center"/>
          </w:tcPr>
          <w:p w14:paraId="6BA23BEB" w14:textId="5782F53C"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0" w:type="dxa"/>
            <w:tcBorders>
              <w:left w:val="single" w:sz="4" w:space="0" w:color="auto"/>
              <w:right w:val="single" w:sz="4" w:space="0" w:color="auto"/>
            </w:tcBorders>
            <w:tcMar>
              <w:left w:w="58" w:type="dxa"/>
              <w:right w:w="58" w:type="dxa"/>
            </w:tcMar>
            <w:vAlign w:val="center"/>
          </w:tcPr>
          <w:p w14:paraId="36C453BE" w14:textId="5D3E17C0" w:rsidR="005A1D67" w:rsidRPr="00D66C65" w:rsidRDefault="005A1D67" w:rsidP="00F31DD9">
            <w:pPr>
              <w:spacing w:line="240" w:lineRule="auto"/>
              <w:jc w:val="center"/>
              <w:rPr>
                <w:rFonts w:eastAsia="Calibri"/>
                <w:sz w:val="20"/>
                <w:szCs w:val="20"/>
              </w:rPr>
            </w:pPr>
            <w:r w:rsidRPr="00D66C65">
              <w:rPr>
                <w:rFonts w:eastAsia="Calibri"/>
                <w:sz w:val="20"/>
                <w:szCs w:val="20"/>
              </w:rPr>
              <w:t xml:space="preserve"> 0.427</w:t>
            </w:r>
          </w:p>
        </w:tc>
        <w:tc>
          <w:tcPr>
            <w:tcW w:w="767" w:type="dxa"/>
            <w:tcBorders>
              <w:left w:val="single" w:sz="4" w:space="0" w:color="auto"/>
              <w:right w:val="double" w:sz="4" w:space="0" w:color="auto"/>
            </w:tcBorders>
            <w:tcMar>
              <w:left w:w="58" w:type="dxa"/>
              <w:right w:w="58" w:type="dxa"/>
            </w:tcMar>
            <w:vAlign w:val="center"/>
          </w:tcPr>
          <w:p w14:paraId="63C6DF2D" w14:textId="322216EA" w:rsidR="005A1D67" w:rsidRPr="00D66C65" w:rsidRDefault="005A1D67" w:rsidP="00F31DD9">
            <w:pPr>
              <w:spacing w:line="240" w:lineRule="auto"/>
              <w:jc w:val="center"/>
              <w:rPr>
                <w:rFonts w:eastAsia="Calibri"/>
                <w:sz w:val="20"/>
                <w:szCs w:val="20"/>
              </w:rPr>
            </w:pPr>
            <w:r w:rsidRPr="00D66C65">
              <w:rPr>
                <w:rFonts w:eastAsia="Calibri"/>
                <w:sz w:val="20"/>
                <w:szCs w:val="20"/>
              </w:rPr>
              <w:t xml:space="preserve"> 38.894</w:t>
            </w:r>
          </w:p>
        </w:tc>
      </w:tr>
      <w:tr w:rsidR="005A1D67" w:rsidRPr="00D66C65" w14:paraId="3A14763A" w14:textId="5F6C9B43" w:rsidTr="00D66C65">
        <w:trPr>
          <w:trHeight w:val="274"/>
          <w:jc w:val="center"/>
        </w:trPr>
        <w:tc>
          <w:tcPr>
            <w:tcW w:w="1921" w:type="dxa"/>
            <w:tcBorders>
              <w:left w:val="double" w:sz="4" w:space="0" w:color="auto"/>
              <w:right w:val="double" w:sz="4" w:space="0" w:color="auto"/>
            </w:tcBorders>
          </w:tcPr>
          <w:p w14:paraId="6D9B4B5C" w14:textId="77777777" w:rsidR="005A1D67" w:rsidRPr="00D66C65" w:rsidRDefault="005A1D67" w:rsidP="00F31DD9">
            <w:pPr>
              <w:spacing w:line="240" w:lineRule="auto"/>
              <w:rPr>
                <w:rFonts w:eastAsia="Calibri"/>
                <w:b/>
                <w:sz w:val="20"/>
                <w:szCs w:val="20"/>
              </w:rPr>
            </w:pPr>
            <w:r w:rsidRPr="00D66C65">
              <w:rPr>
                <w:rFonts w:eastAsia="Calibri"/>
                <w:b/>
                <w:sz w:val="20"/>
                <w:szCs w:val="20"/>
              </w:rPr>
              <w:t># of bathrooms</w:t>
            </w:r>
          </w:p>
        </w:tc>
        <w:tc>
          <w:tcPr>
            <w:tcW w:w="666" w:type="dxa"/>
            <w:tcBorders>
              <w:left w:val="double" w:sz="4" w:space="0" w:color="auto"/>
              <w:right w:val="single" w:sz="4" w:space="0" w:color="auto"/>
            </w:tcBorders>
            <w:tcMar>
              <w:left w:w="58" w:type="dxa"/>
              <w:right w:w="58" w:type="dxa"/>
            </w:tcMar>
            <w:vAlign w:val="center"/>
          </w:tcPr>
          <w:p w14:paraId="79A6EBC6"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0.379</w:t>
            </w:r>
          </w:p>
        </w:tc>
        <w:tc>
          <w:tcPr>
            <w:tcW w:w="757" w:type="dxa"/>
            <w:tcBorders>
              <w:left w:val="single" w:sz="4" w:space="0" w:color="auto"/>
              <w:right w:val="double" w:sz="4" w:space="0" w:color="auto"/>
            </w:tcBorders>
            <w:tcMar>
              <w:left w:w="58" w:type="dxa"/>
              <w:right w:w="58" w:type="dxa"/>
            </w:tcMar>
            <w:vAlign w:val="center"/>
          </w:tcPr>
          <w:p w14:paraId="13B005BD"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12.364</w:t>
            </w:r>
          </w:p>
        </w:tc>
        <w:tc>
          <w:tcPr>
            <w:tcW w:w="746" w:type="dxa"/>
            <w:tcBorders>
              <w:left w:val="double" w:sz="4" w:space="0" w:color="auto"/>
            </w:tcBorders>
            <w:tcMar>
              <w:left w:w="58" w:type="dxa"/>
              <w:right w:w="58" w:type="dxa"/>
            </w:tcMar>
            <w:vAlign w:val="center"/>
          </w:tcPr>
          <w:p w14:paraId="62D8F268"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0.379</w:t>
            </w:r>
          </w:p>
        </w:tc>
        <w:tc>
          <w:tcPr>
            <w:tcW w:w="798" w:type="dxa"/>
            <w:tcBorders>
              <w:right w:val="double" w:sz="4" w:space="0" w:color="auto"/>
            </w:tcBorders>
            <w:tcMar>
              <w:left w:w="58" w:type="dxa"/>
              <w:right w:w="58" w:type="dxa"/>
            </w:tcMar>
            <w:vAlign w:val="center"/>
          </w:tcPr>
          <w:p w14:paraId="37D87C50"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12.364</w:t>
            </w:r>
          </w:p>
        </w:tc>
        <w:tc>
          <w:tcPr>
            <w:tcW w:w="768" w:type="dxa"/>
            <w:tcBorders>
              <w:left w:val="double" w:sz="4" w:space="0" w:color="auto"/>
            </w:tcBorders>
            <w:tcMar>
              <w:left w:w="58" w:type="dxa"/>
              <w:right w:w="58" w:type="dxa"/>
            </w:tcMar>
            <w:vAlign w:val="center"/>
          </w:tcPr>
          <w:p w14:paraId="0725DE8F"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0.379</w:t>
            </w:r>
          </w:p>
        </w:tc>
        <w:tc>
          <w:tcPr>
            <w:tcW w:w="772" w:type="dxa"/>
            <w:tcBorders>
              <w:right w:val="double" w:sz="4" w:space="0" w:color="auto"/>
            </w:tcBorders>
            <w:tcMar>
              <w:left w:w="58" w:type="dxa"/>
              <w:right w:w="58" w:type="dxa"/>
            </w:tcMar>
            <w:vAlign w:val="center"/>
          </w:tcPr>
          <w:p w14:paraId="52D7D117"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12.364</w:t>
            </w:r>
          </w:p>
        </w:tc>
        <w:tc>
          <w:tcPr>
            <w:tcW w:w="720" w:type="dxa"/>
            <w:tcBorders>
              <w:left w:val="double" w:sz="4" w:space="0" w:color="auto"/>
            </w:tcBorders>
            <w:tcMar>
              <w:left w:w="58" w:type="dxa"/>
              <w:right w:w="58" w:type="dxa"/>
            </w:tcMar>
            <w:vAlign w:val="center"/>
          </w:tcPr>
          <w:p w14:paraId="3C7D4196"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0.379</w:t>
            </w:r>
          </w:p>
        </w:tc>
        <w:tc>
          <w:tcPr>
            <w:tcW w:w="810" w:type="dxa"/>
            <w:tcBorders>
              <w:right w:val="double" w:sz="4" w:space="0" w:color="auto"/>
            </w:tcBorders>
            <w:tcMar>
              <w:left w:w="58" w:type="dxa"/>
              <w:right w:w="58" w:type="dxa"/>
            </w:tcMar>
            <w:vAlign w:val="center"/>
          </w:tcPr>
          <w:p w14:paraId="2C49F65A"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12.364</w:t>
            </w:r>
          </w:p>
        </w:tc>
        <w:tc>
          <w:tcPr>
            <w:tcW w:w="701" w:type="dxa"/>
            <w:tcBorders>
              <w:left w:val="double" w:sz="4" w:space="0" w:color="auto"/>
            </w:tcBorders>
            <w:tcMar>
              <w:left w:w="58" w:type="dxa"/>
              <w:right w:w="58" w:type="dxa"/>
            </w:tcMar>
            <w:vAlign w:val="center"/>
          </w:tcPr>
          <w:p w14:paraId="2C7CB2E3"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0.379</w:t>
            </w:r>
          </w:p>
        </w:tc>
        <w:tc>
          <w:tcPr>
            <w:tcW w:w="755" w:type="dxa"/>
            <w:tcBorders>
              <w:right w:val="double" w:sz="4" w:space="0" w:color="auto"/>
            </w:tcBorders>
            <w:tcMar>
              <w:left w:w="58" w:type="dxa"/>
              <w:right w:w="58" w:type="dxa"/>
            </w:tcMar>
            <w:vAlign w:val="center"/>
          </w:tcPr>
          <w:p w14:paraId="46E78049"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12.364</w:t>
            </w:r>
          </w:p>
        </w:tc>
        <w:tc>
          <w:tcPr>
            <w:tcW w:w="700" w:type="dxa"/>
            <w:tcBorders>
              <w:right w:val="single" w:sz="4" w:space="0" w:color="auto"/>
            </w:tcBorders>
            <w:tcMar>
              <w:left w:w="58" w:type="dxa"/>
              <w:right w:w="58" w:type="dxa"/>
            </w:tcMar>
            <w:vAlign w:val="center"/>
          </w:tcPr>
          <w:p w14:paraId="3A3157D9" w14:textId="24F4519E"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42" w:type="dxa"/>
            <w:tcBorders>
              <w:left w:val="single" w:sz="4" w:space="0" w:color="auto"/>
              <w:right w:val="double" w:sz="4" w:space="0" w:color="auto"/>
            </w:tcBorders>
            <w:tcMar>
              <w:left w:w="58" w:type="dxa"/>
              <w:right w:w="58" w:type="dxa"/>
            </w:tcMar>
            <w:vAlign w:val="center"/>
          </w:tcPr>
          <w:p w14:paraId="1203E5D1" w14:textId="4BEBE5DA"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666" w:type="dxa"/>
            <w:tcBorders>
              <w:right w:val="single" w:sz="4" w:space="0" w:color="auto"/>
            </w:tcBorders>
            <w:tcMar>
              <w:left w:w="58" w:type="dxa"/>
              <w:right w:w="58" w:type="dxa"/>
            </w:tcMar>
            <w:vAlign w:val="center"/>
          </w:tcPr>
          <w:p w14:paraId="3A944F6E" w14:textId="0CCC5F10"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single" w:sz="4" w:space="0" w:color="auto"/>
              <w:right w:val="double" w:sz="4" w:space="0" w:color="auto"/>
            </w:tcBorders>
            <w:tcMar>
              <w:left w:w="58" w:type="dxa"/>
              <w:right w:w="58" w:type="dxa"/>
            </w:tcMar>
            <w:vAlign w:val="center"/>
          </w:tcPr>
          <w:p w14:paraId="66B7F3E5" w14:textId="1767AC7A"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0" w:type="dxa"/>
            <w:tcBorders>
              <w:left w:val="single" w:sz="4" w:space="0" w:color="auto"/>
              <w:right w:val="single" w:sz="4" w:space="0" w:color="auto"/>
            </w:tcBorders>
            <w:tcMar>
              <w:left w:w="58" w:type="dxa"/>
              <w:right w:w="58" w:type="dxa"/>
            </w:tcMar>
            <w:vAlign w:val="center"/>
          </w:tcPr>
          <w:p w14:paraId="769889AF" w14:textId="1985943D"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67" w:type="dxa"/>
            <w:tcBorders>
              <w:left w:val="single" w:sz="4" w:space="0" w:color="auto"/>
              <w:right w:val="double" w:sz="4" w:space="0" w:color="auto"/>
            </w:tcBorders>
            <w:tcMar>
              <w:left w:w="58" w:type="dxa"/>
              <w:right w:w="58" w:type="dxa"/>
            </w:tcMar>
            <w:vAlign w:val="center"/>
          </w:tcPr>
          <w:p w14:paraId="648D31FA" w14:textId="3494A634" w:rsidR="005A1D67" w:rsidRPr="00D66C65" w:rsidRDefault="005A1D67" w:rsidP="00F31DD9">
            <w:pPr>
              <w:spacing w:line="240" w:lineRule="auto"/>
              <w:jc w:val="center"/>
              <w:rPr>
                <w:rFonts w:eastAsia="Calibri"/>
                <w:sz w:val="20"/>
                <w:szCs w:val="20"/>
              </w:rPr>
            </w:pPr>
            <w:r>
              <w:rPr>
                <w:rFonts w:eastAsia="Calibri"/>
                <w:sz w:val="20"/>
                <w:szCs w:val="20"/>
              </w:rPr>
              <w:t>-</w:t>
            </w:r>
          </w:p>
        </w:tc>
      </w:tr>
      <w:tr w:rsidR="005A1D67" w:rsidRPr="00D66C65" w14:paraId="07DA4654" w14:textId="17C33F74" w:rsidTr="00D66C65">
        <w:trPr>
          <w:trHeight w:val="274"/>
          <w:jc w:val="center"/>
        </w:trPr>
        <w:tc>
          <w:tcPr>
            <w:tcW w:w="1921" w:type="dxa"/>
            <w:tcBorders>
              <w:left w:val="double" w:sz="4" w:space="0" w:color="auto"/>
              <w:bottom w:val="double" w:sz="4" w:space="0" w:color="auto"/>
              <w:right w:val="double" w:sz="4" w:space="0" w:color="auto"/>
            </w:tcBorders>
          </w:tcPr>
          <w:p w14:paraId="3E086756" w14:textId="77777777" w:rsidR="005A1D67" w:rsidRPr="00D66C65" w:rsidRDefault="005A1D67" w:rsidP="00F31DD9">
            <w:pPr>
              <w:spacing w:line="240" w:lineRule="auto"/>
              <w:rPr>
                <w:rFonts w:eastAsia="Calibri"/>
                <w:b/>
                <w:sz w:val="20"/>
                <w:szCs w:val="20"/>
              </w:rPr>
            </w:pPr>
            <w:r w:rsidRPr="00D66C65">
              <w:rPr>
                <w:rFonts w:eastAsia="Calibri"/>
                <w:b/>
                <w:sz w:val="20"/>
                <w:szCs w:val="20"/>
              </w:rPr>
              <w:t>Household average commute distance</w:t>
            </w:r>
          </w:p>
        </w:tc>
        <w:tc>
          <w:tcPr>
            <w:tcW w:w="666" w:type="dxa"/>
            <w:tcBorders>
              <w:left w:val="double" w:sz="4" w:space="0" w:color="auto"/>
              <w:bottom w:val="double" w:sz="4" w:space="0" w:color="auto"/>
              <w:right w:val="single" w:sz="4" w:space="0" w:color="auto"/>
            </w:tcBorders>
            <w:tcMar>
              <w:left w:w="58" w:type="dxa"/>
              <w:right w:w="58" w:type="dxa"/>
            </w:tcMar>
            <w:vAlign w:val="center"/>
          </w:tcPr>
          <w:p w14:paraId="63712708" w14:textId="14D5C455"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7" w:type="dxa"/>
            <w:tcBorders>
              <w:left w:val="single" w:sz="4" w:space="0" w:color="auto"/>
              <w:bottom w:val="double" w:sz="4" w:space="0" w:color="auto"/>
              <w:right w:val="double" w:sz="4" w:space="0" w:color="auto"/>
            </w:tcBorders>
            <w:tcMar>
              <w:left w:w="58" w:type="dxa"/>
              <w:right w:w="58" w:type="dxa"/>
            </w:tcMar>
            <w:vAlign w:val="center"/>
          </w:tcPr>
          <w:p w14:paraId="06F3411D" w14:textId="67D9C000"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46" w:type="dxa"/>
            <w:tcBorders>
              <w:left w:val="double" w:sz="4" w:space="0" w:color="auto"/>
              <w:bottom w:val="double" w:sz="4" w:space="0" w:color="auto"/>
            </w:tcBorders>
            <w:tcMar>
              <w:left w:w="58" w:type="dxa"/>
              <w:right w:w="58" w:type="dxa"/>
            </w:tcMar>
            <w:vAlign w:val="center"/>
          </w:tcPr>
          <w:p w14:paraId="3D15BBE5" w14:textId="27A7B903"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98" w:type="dxa"/>
            <w:tcBorders>
              <w:bottom w:val="double" w:sz="4" w:space="0" w:color="auto"/>
              <w:right w:val="double" w:sz="4" w:space="0" w:color="auto"/>
            </w:tcBorders>
            <w:tcMar>
              <w:left w:w="58" w:type="dxa"/>
              <w:right w:w="58" w:type="dxa"/>
            </w:tcMar>
            <w:vAlign w:val="center"/>
          </w:tcPr>
          <w:p w14:paraId="05D6092D" w14:textId="687168FA"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68" w:type="dxa"/>
            <w:tcBorders>
              <w:left w:val="double" w:sz="4" w:space="0" w:color="auto"/>
              <w:bottom w:val="double" w:sz="4" w:space="0" w:color="auto"/>
            </w:tcBorders>
            <w:tcMar>
              <w:left w:w="58" w:type="dxa"/>
              <w:right w:w="58" w:type="dxa"/>
            </w:tcMar>
            <w:vAlign w:val="center"/>
          </w:tcPr>
          <w:p w14:paraId="7F2AB3AC" w14:textId="61D52432"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72" w:type="dxa"/>
            <w:tcBorders>
              <w:bottom w:val="double" w:sz="4" w:space="0" w:color="auto"/>
              <w:right w:val="double" w:sz="4" w:space="0" w:color="auto"/>
            </w:tcBorders>
            <w:tcMar>
              <w:left w:w="58" w:type="dxa"/>
              <w:right w:w="58" w:type="dxa"/>
            </w:tcMar>
            <w:vAlign w:val="center"/>
          </w:tcPr>
          <w:p w14:paraId="243BD3C2" w14:textId="48DA8926"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double" w:sz="4" w:space="0" w:color="auto"/>
              <w:bottom w:val="double" w:sz="4" w:space="0" w:color="auto"/>
            </w:tcBorders>
            <w:tcMar>
              <w:left w:w="58" w:type="dxa"/>
              <w:right w:w="58" w:type="dxa"/>
            </w:tcMar>
            <w:vAlign w:val="center"/>
          </w:tcPr>
          <w:p w14:paraId="26378023" w14:textId="02CC61BB"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810" w:type="dxa"/>
            <w:tcBorders>
              <w:bottom w:val="double" w:sz="4" w:space="0" w:color="auto"/>
              <w:right w:val="double" w:sz="4" w:space="0" w:color="auto"/>
            </w:tcBorders>
            <w:tcMar>
              <w:left w:w="58" w:type="dxa"/>
              <w:right w:w="58" w:type="dxa"/>
            </w:tcMar>
            <w:vAlign w:val="center"/>
          </w:tcPr>
          <w:p w14:paraId="3A3B7D35" w14:textId="75CDFE20"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01" w:type="dxa"/>
            <w:tcBorders>
              <w:left w:val="double" w:sz="4" w:space="0" w:color="auto"/>
              <w:bottom w:val="double" w:sz="4" w:space="0" w:color="auto"/>
            </w:tcBorders>
            <w:tcMar>
              <w:left w:w="58" w:type="dxa"/>
              <w:right w:w="58" w:type="dxa"/>
            </w:tcMar>
            <w:vAlign w:val="center"/>
          </w:tcPr>
          <w:p w14:paraId="173F2077" w14:textId="7A9AFE7F"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5" w:type="dxa"/>
            <w:tcBorders>
              <w:bottom w:val="double" w:sz="4" w:space="0" w:color="auto"/>
              <w:right w:val="double" w:sz="4" w:space="0" w:color="auto"/>
            </w:tcBorders>
            <w:tcMar>
              <w:left w:w="58" w:type="dxa"/>
              <w:right w:w="58" w:type="dxa"/>
            </w:tcMar>
            <w:vAlign w:val="center"/>
          </w:tcPr>
          <w:p w14:paraId="6BCD3046" w14:textId="27223C0F"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00" w:type="dxa"/>
            <w:tcBorders>
              <w:bottom w:val="double" w:sz="4" w:space="0" w:color="auto"/>
              <w:right w:val="single" w:sz="4" w:space="0" w:color="auto"/>
            </w:tcBorders>
            <w:tcMar>
              <w:left w:w="58" w:type="dxa"/>
              <w:right w:w="58" w:type="dxa"/>
            </w:tcMar>
            <w:vAlign w:val="center"/>
          </w:tcPr>
          <w:p w14:paraId="39C1CC5D"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-0.421</w:t>
            </w:r>
          </w:p>
        </w:tc>
        <w:tc>
          <w:tcPr>
            <w:tcW w:w="742" w:type="dxa"/>
            <w:tcBorders>
              <w:left w:val="single" w:sz="4" w:space="0" w:color="auto"/>
              <w:bottom w:val="double" w:sz="4" w:space="0" w:color="auto"/>
              <w:right w:val="double" w:sz="4" w:space="0" w:color="auto"/>
            </w:tcBorders>
            <w:tcMar>
              <w:left w:w="58" w:type="dxa"/>
              <w:right w:w="58" w:type="dxa"/>
            </w:tcMar>
            <w:vAlign w:val="center"/>
          </w:tcPr>
          <w:p w14:paraId="5AC9EB05" w14:textId="77777777" w:rsidR="005A1D67" w:rsidRPr="00D66C65" w:rsidRDefault="005A1D67" w:rsidP="00F31DD9">
            <w:pPr>
              <w:spacing w:line="240" w:lineRule="auto"/>
              <w:jc w:val="center"/>
              <w:rPr>
                <w:rFonts w:eastAsia="Calibri"/>
                <w:sz w:val="20"/>
                <w:szCs w:val="20"/>
              </w:rPr>
            </w:pPr>
            <w:r w:rsidRPr="00D66C65">
              <w:rPr>
                <w:rFonts w:eastAsia="Calibri"/>
                <w:sz w:val="20"/>
                <w:szCs w:val="20"/>
              </w:rPr>
              <w:t>-15.430</w:t>
            </w:r>
          </w:p>
        </w:tc>
        <w:tc>
          <w:tcPr>
            <w:tcW w:w="666" w:type="dxa"/>
            <w:tcBorders>
              <w:bottom w:val="double" w:sz="4" w:space="0" w:color="auto"/>
              <w:right w:val="single" w:sz="4" w:space="0" w:color="auto"/>
            </w:tcBorders>
            <w:tcMar>
              <w:left w:w="58" w:type="dxa"/>
              <w:right w:w="58" w:type="dxa"/>
            </w:tcMar>
            <w:vAlign w:val="center"/>
          </w:tcPr>
          <w:p w14:paraId="0F49F37D" w14:textId="27E8DB32"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20" w:type="dxa"/>
            <w:tcBorders>
              <w:left w:val="single" w:sz="4" w:space="0" w:color="auto"/>
              <w:bottom w:val="double" w:sz="4" w:space="0" w:color="auto"/>
              <w:right w:val="double" w:sz="4" w:space="0" w:color="auto"/>
            </w:tcBorders>
            <w:tcMar>
              <w:left w:w="58" w:type="dxa"/>
              <w:right w:w="58" w:type="dxa"/>
            </w:tcMar>
            <w:vAlign w:val="center"/>
          </w:tcPr>
          <w:p w14:paraId="230EBFA1" w14:textId="2B2DDD0A" w:rsidR="005A1D67" w:rsidRPr="00D66C65" w:rsidRDefault="005A1D67" w:rsidP="00F31DD9">
            <w:pPr>
              <w:spacing w:line="240" w:lineRule="auto"/>
              <w:jc w:val="center"/>
              <w:rPr>
                <w:rFonts w:eastAsia="Calibri"/>
                <w:sz w:val="20"/>
                <w:szCs w:val="20"/>
              </w:rPr>
            </w:pPr>
            <w:r>
              <w:rPr>
                <w:rFonts w:eastAsia="Calibri"/>
                <w:sz w:val="20"/>
                <w:szCs w:val="20"/>
              </w:rPr>
              <w:t>-</w:t>
            </w:r>
          </w:p>
        </w:tc>
        <w:tc>
          <w:tcPr>
            <w:tcW w:w="750" w:type="dxa"/>
            <w:tcBorders>
              <w:left w:val="single" w:sz="4" w:space="0" w:color="auto"/>
              <w:bottom w:val="double" w:sz="4" w:space="0" w:color="auto"/>
              <w:right w:val="single" w:sz="4" w:space="0" w:color="auto"/>
            </w:tcBorders>
            <w:tcMar>
              <w:left w:w="58" w:type="dxa"/>
              <w:right w:w="58" w:type="dxa"/>
            </w:tcMar>
            <w:vAlign w:val="center"/>
          </w:tcPr>
          <w:p w14:paraId="39E34B68" w14:textId="60D5D3A4" w:rsidR="005A1D67" w:rsidRPr="00D66C65" w:rsidRDefault="005A1D67" w:rsidP="00F31DD9">
            <w:pPr>
              <w:spacing w:line="240" w:lineRule="auto"/>
              <w:jc w:val="center"/>
              <w:rPr>
                <w:rFonts w:eastAsia="Calibri"/>
                <w:sz w:val="20"/>
                <w:szCs w:val="20"/>
              </w:rPr>
            </w:pPr>
            <w:r w:rsidRPr="00D66C65">
              <w:rPr>
                <w:rFonts w:eastAsia="Calibri"/>
                <w:sz w:val="20"/>
                <w:szCs w:val="20"/>
              </w:rPr>
              <w:t>0.230</w:t>
            </w:r>
          </w:p>
        </w:tc>
        <w:tc>
          <w:tcPr>
            <w:tcW w:w="767" w:type="dxa"/>
            <w:tcBorders>
              <w:left w:val="single" w:sz="4" w:space="0" w:color="auto"/>
              <w:bottom w:val="double" w:sz="4" w:space="0" w:color="auto"/>
              <w:right w:val="double" w:sz="4" w:space="0" w:color="auto"/>
            </w:tcBorders>
            <w:tcMar>
              <w:left w:w="58" w:type="dxa"/>
              <w:right w:w="58" w:type="dxa"/>
            </w:tcMar>
            <w:vAlign w:val="center"/>
          </w:tcPr>
          <w:p w14:paraId="386613BE" w14:textId="0625231B" w:rsidR="005A1D67" w:rsidRPr="00D66C65" w:rsidRDefault="005A1D67" w:rsidP="00F31DD9">
            <w:pPr>
              <w:spacing w:line="240" w:lineRule="auto"/>
              <w:jc w:val="center"/>
              <w:rPr>
                <w:rFonts w:eastAsia="Calibri"/>
                <w:sz w:val="20"/>
                <w:szCs w:val="20"/>
              </w:rPr>
            </w:pPr>
            <w:r w:rsidRPr="00D66C65">
              <w:rPr>
                <w:rFonts w:eastAsia="Calibri"/>
                <w:sz w:val="20"/>
                <w:szCs w:val="20"/>
              </w:rPr>
              <w:t>9.103</w:t>
            </w:r>
          </w:p>
        </w:tc>
      </w:tr>
    </w:tbl>
    <w:p w14:paraId="328765C7" w14:textId="77777777" w:rsidR="00194720" w:rsidRPr="00194720" w:rsidRDefault="00194720" w:rsidP="00194720">
      <w:pPr>
        <w:jc w:val="center"/>
        <w:rPr>
          <w:b/>
        </w:rPr>
      </w:pPr>
    </w:p>
    <w:p w14:paraId="0F584AC7" w14:textId="77777777" w:rsidR="00194720" w:rsidRPr="00194720" w:rsidRDefault="00194720" w:rsidP="00194720">
      <w:pPr>
        <w:jc w:val="center"/>
        <w:rPr>
          <w:b/>
        </w:rPr>
      </w:pPr>
    </w:p>
    <w:p w14:paraId="2166BEDF" w14:textId="77777777" w:rsidR="00F31DD9" w:rsidRDefault="00F31DD9" w:rsidP="00194720">
      <w:pPr>
        <w:jc w:val="center"/>
        <w:rPr>
          <w:b/>
        </w:rPr>
        <w:sectPr w:rsidR="00F31DD9" w:rsidSect="00C93276">
          <w:pgSz w:w="15840" w:h="12240" w:orient="landscape"/>
          <w:pgMar w:top="1440" w:right="1440" w:bottom="1440" w:left="1440" w:header="720" w:footer="720" w:gutter="0"/>
          <w:cols w:space="720"/>
          <w:docGrid w:linePitch="360"/>
        </w:sectPr>
      </w:pPr>
    </w:p>
    <w:p w14:paraId="38E62894" w14:textId="70BADED8" w:rsidR="005079CB" w:rsidRDefault="005079CB" w:rsidP="005079CB">
      <w:pPr>
        <w:jc w:val="center"/>
        <w:rPr>
          <w:b/>
        </w:rPr>
      </w:pPr>
      <w:proofErr w:type="gramStart"/>
      <w:r>
        <w:rPr>
          <w:b/>
        </w:rPr>
        <w:lastRenderedPageBreak/>
        <w:t>Table 5</w:t>
      </w:r>
      <w:r w:rsidR="00FC135B">
        <w:rPr>
          <w:b/>
        </w:rPr>
        <w:t>a.</w:t>
      </w:r>
      <w:proofErr w:type="gramEnd"/>
      <w:r w:rsidRPr="00590C83">
        <w:rPr>
          <w:b/>
        </w:rPr>
        <w:t xml:space="preserve"> Disaggregate </w:t>
      </w:r>
      <w:r w:rsidR="00D66C65">
        <w:rPr>
          <w:b/>
        </w:rPr>
        <w:t>D</w:t>
      </w:r>
      <w:r w:rsidRPr="00590C83">
        <w:rPr>
          <w:b/>
        </w:rPr>
        <w:t xml:space="preserve">ata </w:t>
      </w:r>
      <w:r w:rsidR="00D66C65">
        <w:rPr>
          <w:b/>
        </w:rPr>
        <w:t>F</w:t>
      </w:r>
      <w:r w:rsidRPr="00590C83">
        <w:rPr>
          <w:b/>
        </w:rPr>
        <w:t xml:space="preserve">it </w:t>
      </w:r>
      <w:r w:rsidR="00D66C65">
        <w:rPr>
          <w:b/>
        </w:rPr>
        <w:t>M</w:t>
      </w:r>
      <w:r w:rsidRPr="00590C83">
        <w:rPr>
          <w:b/>
        </w:rPr>
        <w:t>easures</w:t>
      </w:r>
    </w:p>
    <w:tbl>
      <w:tblPr>
        <w:tblStyle w:val="TableGrid"/>
        <w:tblW w:w="8810" w:type="dxa"/>
        <w:jc w:val="center"/>
        <w:tblLook w:val="04A0" w:firstRow="1" w:lastRow="0" w:firstColumn="1" w:lastColumn="0" w:noHBand="0" w:noVBand="1"/>
      </w:tblPr>
      <w:tblGrid>
        <w:gridCol w:w="6228"/>
        <w:gridCol w:w="1322"/>
        <w:gridCol w:w="1260"/>
      </w:tblGrid>
      <w:tr w:rsidR="005079CB" w:rsidRPr="00D66C65" w14:paraId="29F135BA" w14:textId="77777777" w:rsidTr="005A1D67">
        <w:trPr>
          <w:trHeight w:val="432"/>
          <w:jc w:val="center"/>
        </w:trPr>
        <w:tc>
          <w:tcPr>
            <w:tcW w:w="6228" w:type="dxa"/>
            <w:vMerge w:val="restart"/>
            <w:tcBorders>
              <w:top w:val="double" w:sz="4" w:space="0" w:color="auto"/>
              <w:left w:val="double" w:sz="4" w:space="0" w:color="auto"/>
              <w:right w:val="double" w:sz="4" w:space="0" w:color="auto"/>
            </w:tcBorders>
            <w:vAlign w:val="center"/>
          </w:tcPr>
          <w:p w14:paraId="70AF9466" w14:textId="77777777" w:rsidR="005079CB" w:rsidRPr="00D66C65" w:rsidRDefault="005079CB" w:rsidP="005A1D67">
            <w:pPr>
              <w:spacing w:line="240" w:lineRule="auto"/>
              <w:jc w:val="center"/>
              <w:rPr>
                <w:b/>
                <w:sz w:val="20"/>
                <w:szCs w:val="20"/>
              </w:rPr>
            </w:pPr>
            <w:r w:rsidRPr="00D66C65">
              <w:rPr>
                <w:b/>
                <w:sz w:val="20"/>
                <w:szCs w:val="20"/>
              </w:rPr>
              <w:t>Summary Statistics</w:t>
            </w:r>
          </w:p>
        </w:tc>
        <w:tc>
          <w:tcPr>
            <w:tcW w:w="2582" w:type="dxa"/>
            <w:gridSpan w:val="2"/>
            <w:tcBorders>
              <w:top w:val="double" w:sz="4" w:space="0" w:color="auto"/>
              <w:left w:val="double" w:sz="4" w:space="0" w:color="auto"/>
              <w:bottom w:val="double" w:sz="4" w:space="0" w:color="auto"/>
              <w:right w:val="double" w:sz="4" w:space="0" w:color="auto"/>
            </w:tcBorders>
            <w:vAlign w:val="center"/>
          </w:tcPr>
          <w:p w14:paraId="1ADCF6B5" w14:textId="77777777" w:rsidR="005079CB" w:rsidRPr="00D66C65" w:rsidRDefault="005079CB" w:rsidP="005A1D67">
            <w:pPr>
              <w:spacing w:line="240" w:lineRule="auto"/>
              <w:jc w:val="center"/>
              <w:rPr>
                <w:b/>
                <w:sz w:val="20"/>
                <w:szCs w:val="20"/>
              </w:rPr>
            </w:pPr>
            <w:r w:rsidRPr="00D66C65">
              <w:rPr>
                <w:b/>
                <w:sz w:val="20"/>
                <w:szCs w:val="20"/>
              </w:rPr>
              <w:t>Model</w:t>
            </w:r>
          </w:p>
        </w:tc>
      </w:tr>
      <w:tr w:rsidR="005079CB" w:rsidRPr="00D66C65" w14:paraId="439EB701" w14:textId="77777777" w:rsidTr="005A1D67">
        <w:trPr>
          <w:trHeight w:val="432"/>
          <w:jc w:val="center"/>
        </w:trPr>
        <w:tc>
          <w:tcPr>
            <w:tcW w:w="6228" w:type="dxa"/>
            <w:vMerge/>
            <w:tcBorders>
              <w:left w:val="double" w:sz="4" w:space="0" w:color="auto"/>
              <w:bottom w:val="double" w:sz="4" w:space="0" w:color="auto"/>
              <w:right w:val="double" w:sz="4" w:space="0" w:color="auto"/>
            </w:tcBorders>
            <w:vAlign w:val="center"/>
          </w:tcPr>
          <w:p w14:paraId="25A6EE59" w14:textId="77777777" w:rsidR="005079CB" w:rsidRPr="00D66C65" w:rsidRDefault="005079CB" w:rsidP="005A1D67">
            <w:pPr>
              <w:spacing w:line="240" w:lineRule="auto"/>
              <w:jc w:val="center"/>
              <w:rPr>
                <w:b/>
                <w:sz w:val="20"/>
                <w:szCs w:val="20"/>
              </w:rPr>
            </w:pPr>
          </w:p>
        </w:tc>
        <w:tc>
          <w:tcPr>
            <w:tcW w:w="1322" w:type="dxa"/>
            <w:tcBorders>
              <w:top w:val="double" w:sz="4" w:space="0" w:color="auto"/>
              <w:left w:val="double" w:sz="4" w:space="0" w:color="auto"/>
              <w:bottom w:val="double" w:sz="4" w:space="0" w:color="auto"/>
              <w:right w:val="double" w:sz="4" w:space="0" w:color="auto"/>
            </w:tcBorders>
            <w:vAlign w:val="center"/>
          </w:tcPr>
          <w:p w14:paraId="101294A4" w14:textId="77777777" w:rsidR="005079CB" w:rsidRPr="00D66C65" w:rsidRDefault="005079CB" w:rsidP="005A1D67">
            <w:pPr>
              <w:spacing w:line="240" w:lineRule="auto"/>
              <w:jc w:val="center"/>
              <w:rPr>
                <w:b/>
                <w:sz w:val="20"/>
                <w:szCs w:val="20"/>
              </w:rPr>
            </w:pPr>
            <w:r w:rsidRPr="00D66C65">
              <w:rPr>
                <w:b/>
                <w:sz w:val="20"/>
                <w:szCs w:val="20"/>
              </w:rPr>
              <w:t>GHDM</w:t>
            </w:r>
          </w:p>
        </w:tc>
        <w:tc>
          <w:tcPr>
            <w:tcW w:w="1260" w:type="dxa"/>
            <w:tcBorders>
              <w:top w:val="double" w:sz="4" w:space="0" w:color="auto"/>
              <w:left w:val="double" w:sz="4" w:space="0" w:color="auto"/>
              <w:bottom w:val="double" w:sz="4" w:space="0" w:color="auto"/>
              <w:right w:val="double" w:sz="4" w:space="0" w:color="auto"/>
            </w:tcBorders>
            <w:vAlign w:val="center"/>
          </w:tcPr>
          <w:p w14:paraId="33DD15EB" w14:textId="77777777" w:rsidR="005079CB" w:rsidRPr="00D66C65" w:rsidRDefault="005079CB" w:rsidP="005A1D67">
            <w:pPr>
              <w:spacing w:line="240" w:lineRule="auto"/>
              <w:jc w:val="center"/>
              <w:rPr>
                <w:b/>
                <w:sz w:val="20"/>
                <w:szCs w:val="20"/>
              </w:rPr>
            </w:pPr>
            <w:r w:rsidRPr="00D66C65">
              <w:rPr>
                <w:b/>
                <w:sz w:val="20"/>
                <w:szCs w:val="20"/>
              </w:rPr>
              <w:t>IHDM</w:t>
            </w:r>
          </w:p>
        </w:tc>
      </w:tr>
      <w:tr w:rsidR="005079CB" w:rsidRPr="00D66C65" w14:paraId="488D5E66" w14:textId="77777777" w:rsidTr="005A1D67">
        <w:trPr>
          <w:trHeight w:val="432"/>
          <w:jc w:val="center"/>
        </w:trPr>
        <w:tc>
          <w:tcPr>
            <w:tcW w:w="6228" w:type="dxa"/>
            <w:tcBorders>
              <w:top w:val="double" w:sz="4" w:space="0" w:color="auto"/>
              <w:left w:val="double" w:sz="4" w:space="0" w:color="auto"/>
              <w:right w:val="double" w:sz="4" w:space="0" w:color="auto"/>
            </w:tcBorders>
            <w:vAlign w:val="center"/>
          </w:tcPr>
          <w:p w14:paraId="3ADF8B03" w14:textId="77777777" w:rsidR="005079CB" w:rsidRPr="00D66C65" w:rsidRDefault="005079CB" w:rsidP="005A1D67">
            <w:pPr>
              <w:spacing w:line="240" w:lineRule="auto"/>
              <w:rPr>
                <w:sz w:val="20"/>
                <w:szCs w:val="20"/>
              </w:rPr>
            </w:pPr>
            <w:r w:rsidRPr="00D66C65">
              <w:rPr>
                <w:sz w:val="20"/>
                <w:szCs w:val="20"/>
              </w:rPr>
              <w:t>Composite Marginal log-likelihood value at convergence</w:t>
            </w:r>
          </w:p>
        </w:tc>
        <w:tc>
          <w:tcPr>
            <w:tcW w:w="1322" w:type="dxa"/>
            <w:tcBorders>
              <w:top w:val="double" w:sz="4" w:space="0" w:color="auto"/>
              <w:left w:val="double" w:sz="4" w:space="0" w:color="auto"/>
              <w:right w:val="double" w:sz="4" w:space="0" w:color="auto"/>
            </w:tcBorders>
            <w:vAlign w:val="center"/>
          </w:tcPr>
          <w:p w14:paraId="2CE4D047" w14:textId="77777777" w:rsidR="005079CB" w:rsidRPr="00D66C65" w:rsidRDefault="005079CB" w:rsidP="005A1D67">
            <w:pPr>
              <w:spacing w:line="240" w:lineRule="auto"/>
              <w:jc w:val="center"/>
              <w:rPr>
                <w:sz w:val="20"/>
                <w:szCs w:val="20"/>
              </w:rPr>
            </w:pPr>
            <w:r w:rsidRPr="00D66C65">
              <w:rPr>
                <w:sz w:val="20"/>
                <w:szCs w:val="20"/>
              </w:rPr>
              <w:t>-99009.59</w:t>
            </w:r>
          </w:p>
        </w:tc>
        <w:tc>
          <w:tcPr>
            <w:tcW w:w="1260" w:type="dxa"/>
            <w:tcBorders>
              <w:top w:val="double" w:sz="4" w:space="0" w:color="auto"/>
              <w:left w:val="double" w:sz="4" w:space="0" w:color="auto"/>
              <w:right w:val="double" w:sz="4" w:space="0" w:color="auto"/>
            </w:tcBorders>
            <w:vAlign w:val="center"/>
          </w:tcPr>
          <w:p w14:paraId="6116F3A1" w14:textId="77777777" w:rsidR="005079CB" w:rsidRPr="00D66C65" w:rsidRDefault="005079CB" w:rsidP="005A1D67">
            <w:pPr>
              <w:spacing w:line="240" w:lineRule="auto"/>
              <w:jc w:val="center"/>
              <w:rPr>
                <w:sz w:val="20"/>
                <w:szCs w:val="20"/>
              </w:rPr>
            </w:pPr>
            <w:r w:rsidRPr="00D66C65">
              <w:rPr>
                <w:sz w:val="20"/>
                <w:szCs w:val="20"/>
              </w:rPr>
              <w:t>-99640.90</w:t>
            </w:r>
          </w:p>
        </w:tc>
      </w:tr>
      <w:tr w:rsidR="005079CB" w:rsidRPr="00D66C65" w14:paraId="7138BB50" w14:textId="77777777" w:rsidTr="005A1D67">
        <w:trPr>
          <w:trHeight w:val="432"/>
          <w:jc w:val="center"/>
        </w:trPr>
        <w:tc>
          <w:tcPr>
            <w:tcW w:w="6228" w:type="dxa"/>
            <w:tcBorders>
              <w:left w:val="double" w:sz="4" w:space="0" w:color="auto"/>
              <w:right w:val="double" w:sz="4" w:space="0" w:color="auto"/>
            </w:tcBorders>
            <w:vAlign w:val="center"/>
          </w:tcPr>
          <w:p w14:paraId="726B5302" w14:textId="77777777" w:rsidR="005079CB" w:rsidRPr="00D66C65" w:rsidRDefault="005079CB" w:rsidP="005A1D67">
            <w:pPr>
              <w:spacing w:line="240" w:lineRule="auto"/>
              <w:rPr>
                <w:sz w:val="20"/>
                <w:szCs w:val="20"/>
              </w:rPr>
            </w:pPr>
            <w:r w:rsidRPr="00D66C65">
              <w:rPr>
                <w:sz w:val="20"/>
                <w:szCs w:val="20"/>
              </w:rPr>
              <w:t>Composite Likelihood Information Criterion (CLIC)</w:t>
            </w:r>
          </w:p>
        </w:tc>
        <w:tc>
          <w:tcPr>
            <w:tcW w:w="1322" w:type="dxa"/>
            <w:tcBorders>
              <w:left w:val="double" w:sz="4" w:space="0" w:color="auto"/>
              <w:right w:val="double" w:sz="4" w:space="0" w:color="auto"/>
            </w:tcBorders>
            <w:vAlign w:val="center"/>
          </w:tcPr>
          <w:p w14:paraId="1A5C5968" w14:textId="77777777" w:rsidR="005079CB" w:rsidRPr="00D66C65" w:rsidRDefault="005079CB" w:rsidP="005A1D67">
            <w:pPr>
              <w:spacing w:line="240" w:lineRule="auto"/>
              <w:jc w:val="center"/>
              <w:rPr>
                <w:sz w:val="20"/>
                <w:szCs w:val="20"/>
              </w:rPr>
            </w:pPr>
            <w:r w:rsidRPr="00D66C65">
              <w:rPr>
                <w:sz w:val="20"/>
                <w:szCs w:val="20"/>
              </w:rPr>
              <w:t>-99257.24</w:t>
            </w:r>
          </w:p>
        </w:tc>
        <w:tc>
          <w:tcPr>
            <w:tcW w:w="1260" w:type="dxa"/>
            <w:tcBorders>
              <w:left w:val="double" w:sz="4" w:space="0" w:color="auto"/>
              <w:right w:val="double" w:sz="4" w:space="0" w:color="auto"/>
            </w:tcBorders>
            <w:vAlign w:val="center"/>
          </w:tcPr>
          <w:p w14:paraId="63DEB0FD" w14:textId="77777777" w:rsidR="005079CB" w:rsidRPr="00D66C65" w:rsidRDefault="005079CB" w:rsidP="005A1D67">
            <w:pPr>
              <w:spacing w:line="240" w:lineRule="auto"/>
              <w:jc w:val="center"/>
              <w:rPr>
                <w:sz w:val="20"/>
                <w:szCs w:val="20"/>
              </w:rPr>
            </w:pPr>
            <w:r w:rsidRPr="00D66C65">
              <w:rPr>
                <w:sz w:val="20"/>
                <w:szCs w:val="20"/>
              </w:rPr>
              <w:t>-99956.41</w:t>
            </w:r>
          </w:p>
        </w:tc>
      </w:tr>
      <w:tr w:rsidR="005079CB" w:rsidRPr="00D66C65" w14:paraId="4D1542B3" w14:textId="77777777" w:rsidTr="005A1D67">
        <w:trPr>
          <w:trHeight w:val="432"/>
          <w:jc w:val="center"/>
        </w:trPr>
        <w:tc>
          <w:tcPr>
            <w:tcW w:w="6228" w:type="dxa"/>
            <w:tcBorders>
              <w:left w:val="double" w:sz="4" w:space="0" w:color="auto"/>
              <w:right w:val="double" w:sz="4" w:space="0" w:color="auto"/>
            </w:tcBorders>
            <w:vAlign w:val="center"/>
          </w:tcPr>
          <w:p w14:paraId="2876F15D" w14:textId="77777777" w:rsidR="005079CB" w:rsidRPr="00D66C65" w:rsidRDefault="005079CB" w:rsidP="005A1D67">
            <w:pPr>
              <w:spacing w:line="240" w:lineRule="auto"/>
              <w:rPr>
                <w:sz w:val="20"/>
                <w:szCs w:val="20"/>
              </w:rPr>
            </w:pPr>
            <w:r w:rsidRPr="00D66C65">
              <w:rPr>
                <w:sz w:val="20"/>
                <w:szCs w:val="20"/>
              </w:rPr>
              <w:t>Log-likelihood at constants</w:t>
            </w:r>
          </w:p>
        </w:tc>
        <w:tc>
          <w:tcPr>
            <w:tcW w:w="2582" w:type="dxa"/>
            <w:gridSpan w:val="2"/>
            <w:tcBorders>
              <w:left w:val="double" w:sz="4" w:space="0" w:color="auto"/>
              <w:right w:val="double" w:sz="4" w:space="0" w:color="auto"/>
            </w:tcBorders>
            <w:vAlign w:val="center"/>
          </w:tcPr>
          <w:p w14:paraId="761635A7" w14:textId="44C0E022" w:rsidR="005079CB" w:rsidRPr="00D66C65" w:rsidRDefault="002C2866" w:rsidP="005A1D67">
            <w:pPr>
              <w:spacing w:line="240" w:lineRule="auto"/>
              <w:jc w:val="center"/>
              <w:rPr>
                <w:sz w:val="20"/>
                <w:szCs w:val="20"/>
              </w:rPr>
            </w:pPr>
            <w:r w:rsidRPr="00D66C65">
              <w:rPr>
                <w:sz w:val="20"/>
                <w:szCs w:val="20"/>
              </w:rPr>
              <w:t>-11965.33</w:t>
            </w:r>
          </w:p>
        </w:tc>
      </w:tr>
      <w:tr w:rsidR="005079CB" w:rsidRPr="00D66C65" w14:paraId="2F3D48B4" w14:textId="77777777" w:rsidTr="005A1D67">
        <w:trPr>
          <w:trHeight w:val="432"/>
          <w:jc w:val="center"/>
        </w:trPr>
        <w:tc>
          <w:tcPr>
            <w:tcW w:w="6228" w:type="dxa"/>
            <w:tcBorders>
              <w:left w:val="double" w:sz="4" w:space="0" w:color="auto"/>
              <w:right w:val="double" w:sz="4" w:space="0" w:color="auto"/>
            </w:tcBorders>
            <w:vAlign w:val="center"/>
          </w:tcPr>
          <w:p w14:paraId="43ACB0C2" w14:textId="77777777" w:rsidR="005079CB" w:rsidRPr="00D66C65" w:rsidRDefault="005079CB" w:rsidP="005A1D67">
            <w:pPr>
              <w:spacing w:line="240" w:lineRule="auto"/>
              <w:rPr>
                <w:sz w:val="20"/>
                <w:szCs w:val="20"/>
              </w:rPr>
            </w:pPr>
            <w:r w:rsidRPr="00D66C65">
              <w:rPr>
                <w:sz w:val="20"/>
                <w:szCs w:val="20"/>
              </w:rPr>
              <w:t>Predictive log-likelihood at convergence</w:t>
            </w:r>
          </w:p>
        </w:tc>
        <w:tc>
          <w:tcPr>
            <w:tcW w:w="1322" w:type="dxa"/>
            <w:tcBorders>
              <w:left w:val="double" w:sz="4" w:space="0" w:color="auto"/>
              <w:right w:val="double" w:sz="4" w:space="0" w:color="auto"/>
            </w:tcBorders>
            <w:vAlign w:val="center"/>
          </w:tcPr>
          <w:p w14:paraId="5305D340" w14:textId="49982B76" w:rsidR="005079CB" w:rsidRPr="00D66C65" w:rsidRDefault="002C2866" w:rsidP="005A1D67">
            <w:pPr>
              <w:spacing w:line="240" w:lineRule="auto"/>
              <w:jc w:val="center"/>
              <w:rPr>
                <w:sz w:val="20"/>
                <w:szCs w:val="20"/>
              </w:rPr>
            </w:pPr>
            <w:r w:rsidRPr="00D66C65">
              <w:rPr>
                <w:sz w:val="20"/>
                <w:szCs w:val="20"/>
              </w:rPr>
              <w:t>-10726.62</w:t>
            </w:r>
          </w:p>
        </w:tc>
        <w:tc>
          <w:tcPr>
            <w:tcW w:w="1260" w:type="dxa"/>
            <w:tcBorders>
              <w:left w:val="double" w:sz="4" w:space="0" w:color="auto"/>
              <w:right w:val="double" w:sz="4" w:space="0" w:color="auto"/>
            </w:tcBorders>
            <w:vAlign w:val="center"/>
          </w:tcPr>
          <w:p w14:paraId="218610C0" w14:textId="048A918C" w:rsidR="005079CB" w:rsidRPr="00D66C65" w:rsidRDefault="002C2866" w:rsidP="005A1D67">
            <w:pPr>
              <w:spacing w:line="240" w:lineRule="auto"/>
              <w:jc w:val="center"/>
              <w:rPr>
                <w:sz w:val="20"/>
                <w:szCs w:val="20"/>
              </w:rPr>
            </w:pPr>
            <w:r w:rsidRPr="00D66C65">
              <w:rPr>
                <w:sz w:val="20"/>
                <w:szCs w:val="20"/>
              </w:rPr>
              <w:t>-11438.43</w:t>
            </w:r>
          </w:p>
        </w:tc>
      </w:tr>
      <w:tr w:rsidR="005079CB" w:rsidRPr="00D66C65" w14:paraId="5FAD898A" w14:textId="77777777" w:rsidTr="005A1D67">
        <w:trPr>
          <w:trHeight w:val="432"/>
          <w:jc w:val="center"/>
        </w:trPr>
        <w:tc>
          <w:tcPr>
            <w:tcW w:w="6228" w:type="dxa"/>
            <w:tcBorders>
              <w:left w:val="double" w:sz="4" w:space="0" w:color="auto"/>
              <w:right w:val="double" w:sz="4" w:space="0" w:color="auto"/>
            </w:tcBorders>
            <w:vAlign w:val="center"/>
          </w:tcPr>
          <w:p w14:paraId="5D1AE8A5" w14:textId="77777777" w:rsidR="005079CB" w:rsidRPr="00D66C65" w:rsidRDefault="005079CB" w:rsidP="005A1D67">
            <w:pPr>
              <w:spacing w:line="240" w:lineRule="auto"/>
              <w:rPr>
                <w:sz w:val="20"/>
                <w:szCs w:val="20"/>
              </w:rPr>
            </w:pPr>
            <w:r w:rsidRPr="00D66C65">
              <w:rPr>
                <w:sz w:val="20"/>
                <w:szCs w:val="20"/>
              </w:rPr>
              <w:t>Number of parameters</w:t>
            </w:r>
          </w:p>
        </w:tc>
        <w:tc>
          <w:tcPr>
            <w:tcW w:w="1322" w:type="dxa"/>
            <w:tcBorders>
              <w:left w:val="double" w:sz="4" w:space="0" w:color="auto"/>
              <w:right w:val="double" w:sz="4" w:space="0" w:color="auto"/>
            </w:tcBorders>
            <w:vAlign w:val="center"/>
          </w:tcPr>
          <w:p w14:paraId="6C5BF82D" w14:textId="77777777" w:rsidR="005079CB" w:rsidRPr="00D66C65" w:rsidRDefault="005079CB" w:rsidP="005A1D67">
            <w:pPr>
              <w:spacing w:line="240" w:lineRule="auto"/>
              <w:jc w:val="center"/>
              <w:rPr>
                <w:sz w:val="20"/>
                <w:szCs w:val="20"/>
              </w:rPr>
            </w:pPr>
            <w:r w:rsidRPr="00D66C65">
              <w:rPr>
                <w:sz w:val="20"/>
                <w:szCs w:val="20"/>
              </w:rPr>
              <w:t>116</w:t>
            </w:r>
          </w:p>
        </w:tc>
        <w:tc>
          <w:tcPr>
            <w:tcW w:w="1260" w:type="dxa"/>
            <w:tcBorders>
              <w:left w:val="double" w:sz="4" w:space="0" w:color="auto"/>
              <w:right w:val="double" w:sz="4" w:space="0" w:color="auto"/>
            </w:tcBorders>
            <w:vAlign w:val="center"/>
          </w:tcPr>
          <w:p w14:paraId="1F4CC851" w14:textId="77777777" w:rsidR="005079CB" w:rsidRPr="00D66C65" w:rsidRDefault="005079CB" w:rsidP="005A1D67">
            <w:pPr>
              <w:spacing w:line="240" w:lineRule="auto"/>
              <w:jc w:val="center"/>
              <w:rPr>
                <w:sz w:val="20"/>
                <w:szCs w:val="20"/>
              </w:rPr>
            </w:pPr>
            <w:r w:rsidRPr="00D66C65">
              <w:rPr>
                <w:sz w:val="20"/>
                <w:szCs w:val="20"/>
              </w:rPr>
              <w:t>146</w:t>
            </w:r>
          </w:p>
        </w:tc>
      </w:tr>
      <w:tr w:rsidR="005079CB" w:rsidRPr="00D66C65" w14:paraId="309F50B0" w14:textId="77777777" w:rsidTr="005A1D67">
        <w:trPr>
          <w:trHeight w:val="432"/>
          <w:jc w:val="center"/>
        </w:trPr>
        <w:tc>
          <w:tcPr>
            <w:tcW w:w="6228" w:type="dxa"/>
            <w:tcBorders>
              <w:left w:val="double" w:sz="4" w:space="0" w:color="auto"/>
              <w:right w:val="double" w:sz="4" w:space="0" w:color="auto"/>
            </w:tcBorders>
            <w:vAlign w:val="center"/>
          </w:tcPr>
          <w:p w14:paraId="1F82633A" w14:textId="77777777" w:rsidR="005079CB" w:rsidRPr="00D66C65" w:rsidRDefault="005079CB" w:rsidP="005A1D67">
            <w:pPr>
              <w:spacing w:line="240" w:lineRule="auto"/>
              <w:rPr>
                <w:sz w:val="20"/>
                <w:szCs w:val="20"/>
              </w:rPr>
            </w:pPr>
            <w:r w:rsidRPr="00D66C65">
              <w:rPr>
                <w:sz w:val="20"/>
                <w:szCs w:val="20"/>
              </w:rPr>
              <w:t>Number of observations</w:t>
            </w:r>
          </w:p>
        </w:tc>
        <w:tc>
          <w:tcPr>
            <w:tcW w:w="1322" w:type="dxa"/>
            <w:tcBorders>
              <w:left w:val="double" w:sz="4" w:space="0" w:color="auto"/>
              <w:right w:val="double" w:sz="4" w:space="0" w:color="auto"/>
            </w:tcBorders>
            <w:vAlign w:val="center"/>
          </w:tcPr>
          <w:p w14:paraId="682577B8" w14:textId="77777777" w:rsidR="005079CB" w:rsidRPr="00D66C65" w:rsidRDefault="005079CB" w:rsidP="005A1D67">
            <w:pPr>
              <w:spacing w:line="240" w:lineRule="auto"/>
              <w:jc w:val="center"/>
              <w:rPr>
                <w:sz w:val="20"/>
                <w:szCs w:val="20"/>
              </w:rPr>
            </w:pPr>
            <w:r w:rsidRPr="00D66C65">
              <w:rPr>
                <w:sz w:val="20"/>
                <w:szCs w:val="20"/>
              </w:rPr>
              <w:t>1421</w:t>
            </w:r>
          </w:p>
        </w:tc>
        <w:tc>
          <w:tcPr>
            <w:tcW w:w="1260" w:type="dxa"/>
            <w:tcBorders>
              <w:left w:val="double" w:sz="4" w:space="0" w:color="auto"/>
              <w:right w:val="double" w:sz="4" w:space="0" w:color="auto"/>
            </w:tcBorders>
            <w:vAlign w:val="center"/>
          </w:tcPr>
          <w:p w14:paraId="006EAAE9" w14:textId="77777777" w:rsidR="005079CB" w:rsidRPr="00D66C65" w:rsidRDefault="005079CB" w:rsidP="005A1D67">
            <w:pPr>
              <w:spacing w:line="240" w:lineRule="auto"/>
              <w:jc w:val="center"/>
              <w:rPr>
                <w:sz w:val="20"/>
                <w:szCs w:val="20"/>
              </w:rPr>
            </w:pPr>
            <w:r w:rsidRPr="00D66C65">
              <w:rPr>
                <w:sz w:val="20"/>
                <w:szCs w:val="20"/>
              </w:rPr>
              <w:t>1421</w:t>
            </w:r>
          </w:p>
        </w:tc>
      </w:tr>
      <w:tr w:rsidR="005079CB" w:rsidRPr="00D66C65" w14:paraId="374DC104" w14:textId="77777777" w:rsidTr="005A1D67">
        <w:trPr>
          <w:trHeight w:val="432"/>
          <w:jc w:val="center"/>
        </w:trPr>
        <w:tc>
          <w:tcPr>
            <w:tcW w:w="6228" w:type="dxa"/>
            <w:tcBorders>
              <w:left w:val="double" w:sz="4" w:space="0" w:color="auto"/>
              <w:bottom w:val="single" w:sz="4" w:space="0" w:color="auto"/>
              <w:right w:val="double" w:sz="4" w:space="0" w:color="auto"/>
            </w:tcBorders>
            <w:vAlign w:val="center"/>
          </w:tcPr>
          <w:p w14:paraId="6AE73193" w14:textId="77777777" w:rsidR="005079CB" w:rsidRPr="00D66C65" w:rsidRDefault="005079CB" w:rsidP="005A1D67">
            <w:pPr>
              <w:spacing w:line="240" w:lineRule="auto"/>
              <w:rPr>
                <w:sz w:val="20"/>
                <w:szCs w:val="20"/>
              </w:rPr>
            </w:pPr>
            <w:r w:rsidRPr="00D66C65">
              <w:rPr>
                <w:sz w:val="20"/>
                <w:szCs w:val="20"/>
              </w:rPr>
              <w:t xml:space="preserve">Predictive adjusted likelihood ratio index </w:t>
            </w:r>
          </w:p>
        </w:tc>
        <w:tc>
          <w:tcPr>
            <w:tcW w:w="1322" w:type="dxa"/>
            <w:tcBorders>
              <w:left w:val="double" w:sz="4" w:space="0" w:color="auto"/>
              <w:bottom w:val="single" w:sz="4" w:space="0" w:color="auto"/>
              <w:right w:val="double" w:sz="4" w:space="0" w:color="auto"/>
            </w:tcBorders>
            <w:vAlign w:val="center"/>
          </w:tcPr>
          <w:p w14:paraId="4265BE3D" w14:textId="08880CA2" w:rsidR="005079CB" w:rsidRPr="00D66C65" w:rsidRDefault="002C2866" w:rsidP="005A1D67">
            <w:pPr>
              <w:spacing w:line="240" w:lineRule="auto"/>
              <w:jc w:val="center"/>
              <w:rPr>
                <w:sz w:val="20"/>
                <w:szCs w:val="20"/>
              </w:rPr>
            </w:pPr>
            <w:r w:rsidRPr="00D66C65">
              <w:rPr>
                <w:sz w:val="20"/>
                <w:szCs w:val="20"/>
              </w:rPr>
              <w:t>0.094</w:t>
            </w:r>
          </w:p>
        </w:tc>
        <w:tc>
          <w:tcPr>
            <w:tcW w:w="1260" w:type="dxa"/>
            <w:tcBorders>
              <w:left w:val="double" w:sz="4" w:space="0" w:color="auto"/>
              <w:bottom w:val="single" w:sz="4" w:space="0" w:color="auto"/>
              <w:right w:val="double" w:sz="4" w:space="0" w:color="auto"/>
            </w:tcBorders>
            <w:vAlign w:val="center"/>
          </w:tcPr>
          <w:p w14:paraId="544006B2" w14:textId="47400D37" w:rsidR="005079CB" w:rsidRPr="00D66C65" w:rsidRDefault="002C2866" w:rsidP="005A1D67">
            <w:pPr>
              <w:spacing w:line="240" w:lineRule="auto"/>
              <w:jc w:val="center"/>
              <w:rPr>
                <w:sz w:val="20"/>
                <w:szCs w:val="20"/>
              </w:rPr>
            </w:pPr>
            <w:r w:rsidRPr="00D66C65">
              <w:rPr>
                <w:sz w:val="20"/>
                <w:szCs w:val="20"/>
              </w:rPr>
              <w:t>0.0</w:t>
            </w:r>
            <w:r w:rsidR="005079CB" w:rsidRPr="00D66C65">
              <w:rPr>
                <w:sz w:val="20"/>
                <w:szCs w:val="20"/>
              </w:rPr>
              <w:t>32</w:t>
            </w:r>
          </w:p>
        </w:tc>
      </w:tr>
      <w:tr w:rsidR="005079CB" w:rsidRPr="00D66C65" w14:paraId="18D1DBFC" w14:textId="77777777" w:rsidTr="005A1D67">
        <w:trPr>
          <w:trHeight w:val="432"/>
          <w:jc w:val="center"/>
        </w:trPr>
        <w:tc>
          <w:tcPr>
            <w:tcW w:w="6228" w:type="dxa"/>
            <w:tcBorders>
              <w:left w:val="double" w:sz="4" w:space="0" w:color="auto"/>
              <w:bottom w:val="double" w:sz="4" w:space="0" w:color="auto"/>
              <w:right w:val="double" w:sz="4" w:space="0" w:color="auto"/>
            </w:tcBorders>
            <w:vAlign w:val="center"/>
          </w:tcPr>
          <w:p w14:paraId="3CF294F0" w14:textId="77777777" w:rsidR="005079CB" w:rsidRPr="00D66C65" w:rsidRDefault="005079CB" w:rsidP="005A1D67">
            <w:pPr>
              <w:spacing w:line="240" w:lineRule="auto"/>
              <w:rPr>
                <w:sz w:val="20"/>
                <w:szCs w:val="20"/>
              </w:rPr>
            </w:pPr>
            <w:r w:rsidRPr="00D66C65">
              <w:rPr>
                <w:sz w:val="20"/>
                <w:szCs w:val="20"/>
              </w:rPr>
              <w:t xml:space="preserve">Non-nested adjusted likelihood ratio test between the GHDM and IHDM </w:t>
            </w:r>
          </w:p>
        </w:tc>
        <w:tc>
          <w:tcPr>
            <w:tcW w:w="2582" w:type="dxa"/>
            <w:gridSpan w:val="2"/>
            <w:tcBorders>
              <w:left w:val="double" w:sz="4" w:space="0" w:color="auto"/>
              <w:bottom w:val="double" w:sz="4" w:space="0" w:color="auto"/>
              <w:right w:val="double" w:sz="4" w:space="0" w:color="auto"/>
            </w:tcBorders>
            <w:vAlign w:val="center"/>
          </w:tcPr>
          <w:p w14:paraId="414896E6" w14:textId="648EC6DD" w:rsidR="005079CB" w:rsidRPr="00D66C65" w:rsidRDefault="00E473F4" w:rsidP="00E473F4">
            <w:pPr>
              <w:spacing w:line="240" w:lineRule="auto"/>
              <w:jc w:val="center"/>
              <w:rPr>
                <w:sz w:val="20"/>
                <w:szCs w:val="20"/>
              </w:rPr>
            </w:pPr>
            <w:r>
              <w:rPr>
                <w:sz w:val="20"/>
                <w:szCs w:val="20"/>
              </w:rPr>
              <w:t>Φ[–36.09]&lt;&lt;0.0001</w:t>
            </w:r>
          </w:p>
        </w:tc>
      </w:tr>
    </w:tbl>
    <w:p w14:paraId="06F9E32E" w14:textId="77777777" w:rsidR="001E4CB5" w:rsidRDefault="001E4CB5" w:rsidP="001E4CB5">
      <w:pPr>
        <w:jc w:val="center"/>
        <w:rPr>
          <w:b/>
        </w:rPr>
      </w:pPr>
    </w:p>
    <w:p w14:paraId="0F357BD6" w14:textId="77777777" w:rsidR="00D66C65" w:rsidRDefault="00D66C65" w:rsidP="001E4CB5">
      <w:pPr>
        <w:jc w:val="center"/>
        <w:rPr>
          <w:b/>
        </w:rPr>
      </w:pPr>
    </w:p>
    <w:p w14:paraId="45B8DBA7" w14:textId="77777777" w:rsidR="005A1D67" w:rsidRDefault="005A1D67" w:rsidP="001E4CB5">
      <w:pPr>
        <w:jc w:val="center"/>
        <w:rPr>
          <w:b/>
        </w:rPr>
      </w:pPr>
    </w:p>
    <w:p w14:paraId="188C8438" w14:textId="0A40D55D" w:rsidR="001E4CB5" w:rsidRDefault="00FC135B" w:rsidP="001E4CB5">
      <w:pPr>
        <w:jc w:val="center"/>
        <w:rPr>
          <w:b/>
        </w:rPr>
      </w:pPr>
      <w:proofErr w:type="gramStart"/>
      <w:r>
        <w:rPr>
          <w:b/>
        </w:rPr>
        <w:t>Table 5b.</w:t>
      </w:r>
      <w:proofErr w:type="gramEnd"/>
      <w:r w:rsidR="001E4CB5">
        <w:rPr>
          <w:b/>
        </w:rPr>
        <w:t xml:space="preserve"> A</w:t>
      </w:r>
      <w:r w:rsidR="001E4CB5" w:rsidRPr="00590C83">
        <w:rPr>
          <w:b/>
        </w:rPr>
        <w:t xml:space="preserve">ggregate </w:t>
      </w:r>
      <w:r w:rsidR="00D66C65">
        <w:rPr>
          <w:b/>
        </w:rPr>
        <w:t>D</w:t>
      </w:r>
      <w:r w:rsidR="001E4CB5" w:rsidRPr="00590C83">
        <w:rPr>
          <w:b/>
        </w:rPr>
        <w:t xml:space="preserve">ata </w:t>
      </w:r>
      <w:r w:rsidR="00D66C65">
        <w:rPr>
          <w:b/>
        </w:rPr>
        <w:t>F</w:t>
      </w:r>
      <w:r w:rsidR="001E4CB5" w:rsidRPr="00590C83">
        <w:rPr>
          <w:b/>
        </w:rPr>
        <w:t xml:space="preserve">it </w:t>
      </w:r>
      <w:r w:rsidR="00D66C65">
        <w:rPr>
          <w:b/>
        </w:rPr>
        <w:t>M</w:t>
      </w:r>
      <w:r w:rsidR="001E4CB5" w:rsidRPr="00590C83">
        <w:rPr>
          <w:b/>
        </w:rPr>
        <w:t>easures</w:t>
      </w:r>
    </w:p>
    <w:tbl>
      <w:tblPr>
        <w:tblStyle w:val="TableGrid1"/>
        <w:tblW w:w="8848" w:type="dxa"/>
        <w:jc w:val="center"/>
        <w:tblInd w:w="29" w:type="dxa"/>
        <w:tblLayout w:type="fixed"/>
        <w:tblLook w:val="04A0" w:firstRow="1" w:lastRow="0" w:firstColumn="1" w:lastColumn="0" w:noHBand="0" w:noVBand="1"/>
      </w:tblPr>
      <w:tblGrid>
        <w:gridCol w:w="3668"/>
        <w:gridCol w:w="1125"/>
        <w:gridCol w:w="1057"/>
        <w:gridCol w:w="889"/>
        <w:gridCol w:w="1080"/>
        <w:gridCol w:w="1029"/>
      </w:tblGrid>
      <w:tr w:rsidR="001E4CB5" w:rsidRPr="00D66C65" w14:paraId="130D7762" w14:textId="77777777" w:rsidTr="001B69D9">
        <w:trPr>
          <w:trHeight w:val="288"/>
          <w:jc w:val="center"/>
        </w:trPr>
        <w:tc>
          <w:tcPr>
            <w:tcW w:w="3668" w:type="dxa"/>
            <w:vMerge w:val="restart"/>
            <w:tcBorders>
              <w:top w:val="double" w:sz="4" w:space="0" w:color="auto"/>
              <w:left w:val="double" w:sz="4" w:space="0" w:color="auto"/>
              <w:right w:val="double" w:sz="4" w:space="0" w:color="auto"/>
            </w:tcBorders>
            <w:vAlign w:val="center"/>
          </w:tcPr>
          <w:p w14:paraId="61B90F1D" w14:textId="77777777" w:rsidR="001E4CB5" w:rsidRPr="00D66C65" w:rsidRDefault="001E4CB5" w:rsidP="00D66C65">
            <w:pPr>
              <w:spacing w:line="240" w:lineRule="auto"/>
              <w:jc w:val="center"/>
              <w:rPr>
                <w:rFonts w:eastAsia="Calibri"/>
                <w:b/>
                <w:sz w:val="20"/>
                <w:szCs w:val="20"/>
              </w:rPr>
            </w:pPr>
            <w:r w:rsidRPr="00D66C65">
              <w:rPr>
                <w:rFonts w:eastAsia="Calibri"/>
                <w:b/>
                <w:sz w:val="20"/>
                <w:szCs w:val="20"/>
              </w:rPr>
              <w:t>Alternative</w:t>
            </w:r>
          </w:p>
        </w:tc>
        <w:tc>
          <w:tcPr>
            <w:tcW w:w="1125" w:type="dxa"/>
            <w:vMerge w:val="restart"/>
            <w:tcBorders>
              <w:top w:val="double" w:sz="4" w:space="0" w:color="auto"/>
              <w:left w:val="double" w:sz="4" w:space="0" w:color="auto"/>
              <w:right w:val="double" w:sz="4" w:space="0" w:color="auto"/>
            </w:tcBorders>
            <w:vAlign w:val="center"/>
          </w:tcPr>
          <w:p w14:paraId="1385C346" w14:textId="77777777" w:rsidR="001E4CB5" w:rsidRPr="00D66C65" w:rsidRDefault="001E4CB5" w:rsidP="00D66C65">
            <w:pPr>
              <w:spacing w:line="240" w:lineRule="auto"/>
              <w:jc w:val="center"/>
              <w:rPr>
                <w:rFonts w:eastAsia="Calibri"/>
                <w:b/>
                <w:sz w:val="20"/>
                <w:szCs w:val="20"/>
              </w:rPr>
            </w:pPr>
            <w:r w:rsidRPr="00D66C65">
              <w:rPr>
                <w:rFonts w:eastAsia="Calibri"/>
                <w:b/>
                <w:sz w:val="20"/>
                <w:szCs w:val="20"/>
              </w:rPr>
              <w:t>Observed Share</w:t>
            </w:r>
          </w:p>
        </w:tc>
        <w:tc>
          <w:tcPr>
            <w:tcW w:w="1946" w:type="dxa"/>
            <w:gridSpan w:val="2"/>
            <w:tcBorders>
              <w:top w:val="double" w:sz="4" w:space="0" w:color="auto"/>
              <w:left w:val="double" w:sz="4" w:space="0" w:color="auto"/>
              <w:bottom w:val="double" w:sz="4" w:space="0" w:color="auto"/>
              <w:right w:val="double" w:sz="4" w:space="0" w:color="auto"/>
            </w:tcBorders>
            <w:vAlign w:val="center"/>
          </w:tcPr>
          <w:p w14:paraId="0DA111F3" w14:textId="77777777" w:rsidR="001E4CB5" w:rsidRPr="00D66C65" w:rsidRDefault="001E4CB5" w:rsidP="00D66C65">
            <w:pPr>
              <w:spacing w:line="240" w:lineRule="auto"/>
              <w:jc w:val="center"/>
              <w:rPr>
                <w:rFonts w:eastAsia="Calibri"/>
                <w:b/>
                <w:sz w:val="20"/>
                <w:szCs w:val="20"/>
              </w:rPr>
            </w:pPr>
            <w:r w:rsidRPr="00D66C65">
              <w:rPr>
                <w:rFonts w:eastAsia="Calibri"/>
                <w:b/>
                <w:sz w:val="20"/>
                <w:szCs w:val="20"/>
              </w:rPr>
              <w:t>GHDM</w:t>
            </w:r>
          </w:p>
        </w:tc>
        <w:tc>
          <w:tcPr>
            <w:tcW w:w="2109" w:type="dxa"/>
            <w:gridSpan w:val="2"/>
            <w:tcBorders>
              <w:top w:val="double" w:sz="4" w:space="0" w:color="auto"/>
              <w:left w:val="double" w:sz="4" w:space="0" w:color="auto"/>
              <w:bottom w:val="double" w:sz="4" w:space="0" w:color="auto"/>
              <w:right w:val="double" w:sz="4" w:space="0" w:color="auto"/>
            </w:tcBorders>
            <w:vAlign w:val="center"/>
          </w:tcPr>
          <w:p w14:paraId="773A4F9F" w14:textId="77777777" w:rsidR="001E4CB5" w:rsidRPr="00D66C65" w:rsidRDefault="001E4CB5" w:rsidP="00D66C65">
            <w:pPr>
              <w:spacing w:line="240" w:lineRule="auto"/>
              <w:jc w:val="center"/>
              <w:rPr>
                <w:rFonts w:eastAsia="Calibri"/>
                <w:b/>
                <w:sz w:val="20"/>
                <w:szCs w:val="20"/>
              </w:rPr>
            </w:pPr>
            <w:r w:rsidRPr="00D66C65">
              <w:rPr>
                <w:rFonts w:eastAsia="Calibri"/>
                <w:b/>
                <w:sz w:val="20"/>
                <w:szCs w:val="20"/>
              </w:rPr>
              <w:t>IHDM</w:t>
            </w:r>
          </w:p>
        </w:tc>
      </w:tr>
      <w:tr w:rsidR="001E4CB5" w:rsidRPr="00D66C65" w14:paraId="1F8AB8D2" w14:textId="77777777" w:rsidTr="001B69D9">
        <w:trPr>
          <w:trHeight w:val="599"/>
          <w:jc w:val="center"/>
        </w:trPr>
        <w:tc>
          <w:tcPr>
            <w:tcW w:w="3668" w:type="dxa"/>
            <w:vMerge/>
            <w:tcBorders>
              <w:left w:val="double" w:sz="4" w:space="0" w:color="auto"/>
              <w:bottom w:val="double" w:sz="4" w:space="0" w:color="auto"/>
              <w:right w:val="double" w:sz="4" w:space="0" w:color="auto"/>
            </w:tcBorders>
            <w:vAlign w:val="center"/>
          </w:tcPr>
          <w:p w14:paraId="06A99E61" w14:textId="77777777" w:rsidR="001E4CB5" w:rsidRPr="00D66C65" w:rsidRDefault="001E4CB5" w:rsidP="00D66C65">
            <w:pPr>
              <w:spacing w:line="240" w:lineRule="auto"/>
              <w:jc w:val="center"/>
              <w:rPr>
                <w:rFonts w:eastAsia="Calibri"/>
                <w:b/>
                <w:sz w:val="20"/>
                <w:szCs w:val="20"/>
              </w:rPr>
            </w:pPr>
          </w:p>
        </w:tc>
        <w:tc>
          <w:tcPr>
            <w:tcW w:w="1125" w:type="dxa"/>
            <w:vMerge/>
            <w:tcBorders>
              <w:left w:val="double" w:sz="4" w:space="0" w:color="auto"/>
              <w:bottom w:val="double" w:sz="4" w:space="0" w:color="auto"/>
              <w:right w:val="double" w:sz="4" w:space="0" w:color="auto"/>
            </w:tcBorders>
            <w:vAlign w:val="center"/>
          </w:tcPr>
          <w:p w14:paraId="342DB66C" w14:textId="77777777" w:rsidR="001E4CB5" w:rsidRPr="00D66C65" w:rsidRDefault="001E4CB5" w:rsidP="00D66C65">
            <w:pPr>
              <w:spacing w:line="240" w:lineRule="auto"/>
              <w:jc w:val="center"/>
              <w:rPr>
                <w:rFonts w:eastAsia="Calibri"/>
                <w:b/>
                <w:sz w:val="20"/>
                <w:szCs w:val="20"/>
              </w:rPr>
            </w:pPr>
          </w:p>
        </w:tc>
        <w:tc>
          <w:tcPr>
            <w:tcW w:w="1057" w:type="dxa"/>
            <w:tcBorders>
              <w:top w:val="double" w:sz="4" w:space="0" w:color="auto"/>
              <w:left w:val="double" w:sz="4" w:space="0" w:color="auto"/>
              <w:bottom w:val="double" w:sz="4" w:space="0" w:color="auto"/>
            </w:tcBorders>
            <w:vAlign w:val="center"/>
          </w:tcPr>
          <w:p w14:paraId="58BC1623" w14:textId="77777777" w:rsidR="001E4CB5" w:rsidRPr="00D66C65" w:rsidRDefault="001E4CB5" w:rsidP="00D66C65">
            <w:pPr>
              <w:spacing w:line="240" w:lineRule="auto"/>
              <w:jc w:val="center"/>
              <w:rPr>
                <w:rFonts w:eastAsia="Calibri"/>
                <w:b/>
                <w:sz w:val="20"/>
                <w:szCs w:val="20"/>
              </w:rPr>
            </w:pPr>
            <w:r w:rsidRPr="00D66C65">
              <w:rPr>
                <w:rFonts w:eastAsia="Calibri"/>
                <w:b/>
                <w:sz w:val="20"/>
                <w:szCs w:val="20"/>
              </w:rPr>
              <w:t>Predicted Share</w:t>
            </w:r>
          </w:p>
        </w:tc>
        <w:tc>
          <w:tcPr>
            <w:tcW w:w="889" w:type="dxa"/>
            <w:tcBorders>
              <w:top w:val="double" w:sz="4" w:space="0" w:color="auto"/>
              <w:bottom w:val="double" w:sz="4" w:space="0" w:color="auto"/>
              <w:right w:val="double" w:sz="4" w:space="0" w:color="auto"/>
            </w:tcBorders>
            <w:vAlign w:val="center"/>
          </w:tcPr>
          <w:p w14:paraId="42AA32CD" w14:textId="77777777" w:rsidR="001E4CB5" w:rsidRPr="00D66C65" w:rsidRDefault="001E4CB5" w:rsidP="00D66C65">
            <w:pPr>
              <w:spacing w:line="240" w:lineRule="auto"/>
              <w:jc w:val="center"/>
              <w:rPr>
                <w:rFonts w:eastAsia="Calibri"/>
                <w:b/>
                <w:sz w:val="20"/>
                <w:szCs w:val="20"/>
              </w:rPr>
            </w:pPr>
            <w:r w:rsidRPr="00D66C65">
              <w:rPr>
                <w:rFonts w:eastAsia="Calibri"/>
                <w:b/>
                <w:sz w:val="20"/>
                <w:szCs w:val="20"/>
              </w:rPr>
              <w:t>APE*</w:t>
            </w:r>
          </w:p>
        </w:tc>
        <w:tc>
          <w:tcPr>
            <w:tcW w:w="1080" w:type="dxa"/>
            <w:tcBorders>
              <w:top w:val="double" w:sz="4" w:space="0" w:color="auto"/>
              <w:left w:val="double" w:sz="4" w:space="0" w:color="auto"/>
              <w:bottom w:val="double" w:sz="4" w:space="0" w:color="auto"/>
            </w:tcBorders>
            <w:vAlign w:val="center"/>
          </w:tcPr>
          <w:p w14:paraId="166BC681" w14:textId="77777777" w:rsidR="001E4CB5" w:rsidRPr="00D66C65" w:rsidRDefault="001E4CB5" w:rsidP="00D66C65">
            <w:pPr>
              <w:spacing w:line="240" w:lineRule="auto"/>
              <w:jc w:val="center"/>
              <w:rPr>
                <w:rFonts w:eastAsia="Calibri"/>
                <w:b/>
                <w:sz w:val="20"/>
                <w:szCs w:val="20"/>
              </w:rPr>
            </w:pPr>
            <w:r w:rsidRPr="00D66C65">
              <w:rPr>
                <w:rFonts w:eastAsia="Calibri"/>
                <w:b/>
                <w:sz w:val="20"/>
                <w:szCs w:val="20"/>
              </w:rPr>
              <w:t>Predicted Share</w:t>
            </w:r>
          </w:p>
        </w:tc>
        <w:tc>
          <w:tcPr>
            <w:tcW w:w="1029" w:type="dxa"/>
            <w:tcBorders>
              <w:top w:val="double" w:sz="4" w:space="0" w:color="auto"/>
              <w:bottom w:val="double" w:sz="4" w:space="0" w:color="auto"/>
              <w:right w:val="double" w:sz="4" w:space="0" w:color="auto"/>
            </w:tcBorders>
            <w:vAlign w:val="center"/>
          </w:tcPr>
          <w:p w14:paraId="3FAB0925" w14:textId="1EF8FD2D" w:rsidR="001E4CB5" w:rsidRPr="00D66C65" w:rsidRDefault="001E4CB5" w:rsidP="00D66C65">
            <w:pPr>
              <w:spacing w:line="240" w:lineRule="auto"/>
              <w:jc w:val="center"/>
              <w:rPr>
                <w:rFonts w:eastAsia="Calibri"/>
                <w:b/>
                <w:sz w:val="20"/>
                <w:szCs w:val="20"/>
              </w:rPr>
            </w:pPr>
            <w:r w:rsidRPr="00D66C65">
              <w:rPr>
                <w:rFonts w:eastAsia="Calibri"/>
                <w:b/>
                <w:sz w:val="20"/>
                <w:szCs w:val="20"/>
              </w:rPr>
              <w:t>APE*</w:t>
            </w:r>
          </w:p>
        </w:tc>
      </w:tr>
      <w:tr w:rsidR="001E4CB5" w:rsidRPr="00D66C65" w14:paraId="52C88119" w14:textId="77777777" w:rsidTr="001B69D9">
        <w:trPr>
          <w:trHeight w:val="504"/>
          <w:jc w:val="center"/>
        </w:trPr>
        <w:tc>
          <w:tcPr>
            <w:tcW w:w="3668" w:type="dxa"/>
            <w:tcBorders>
              <w:left w:val="double" w:sz="4" w:space="0" w:color="auto"/>
              <w:right w:val="double" w:sz="4" w:space="0" w:color="auto"/>
            </w:tcBorders>
            <w:vAlign w:val="center"/>
          </w:tcPr>
          <w:p w14:paraId="27E104BE" w14:textId="0F557CED" w:rsidR="001E4CB5" w:rsidRPr="00D66C65" w:rsidRDefault="001E4CB5" w:rsidP="00D66C65">
            <w:pPr>
              <w:spacing w:line="240" w:lineRule="auto"/>
              <w:rPr>
                <w:sz w:val="20"/>
                <w:szCs w:val="20"/>
              </w:rPr>
            </w:pPr>
            <w:r w:rsidRPr="00D66C65">
              <w:rPr>
                <w:sz w:val="20"/>
                <w:szCs w:val="20"/>
              </w:rPr>
              <w:t>Owned, multi-</w:t>
            </w:r>
            <w:proofErr w:type="spellStart"/>
            <w:r w:rsidRPr="00D66C65">
              <w:rPr>
                <w:sz w:val="20"/>
                <w:szCs w:val="20"/>
              </w:rPr>
              <w:t>storey</w:t>
            </w:r>
            <w:proofErr w:type="spellEnd"/>
            <w:r w:rsidRPr="00D66C65">
              <w:rPr>
                <w:sz w:val="20"/>
                <w:szCs w:val="20"/>
              </w:rPr>
              <w:t>, single-family unit located in primary city</w:t>
            </w:r>
          </w:p>
        </w:tc>
        <w:tc>
          <w:tcPr>
            <w:tcW w:w="1125" w:type="dxa"/>
            <w:tcBorders>
              <w:left w:val="double" w:sz="4" w:space="0" w:color="auto"/>
              <w:right w:val="double" w:sz="4" w:space="0" w:color="auto"/>
            </w:tcBorders>
            <w:vAlign w:val="center"/>
          </w:tcPr>
          <w:p w14:paraId="7E7FA631" w14:textId="77777777" w:rsidR="001E4CB5" w:rsidRPr="00D66C65" w:rsidRDefault="001E4CB5" w:rsidP="00D66C65">
            <w:pPr>
              <w:spacing w:line="240" w:lineRule="auto"/>
              <w:jc w:val="center"/>
              <w:rPr>
                <w:sz w:val="20"/>
                <w:szCs w:val="20"/>
              </w:rPr>
            </w:pPr>
            <w:r w:rsidRPr="00D66C65">
              <w:rPr>
                <w:sz w:val="20"/>
                <w:szCs w:val="20"/>
              </w:rPr>
              <w:t>0.0950</w:t>
            </w:r>
          </w:p>
        </w:tc>
        <w:tc>
          <w:tcPr>
            <w:tcW w:w="1057" w:type="dxa"/>
            <w:tcBorders>
              <w:left w:val="double" w:sz="4" w:space="0" w:color="auto"/>
            </w:tcBorders>
            <w:vAlign w:val="center"/>
          </w:tcPr>
          <w:p w14:paraId="02179659" w14:textId="77777777" w:rsidR="001E4CB5" w:rsidRPr="00D66C65" w:rsidRDefault="001E4CB5" w:rsidP="00D66C65">
            <w:pPr>
              <w:spacing w:line="240" w:lineRule="auto"/>
              <w:jc w:val="center"/>
              <w:rPr>
                <w:sz w:val="20"/>
                <w:szCs w:val="20"/>
              </w:rPr>
            </w:pPr>
            <w:r w:rsidRPr="00D66C65">
              <w:rPr>
                <w:sz w:val="20"/>
                <w:szCs w:val="20"/>
              </w:rPr>
              <w:t>0.0912</w:t>
            </w:r>
          </w:p>
        </w:tc>
        <w:tc>
          <w:tcPr>
            <w:tcW w:w="889" w:type="dxa"/>
            <w:tcBorders>
              <w:right w:val="double" w:sz="4" w:space="0" w:color="auto"/>
            </w:tcBorders>
            <w:vAlign w:val="center"/>
          </w:tcPr>
          <w:p w14:paraId="5DEF8136" w14:textId="77777777" w:rsidR="001E4CB5" w:rsidRPr="00D66C65" w:rsidRDefault="001E4CB5" w:rsidP="00D66C65">
            <w:pPr>
              <w:spacing w:line="240" w:lineRule="auto"/>
              <w:jc w:val="center"/>
              <w:rPr>
                <w:sz w:val="20"/>
                <w:szCs w:val="20"/>
              </w:rPr>
            </w:pPr>
            <w:r w:rsidRPr="00D66C65">
              <w:rPr>
                <w:sz w:val="20"/>
                <w:szCs w:val="20"/>
              </w:rPr>
              <w:t xml:space="preserve"> 4.00</w:t>
            </w:r>
          </w:p>
        </w:tc>
        <w:tc>
          <w:tcPr>
            <w:tcW w:w="1080" w:type="dxa"/>
            <w:tcBorders>
              <w:left w:val="double" w:sz="4" w:space="0" w:color="auto"/>
            </w:tcBorders>
            <w:vAlign w:val="center"/>
          </w:tcPr>
          <w:p w14:paraId="483CED41" w14:textId="77777777" w:rsidR="001E4CB5" w:rsidRPr="00D66C65" w:rsidRDefault="001E4CB5" w:rsidP="00D66C65">
            <w:pPr>
              <w:spacing w:line="240" w:lineRule="auto"/>
              <w:jc w:val="center"/>
              <w:rPr>
                <w:sz w:val="20"/>
                <w:szCs w:val="20"/>
              </w:rPr>
            </w:pPr>
            <w:r w:rsidRPr="00D66C65">
              <w:rPr>
                <w:sz w:val="20"/>
                <w:szCs w:val="20"/>
              </w:rPr>
              <w:t>0.0865</w:t>
            </w:r>
          </w:p>
        </w:tc>
        <w:tc>
          <w:tcPr>
            <w:tcW w:w="1029" w:type="dxa"/>
            <w:tcBorders>
              <w:right w:val="double" w:sz="4" w:space="0" w:color="auto"/>
            </w:tcBorders>
            <w:vAlign w:val="center"/>
          </w:tcPr>
          <w:p w14:paraId="6466B206" w14:textId="77777777" w:rsidR="001E4CB5" w:rsidRPr="00D66C65" w:rsidRDefault="001E4CB5" w:rsidP="00D66C65">
            <w:pPr>
              <w:spacing w:line="240" w:lineRule="auto"/>
              <w:jc w:val="center"/>
              <w:rPr>
                <w:sz w:val="20"/>
                <w:szCs w:val="20"/>
              </w:rPr>
            </w:pPr>
            <w:r w:rsidRPr="00D66C65">
              <w:rPr>
                <w:sz w:val="20"/>
                <w:szCs w:val="20"/>
              </w:rPr>
              <w:t xml:space="preserve"> 8.95</w:t>
            </w:r>
          </w:p>
        </w:tc>
      </w:tr>
      <w:tr w:rsidR="001E4CB5" w:rsidRPr="00D66C65" w14:paraId="22154E81" w14:textId="77777777" w:rsidTr="001B69D9">
        <w:trPr>
          <w:trHeight w:val="504"/>
          <w:jc w:val="center"/>
        </w:trPr>
        <w:tc>
          <w:tcPr>
            <w:tcW w:w="3668" w:type="dxa"/>
            <w:tcBorders>
              <w:left w:val="double" w:sz="4" w:space="0" w:color="auto"/>
              <w:right w:val="double" w:sz="4" w:space="0" w:color="auto"/>
            </w:tcBorders>
            <w:vAlign w:val="center"/>
          </w:tcPr>
          <w:p w14:paraId="710D6BA7" w14:textId="5DA656C1" w:rsidR="001E4CB5" w:rsidRPr="00D66C65" w:rsidRDefault="001E4CB5" w:rsidP="00D66C65">
            <w:pPr>
              <w:spacing w:line="240" w:lineRule="auto"/>
              <w:rPr>
                <w:sz w:val="20"/>
                <w:szCs w:val="20"/>
              </w:rPr>
            </w:pPr>
            <w:r w:rsidRPr="00D66C65">
              <w:rPr>
                <w:sz w:val="20"/>
                <w:szCs w:val="20"/>
              </w:rPr>
              <w:t>Owned, single-</w:t>
            </w:r>
            <w:proofErr w:type="spellStart"/>
            <w:r w:rsidRPr="00D66C65">
              <w:rPr>
                <w:sz w:val="20"/>
                <w:szCs w:val="20"/>
              </w:rPr>
              <w:t>storey</w:t>
            </w:r>
            <w:proofErr w:type="spellEnd"/>
            <w:r w:rsidRPr="00D66C65">
              <w:rPr>
                <w:sz w:val="20"/>
                <w:szCs w:val="20"/>
              </w:rPr>
              <w:t>, single-family unit located in suburb</w:t>
            </w:r>
          </w:p>
        </w:tc>
        <w:tc>
          <w:tcPr>
            <w:tcW w:w="1125" w:type="dxa"/>
            <w:tcBorders>
              <w:left w:val="double" w:sz="4" w:space="0" w:color="auto"/>
              <w:right w:val="double" w:sz="4" w:space="0" w:color="auto"/>
            </w:tcBorders>
            <w:vAlign w:val="center"/>
          </w:tcPr>
          <w:p w14:paraId="2AE7E220" w14:textId="77777777" w:rsidR="001E4CB5" w:rsidRPr="00D66C65" w:rsidRDefault="001E4CB5" w:rsidP="00D66C65">
            <w:pPr>
              <w:spacing w:line="240" w:lineRule="auto"/>
              <w:jc w:val="center"/>
              <w:rPr>
                <w:sz w:val="20"/>
                <w:szCs w:val="20"/>
              </w:rPr>
            </w:pPr>
            <w:r w:rsidRPr="00D66C65">
              <w:rPr>
                <w:sz w:val="20"/>
                <w:szCs w:val="20"/>
              </w:rPr>
              <w:t>0.1281</w:t>
            </w:r>
          </w:p>
        </w:tc>
        <w:tc>
          <w:tcPr>
            <w:tcW w:w="1057" w:type="dxa"/>
            <w:tcBorders>
              <w:left w:val="double" w:sz="4" w:space="0" w:color="auto"/>
            </w:tcBorders>
            <w:vAlign w:val="center"/>
          </w:tcPr>
          <w:p w14:paraId="1CDAB43A" w14:textId="77777777" w:rsidR="001E4CB5" w:rsidRPr="00D66C65" w:rsidRDefault="001E4CB5" w:rsidP="00D66C65">
            <w:pPr>
              <w:spacing w:line="240" w:lineRule="auto"/>
              <w:jc w:val="center"/>
              <w:rPr>
                <w:sz w:val="20"/>
                <w:szCs w:val="20"/>
              </w:rPr>
            </w:pPr>
            <w:r w:rsidRPr="00D66C65">
              <w:rPr>
                <w:sz w:val="20"/>
                <w:szCs w:val="20"/>
              </w:rPr>
              <w:t>0.1137</w:t>
            </w:r>
          </w:p>
        </w:tc>
        <w:tc>
          <w:tcPr>
            <w:tcW w:w="889" w:type="dxa"/>
            <w:tcBorders>
              <w:right w:val="double" w:sz="4" w:space="0" w:color="auto"/>
            </w:tcBorders>
            <w:vAlign w:val="center"/>
          </w:tcPr>
          <w:p w14:paraId="0D40DD4E" w14:textId="77777777" w:rsidR="001E4CB5" w:rsidRPr="00D66C65" w:rsidRDefault="001E4CB5" w:rsidP="00D66C65">
            <w:pPr>
              <w:spacing w:line="240" w:lineRule="auto"/>
              <w:jc w:val="center"/>
              <w:rPr>
                <w:sz w:val="20"/>
                <w:szCs w:val="20"/>
              </w:rPr>
            </w:pPr>
            <w:r w:rsidRPr="00D66C65">
              <w:rPr>
                <w:sz w:val="20"/>
                <w:szCs w:val="20"/>
              </w:rPr>
              <w:t>11.24</w:t>
            </w:r>
          </w:p>
        </w:tc>
        <w:tc>
          <w:tcPr>
            <w:tcW w:w="1080" w:type="dxa"/>
            <w:tcBorders>
              <w:left w:val="double" w:sz="4" w:space="0" w:color="auto"/>
            </w:tcBorders>
            <w:vAlign w:val="center"/>
          </w:tcPr>
          <w:p w14:paraId="0C76B0B6" w14:textId="77777777" w:rsidR="001E4CB5" w:rsidRPr="00D66C65" w:rsidRDefault="001E4CB5" w:rsidP="00D66C65">
            <w:pPr>
              <w:spacing w:line="240" w:lineRule="auto"/>
              <w:jc w:val="center"/>
              <w:rPr>
                <w:sz w:val="20"/>
                <w:szCs w:val="20"/>
              </w:rPr>
            </w:pPr>
            <w:r w:rsidRPr="00D66C65">
              <w:rPr>
                <w:sz w:val="20"/>
                <w:szCs w:val="20"/>
              </w:rPr>
              <w:t>0.0888</w:t>
            </w:r>
          </w:p>
        </w:tc>
        <w:tc>
          <w:tcPr>
            <w:tcW w:w="1029" w:type="dxa"/>
            <w:tcBorders>
              <w:right w:val="double" w:sz="4" w:space="0" w:color="auto"/>
            </w:tcBorders>
            <w:vAlign w:val="center"/>
          </w:tcPr>
          <w:p w14:paraId="4065F282" w14:textId="77777777" w:rsidR="001E4CB5" w:rsidRPr="00D66C65" w:rsidRDefault="001E4CB5" w:rsidP="00D66C65">
            <w:pPr>
              <w:spacing w:line="240" w:lineRule="auto"/>
              <w:jc w:val="center"/>
              <w:rPr>
                <w:sz w:val="20"/>
                <w:szCs w:val="20"/>
              </w:rPr>
            </w:pPr>
            <w:r w:rsidRPr="00D66C65">
              <w:rPr>
                <w:sz w:val="20"/>
                <w:szCs w:val="20"/>
              </w:rPr>
              <w:t>30.68</w:t>
            </w:r>
          </w:p>
        </w:tc>
      </w:tr>
      <w:tr w:rsidR="001E4CB5" w:rsidRPr="00D66C65" w14:paraId="5C41BF08" w14:textId="77777777" w:rsidTr="001B69D9">
        <w:trPr>
          <w:trHeight w:val="504"/>
          <w:jc w:val="center"/>
        </w:trPr>
        <w:tc>
          <w:tcPr>
            <w:tcW w:w="3668" w:type="dxa"/>
            <w:tcBorders>
              <w:left w:val="double" w:sz="4" w:space="0" w:color="auto"/>
              <w:right w:val="double" w:sz="4" w:space="0" w:color="auto"/>
            </w:tcBorders>
            <w:vAlign w:val="center"/>
          </w:tcPr>
          <w:p w14:paraId="26716635" w14:textId="515B0EF7" w:rsidR="001E4CB5" w:rsidRPr="00D66C65" w:rsidRDefault="001E4CB5" w:rsidP="00D66C65">
            <w:pPr>
              <w:spacing w:line="240" w:lineRule="auto"/>
              <w:rPr>
                <w:sz w:val="20"/>
                <w:szCs w:val="20"/>
              </w:rPr>
            </w:pPr>
            <w:r w:rsidRPr="00D66C65">
              <w:rPr>
                <w:sz w:val="20"/>
                <w:szCs w:val="20"/>
              </w:rPr>
              <w:t>Owned, multi-</w:t>
            </w:r>
            <w:proofErr w:type="spellStart"/>
            <w:r w:rsidRPr="00D66C65">
              <w:rPr>
                <w:sz w:val="20"/>
                <w:szCs w:val="20"/>
              </w:rPr>
              <w:t>storey</w:t>
            </w:r>
            <w:proofErr w:type="spellEnd"/>
            <w:r w:rsidRPr="00D66C65">
              <w:rPr>
                <w:sz w:val="20"/>
                <w:szCs w:val="20"/>
              </w:rPr>
              <w:t>, single-family unit located in suburb</w:t>
            </w:r>
          </w:p>
        </w:tc>
        <w:tc>
          <w:tcPr>
            <w:tcW w:w="1125" w:type="dxa"/>
            <w:tcBorders>
              <w:left w:val="double" w:sz="4" w:space="0" w:color="auto"/>
              <w:right w:val="double" w:sz="4" w:space="0" w:color="auto"/>
            </w:tcBorders>
            <w:vAlign w:val="center"/>
          </w:tcPr>
          <w:p w14:paraId="676AD3B2" w14:textId="77777777" w:rsidR="001E4CB5" w:rsidRPr="00D66C65" w:rsidRDefault="001E4CB5" w:rsidP="00D66C65">
            <w:pPr>
              <w:spacing w:line="240" w:lineRule="auto"/>
              <w:jc w:val="center"/>
              <w:rPr>
                <w:sz w:val="20"/>
                <w:szCs w:val="20"/>
              </w:rPr>
            </w:pPr>
            <w:r w:rsidRPr="00D66C65">
              <w:rPr>
                <w:sz w:val="20"/>
                <w:szCs w:val="20"/>
              </w:rPr>
              <w:t>0.2885</w:t>
            </w:r>
          </w:p>
        </w:tc>
        <w:tc>
          <w:tcPr>
            <w:tcW w:w="1057" w:type="dxa"/>
            <w:tcBorders>
              <w:left w:val="double" w:sz="4" w:space="0" w:color="auto"/>
            </w:tcBorders>
            <w:vAlign w:val="center"/>
          </w:tcPr>
          <w:p w14:paraId="084848B5" w14:textId="77777777" w:rsidR="001E4CB5" w:rsidRPr="00D66C65" w:rsidRDefault="001E4CB5" w:rsidP="00D66C65">
            <w:pPr>
              <w:spacing w:line="240" w:lineRule="auto"/>
              <w:jc w:val="center"/>
              <w:rPr>
                <w:sz w:val="20"/>
                <w:szCs w:val="20"/>
              </w:rPr>
            </w:pPr>
            <w:r w:rsidRPr="00D66C65">
              <w:rPr>
                <w:sz w:val="20"/>
                <w:szCs w:val="20"/>
              </w:rPr>
              <w:t>0.2658</w:t>
            </w:r>
          </w:p>
        </w:tc>
        <w:tc>
          <w:tcPr>
            <w:tcW w:w="889" w:type="dxa"/>
            <w:tcBorders>
              <w:right w:val="double" w:sz="4" w:space="0" w:color="auto"/>
            </w:tcBorders>
            <w:vAlign w:val="center"/>
          </w:tcPr>
          <w:p w14:paraId="5819F097" w14:textId="77777777" w:rsidR="001E4CB5" w:rsidRPr="00D66C65" w:rsidRDefault="001E4CB5" w:rsidP="00D66C65">
            <w:pPr>
              <w:spacing w:line="240" w:lineRule="auto"/>
              <w:jc w:val="center"/>
              <w:rPr>
                <w:sz w:val="20"/>
                <w:szCs w:val="20"/>
              </w:rPr>
            </w:pPr>
            <w:r w:rsidRPr="00D66C65">
              <w:rPr>
                <w:sz w:val="20"/>
                <w:szCs w:val="20"/>
              </w:rPr>
              <w:t xml:space="preserve"> 7.87</w:t>
            </w:r>
          </w:p>
        </w:tc>
        <w:tc>
          <w:tcPr>
            <w:tcW w:w="1080" w:type="dxa"/>
            <w:tcBorders>
              <w:left w:val="double" w:sz="4" w:space="0" w:color="auto"/>
            </w:tcBorders>
            <w:vAlign w:val="center"/>
          </w:tcPr>
          <w:p w14:paraId="762FAA77" w14:textId="77777777" w:rsidR="001E4CB5" w:rsidRPr="00D66C65" w:rsidRDefault="001E4CB5" w:rsidP="00D66C65">
            <w:pPr>
              <w:spacing w:line="240" w:lineRule="auto"/>
              <w:jc w:val="center"/>
              <w:rPr>
                <w:sz w:val="20"/>
                <w:szCs w:val="20"/>
              </w:rPr>
            </w:pPr>
            <w:r w:rsidRPr="00D66C65">
              <w:rPr>
                <w:sz w:val="20"/>
                <w:szCs w:val="20"/>
              </w:rPr>
              <w:t>0.2720</w:t>
            </w:r>
          </w:p>
        </w:tc>
        <w:tc>
          <w:tcPr>
            <w:tcW w:w="1029" w:type="dxa"/>
            <w:tcBorders>
              <w:right w:val="double" w:sz="4" w:space="0" w:color="auto"/>
            </w:tcBorders>
            <w:vAlign w:val="center"/>
          </w:tcPr>
          <w:p w14:paraId="1DABA0BA" w14:textId="77777777" w:rsidR="001E4CB5" w:rsidRPr="00D66C65" w:rsidRDefault="001E4CB5" w:rsidP="00D66C65">
            <w:pPr>
              <w:spacing w:line="240" w:lineRule="auto"/>
              <w:jc w:val="center"/>
              <w:rPr>
                <w:sz w:val="20"/>
                <w:szCs w:val="20"/>
              </w:rPr>
            </w:pPr>
            <w:r w:rsidRPr="00D66C65">
              <w:rPr>
                <w:sz w:val="20"/>
                <w:szCs w:val="20"/>
              </w:rPr>
              <w:t xml:space="preserve"> 5.72</w:t>
            </w:r>
          </w:p>
        </w:tc>
      </w:tr>
      <w:tr w:rsidR="001E4CB5" w:rsidRPr="00D66C65" w14:paraId="0D60A517" w14:textId="77777777" w:rsidTr="001B69D9">
        <w:trPr>
          <w:trHeight w:val="504"/>
          <w:jc w:val="center"/>
        </w:trPr>
        <w:tc>
          <w:tcPr>
            <w:tcW w:w="3668" w:type="dxa"/>
            <w:tcBorders>
              <w:left w:val="double" w:sz="4" w:space="0" w:color="auto"/>
              <w:right w:val="double" w:sz="4" w:space="0" w:color="auto"/>
            </w:tcBorders>
            <w:vAlign w:val="center"/>
          </w:tcPr>
          <w:p w14:paraId="614A9056" w14:textId="2D5A064E" w:rsidR="001E4CB5" w:rsidRPr="00D66C65" w:rsidRDefault="001E4CB5" w:rsidP="00D66C65">
            <w:pPr>
              <w:spacing w:line="240" w:lineRule="auto"/>
              <w:rPr>
                <w:sz w:val="20"/>
                <w:szCs w:val="20"/>
              </w:rPr>
            </w:pPr>
            <w:r w:rsidRPr="00D66C65">
              <w:rPr>
                <w:sz w:val="20"/>
                <w:szCs w:val="20"/>
              </w:rPr>
              <w:t>Rented, single-</w:t>
            </w:r>
            <w:proofErr w:type="spellStart"/>
            <w:r w:rsidRPr="00D66C65">
              <w:rPr>
                <w:sz w:val="20"/>
                <w:szCs w:val="20"/>
              </w:rPr>
              <w:t>storey</w:t>
            </w:r>
            <w:proofErr w:type="spellEnd"/>
            <w:r w:rsidRPr="00D66C65">
              <w:rPr>
                <w:sz w:val="20"/>
                <w:szCs w:val="20"/>
              </w:rPr>
              <w:t>, apartment unit located in primary city</w:t>
            </w:r>
          </w:p>
        </w:tc>
        <w:tc>
          <w:tcPr>
            <w:tcW w:w="1125" w:type="dxa"/>
            <w:tcBorders>
              <w:left w:val="double" w:sz="4" w:space="0" w:color="auto"/>
              <w:right w:val="double" w:sz="4" w:space="0" w:color="auto"/>
            </w:tcBorders>
            <w:vAlign w:val="center"/>
          </w:tcPr>
          <w:p w14:paraId="04902BCE" w14:textId="77777777" w:rsidR="001E4CB5" w:rsidRPr="00D66C65" w:rsidRDefault="001E4CB5" w:rsidP="00D66C65">
            <w:pPr>
              <w:spacing w:line="240" w:lineRule="auto"/>
              <w:jc w:val="center"/>
              <w:rPr>
                <w:sz w:val="20"/>
                <w:szCs w:val="20"/>
              </w:rPr>
            </w:pPr>
            <w:r w:rsidRPr="00D66C65">
              <w:rPr>
                <w:sz w:val="20"/>
                <w:szCs w:val="20"/>
              </w:rPr>
              <w:t>0.0690</w:t>
            </w:r>
          </w:p>
        </w:tc>
        <w:tc>
          <w:tcPr>
            <w:tcW w:w="1057" w:type="dxa"/>
            <w:tcBorders>
              <w:left w:val="double" w:sz="4" w:space="0" w:color="auto"/>
            </w:tcBorders>
            <w:vAlign w:val="center"/>
          </w:tcPr>
          <w:p w14:paraId="29ED3B47" w14:textId="77777777" w:rsidR="001E4CB5" w:rsidRPr="00D66C65" w:rsidRDefault="001E4CB5" w:rsidP="00D66C65">
            <w:pPr>
              <w:spacing w:line="240" w:lineRule="auto"/>
              <w:jc w:val="center"/>
              <w:rPr>
                <w:sz w:val="20"/>
                <w:szCs w:val="20"/>
              </w:rPr>
            </w:pPr>
            <w:r w:rsidRPr="00D66C65">
              <w:rPr>
                <w:sz w:val="20"/>
                <w:szCs w:val="20"/>
              </w:rPr>
              <w:t>0.0680</w:t>
            </w:r>
          </w:p>
        </w:tc>
        <w:tc>
          <w:tcPr>
            <w:tcW w:w="889" w:type="dxa"/>
            <w:tcBorders>
              <w:right w:val="double" w:sz="4" w:space="0" w:color="auto"/>
            </w:tcBorders>
            <w:vAlign w:val="center"/>
          </w:tcPr>
          <w:p w14:paraId="0D07EA8A" w14:textId="77777777" w:rsidR="001E4CB5" w:rsidRPr="00D66C65" w:rsidRDefault="001E4CB5" w:rsidP="00D66C65">
            <w:pPr>
              <w:spacing w:line="240" w:lineRule="auto"/>
              <w:jc w:val="center"/>
              <w:rPr>
                <w:sz w:val="20"/>
                <w:szCs w:val="20"/>
              </w:rPr>
            </w:pPr>
            <w:r w:rsidRPr="00D66C65">
              <w:rPr>
                <w:sz w:val="20"/>
                <w:szCs w:val="20"/>
              </w:rPr>
              <w:t xml:space="preserve"> 1.45</w:t>
            </w:r>
          </w:p>
        </w:tc>
        <w:tc>
          <w:tcPr>
            <w:tcW w:w="1080" w:type="dxa"/>
            <w:tcBorders>
              <w:left w:val="double" w:sz="4" w:space="0" w:color="auto"/>
            </w:tcBorders>
            <w:vAlign w:val="center"/>
          </w:tcPr>
          <w:p w14:paraId="03BD5826" w14:textId="77777777" w:rsidR="001E4CB5" w:rsidRPr="00D66C65" w:rsidRDefault="001E4CB5" w:rsidP="00D66C65">
            <w:pPr>
              <w:spacing w:line="240" w:lineRule="auto"/>
              <w:jc w:val="center"/>
              <w:rPr>
                <w:sz w:val="20"/>
                <w:szCs w:val="20"/>
              </w:rPr>
            </w:pPr>
            <w:r w:rsidRPr="00D66C65">
              <w:rPr>
                <w:sz w:val="20"/>
                <w:szCs w:val="20"/>
              </w:rPr>
              <w:t>0.0357</w:t>
            </w:r>
          </w:p>
        </w:tc>
        <w:tc>
          <w:tcPr>
            <w:tcW w:w="1029" w:type="dxa"/>
            <w:tcBorders>
              <w:right w:val="double" w:sz="4" w:space="0" w:color="auto"/>
            </w:tcBorders>
            <w:vAlign w:val="center"/>
          </w:tcPr>
          <w:p w14:paraId="11EB5D22" w14:textId="77777777" w:rsidR="001E4CB5" w:rsidRPr="00D66C65" w:rsidRDefault="001E4CB5" w:rsidP="00D66C65">
            <w:pPr>
              <w:spacing w:line="240" w:lineRule="auto"/>
              <w:jc w:val="center"/>
              <w:rPr>
                <w:sz w:val="20"/>
                <w:szCs w:val="20"/>
              </w:rPr>
            </w:pPr>
            <w:r w:rsidRPr="00D66C65">
              <w:rPr>
                <w:sz w:val="20"/>
                <w:szCs w:val="20"/>
              </w:rPr>
              <w:t>48.26</w:t>
            </w:r>
          </w:p>
        </w:tc>
      </w:tr>
      <w:tr w:rsidR="001E4CB5" w:rsidRPr="00D66C65" w14:paraId="3F1642FB" w14:textId="77777777" w:rsidTr="001B69D9">
        <w:trPr>
          <w:trHeight w:val="504"/>
          <w:jc w:val="center"/>
        </w:trPr>
        <w:tc>
          <w:tcPr>
            <w:tcW w:w="3668" w:type="dxa"/>
            <w:tcBorders>
              <w:left w:val="double" w:sz="4" w:space="0" w:color="auto"/>
              <w:right w:val="double" w:sz="4" w:space="0" w:color="auto"/>
            </w:tcBorders>
            <w:vAlign w:val="center"/>
          </w:tcPr>
          <w:p w14:paraId="4FAA1EA0" w14:textId="71B09960" w:rsidR="001E4CB5" w:rsidRPr="00D66C65" w:rsidRDefault="001E4CB5" w:rsidP="00D66C65">
            <w:pPr>
              <w:spacing w:line="240" w:lineRule="auto"/>
              <w:rPr>
                <w:sz w:val="20"/>
                <w:szCs w:val="20"/>
              </w:rPr>
            </w:pPr>
            <w:r w:rsidRPr="00D66C65">
              <w:rPr>
                <w:sz w:val="20"/>
                <w:szCs w:val="20"/>
              </w:rPr>
              <w:t>Rented, single-</w:t>
            </w:r>
            <w:proofErr w:type="spellStart"/>
            <w:r w:rsidRPr="00D66C65">
              <w:rPr>
                <w:sz w:val="20"/>
                <w:szCs w:val="20"/>
              </w:rPr>
              <w:t>storey</w:t>
            </w:r>
            <w:proofErr w:type="spellEnd"/>
            <w:r w:rsidRPr="00D66C65">
              <w:rPr>
                <w:sz w:val="20"/>
                <w:szCs w:val="20"/>
              </w:rPr>
              <w:t>, apartment unit located in suburb</w:t>
            </w:r>
          </w:p>
        </w:tc>
        <w:tc>
          <w:tcPr>
            <w:tcW w:w="1125" w:type="dxa"/>
            <w:tcBorders>
              <w:left w:val="double" w:sz="4" w:space="0" w:color="auto"/>
              <w:right w:val="double" w:sz="4" w:space="0" w:color="auto"/>
            </w:tcBorders>
            <w:vAlign w:val="center"/>
          </w:tcPr>
          <w:p w14:paraId="4C65AD9A" w14:textId="77777777" w:rsidR="001E4CB5" w:rsidRPr="00D66C65" w:rsidRDefault="001E4CB5" w:rsidP="00D66C65">
            <w:pPr>
              <w:spacing w:line="240" w:lineRule="auto"/>
              <w:jc w:val="center"/>
              <w:rPr>
                <w:sz w:val="20"/>
                <w:szCs w:val="20"/>
              </w:rPr>
            </w:pPr>
            <w:r w:rsidRPr="00D66C65">
              <w:rPr>
                <w:sz w:val="20"/>
                <w:szCs w:val="20"/>
              </w:rPr>
              <w:t>0.1119</w:t>
            </w:r>
          </w:p>
        </w:tc>
        <w:tc>
          <w:tcPr>
            <w:tcW w:w="1057" w:type="dxa"/>
            <w:tcBorders>
              <w:left w:val="double" w:sz="4" w:space="0" w:color="auto"/>
            </w:tcBorders>
            <w:vAlign w:val="center"/>
          </w:tcPr>
          <w:p w14:paraId="73C1BFBD" w14:textId="77777777" w:rsidR="001E4CB5" w:rsidRPr="00D66C65" w:rsidRDefault="001E4CB5" w:rsidP="00D66C65">
            <w:pPr>
              <w:spacing w:line="240" w:lineRule="auto"/>
              <w:jc w:val="center"/>
              <w:rPr>
                <w:sz w:val="20"/>
                <w:szCs w:val="20"/>
              </w:rPr>
            </w:pPr>
            <w:r w:rsidRPr="00D66C65">
              <w:rPr>
                <w:sz w:val="20"/>
                <w:szCs w:val="20"/>
              </w:rPr>
              <w:t>0.1006</w:t>
            </w:r>
          </w:p>
        </w:tc>
        <w:tc>
          <w:tcPr>
            <w:tcW w:w="889" w:type="dxa"/>
            <w:tcBorders>
              <w:right w:val="double" w:sz="4" w:space="0" w:color="auto"/>
            </w:tcBorders>
            <w:vAlign w:val="center"/>
          </w:tcPr>
          <w:p w14:paraId="6AE5AAD9" w14:textId="77777777" w:rsidR="001E4CB5" w:rsidRPr="00D66C65" w:rsidRDefault="001E4CB5" w:rsidP="00D66C65">
            <w:pPr>
              <w:spacing w:line="240" w:lineRule="auto"/>
              <w:jc w:val="center"/>
              <w:rPr>
                <w:sz w:val="20"/>
                <w:szCs w:val="20"/>
              </w:rPr>
            </w:pPr>
            <w:r w:rsidRPr="00D66C65">
              <w:rPr>
                <w:sz w:val="20"/>
                <w:szCs w:val="20"/>
              </w:rPr>
              <w:t>10.10</w:t>
            </w:r>
          </w:p>
        </w:tc>
        <w:tc>
          <w:tcPr>
            <w:tcW w:w="1080" w:type="dxa"/>
            <w:tcBorders>
              <w:left w:val="double" w:sz="4" w:space="0" w:color="auto"/>
            </w:tcBorders>
            <w:vAlign w:val="center"/>
          </w:tcPr>
          <w:p w14:paraId="07D823F9" w14:textId="77777777" w:rsidR="001E4CB5" w:rsidRPr="00D66C65" w:rsidRDefault="001E4CB5" w:rsidP="00D66C65">
            <w:pPr>
              <w:spacing w:line="240" w:lineRule="auto"/>
              <w:jc w:val="center"/>
              <w:rPr>
                <w:sz w:val="20"/>
                <w:szCs w:val="20"/>
              </w:rPr>
            </w:pPr>
            <w:r w:rsidRPr="00D66C65">
              <w:rPr>
                <w:sz w:val="20"/>
                <w:szCs w:val="20"/>
              </w:rPr>
              <w:t>0.0982</w:t>
            </w:r>
          </w:p>
        </w:tc>
        <w:tc>
          <w:tcPr>
            <w:tcW w:w="1029" w:type="dxa"/>
            <w:tcBorders>
              <w:right w:val="double" w:sz="4" w:space="0" w:color="auto"/>
            </w:tcBorders>
            <w:vAlign w:val="center"/>
          </w:tcPr>
          <w:p w14:paraId="09E8B28B" w14:textId="77777777" w:rsidR="001E4CB5" w:rsidRPr="00D66C65" w:rsidRDefault="001E4CB5" w:rsidP="00D66C65">
            <w:pPr>
              <w:spacing w:line="240" w:lineRule="auto"/>
              <w:jc w:val="center"/>
              <w:rPr>
                <w:sz w:val="20"/>
                <w:szCs w:val="20"/>
              </w:rPr>
            </w:pPr>
            <w:r w:rsidRPr="00D66C65">
              <w:rPr>
                <w:sz w:val="20"/>
                <w:szCs w:val="20"/>
              </w:rPr>
              <w:t>12.24</w:t>
            </w:r>
          </w:p>
        </w:tc>
      </w:tr>
      <w:tr w:rsidR="001E4CB5" w:rsidRPr="00D66C65" w14:paraId="4C947360" w14:textId="77777777" w:rsidTr="001B69D9">
        <w:trPr>
          <w:trHeight w:val="504"/>
          <w:jc w:val="center"/>
        </w:trPr>
        <w:tc>
          <w:tcPr>
            <w:tcW w:w="3668" w:type="dxa"/>
            <w:tcBorders>
              <w:left w:val="double" w:sz="4" w:space="0" w:color="auto"/>
              <w:bottom w:val="double" w:sz="4" w:space="0" w:color="auto"/>
              <w:right w:val="double" w:sz="4" w:space="0" w:color="auto"/>
            </w:tcBorders>
            <w:vAlign w:val="center"/>
          </w:tcPr>
          <w:p w14:paraId="541471C5" w14:textId="77777777" w:rsidR="001E4CB5" w:rsidRPr="00D66C65" w:rsidRDefault="001E4CB5" w:rsidP="00D66C65">
            <w:pPr>
              <w:spacing w:line="240" w:lineRule="auto"/>
              <w:rPr>
                <w:sz w:val="20"/>
                <w:szCs w:val="20"/>
              </w:rPr>
            </w:pPr>
            <w:r w:rsidRPr="00D66C65">
              <w:rPr>
                <w:b/>
                <w:sz w:val="20"/>
                <w:szCs w:val="20"/>
              </w:rPr>
              <w:t>Average across all combinations</w:t>
            </w:r>
          </w:p>
        </w:tc>
        <w:tc>
          <w:tcPr>
            <w:tcW w:w="1125" w:type="dxa"/>
            <w:tcBorders>
              <w:left w:val="double" w:sz="4" w:space="0" w:color="auto"/>
              <w:bottom w:val="double" w:sz="4" w:space="0" w:color="auto"/>
              <w:right w:val="double" w:sz="4" w:space="0" w:color="auto"/>
            </w:tcBorders>
            <w:vAlign w:val="center"/>
          </w:tcPr>
          <w:p w14:paraId="2F5D838F" w14:textId="77777777" w:rsidR="001E4CB5" w:rsidRPr="00D66C65" w:rsidRDefault="001E4CB5" w:rsidP="00D66C65">
            <w:pPr>
              <w:spacing w:line="240" w:lineRule="auto"/>
              <w:jc w:val="center"/>
              <w:rPr>
                <w:sz w:val="20"/>
                <w:szCs w:val="20"/>
              </w:rPr>
            </w:pPr>
          </w:p>
        </w:tc>
        <w:tc>
          <w:tcPr>
            <w:tcW w:w="1057" w:type="dxa"/>
            <w:tcBorders>
              <w:left w:val="double" w:sz="4" w:space="0" w:color="auto"/>
              <w:bottom w:val="double" w:sz="4" w:space="0" w:color="auto"/>
            </w:tcBorders>
            <w:vAlign w:val="center"/>
          </w:tcPr>
          <w:p w14:paraId="318CDB7E" w14:textId="77777777" w:rsidR="001E4CB5" w:rsidRPr="00D66C65" w:rsidRDefault="001E4CB5" w:rsidP="00D66C65">
            <w:pPr>
              <w:spacing w:line="240" w:lineRule="auto"/>
              <w:jc w:val="center"/>
              <w:rPr>
                <w:sz w:val="20"/>
                <w:szCs w:val="20"/>
              </w:rPr>
            </w:pPr>
          </w:p>
        </w:tc>
        <w:tc>
          <w:tcPr>
            <w:tcW w:w="889" w:type="dxa"/>
            <w:tcBorders>
              <w:bottom w:val="double" w:sz="4" w:space="0" w:color="auto"/>
              <w:right w:val="double" w:sz="4" w:space="0" w:color="auto"/>
            </w:tcBorders>
            <w:vAlign w:val="center"/>
          </w:tcPr>
          <w:p w14:paraId="03CD42C0" w14:textId="77777777" w:rsidR="001E4CB5" w:rsidRPr="00D66C65" w:rsidRDefault="001E4CB5" w:rsidP="00D66C65">
            <w:pPr>
              <w:spacing w:line="240" w:lineRule="auto"/>
              <w:jc w:val="center"/>
              <w:rPr>
                <w:b/>
                <w:sz w:val="20"/>
                <w:szCs w:val="20"/>
              </w:rPr>
            </w:pPr>
            <w:r w:rsidRPr="00D66C65">
              <w:rPr>
                <w:b/>
                <w:sz w:val="20"/>
                <w:szCs w:val="20"/>
              </w:rPr>
              <w:t>6.93</w:t>
            </w:r>
          </w:p>
        </w:tc>
        <w:tc>
          <w:tcPr>
            <w:tcW w:w="1080" w:type="dxa"/>
            <w:tcBorders>
              <w:left w:val="double" w:sz="4" w:space="0" w:color="auto"/>
              <w:bottom w:val="double" w:sz="4" w:space="0" w:color="auto"/>
            </w:tcBorders>
            <w:vAlign w:val="center"/>
          </w:tcPr>
          <w:p w14:paraId="74866849" w14:textId="77777777" w:rsidR="001E4CB5" w:rsidRPr="00D66C65" w:rsidRDefault="001E4CB5" w:rsidP="00D66C65">
            <w:pPr>
              <w:spacing w:line="240" w:lineRule="auto"/>
              <w:jc w:val="center"/>
              <w:rPr>
                <w:sz w:val="20"/>
                <w:szCs w:val="20"/>
              </w:rPr>
            </w:pPr>
          </w:p>
        </w:tc>
        <w:tc>
          <w:tcPr>
            <w:tcW w:w="1029" w:type="dxa"/>
            <w:tcBorders>
              <w:bottom w:val="double" w:sz="4" w:space="0" w:color="auto"/>
              <w:right w:val="double" w:sz="4" w:space="0" w:color="auto"/>
            </w:tcBorders>
            <w:vAlign w:val="center"/>
          </w:tcPr>
          <w:p w14:paraId="635B9C9F" w14:textId="77777777" w:rsidR="001E4CB5" w:rsidRPr="00D66C65" w:rsidRDefault="001E4CB5" w:rsidP="00D66C65">
            <w:pPr>
              <w:spacing w:line="240" w:lineRule="auto"/>
              <w:jc w:val="center"/>
              <w:rPr>
                <w:b/>
                <w:sz w:val="20"/>
                <w:szCs w:val="20"/>
              </w:rPr>
            </w:pPr>
            <w:r w:rsidRPr="00D66C65">
              <w:rPr>
                <w:b/>
                <w:sz w:val="20"/>
                <w:szCs w:val="20"/>
              </w:rPr>
              <w:t>21.17</w:t>
            </w:r>
          </w:p>
        </w:tc>
      </w:tr>
    </w:tbl>
    <w:p w14:paraId="00D0E736" w14:textId="761B0E20" w:rsidR="005079CB" w:rsidRDefault="001E4CB5" w:rsidP="001B69D9">
      <w:pPr>
        <w:ind w:left="360"/>
        <w:rPr>
          <w:b/>
        </w:rPr>
      </w:pPr>
      <w:r w:rsidRPr="0075532C">
        <w:rPr>
          <w:sz w:val="20"/>
          <w:szCs w:val="20"/>
        </w:rPr>
        <w:t>*APE: Absolute Percentage Error</w:t>
      </w:r>
    </w:p>
    <w:sectPr w:rsidR="005079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F1AA0" w14:textId="77777777" w:rsidR="005F3824" w:rsidRDefault="005F3824" w:rsidP="00A12EFB">
      <w:pPr>
        <w:spacing w:line="240" w:lineRule="auto"/>
      </w:pPr>
      <w:r>
        <w:separator/>
      </w:r>
    </w:p>
  </w:endnote>
  <w:endnote w:type="continuationSeparator" w:id="0">
    <w:p w14:paraId="60864BF6" w14:textId="77777777" w:rsidR="005F3824" w:rsidRDefault="005F3824" w:rsidP="00A12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30D52" w14:textId="30AB2E86" w:rsidR="005F3824" w:rsidRPr="00F65B91" w:rsidRDefault="005F3824" w:rsidP="00F65B91">
    <w:pPr>
      <w:pStyle w:val="Footer"/>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148639"/>
      <w:docPartObj>
        <w:docPartGallery w:val="Page Numbers (Bottom of Page)"/>
        <w:docPartUnique/>
      </w:docPartObj>
    </w:sdtPr>
    <w:sdtEndPr>
      <w:rPr>
        <w:rFonts w:ascii="Times New Roman" w:hAnsi="Times New Roman"/>
        <w:noProof/>
        <w:sz w:val="24"/>
        <w:szCs w:val="24"/>
      </w:rPr>
    </w:sdtEndPr>
    <w:sdtContent>
      <w:p w14:paraId="4216BD06" w14:textId="29A1801F" w:rsidR="005F3824" w:rsidRPr="004A5B3F" w:rsidRDefault="005F3824" w:rsidP="004A5B3F">
        <w:pPr>
          <w:pStyle w:val="Footer"/>
          <w:jc w:val="center"/>
          <w:rPr>
            <w:rFonts w:ascii="Times New Roman" w:hAnsi="Times New Roman"/>
            <w:sz w:val="24"/>
            <w:szCs w:val="24"/>
          </w:rPr>
        </w:pPr>
        <w:r w:rsidRPr="004A5B3F">
          <w:rPr>
            <w:rFonts w:ascii="Times New Roman" w:hAnsi="Times New Roman"/>
            <w:sz w:val="24"/>
            <w:szCs w:val="24"/>
          </w:rPr>
          <w:fldChar w:fldCharType="begin"/>
        </w:r>
        <w:r w:rsidRPr="004A5B3F">
          <w:rPr>
            <w:rFonts w:ascii="Times New Roman" w:hAnsi="Times New Roman"/>
            <w:sz w:val="24"/>
            <w:szCs w:val="24"/>
          </w:rPr>
          <w:instrText xml:space="preserve"> PAGE   \* MERGEFORMAT </w:instrText>
        </w:r>
        <w:r w:rsidRPr="004A5B3F">
          <w:rPr>
            <w:rFonts w:ascii="Times New Roman" w:hAnsi="Times New Roman"/>
            <w:sz w:val="24"/>
            <w:szCs w:val="24"/>
          </w:rPr>
          <w:fldChar w:fldCharType="separate"/>
        </w:r>
        <w:r w:rsidR="00D865F1">
          <w:rPr>
            <w:rFonts w:ascii="Times New Roman" w:hAnsi="Times New Roman"/>
            <w:noProof/>
            <w:sz w:val="24"/>
            <w:szCs w:val="24"/>
          </w:rPr>
          <w:t>61</w:t>
        </w:r>
        <w:r w:rsidRPr="004A5B3F">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BFFF2" w14:textId="77777777" w:rsidR="005F3824" w:rsidRDefault="005F3824" w:rsidP="00A12EFB">
      <w:pPr>
        <w:spacing w:line="240" w:lineRule="auto"/>
      </w:pPr>
      <w:r>
        <w:separator/>
      </w:r>
    </w:p>
  </w:footnote>
  <w:footnote w:type="continuationSeparator" w:id="0">
    <w:p w14:paraId="0E77E37B" w14:textId="77777777" w:rsidR="005F3824" w:rsidRDefault="005F3824" w:rsidP="00A12EFB">
      <w:pPr>
        <w:spacing w:line="240" w:lineRule="auto"/>
      </w:pPr>
      <w:r>
        <w:continuationSeparator/>
      </w:r>
    </w:p>
  </w:footnote>
  <w:footnote w:id="1">
    <w:p w14:paraId="407DB6F7" w14:textId="4439B2A1" w:rsidR="005F3824" w:rsidRDefault="005F3824" w:rsidP="005D00F9">
      <w:pPr>
        <w:pStyle w:val="FootnoteText"/>
        <w:spacing w:after="60"/>
        <w:jc w:val="both"/>
      </w:pPr>
      <w:r>
        <w:rPr>
          <w:rStyle w:val="FootnoteReference"/>
        </w:rPr>
        <w:footnoteRef/>
      </w:r>
      <w:r>
        <w:t xml:space="preserve"> Another approach to choice set formation is to attribute a probability weight to each possible alternative (based on, for example, the desired commute time distribution), and then adopt an importance sampling scheme to populate the choice set of a size smaller than the cardinality of the universal choice set. But, as discussed in </w:t>
      </w:r>
      <w:proofErr w:type="spellStart"/>
      <w:r>
        <w:t>Zolfaghari</w:t>
      </w:r>
      <w:proofErr w:type="spellEnd"/>
      <w:r>
        <w:t xml:space="preserve"> </w:t>
      </w:r>
      <w:r w:rsidRPr="005D00F9">
        <w:rPr>
          <w:i/>
        </w:rPr>
        <w:t>et al</w:t>
      </w:r>
      <w:r w:rsidRPr="00BB4DF0">
        <w:t>.</w:t>
      </w:r>
      <w:r>
        <w:t xml:space="preserve"> (2012), if sampling correction terms are used to effectively undo the importance sampling, this is no different from using the universal choice set and the procedure effectively completely ignores any behavioral search element in the analysis. If no correction terms are used, the behavior assumed is equivalent to that of the deterministic set-up.  </w:t>
      </w:r>
    </w:p>
  </w:footnote>
  <w:footnote w:id="2">
    <w:p w14:paraId="5D650288" w14:textId="21607569" w:rsidR="005F3824" w:rsidRDefault="005F3824" w:rsidP="00FF6F93">
      <w:pPr>
        <w:pStyle w:val="FootnoteText"/>
        <w:spacing w:after="120"/>
        <w:jc w:val="both"/>
      </w:pPr>
      <w:r>
        <w:rPr>
          <w:rStyle w:val="FootnoteReference"/>
        </w:rPr>
        <w:footnoteRef/>
      </w:r>
      <w:r>
        <w:t xml:space="preserve"> </w:t>
      </w:r>
      <w:proofErr w:type="spellStart"/>
      <w:r>
        <w:t>Zolfaghari</w:t>
      </w:r>
      <w:proofErr w:type="spellEnd"/>
      <w:r>
        <w:t xml:space="preserve"> </w:t>
      </w:r>
      <w:r w:rsidRPr="006A06F2">
        <w:rPr>
          <w:i/>
        </w:rPr>
        <w:t>et al</w:t>
      </w:r>
      <w:r>
        <w:t xml:space="preserve">. (2013) criticize the Kaplan </w:t>
      </w:r>
      <w:r w:rsidRPr="005D00F9">
        <w:rPr>
          <w:i/>
        </w:rPr>
        <w:t>et al.</w:t>
      </w:r>
      <w:r>
        <w:t xml:space="preserve"> model as being deterministic in that only the probability of the choice set formed from the observed search process is included in the first consideration part of the </w:t>
      </w:r>
      <w:proofErr w:type="spellStart"/>
      <w:r>
        <w:t>Manski</w:t>
      </w:r>
      <w:proofErr w:type="spellEnd"/>
      <w:r>
        <w:t xml:space="preserve"> model. The situation is in fact much more nuanced.  Essentially, an issue is that Kaplan </w:t>
      </w:r>
      <w:r w:rsidRPr="005D00F9">
        <w:rPr>
          <w:i/>
        </w:rPr>
        <w:t>et al.</w:t>
      </w:r>
      <w:r>
        <w:t xml:space="preserve"> assume that only alternatives that </w:t>
      </w:r>
      <w:r w:rsidRPr="00F929B1">
        <w:rPr>
          <w:u w:val="single"/>
        </w:rPr>
        <w:t>simultaneously</w:t>
      </w:r>
      <w:r>
        <w:t xml:space="preserve"> meet all the search criteria are considered by respondents, while </w:t>
      </w:r>
      <w:proofErr w:type="spellStart"/>
      <w:r>
        <w:t>Zolfaghari</w:t>
      </w:r>
      <w:proofErr w:type="spellEnd"/>
      <w:r>
        <w:t xml:space="preserve"> </w:t>
      </w:r>
      <w:r w:rsidRPr="005D00F9">
        <w:rPr>
          <w:i/>
        </w:rPr>
        <w:t>et al</w:t>
      </w:r>
      <w:r>
        <w:t xml:space="preserve">. suggest that all feasible combinations (subsets) of the multiple search criteria should also be considered in forming the possible choice sets. However, Kaplan </w:t>
      </w:r>
      <w:r w:rsidRPr="005D00F9">
        <w:rPr>
          <w:i/>
        </w:rPr>
        <w:t>et al</w:t>
      </w:r>
      <w:r>
        <w:t xml:space="preserve">. were consistent in that only those dwelling unit alternatives that met </w:t>
      </w:r>
      <w:r w:rsidRPr="00C3625A">
        <w:rPr>
          <w:u w:val="single"/>
        </w:rPr>
        <w:t>all</w:t>
      </w:r>
      <w:r>
        <w:t xml:space="preserve"> the selected thresholds on the search criteria were presented to respondents in the choice stage. Thus, based on their experimental design, they take the position that they actually “observed” the choice set (in the estimation stage). So, while it is true that different respondents may consider different search criteria (such as only the pricing-based search criterion or only the number of bedrooms criterion), allowing combinations of search criteria leads to an explosion in the number of dwelling unit alternatives for at least some choice sets. This itself is not behaviorally reasonable from a cognitive standpoint in the context of residential location choice, where there can be scores of dwelling units if, for example, only a one-dimensional search criterion is used. In our study, we exploit the fact that, even as they are forming choice sets, households already have formed a general preference for a range of dwelling unit attributes they seek. However, at this high-level preference development stage, they are not undertaking any detailed comparative (and compensatory) evaluation of actual dwelling units, but rather develop a multi-dimensional (and non-compensatory) set of preferences for dwelling unit attributes. </w:t>
      </w:r>
    </w:p>
  </w:footnote>
  <w:footnote w:id="3">
    <w:p w14:paraId="7A9AB610" w14:textId="37F67E2B" w:rsidR="005F3824" w:rsidRPr="00292000" w:rsidRDefault="005F3824" w:rsidP="00292000">
      <w:pPr>
        <w:autoSpaceDE w:val="0"/>
        <w:autoSpaceDN w:val="0"/>
        <w:adjustRightInd w:val="0"/>
        <w:spacing w:line="240" w:lineRule="auto"/>
        <w:jc w:val="both"/>
        <w:rPr>
          <w:rFonts w:eastAsiaTheme="minorHAnsi"/>
          <w:sz w:val="20"/>
          <w:szCs w:val="20"/>
        </w:rPr>
      </w:pPr>
      <w:r w:rsidRPr="00292000">
        <w:rPr>
          <w:rStyle w:val="FootnoteReference"/>
          <w:sz w:val="20"/>
          <w:szCs w:val="20"/>
        </w:rPr>
        <w:footnoteRef/>
      </w:r>
      <w:r>
        <w:rPr>
          <w:sz w:val="20"/>
          <w:szCs w:val="20"/>
        </w:rPr>
        <w:t xml:space="preserve"> </w:t>
      </w:r>
      <w:r w:rsidRPr="00292000">
        <w:rPr>
          <w:sz w:val="20"/>
          <w:szCs w:val="20"/>
        </w:rPr>
        <w:t xml:space="preserve">The literature has also seen applications of a single stage search and choice decision process that we do not discuss in detail in this paper (the reader is referred to </w:t>
      </w:r>
      <w:proofErr w:type="spellStart"/>
      <w:r w:rsidRPr="00292000">
        <w:rPr>
          <w:rFonts w:eastAsiaTheme="minorHAnsi"/>
          <w:sz w:val="20"/>
          <w:szCs w:val="20"/>
        </w:rPr>
        <w:t>Cascetta</w:t>
      </w:r>
      <w:proofErr w:type="spellEnd"/>
      <w:r w:rsidRPr="00292000">
        <w:rPr>
          <w:rFonts w:eastAsiaTheme="minorHAnsi"/>
          <w:sz w:val="20"/>
          <w:szCs w:val="20"/>
        </w:rPr>
        <w:t xml:space="preserve"> and </w:t>
      </w:r>
      <w:proofErr w:type="spellStart"/>
      <w:r w:rsidRPr="00292000">
        <w:rPr>
          <w:rFonts w:eastAsiaTheme="minorHAnsi"/>
          <w:sz w:val="20"/>
          <w:szCs w:val="20"/>
        </w:rPr>
        <w:t>Papola</w:t>
      </w:r>
      <w:proofErr w:type="spellEnd"/>
      <w:r w:rsidRPr="00292000">
        <w:rPr>
          <w:rFonts w:eastAsiaTheme="minorHAnsi"/>
          <w:sz w:val="20"/>
          <w:szCs w:val="20"/>
        </w:rPr>
        <w:t xml:space="preserve">, 2001, Elrod </w:t>
      </w:r>
      <w:r w:rsidRPr="002026DF">
        <w:rPr>
          <w:rFonts w:eastAsiaTheme="minorHAnsi"/>
          <w:i/>
          <w:sz w:val="20"/>
          <w:szCs w:val="20"/>
        </w:rPr>
        <w:t>et al</w:t>
      </w:r>
      <w:r w:rsidRPr="00292000">
        <w:rPr>
          <w:rFonts w:eastAsiaTheme="minorHAnsi"/>
          <w:sz w:val="20"/>
          <w:szCs w:val="20"/>
        </w:rPr>
        <w:t xml:space="preserve">., 2004, Martinez </w:t>
      </w:r>
      <w:r w:rsidRPr="002026DF">
        <w:rPr>
          <w:rFonts w:eastAsiaTheme="minorHAnsi"/>
          <w:i/>
          <w:sz w:val="20"/>
          <w:szCs w:val="20"/>
        </w:rPr>
        <w:t>et al</w:t>
      </w:r>
      <w:r w:rsidRPr="00292000">
        <w:rPr>
          <w:rFonts w:eastAsiaTheme="minorHAnsi"/>
          <w:sz w:val="20"/>
          <w:szCs w:val="20"/>
        </w:rPr>
        <w:t>.</w:t>
      </w:r>
      <w:r w:rsidRPr="00292000">
        <w:rPr>
          <w:sz w:val="20"/>
          <w:szCs w:val="20"/>
        </w:rPr>
        <w:t xml:space="preserve">, 2009 and </w:t>
      </w:r>
      <w:proofErr w:type="spellStart"/>
      <w:r w:rsidRPr="00292000">
        <w:rPr>
          <w:sz w:val="20"/>
          <w:szCs w:val="20"/>
        </w:rPr>
        <w:t>Bierlaire</w:t>
      </w:r>
      <w:proofErr w:type="spellEnd"/>
      <w:r w:rsidRPr="00292000">
        <w:rPr>
          <w:sz w:val="20"/>
          <w:szCs w:val="20"/>
        </w:rPr>
        <w:t xml:space="preserve"> </w:t>
      </w:r>
      <w:r w:rsidRPr="002026DF">
        <w:rPr>
          <w:i/>
          <w:sz w:val="20"/>
          <w:szCs w:val="20"/>
        </w:rPr>
        <w:t>et al</w:t>
      </w:r>
      <w:r w:rsidRPr="00292000">
        <w:rPr>
          <w:sz w:val="20"/>
          <w:szCs w:val="20"/>
        </w:rPr>
        <w:t xml:space="preserve">., 2010).  These single stage models tie the search and choice components very closely together within a single compensatory process. That is, an assumption implicit in these models is that the availability of an alternative in the choice set is a direct function of its utility. On the other hand, the two stage models allow the possibility that alternatives that may have a high utility in the second choice stage may not even enter into the picture because of locational or cost or other constraints in the non-compensatory first stage search process. </w:t>
      </w:r>
    </w:p>
  </w:footnote>
  <w:footnote w:id="4">
    <w:p w14:paraId="37693EEC" w14:textId="04F10E48" w:rsidR="005F3824" w:rsidRPr="00B845D5" w:rsidRDefault="005F3824" w:rsidP="005D00F9">
      <w:pPr>
        <w:autoSpaceDE w:val="0"/>
        <w:autoSpaceDN w:val="0"/>
        <w:adjustRightInd w:val="0"/>
        <w:spacing w:after="60" w:line="240" w:lineRule="auto"/>
        <w:jc w:val="both"/>
      </w:pPr>
      <w:r w:rsidRPr="00B67764">
        <w:rPr>
          <w:rStyle w:val="FootnoteReference"/>
          <w:sz w:val="20"/>
          <w:szCs w:val="20"/>
        </w:rPr>
        <w:footnoteRef/>
      </w:r>
      <w:r>
        <w:rPr>
          <w:sz w:val="20"/>
          <w:szCs w:val="20"/>
        </w:rPr>
        <w:t xml:space="preserve"> </w:t>
      </w:r>
      <w:r w:rsidRPr="00B845D5">
        <w:rPr>
          <w:sz w:val="20"/>
          <w:szCs w:val="20"/>
        </w:rPr>
        <w:t>There is a vast theoretical and empirical literature that focuses exclusively on the tenure decision, including those based on a portfolio analysis-based framework</w:t>
      </w:r>
      <w:r w:rsidRPr="00D379FC">
        <w:rPr>
          <w:sz w:val="20"/>
          <w:szCs w:val="20"/>
        </w:rPr>
        <w:t xml:space="preserve">, a utility-based discrete choice approach, and a risk-based evaluation perspective (see, for example, </w:t>
      </w:r>
      <w:proofErr w:type="spellStart"/>
      <w:r w:rsidRPr="00D379FC">
        <w:rPr>
          <w:sz w:val="20"/>
          <w:szCs w:val="20"/>
        </w:rPr>
        <w:t>Kain</w:t>
      </w:r>
      <w:proofErr w:type="spellEnd"/>
      <w:r w:rsidRPr="00D379FC">
        <w:rPr>
          <w:sz w:val="20"/>
          <w:szCs w:val="20"/>
        </w:rPr>
        <w:t xml:space="preserve"> and Quigley, 1972, Li, 197</w:t>
      </w:r>
      <w:r>
        <w:rPr>
          <w:sz w:val="20"/>
          <w:szCs w:val="20"/>
        </w:rPr>
        <w:t xml:space="preserve">7, Henderson and </w:t>
      </w:r>
      <w:proofErr w:type="spellStart"/>
      <w:r>
        <w:rPr>
          <w:sz w:val="20"/>
          <w:szCs w:val="20"/>
        </w:rPr>
        <w:t>Ioannides</w:t>
      </w:r>
      <w:proofErr w:type="spellEnd"/>
      <w:r>
        <w:rPr>
          <w:sz w:val="20"/>
          <w:szCs w:val="20"/>
        </w:rPr>
        <w:t>, 1983</w:t>
      </w:r>
      <w:r w:rsidRPr="00D379FC">
        <w:rPr>
          <w:sz w:val="20"/>
          <w:szCs w:val="20"/>
        </w:rPr>
        <w:t xml:space="preserve">, </w:t>
      </w:r>
      <w:r w:rsidRPr="00D379FC">
        <w:rPr>
          <w:rFonts w:eastAsiaTheme="minorHAnsi"/>
          <w:color w:val="000000"/>
          <w:sz w:val="20"/>
          <w:szCs w:val="20"/>
        </w:rPr>
        <w:t xml:space="preserve">Sinai and </w:t>
      </w:r>
      <w:proofErr w:type="spellStart"/>
      <w:r w:rsidRPr="00D379FC">
        <w:rPr>
          <w:rFonts w:eastAsiaTheme="minorHAnsi"/>
          <w:color w:val="000000"/>
          <w:sz w:val="20"/>
          <w:szCs w:val="20"/>
        </w:rPr>
        <w:t>Souleles</w:t>
      </w:r>
      <w:proofErr w:type="spellEnd"/>
      <w:r>
        <w:rPr>
          <w:rFonts w:eastAsiaTheme="minorHAnsi"/>
          <w:color w:val="000000"/>
          <w:sz w:val="20"/>
          <w:szCs w:val="20"/>
        </w:rPr>
        <w:t>,</w:t>
      </w:r>
      <w:r w:rsidRPr="00D379FC">
        <w:rPr>
          <w:rFonts w:eastAsiaTheme="minorHAnsi"/>
          <w:color w:val="000000"/>
          <w:sz w:val="20"/>
          <w:szCs w:val="20"/>
        </w:rPr>
        <w:t xml:space="preserve"> 2005</w:t>
      </w:r>
      <w:r>
        <w:rPr>
          <w:sz w:val="20"/>
          <w:szCs w:val="20"/>
        </w:rPr>
        <w:t xml:space="preserve">, Davidoff, </w:t>
      </w:r>
      <w:r w:rsidRPr="00D379FC">
        <w:rPr>
          <w:sz w:val="20"/>
          <w:szCs w:val="20"/>
        </w:rPr>
        <w:t>2006, and Flavin and Nakagawa, 2008). There is also substantial literature on the mobility decision (that is, whether to move or not, given the current dwelling unit choice), which we do not consider in the current paper (though we appreciate the importance of including this dimension in a future effort; the emphasis on the analysis of a comprehensive set of dwelling unit attributes considerably narrowed down the possible data sets available, and the data used in the current analysis did not have adequate information on the mobility decision). But there has been very limited literature on considering a comprehensive set of dimensions characterizing housing stock, as is the focus of the current stud</w:t>
      </w:r>
      <w:r w:rsidRPr="00B845D5">
        <w:rPr>
          <w:sz w:val="20"/>
          <w:szCs w:val="20"/>
        </w:rPr>
        <w:t>y. But, f</w:t>
      </w:r>
      <w:r w:rsidRPr="00D379FC">
        <w:rPr>
          <w:sz w:val="20"/>
          <w:szCs w:val="20"/>
        </w:rPr>
        <w:t xml:space="preserve">or the analysis of two or three dimensions of </w:t>
      </w:r>
      <w:r>
        <w:rPr>
          <w:sz w:val="20"/>
          <w:szCs w:val="20"/>
        </w:rPr>
        <w:t>the housing stock, see Quigley (</w:t>
      </w:r>
      <w:r w:rsidRPr="00D379FC">
        <w:rPr>
          <w:sz w:val="20"/>
          <w:szCs w:val="20"/>
        </w:rPr>
        <w:t>1976</w:t>
      </w:r>
      <w:r>
        <w:rPr>
          <w:sz w:val="20"/>
          <w:szCs w:val="20"/>
        </w:rPr>
        <w:t xml:space="preserve">), </w:t>
      </w:r>
      <w:proofErr w:type="spellStart"/>
      <w:r>
        <w:rPr>
          <w:sz w:val="20"/>
          <w:szCs w:val="20"/>
        </w:rPr>
        <w:t>Lerman</w:t>
      </w:r>
      <w:proofErr w:type="spellEnd"/>
      <w:r>
        <w:rPr>
          <w:sz w:val="20"/>
          <w:szCs w:val="20"/>
        </w:rPr>
        <w:t xml:space="preserve"> (</w:t>
      </w:r>
      <w:r w:rsidRPr="00D379FC">
        <w:rPr>
          <w:sz w:val="20"/>
          <w:szCs w:val="20"/>
        </w:rPr>
        <w:t>1977</w:t>
      </w:r>
      <w:r>
        <w:rPr>
          <w:sz w:val="20"/>
          <w:szCs w:val="20"/>
        </w:rPr>
        <w:t>), Cho (</w:t>
      </w:r>
      <w:r w:rsidRPr="00D379FC">
        <w:rPr>
          <w:sz w:val="20"/>
          <w:szCs w:val="20"/>
        </w:rPr>
        <w:t>1997</w:t>
      </w:r>
      <w:r>
        <w:rPr>
          <w:sz w:val="20"/>
          <w:szCs w:val="20"/>
        </w:rPr>
        <w:t>)</w:t>
      </w:r>
      <w:r w:rsidRPr="00D379FC">
        <w:rPr>
          <w:sz w:val="20"/>
          <w:szCs w:val="20"/>
        </w:rPr>
        <w:t xml:space="preserve">, </w:t>
      </w:r>
      <w:r>
        <w:rPr>
          <w:bCs/>
          <w:sz w:val="20"/>
          <w:szCs w:val="20"/>
        </w:rPr>
        <w:t>Quigley (</w:t>
      </w:r>
      <w:r w:rsidRPr="00D379FC">
        <w:rPr>
          <w:bCs/>
          <w:sz w:val="20"/>
          <w:szCs w:val="20"/>
        </w:rPr>
        <w:t>1985</w:t>
      </w:r>
      <w:r>
        <w:rPr>
          <w:bCs/>
          <w:sz w:val="20"/>
          <w:szCs w:val="20"/>
        </w:rPr>
        <w:t>)</w:t>
      </w:r>
      <w:r w:rsidRPr="00D379FC">
        <w:rPr>
          <w:bCs/>
          <w:sz w:val="20"/>
          <w:szCs w:val="20"/>
        </w:rPr>
        <w:t xml:space="preserve">, </w:t>
      </w:r>
      <w:proofErr w:type="spellStart"/>
      <w:r>
        <w:rPr>
          <w:bCs/>
          <w:sz w:val="20"/>
          <w:szCs w:val="20"/>
        </w:rPr>
        <w:t>Rapaport</w:t>
      </w:r>
      <w:proofErr w:type="spellEnd"/>
      <w:r>
        <w:rPr>
          <w:bCs/>
          <w:sz w:val="20"/>
          <w:szCs w:val="20"/>
        </w:rPr>
        <w:t xml:space="preserve"> (</w:t>
      </w:r>
      <w:r w:rsidRPr="00B845D5">
        <w:rPr>
          <w:bCs/>
          <w:sz w:val="20"/>
          <w:szCs w:val="20"/>
        </w:rPr>
        <w:t>1997</w:t>
      </w:r>
      <w:r>
        <w:rPr>
          <w:bCs/>
          <w:sz w:val="20"/>
          <w:szCs w:val="20"/>
        </w:rPr>
        <w:t>)</w:t>
      </w:r>
      <w:r w:rsidRPr="00B845D5">
        <w:rPr>
          <w:bCs/>
          <w:sz w:val="20"/>
          <w:szCs w:val="20"/>
        </w:rPr>
        <w:t xml:space="preserve">, </w:t>
      </w:r>
      <w:proofErr w:type="spellStart"/>
      <w:r w:rsidRPr="00D379FC">
        <w:rPr>
          <w:sz w:val="20"/>
          <w:szCs w:val="20"/>
        </w:rPr>
        <w:t>Boheim</w:t>
      </w:r>
      <w:proofErr w:type="spellEnd"/>
      <w:r w:rsidRPr="00D379FC">
        <w:rPr>
          <w:sz w:val="20"/>
          <w:szCs w:val="20"/>
        </w:rPr>
        <w:t xml:space="preserve"> and Taylo</w:t>
      </w:r>
      <w:r>
        <w:rPr>
          <w:sz w:val="20"/>
          <w:szCs w:val="20"/>
        </w:rPr>
        <w:t>r</w:t>
      </w:r>
      <w:r w:rsidRPr="00D379FC">
        <w:rPr>
          <w:sz w:val="20"/>
          <w:szCs w:val="20"/>
        </w:rPr>
        <w:t xml:space="preserve"> </w:t>
      </w:r>
      <w:r>
        <w:rPr>
          <w:sz w:val="20"/>
          <w:szCs w:val="20"/>
        </w:rPr>
        <w:t>(</w:t>
      </w:r>
      <w:r w:rsidRPr="00D379FC">
        <w:rPr>
          <w:sz w:val="20"/>
          <w:szCs w:val="20"/>
        </w:rPr>
        <w:t>1999</w:t>
      </w:r>
      <w:r>
        <w:rPr>
          <w:sz w:val="20"/>
          <w:szCs w:val="20"/>
        </w:rPr>
        <w:t>)</w:t>
      </w:r>
      <w:r w:rsidRPr="00D379FC">
        <w:rPr>
          <w:sz w:val="20"/>
          <w:szCs w:val="20"/>
        </w:rPr>
        <w:t xml:space="preserve">, </w:t>
      </w:r>
      <w:proofErr w:type="spellStart"/>
      <w:r>
        <w:rPr>
          <w:bCs/>
          <w:sz w:val="20"/>
          <w:szCs w:val="20"/>
        </w:rPr>
        <w:t>Skaburskis</w:t>
      </w:r>
      <w:proofErr w:type="spellEnd"/>
      <w:r>
        <w:rPr>
          <w:bCs/>
          <w:sz w:val="20"/>
          <w:szCs w:val="20"/>
        </w:rPr>
        <w:t xml:space="preserve"> (</w:t>
      </w:r>
      <w:r w:rsidRPr="00D379FC">
        <w:rPr>
          <w:bCs/>
          <w:sz w:val="20"/>
          <w:szCs w:val="20"/>
        </w:rPr>
        <w:t>1999</w:t>
      </w:r>
      <w:r>
        <w:rPr>
          <w:bCs/>
          <w:sz w:val="20"/>
          <w:szCs w:val="20"/>
        </w:rPr>
        <w:t xml:space="preserve">), Yates and Mackay (2006), </w:t>
      </w:r>
      <w:proofErr w:type="spellStart"/>
      <w:r>
        <w:rPr>
          <w:bCs/>
          <w:sz w:val="20"/>
          <w:szCs w:val="20"/>
        </w:rPr>
        <w:t>Frenkel</w:t>
      </w:r>
      <w:proofErr w:type="spellEnd"/>
      <w:r>
        <w:rPr>
          <w:bCs/>
          <w:sz w:val="20"/>
          <w:szCs w:val="20"/>
        </w:rPr>
        <w:t xml:space="preserve"> and Kaplan (2014)</w:t>
      </w:r>
      <w:r w:rsidRPr="00B845D5">
        <w:rPr>
          <w:sz w:val="20"/>
          <w:szCs w:val="20"/>
        </w:rPr>
        <w:t xml:space="preserve">. There also has been a substantial literature on housing tenure/mobility (discrete choice) and quantity of housing demand (continuous choice), but this vast literature uses hedonic relationships to estimate the quantity of housing demand as the market value of a dwelling unit divided by a constructed price of a standardized unit of the flow of housing services. However, the demand for housing services in such studies is rather abstract and does not correspond to individual dimensions of the dwelling unit. Examples of this literature </w:t>
      </w:r>
      <w:r w:rsidRPr="00D379FC">
        <w:rPr>
          <w:sz w:val="20"/>
          <w:szCs w:val="20"/>
        </w:rPr>
        <w:t xml:space="preserve">include Lee and </w:t>
      </w:r>
      <w:proofErr w:type="spellStart"/>
      <w:r w:rsidRPr="00D379FC">
        <w:rPr>
          <w:sz w:val="20"/>
          <w:szCs w:val="20"/>
        </w:rPr>
        <w:t>Trost</w:t>
      </w:r>
      <w:proofErr w:type="spellEnd"/>
      <w:r w:rsidRPr="00D379FC">
        <w:rPr>
          <w:sz w:val="20"/>
          <w:szCs w:val="20"/>
        </w:rPr>
        <w:t xml:space="preserve"> (1978), </w:t>
      </w:r>
      <w:r w:rsidRPr="00D379FC">
        <w:rPr>
          <w:rFonts w:eastAsiaTheme="minorHAnsi"/>
          <w:sz w:val="20"/>
          <w:szCs w:val="20"/>
        </w:rPr>
        <w:t>Rosen (1979)</w:t>
      </w:r>
      <w:r w:rsidRPr="00D379FC">
        <w:rPr>
          <w:sz w:val="20"/>
          <w:szCs w:val="20"/>
        </w:rPr>
        <w:t xml:space="preserve">, </w:t>
      </w:r>
      <w:proofErr w:type="spellStart"/>
      <w:r w:rsidRPr="00D379FC">
        <w:rPr>
          <w:sz w:val="20"/>
          <w:szCs w:val="20"/>
        </w:rPr>
        <w:t>Dubin</w:t>
      </w:r>
      <w:proofErr w:type="spellEnd"/>
      <w:r w:rsidRPr="00D379FC">
        <w:rPr>
          <w:sz w:val="20"/>
          <w:szCs w:val="20"/>
        </w:rPr>
        <w:t xml:space="preserve"> and McFadden (1984), </w:t>
      </w:r>
      <w:proofErr w:type="spellStart"/>
      <w:r w:rsidRPr="00D379FC">
        <w:rPr>
          <w:rFonts w:eastAsiaTheme="minorHAnsi"/>
          <w:sz w:val="20"/>
          <w:szCs w:val="20"/>
        </w:rPr>
        <w:t>Ermisch</w:t>
      </w:r>
      <w:proofErr w:type="spellEnd"/>
      <w:r w:rsidRPr="00D379FC">
        <w:rPr>
          <w:rFonts w:eastAsiaTheme="minorHAnsi"/>
          <w:sz w:val="20"/>
          <w:szCs w:val="20"/>
        </w:rPr>
        <w:t xml:space="preserve"> </w:t>
      </w:r>
      <w:r w:rsidRPr="00DB654C">
        <w:rPr>
          <w:rFonts w:eastAsiaTheme="minorHAnsi"/>
          <w:i/>
          <w:sz w:val="20"/>
          <w:szCs w:val="20"/>
        </w:rPr>
        <w:t>et al</w:t>
      </w:r>
      <w:r w:rsidRPr="00D379FC">
        <w:rPr>
          <w:rFonts w:eastAsiaTheme="minorHAnsi"/>
          <w:sz w:val="20"/>
          <w:szCs w:val="20"/>
        </w:rPr>
        <w:t xml:space="preserve">. (1996), </w:t>
      </w:r>
      <w:proofErr w:type="spellStart"/>
      <w:r>
        <w:rPr>
          <w:sz w:val="20"/>
          <w:szCs w:val="20"/>
        </w:rPr>
        <w:t>Rap</w:t>
      </w:r>
      <w:r w:rsidRPr="00D379FC">
        <w:rPr>
          <w:sz w:val="20"/>
          <w:szCs w:val="20"/>
        </w:rPr>
        <w:t>aport</w:t>
      </w:r>
      <w:proofErr w:type="spellEnd"/>
      <w:r w:rsidRPr="00D379FC">
        <w:rPr>
          <w:sz w:val="20"/>
          <w:szCs w:val="20"/>
        </w:rPr>
        <w:t xml:space="preserve"> (1997), </w:t>
      </w:r>
      <w:proofErr w:type="spellStart"/>
      <w:r w:rsidRPr="00D379FC">
        <w:rPr>
          <w:rFonts w:eastAsiaTheme="minorHAnsi"/>
          <w:sz w:val="20"/>
          <w:szCs w:val="20"/>
        </w:rPr>
        <w:t>Rouwendal</w:t>
      </w:r>
      <w:proofErr w:type="spellEnd"/>
      <w:r w:rsidRPr="00D379FC">
        <w:rPr>
          <w:rFonts w:eastAsiaTheme="minorHAnsi"/>
          <w:sz w:val="20"/>
          <w:szCs w:val="20"/>
        </w:rPr>
        <w:t xml:space="preserve"> and Meijer (2001), </w:t>
      </w:r>
      <w:r>
        <w:rPr>
          <w:rFonts w:eastAsiaTheme="minorHAnsi"/>
          <w:sz w:val="20"/>
          <w:szCs w:val="20"/>
        </w:rPr>
        <w:t>Goodman (2002),</w:t>
      </w:r>
      <w:r w:rsidRPr="00D379FC">
        <w:rPr>
          <w:rFonts w:eastAsiaTheme="minorHAnsi"/>
          <w:sz w:val="20"/>
          <w:szCs w:val="20"/>
        </w:rPr>
        <w:t xml:space="preserve"> </w:t>
      </w:r>
      <w:r w:rsidRPr="004A2D15">
        <w:rPr>
          <w:rFonts w:eastAsiaTheme="minorHAnsi"/>
          <w:sz w:val="20"/>
          <w:szCs w:val="20"/>
        </w:rPr>
        <w:t>Barrios-García and Rodríguez-Hernández</w:t>
      </w:r>
      <w:r w:rsidRPr="00D379FC">
        <w:rPr>
          <w:rFonts w:eastAsiaTheme="minorHAnsi"/>
          <w:sz w:val="20"/>
          <w:szCs w:val="20"/>
        </w:rPr>
        <w:t xml:space="preserve"> (2008), </w:t>
      </w:r>
      <w:r w:rsidRPr="00B845D5">
        <w:rPr>
          <w:sz w:val="20"/>
          <w:szCs w:val="20"/>
        </w:rPr>
        <w:t xml:space="preserve">and Chen and Jin (2014). </w:t>
      </w:r>
      <w:r w:rsidRPr="00D379FC">
        <w:rPr>
          <w:sz w:val="20"/>
          <w:szCs w:val="20"/>
        </w:rPr>
        <w:t>Besides, previous housing stock studies have not motivated their analysis from a search t</w:t>
      </w:r>
      <w:r w:rsidRPr="00B845D5">
        <w:rPr>
          <w:sz w:val="20"/>
          <w:szCs w:val="20"/>
        </w:rPr>
        <w:t>h</w:t>
      </w:r>
      <w:r w:rsidRPr="00D379FC">
        <w:rPr>
          <w:sz w:val="20"/>
          <w:szCs w:val="20"/>
        </w:rPr>
        <w:t>eory perspective to winnow down the choice set</w:t>
      </w:r>
      <w:r w:rsidRPr="00B845D5">
        <w:rPr>
          <w:sz w:val="20"/>
          <w:szCs w:val="20"/>
        </w:rPr>
        <w:t xml:space="preserve"> for the dwelling unit in a parcel</w:t>
      </w:r>
      <w:r w:rsidRPr="00D379FC">
        <w:rPr>
          <w:sz w:val="20"/>
          <w:szCs w:val="20"/>
        </w:rPr>
        <w:t xml:space="preserve">, as is the </w:t>
      </w:r>
      <w:r w:rsidRPr="00B845D5">
        <w:rPr>
          <w:sz w:val="20"/>
          <w:szCs w:val="20"/>
        </w:rPr>
        <w:t xml:space="preserve">primary motivation for </w:t>
      </w:r>
      <w:r w:rsidRPr="00D379FC">
        <w:rPr>
          <w:sz w:val="20"/>
          <w:szCs w:val="20"/>
        </w:rPr>
        <w:t>the current paper.</w:t>
      </w:r>
      <w:r w:rsidRPr="00B845D5">
        <w:rPr>
          <w:sz w:val="20"/>
          <w:szCs w:val="20"/>
        </w:rPr>
        <w:t xml:space="preserve"> </w:t>
      </w:r>
    </w:p>
  </w:footnote>
  <w:footnote w:id="5">
    <w:p w14:paraId="20FD0C3F" w14:textId="73A5FEFA" w:rsidR="005F3824" w:rsidRDefault="005F3824" w:rsidP="00FD6980">
      <w:pPr>
        <w:pStyle w:val="FootnoteText"/>
        <w:jc w:val="both"/>
      </w:pPr>
      <w:r>
        <w:rPr>
          <w:rStyle w:val="FootnoteReference"/>
        </w:rPr>
        <w:footnoteRef/>
      </w:r>
      <w:r w:rsidR="00F362FB">
        <w:t xml:space="preserve"> </w:t>
      </w:r>
      <w:r>
        <w:t xml:space="preserve">Technically, as discussed earlier, one has to identify whether or not a household is looking for a new residence (either because of a move from within a metropolitan region or because of a new household migrating into the region), along with the choice of housing attributes (see, for example, Eluru </w:t>
      </w:r>
      <w:r w:rsidRPr="00FD6980">
        <w:rPr>
          <w:i/>
        </w:rPr>
        <w:t>et al</w:t>
      </w:r>
      <w:r>
        <w:t xml:space="preserve">., 2009, Lee and Waddell, 2010, and Kortum </w:t>
      </w:r>
      <w:r w:rsidRPr="00D379FC">
        <w:rPr>
          <w:i/>
        </w:rPr>
        <w:t>et al</w:t>
      </w:r>
      <w:r>
        <w:t xml:space="preserve">., 2012). We leave this extension for the future. </w:t>
      </w:r>
    </w:p>
  </w:footnote>
  <w:footnote w:id="6">
    <w:p w14:paraId="26CB865C" w14:textId="77777777" w:rsidR="005F3824" w:rsidRPr="00F87958" w:rsidRDefault="005F3824" w:rsidP="000371D8">
      <w:pPr>
        <w:pStyle w:val="FootnoteText"/>
        <w:jc w:val="both"/>
      </w:pPr>
      <w:r w:rsidRPr="00096BC0">
        <w:rPr>
          <w:rStyle w:val="FootnoteReference"/>
        </w:rPr>
        <w:footnoteRef/>
      </w:r>
      <w:r w:rsidRPr="00096BC0">
        <w:t xml:space="preserve"> </w:t>
      </w:r>
      <w:r w:rsidRPr="0021729F">
        <w:t>In joint limited-dependent variable systems in which one or more dependent variables are not observed on a continuous scale, such as the joint system considered in the current p</w:t>
      </w:r>
      <w:r>
        <w:t xml:space="preserve">aper that has grouped, </w:t>
      </w:r>
      <w:r w:rsidRPr="0021729F">
        <w:t>count</w:t>
      </w:r>
      <w:r>
        <w:t>, and nominal</w:t>
      </w:r>
      <w:r w:rsidRPr="0021729F">
        <w:t xml:space="preserve"> variables (which we will more generally refer to as limited-dependent variables), the structural effects of one limited-dependent variable on another can only be in a single direction. That is, it is not possible to have correlated unobserved effects underlying the propensities determining two limited-dependent variables, as well as have the observed limited-dependent variables themselves structurally affect each other in a bi-directional fashion. This creates a logical inconsistency problem </w:t>
      </w:r>
      <w:r>
        <w:fldChar w:fldCharType="begin"/>
      </w:r>
      <w:r>
        <w:instrText xml:space="preserve"> ADDIN EN.CITE &lt;EndNote&gt;&lt;Cite Hidden="1"&gt;&lt;Author&gt;Maddala&lt;/Author&gt;&lt;Year&gt;1983&lt;/Year&gt;&lt;RecNum&gt;470&lt;/RecNum&gt;&lt;record&gt;&lt;rec-number&gt;470&lt;/rec-number&gt;&lt;foreign-keys&gt;&lt;key app="EN" db-id="pvx5r9p0tafrfne2pxqxp2x4zvae5vdepf09"&gt;470&lt;/key&gt;&lt;/foreign-keys&gt;&lt;ref-type name="Journal Article"&gt;17&lt;/ref-type&gt;&lt;contributors&gt;&lt;authors&gt;&lt;author&gt;Maddala, GS&lt;/author&gt;&lt;/authors&gt;&lt;/contributors&gt;&lt;titles&gt;&lt;title&gt;Limited-dependent and qualitative variables in econometrics&lt;/title&gt;&lt;/titles&gt;&lt;dates&gt;&lt;year&gt;1983&lt;/year&gt;&lt;/dates&gt;&lt;urls&gt;&lt;/urls&gt;&lt;/record&gt;&lt;/Cite&gt;&lt;/EndNote&gt;</w:instrText>
      </w:r>
      <w:r>
        <w:fldChar w:fldCharType="end"/>
      </w:r>
      <w:r w:rsidRPr="0021729F">
        <w:t xml:space="preserve">(see </w:t>
      </w:r>
      <w:proofErr w:type="spellStart"/>
      <w:r w:rsidRPr="0021729F">
        <w:t>Maddala</w:t>
      </w:r>
      <w:proofErr w:type="spellEnd"/>
      <w:r w:rsidRPr="0021729F">
        <w:t>, 1983, page 119 for a good discussion). It is critical to note that, regardless of which directionality of structural effects among the endogenous variables is specified (or even if no relationships are specified), the system is a joint bundled system because of the correlation in unobserved factors impacting the underlying propensities.</w:t>
      </w:r>
      <w:r w:rsidRPr="00F87958">
        <w:t xml:space="preserve"> </w:t>
      </w:r>
      <w:r>
        <w:t xml:space="preserve">The reader is referred to Bhat (2014) for additional details. </w:t>
      </w:r>
    </w:p>
  </w:footnote>
  <w:footnote w:id="7">
    <w:p w14:paraId="15C51626" w14:textId="40022E66" w:rsidR="005F3824" w:rsidRPr="008F04E5" w:rsidRDefault="005F3824" w:rsidP="00FF6F93">
      <w:pPr>
        <w:pStyle w:val="Default"/>
        <w:spacing w:after="120"/>
        <w:jc w:val="both"/>
        <w:rPr>
          <w:rFonts w:ascii="Arial" w:hAnsi="Arial" w:cs="Arial"/>
        </w:rPr>
      </w:pPr>
      <w:r w:rsidRPr="00F65B91">
        <w:rPr>
          <w:rStyle w:val="FootnoteReference"/>
          <w:rFonts w:ascii="Times New Roman" w:hAnsi="Times New Roman" w:cs="Times New Roman"/>
          <w:sz w:val="20"/>
          <w:szCs w:val="20"/>
        </w:rPr>
        <w:footnoteRef/>
      </w:r>
      <w:r w:rsidRPr="00F65B91">
        <w:rPr>
          <w:rFonts w:ascii="Times New Roman" w:hAnsi="Times New Roman" w:cs="Times New Roman"/>
          <w:sz w:val="20"/>
          <w:szCs w:val="20"/>
        </w:rPr>
        <w:t xml:space="preserve"> </w:t>
      </w:r>
      <w:r w:rsidRPr="008F04E5">
        <w:rPr>
          <w:rFonts w:ascii="Times New Roman" w:hAnsi="Times New Roman" w:cs="Times New Roman"/>
          <w:sz w:val="20"/>
          <w:szCs w:val="20"/>
        </w:rPr>
        <w:t>The housing cost variable includes estimates of the equivalent monthly costs of all of the applicable following items: electricity, gas, fuel oil, other fuels</w:t>
      </w:r>
      <w:r>
        <w:rPr>
          <w:rFonts w:ascii="Times New Roman" w:hAnsi="Times New Roman" w:cs="Times New Roman"/>
          <w:sz w:val="20"/>
          <w:szCs w:val="20"/>
        </w:rPr>
        <w:t xml:space="preserve"> </w:t>
      </w:r>
      <w:r w:rsidRPr="008F04E5">
        <w:rPr>
          <w:rFonts w:ascii="Times New Roman" w:hAnsi="Times New Roman" w:cs="Times New Roman"/>
          <w:sz w:val="20"/>
          <w:szCs w:val="20"/>
        </w:rPr>
        <w:t>(</w:t>
      </w:r>
      <w:r w:rsidRPr="003D4333">
        <w:rPr>
          <w:rFonts w:ascii="Times New Roman" w:hAnsi="Times New Roman" w:cs="Times New Roman"/>
          <w:i/>
          <w:sz w:val="20"/>
          <w:szCs w:val="20"/>
        </w:rPr>
        <w:t>e.g.</w:t>
      </w:r>
      <w:r w:rsidRPr="008F04E5">
        <w:rPr>
          <w:rFonts w:ascii="Times New Roman" w:hAnsi="Times New Roman" w:cs="Times New Roman"/>
          <w:sz w:val="20"/>
          <w:szCs w:val="20"/>
        </w:rPr>
        <w:t xml:space="preserve"> wood, coal, kerosene, </w:t>
      </w:r>
      <w:r w:rsidRPr="003D4333">
        <w:rPr>
          <w:rFonts w:ascii="Times New Roman" w:hAnsi="Times New Roman" w:cs="Times New Roman"/>
          <w:i/>
          <w:sz w:val="20"/>
          <w:szCs w:val="20"/>
        </w:rPr>
        <w:t>etc</w:t>
      </w:r>
      <w:r w:rsidRPr="008F04E5">
        <w:rPr>
          <w:rFonts w:ascii="Times New Roman" w:hAnsi="Times New Roman" w:cs="Times New Roman"/>
          <w:sz w:val="20"/>
          <w:szCs w:val="20"/>
        </w:rPr>
        <w:t>.), garbage and trash, water and sewage, real estate taxes, property insurance, condominium fees, homeowner's association fees, land or site rent, rent, mortgage payments, home equity loan payments, other charges included in mortgage payments, and routine maintenance. Indeed, the housing cost-related questions occupy all of about 140 pages in the codebook for the American Housing Survey (</w:t>
      </w:r>
      <w:r w:rsidRPr="00FB1E50">
        <w:rPr>
          <w:rFonts w:ascii="Times New Roman" w:hAnsi="Times New Roman" w:cs="Times New Roman"/>
          <w:sz w:val="20"/>
          <w:szCs w:val="20"/>
        </w:rPr>
        <w:t>U.S. Department of Housing and Urban Development,</w:t>
      </w:r>
      <w:r>
        <w:rPr>
          <w:rFonts w:ascii="Times New Roman" w:hAnsi="Times New Roman" w:cs="Times New Roman"/>
          <w:sz w:val="20"/>
          <w:szCs w:val="20"/>
        </w:rPr>
        <w:t xml:space="preserve"> </w:t>
      </w:r>
      <w:r w:rsidRPr="008F04E5">
        <w:rPr>
          <w:rFonts w:ascii="Times New Roman" w:hAnsi="Times New Roman" w:cs="Times New Roman"/>
          <w:sz w:val="20"/>
          <w:szCs w:val="20"/>
        </w:rPr>
        <w:t>2013). It is important to note that th</w:t>
      </w:r>
      <w:r>
        <w:rPr>
          <w:rFonts w:ascii="Times New Roman" w:hAnsi="Times New Roman" w:cs="Times New Roman"/>
          <w:sz w:val="20"/>
          <w:szCs w:val="20"/>
        </w:rPr>
        <w:t xml:space="preserve">e monthly housing cost variable used in the current paper </w:t>
      </w:r>
      <w:r w:rsidRPr="008F04E5">
        <w:rPr>
          <w:rFonts w:ascii="Times New Roman" w:hAnsi="Times New Roman" w:cs="Times New Roman"/>
          <w:sz w:val="20"/>
          <w:szCs w:val="20"/>
        </w:rPr>
        <w:t xml:space="preserve">is a constructed variable </w:t>
      </w:r>
      <w:r>
        <w:rPr>
          <w:rFonts w:ascii="Times New Roman" w:hAnsi="Times New Roman" w:cs="Times New Roman"/>
          <w:sz w:val="20"/>
          <w:szCs w:val="20"/>
        </w:rPr>
        <w:t xml:space="preserve">(by the U.S. Census Bureau) </w:t>
      </w:r>
      <w:r w:rsidRPr="008F04E5">
        <w:rPr>
          <w:rFonts w:ascii="Times New Roman" w:hAnsi="Times New Roman" w:cs="Times New Roman"/>
          <w:sz w:val="20"/>
          <w:szCs w:val="20"/>
        </w:rPr>
        <w:t xml:space="preserve">from a suite of questions on housing costs </w:t>
      </w:r>
      <w:r>
        <w:rPr>
          <w:rFonts w:ascii="Times New Roman" w:hAnsi="Times New Roman" w:cs="Times New Roman"/>
          <w:sz w:val="20"/>
          <w:szCs w:val="20"/>
        </w:rPr>
        <w:t xml:space="preserve">and mortgage/rental payment arrangements </w:t>
      </w:r>
      <w:r w:rsidRPr="008F04E5">
        <w:rPr>
          <w:rFonts w:ascii="Times New Roman" w:hAnsi="Times New Roman" w:cs="Times New Roman"/>
          <w:sz w:val="20"/>
          <w:szCs w:val="20"/>
        </w:rPr>
        <w:t xml:space="preserve">(with respondents free to provide </w:t>
      </w:r>
      <w:r>
        <w:rPr>
          <w:rFonts w:ascii="Times New Roman" w:hAnsi="Times New Roman" w:cs="Times New Roman"/>
          <w:sz w:val="20"/>
          <w:szCs w:val="20"/>
        </w:rPr>
        <w:t xml:space="preserve">cost and payment </w:t>
      </w:r>
      <w:r w:rsidRPr="008F04E5">
        <w:rPr>
          <w:rFonts w:ascii="Times New Roman" w:hAnsi="Times New Roman" w:cs="Times New Roman"/>
          <w:sz w:val="20"/>
          <w:szCs w:val="20"/>
        </w:rPr>
        <w:t>estimates over any time period</w:t>
      </w:r>
      <w:r>
        <w:rPr>
          <w:rFonts w:ascii="Times New Roman" w:hAnsi="Times New Roman" w:cs="Times New Roman"/>
          <w:sz w:val="20"/>
          <w:szCs w:val="20"/>
        </w:rPr>
        <w:t xml:space="preserve">, not necessarily a monthly period). </w:t>
      </w:r>
      <w:r w:rsidRPr="008F04E5">
        <w:rPr>
          <w:rFonts w:ascii="Times New Roman" w:hAnsi="Times New Roman" w:cs="Times New Roman"/>
          <w:sz w:val="20"/>
          <w:szCs w:val="20"/>
        </w:rPr>
        <w:t>Additional details are available in the codebook</w:t>
      </w:r>
      <w:r w:rsidRPr="00BE3663">
        <w:rPr>
          <w:rFonts w:ascii="Times New Roman" w:hAnsi="Times New Roman" w:cs="Times New Roman"/>
          <w:sz w:val="20"/>
          <w:szCs w:val="20"/>
        </w:rPr>
        <w:t xml:space="preserve">. The overall monthly cost was constructed </w:t>
      </w:r>
      <w:r>
        <w:rPr>
          <w:rFonts w:ascii="Times New Roman" w:hAnsi="Times New Roman" w:cs="Times New Roman"/>
          <w:sz w:val="20"/>
          <w:szCs w:val="20"/>
        </w:rPr>
        <w:t xml:space="preserve">in this paper </w:t>
      </w:r>
      <w:r w:rsidRPr="00BE3663">
        <w:rPr>
          <w:rFonts w:ascii="Times New Roman" w:hAnsi="Times New Roman" w:cs="Times New Roman"/>
          <w:sz w:val="20"/>
          <w:szCs w:val="20"/>
        </w:rPr>
        <w:t xml:space="preserve">to represent the typical costs in residing in the dwelling unit </w:t>
      </w:r>
      <w:r>
        <w:rPr>
          <w:rFonts w:ascii="Times New Roman" w:hAnsi="Times New Roman" w:cs="Times New Roman"/>
          <w:sz w:val="20"/>
          <w:szCs w:val="20"/>
        </w:rPr>
        <w:t xml:space="preserve">and the </w:t>
      </w:r>
      <w:r w:rsidRPr="00BE3663">
        <w:rPr>
          <w:rFonts w:ascii="Times New Roman" w:hAnsi="Times New Roman" w:cs="Times New Roman"/>
          <w:sz w:val="20"/>
          <w:szCs w:val="20"/>
        </w:rPr>
        <w:t>val</w:t>
      </w:r>
      <w:r>
        <w:rPr>
          <w:rFonts w:ascii="Times New Roman" w:hAnsi="Times New Roman" w:cs="Times New Roman"/>
          <w:sz w:val="20"/>
          <w:szCs w:val="20"/>
        </w:rPr>
        <w:t>ue of the property and the land</w:t>
      </w:r>
      <w:r w:rsidRPr="00BE3663">
        <w:rPr>
          <w:rFonts w:ascii="Times New Roman" w:hAnsi="Times New Roman" w:cs="Times New Roman"/>
          <w:sz w:val="20"/>
          <w:szCs w:val="20"/>
        </w:rPr>
        <w:t xml:space="preserve"> </w:t>
      </w:r>
      <w:r>
        <w:rPr>
          <w:rFonts w:ascii="Times New Roman" w:hAnsi="Times New Roman" w:cs="Times New Roman"/>
          <w:sz w:val="20"/>
          <w:szCs w:val="20"/>
        </w:rPr>
        <w:t>(computed as an</w:t>
      </w:r>
      <w:r w:rsidRPr="008F04E5">
        <w:rPr>
          <w:rFonts w:ascii="Times New Roman" w:hAnsi="Times New Roman" w:cs="Times New Roman"/>
          <w:sz w:val="20"/>
          <w:szCs w:val="20"/>
        </w:rPr>
        <w:t xml:space="preserve"> equivalent total rental cost as estimated by the respondents, using all the costs listed above and replaci</w:t>
      </w:r>
      <w:r>
        <w:rPr>
          <w:rFonts w:ascii="Times New Roman" w:hAnsi="Times New Roman" w:cs="Times New Roman"/>
          <w:sz w:val="20"/>
          <w:szCs w:val="20"/>
        </w:rPr>
        <w:t xml:space="preserve">ng any mortgage payments by an </w:t>
      </w:r>
      <w:r w:rsidRPr="008F04E5">
        <w:rPr>
          <w:rFonts w:ascii="Times New Roman" w:hAnsi="Times New Roman" w:cs="Times New Roman"/>
          <w:sz w:val="20"/>
          <w:szCs w:val="20"/>
        </w:rPr>
        <w:t>estimated monthly rent as provided by the respondents).</w:t>
      </w:r>
      <w:r>
        <w:rPr>
          <w:rFonts w:ascii="Times New Roman" w:hAnsi="Times New Roman" w:cs="Times New Roman"/>
          <w:sz w:val="20"/>
          <w:szCs w:val="20"/>
        </w:rPr>
        <w:t xml:space="preserve"> </w:t>
      </w:r>
    </w:p>
  </w:footnote>
  <w:footnote w:id="8">
    <w:p w14:paraId="2D621583" w14:textId="53026565" w:rsidR="005F3824" w:rsidRDefault="005F3824" w:rsidP="00142023">
      <w:pPr>
        <w:pStyle w:val="FootnoteText"/>
        <w:jc w:val="both"/>
      </w:pPr>
      <w:r>
        <w:rPr>
          <w:rStyle w:val="FootnoteReference"/>
        </w:rPr>
        <w:footnoteRef/>
      </w:r>
      <w:r>
        <w:t xml:space="preserve"> </w:t>
      </w:r>
      <w:r>
        <w:rPr>
          <w:lang w:eastAsia="zh-CN"/>
        </w:rPr>
        <w:t xml:space="preserve">The survey data itself had information on the precise address of each dwelling unit, because dwelling units constituted the sampling frame. But the publicly available information categorizes the dwelling unit as being located in one of three </w:t>
      </w:r>
      <w:r>
        <w:t>density categories of neighborhoods</w:t>
      </w:r>
      <w:r>
        <w:rPr>
          <w:lang w:eastAsia="zh-CN"/>
        </w:rPr>
        <w:t xml:space="preserve">: (1) </w:t>
      </w:r>
      <w:r>
        <w:t xml:space="preserve">suburb of a metropolitan statistical area MSA (population less than 250,000), (2) secondary city of an MSA (population is between 250,000 and 1,000,000) and (3) primary city of an MSA (population greater than 1 million). While this categorization is technically based on population size, we use it as a proxy for density. </w:t>
      </w:r>
    </w:p>
  </w:footnote>
  <w:footnote w:id="9">
    <w:p w14:paraId="3B1AF61F" w14:textId="134F5BAD" w:rsidR="005F3824" w:rsidRDefault="005F3824" w:rsidP="00D379FC">
      <w:pPr>
        <w:pStyle w:val="FootnoteText"/>
        <w:jc w:val="both"/>
      </w:pPr>
      <w:r>
        <w:rPr>
          <w:rStyle w:val="FootnoteReference"/>
        </w:rPr>
        <w:footnoteRef/>
      </w:r>
      <w:r>
        <w:t xml:space="preserve"> We use the race of the householder to represent household race because there were only about 4% of the households in which there was a difference between the race of the householder and the race of any other member in the household. That is, there are very few mixed-race households in our sample. </w:t>
      </w:r>
    </w:p>
  </w:footnote>
  <w:footnote w:id="10">
    <w:p w14:paraId="1500C723" w14:textId="69CDB3E7" w:rsidR="005F3824" w:rsidRDefault="005F3824" w:rsidP="00CD3C1C">
      <w:pPr>
        <w:pStyle w:val="FootnoteText"/>
        <w:jc w:val="both"/>
      </w:pPr>
      <w:r>
        <w:rPr>
          <w:rStyle w:val="FootnoteReference"/>
        </w:rPr>
        <w:footnoteRef/>
      </w:r>
      <w:r>
        <w:t xml:space="preserve"> Our study supports this latter reasoning. Specifically, when we removed race and added income categories as explanatory variables, the effect of income was not statistically significant, suggesting that Maslow’s theory does not hold for our sample. Of course, income did not turn up statistically </w:t>
      </w:r>
      <w:proofErr w:type="spellStart"/>
      <w:r>
        <w:t>significiant</w:t>
      </w:r>
      <w:proofErr w:type="spellEnd"/>
      <w:r>
        <w:t xml:space="preserve"> when introduced along with race. These findings do back the notion that minority groups may have become more environmentally sensitive because of disproportionately </w:t>
      </w:r>
      <w:proofErr w:type="spellStart"/>
      <w:r>
        <w:t>sholdering</w:t>
      </w:r>
      <w:proofErr w:type="spellEnd"/>
      <w:r>
        <w:t xml:space="preserve"> the burden of negative environmental quality.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0BAE"/>
    <w:multiLevelType w:val="multilevel"/>
    <w:tmpl w:val="DD66549C"/>
    <w:lvl w:ilvl="0">
      <w:start w:val="4"/>
      <w:numFmt w:val="decimal"/>
      <w:lvlText w:val="%1."/>
      <w:lvlJc w:val="left"/>
      <w:pPr>
        <w:ind w:left="630" w:hanging="360"/>
      </w:pPr>
      <w:rPr>
        <w:rFonts w:eastAsia="Calibri" w:hint="default"/>
        <w:b w:val="0"/>
        <w:i w:val="0"/>
      </w:rPr>
    </w:lvl>
    <w:lvl w:ilvl="1">
      <w:start w:val="3"/>
      <w:numFmt w:val="decimal"/>
      <w:lvlText w:val="3.%2."/>
      <w:lvlJc w:val="left"/>
      <w:pPr>
        <w:ind w:left="2610" w:hanging="360"/>
      </w:pPr>
      <w:rPr>
        <w:rFonts w:ascii="Times New Roman" w:eastAsia="Calibri" w:hAnsi="Times New Roman" w:cs="Times New Roman" w:hint="default"/>
        <w:b/>
        <w:i w:val="0"/>
        <w:sz w:val="24"/>
        <w:szCs w:val="24"/>
      </w:rPr>
    </w:lvl>
    <w:lvl w:ilvl="2">
      <w:start w:val="1"/>
      <w:numFmt w:val="decimal"/>
      <w:lvlText w:val="%1.%2.%3."/>
      <w:lvlJc w:val="left"/>
      <w:pPr>
        <w:ind w:left="720" w:hanging="720"/>
      </w:pPr>
      <w:rPr>
        <w:rFonts w:eastAsia="Calibri" w:hint="default"/>
        <w:b w:val="0"/>
        <w:i w:val="0"/>
      </w:rPr>
    </w:lvl>
    <w:lvl w:ilvl="3">
      <w:start w:val="1"/>
      <w:numFmt w:val="decimal"/>
      <w:lvlText w:val="%1.%2.%3.%4."/>
      <w:lvlJc w:val="left"/>
      <w:pPr>
        <w:ind w:left="720" w:hanging="720"/>
      </w:pPr>
      <w:rPr>
        <w:rFonts w:eastAsia="Calibri" w:hint="default"/>
        <w:b w:val="0"/>
        <w:i w:val="0"/>
      </w:rPr>
    </w:lvl>
    <w:lvl w:ilvl="4">
      <w:start w:val="1"/>
      <w:numFmt w:val="decimal"/>
      <w:lvlText w:val="%1.%2.%3.%4.%5."/>
      <w:lvlJc w:val="left"/>
      <w:pPr>
        <w:ind w:left="1080" w:hanging="1080"/>
      </w:pPr>
      <w:rPr>
        <w:rFonts w:eastAsia="Calibri" w:hint="default"/>
        <w:b w:val="0"/>
        <w:i w:val="0"/>
      </w:rPr>
    </w:lvl>
    <w:lvl w:ilvl="5">
      <w:start w:val="1"/>
      <w:numFmt w:val="decimal"/>
      <w:lvlText w:val="%1.%2.%3.%4.%5.%6."/>
      <w:lvlJc w:val="left"/>
      <w:pPr>
        <w:ind w:left="1080" w:hanging="1080"/>
      </w:pPr>
      <w:rPr>
        <w:rFonts w:eastAsia="Calibri" w:hint="default"/>
        <w:b w:val="0"/>
        <w:i w:val="0"/>
      </w:rPr>
    </w:lvl>
    <w:lvl w:ilvl="6">
      <w:start w:val="1"/>
      <w:numFmt w:val="decimal"/>
      <w:lvlText w:val="%1.%2.%3.%4.%5.%6.%7."/>
      <w:lvlJc w:val="left"/>
      <w:pPr>
        <w:ind w:left="1440" w:hanging="1440"/>
      </w:pPr>
      <w:rPr>
        <w:rFonts w:eastAsia="Calibri" w:hint="default"/>
        <w:b w:val="0"/>
        <w:i w:val="0"/>
      </w:rPr>
    </w:lvl>
    <w:lvl w:ilvl="7">
      <w:start w:val="1"/>
      <w:numFmt w:val="decimal"/>
      <w:lvlText w:val="%1.%2.%3.%4.%5.%6.%7.%8."/>
      <w:lvlJc w:val="left"/>
      <w:pPr>
        <w:ind w:left="1440" w:hanging="1440"/>
      </w:pPr>
      <w:rPr>
        <w:rFonts w:eastAsia="Calibri" w:hint="default"/>
        <w:b w:val="0"/>
        <w:i w:val="0"/>
      </w:rPr>
    </w:lvl>
    <w:lvl w:ilvl="8">
      <w:start w:val="1"/>
      <w:numFmt w:val="decimal"/>
      <w:lvlText w:val="%1.%2.%3.%4.%5.%6.%7.%8.%9."/>
      <w:lvlJc w:val="left"/>
      <w:pPr>
        <w:ind w:left="1800" w:hanging="1800"/>
      </w:pPr>
      <w:rPr>
        <w:rFonts w:eastAsia="Calibri" w:hint="default"/>
        <w:b w:val="0"/>
        <w:i w:val="0"/>
      </w:rPr>
    </w:lvl>
  </w:abstractNum>
  <w:abstractNum w:abstractNumId="1">
    <w:nsid w:val="08CE73F0"/>
    <w:multiLevelType w:val="hybridMultilevel"/>
    <w:tmpl w:val="D9A65344"/>
    <w:lvl w:ilvl="0" w:tplc="67EC2D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8180B"/>
    <w:multiLevelType w:val="multilevel"/>
    <w:tmpl w:val="23F00AE6"/>
    <w:lvl w:ilvl="0">
      <w:start w:val="4"/>
      <w:numFmt w:val="decimal"/>
      <w:lvlText w:val="%1"/>
      <w:lvlJc w:val="left"/>
      <w:pPr>
        <w:ind w:left="360" w:hanging="360"/>
      </w:pPr>
      <w:rPr>
        <w:rFonts w:hint="default"/>
      </w:rPr>
    </w:lvl>
    <w:lvl w:ilvl="1">
      <w:start w:val="3"/>
      <w:numFmt w:val="decimal"/>
      <w:lvlText w:val="%1.%2"/>
      <w:lvlJc w:val="left"/>
      <w:pPr>
        <w:ind w:left="2250" w:hanging="36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39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530" w:hanging="108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4670" w:hanging="1440"/>
      </w:pPr>
      <w:rPr>
        <w:rFonts w:hint="default"/>
      </w:rPr>
    </w:lvl>
    <w:lvl w:ilvl="8">
      <w:start w:val="1"/>
      <w:numFmt w:val="decimal"/>
      <w:lvlText w:val="%1.%2.%3.%4.%5.%6.%7.%8.%9"/>
      <w:lvlJc w:val="left"/>
      <w:pPr>
        <w:ind w:left="16920" w:hanging="1800"/>
      </w:pPr>
      <w:rPr>
        <w:rFonts w:hint="default"/>
      </w:rPr>
    </w:lvl>
  </w:abstractNum>
  <w:abstractNum w:abstractNumId="3">
    <w:nsid w:val="0C7A4855"/>
    <w:multiLevelType w:val="multilevel"/>
    <w:tmpl w:val="0038CC82"/>
    <w:lvl w:ilvl="0">
      <w:start w:val="1"/>
      <w:numFmt w:val="decimal"/>
      <w:pStyle w:val="Heading1"/>
      <w:lvlText w:val="%1."/>
      <w:lvlJc w:val="left"/>
      <w:pPr>
        <w:tabs>
          <w:tab w:val="num" w:pos="360"/>
        </w:tabs>
        <w:ind w:left="360" w:hanging="360"/>
      </w:pPr>
      <w:rPr>
        <w:rFonts w:cs="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900"/>
        </w:tabs>
        <w:ind w:left="900" w:hanging="90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nsid w:val="0DED793C"/>
    <w:multiLevelType w:val="multilevel"/>
    <w:tmpl w:val="76C4CA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F56A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0F1C68D6"/>
    <w:multiLevelType w:val="multilevel"/>
    <w:tmpl w:val="50A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F6396"/>
    <w:multiLevelType w:val="multilevel"/>
    <w:tmpl w:val="720E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947BC3"/>
    <w:multiLevelType w:val="hybridMultilevel"/>
    <w:tmpl w:val="E37C88A8"/>
    <w:lvl w:ilvl="0" w:tplc="982AF3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002E8"/>
    <w:multiLevelType w:val="multilevel"/>
    <w:tmpl w:val="7C123B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AE759A"/>
    <w:multiLevelType w:val="hybridMultilevel"/>
    <w:tmpl w:val="53928442"/>
    <w:lvl w:ilvl="0" w:tplc="6F5EE1B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8A4A22"/>
    <w:multiLevelType w:val="hybridMultilevel"/>
    <w:tmpl w:val="9F5AC120"/>
    <w:lvl w:ilvl="0" w:tplc="96A23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0B2A3B"/>
    <w:multiLevelType w:val="hybridMultilevel"/>
    <w:tmpl w:val="A7480930"/>
    <w:lvl w:ilvl="0" w:tplc="B81CA6C0">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E47DF8"/>
    <w:multiLevelType w:val="multilevel"/>
    <w:tmpl w:val="EED4D7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7A2950"/>
    <w:multiLevelType w:val="hybridMultilevel"/>
    <w:tmpl w:val="2EF0F4BA"/>
    <w:lvl w:ilvl="0" w:tplc="256E5DEA">
      <w:start w:val="1"/>
      <w:numFmt w:val="decimal"/>
      <w:lvlText w:val="(%1)"/>
      <w:lvlJc w:val="left"/>
      <w:pPr>
        <w:ind w:left="1440" w:hanging="360"/>
      </w:pPr>
      <w:rPr>
        <w:rFonts w:ascii="Times New Roman" w:eastAsia="Calibr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7531EC"/>
    <w:multiLevelType w:val="hybridMultilevel"/>
    <w:tmpl w:val="2D0EE9F6"/>
    <w:lvl w:ilvl="0" w:tplc="2E18C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1756AD"/>
    <w:multiLevelType w:val="multilevel"/>
    <w:tmpl w:val="C4CC5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D41CAB"/>
    <w:multiLevelType w:val="hybridMultilevel"/>
    <w:tmpl w:val="8FAE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AE3100"/>
    <w:multiLevelType w:val="multilevel"/>
    <w:tmpl w:val="FB7C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E245F3"/>
    <w:multiLevelType w:val="hybridMultilevel"/>
    <w:tmpl w:val="9A0C3D0E"/>
    <w:lvl w:ilvl="0" w:tplc="96A23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A5C4E"/>
    <w:multiLevelType w:val="hybridMultilevel"/>
    <w:tmpl w:val="C30E7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956DC"/>
    <w:multiLevelType w:val="multilevel"/>
    <w:tmpl w:val="08DE867C"/>
    <w:lvl w:ilvl="0">
      <w:start w:val="4"/>
      <w:numFmt w:val="decimal"/>
      <w:lvlText w:val="%1"/>
      <w:lvlJc w:val="left"/>
      <w:pPr>
        <w:ind w:left="480" w:hanging="480"/>
      </w:pPr>
      <w:rPr>
        <w:rFonts w:hint="default"/>
      </w:rPr>
    </w:lvl>
    <w:lvl w:ilvl="1">
      <w:start w:val="6"/>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40053583"/>
    <w:multiLevelType w:val="hybridMultilevel"/>
    <w:tmpl w:val="9FFE6324"/>
    <w:lvl w:ilvl="0" w:tplc="96A2320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BC3987"/>
    <w:multiLevelType w:val="hybridMultilevel"/>
    <w:tmpl w:val="2D0EE9F6"/>
    <w:lvl w:ilvl="0" w:tplc="2E18C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563F45"/>
    <w:multiLevelType w:val="multilevel"/>
    <w:tmpl w:val="1026F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0817A4"/>
    <w:multiLevelType w:val="hybridMultilevel"/>
    <w:tmpl w:val="FD08B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264FEA"/>
    <w:multiLevelType w:val="multilevel"/>
    <w:tmpl w:val="065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F5268B"/>
    <w:multiLevelType w:val="hybridMultilevel"/>
    <w:tmpl w:val="6A22FE92"/>
    <w:lvl w:ilvl="0" w:tplc="E22EC068">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00A4743"/>
    <w:multiLevelType w:val="multilevel"/>
    <w:tmpl w:val="46E659B6"/>
    <w:lvl w:ilvl="0">
      <w:start w:val="4"/>
      <w:numFmt w:val="decimal"/>
      <w:lvlText w:val="%1"/>
      <w:lvlJc w:val="left"/>
      <w:pPr>
        <w:ind w:left="480" w:hanging="480"/>
      </w:pPr>
      <w:rPr>
        <w:rFonts w:hint="default"/>
      </w:rPr>
    </w:lvl>
    <w:lvl w:ilvl="1">
      <w:start w:val="6"/>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506D212B"/>
    <w:multiLevelType w:val="hybridMultilevel"/>
    <w:tmpl w:val="3F0E607E"/>
    <w:lvl w:ilvl="0" w:tplc="0409001B">
      <w:start w:val="1"/>
      <w:numFmt w:val="lowerRoman"/>
      <w:lvlText w:val="%1."/>
      <w:lvlJc w:val="right"/>
      <w:pPr>
        <w:ind w:left="1530" w:hanging="360"/>
      </w:pPr>
    </w:lvl>
    <w:lvl w:ilvl="1" w:tplc="495A759A">
      <w:start w:val="1"/>
      <w:numFmt w:val="lowerRoman"/>
      <w:lvlText w:val="(%2)"/>
      <w:lvlJc w:val="left"/>
      <w:pPr>
        <w:ind w:left="2250" w:hanging="360"/>
      </w:pPr>
      <w:rPr>
        <w:rFonts w:ascii="Times New Roman" w:eastAsia="Calibri" w:hAnsi="Times New Roman" w:cs="Times New Roman"/>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nsid w:val="51043A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1CF3457"/>
    <w:multiLevelType w:val="multilevel"/>
    <w:tmpl w:val="43A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295AF1"/>
    <w:multiLevelType w:val="multilevel"/>
    <w:tmpl w:val="2BFA9386"/>
    <w:lvl w:ilvl="0">
      <w:start w:val="5"/>
      <w:numFmt w:val="decimal"/>
      <w:lvlText w:val="%1"/>
      <w:lvlJc w:val="left"/>
      <w:pPr>
        <w:ind w:left="480" w:hanging="480"/>
      </w:pPr>
      <w:rPr>
        <w:rFonts w:eastAsia="MS Mincho" w:hint="default"/>
      </w:rPr>
    </w:lvl>
    <w:lvl w:ilvl="1">
      <w:start w:val="2"/>
      <w:numFmt w:val="decimal"/>
      <w:lvlText w:val="%1.%2"/>
      <w:lvlJc w:val="left"/>
      <w:pPr>
        <w:ind w:left="480" w:hanging="480"/>
      </w:pPr>
      <w:rPr>
        <w:rFonts w:eastAsia="MS Mincho" w:hint="default"/>
      </w:rPr>
    </w:lvl>
    <w:lvl w:ilvl="2">
      <w:start w:val="2"/>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abstractNum w:abstractNumId="33">
    <w:nsid w:val="5825501D"/>
    <w:multiLevelType w:val="hybridMultilevel"/>
    <w:tmpl w:val="5EF08FD6"/>
    <w:lvl w:ilvl="0" w:tplc="732E2F0C">
      <w:start w:val="1"/>
      <w:numFmt w:val="decimal"/>
      <w:lvlText w:val="(%1)"/>
      <w:lvlJc w:val="left"/>
      <w:pPr>
        <w:ind w:left="1080"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8881D4B"/>
    <w:multiLevelType w:val="multilevel"/>
    <w:tmpl w:val="DAF0E650"/>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F296186"/>
    <w:multiLevelType w:val="hybridMultilevel"/>
    <w:tmpl w:val="51F0EB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3021DAE"/>
    <w:multiLevelType w:val="multilevel"/>
    <w:tmpl w:val="C0EA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5B5447"/>
    <w:multiLevelType w:val="hybridMultilevel"/>
    <w:tmpl w:val="8B4A31BA"/>
    <w:lvl w:ilvl="0" w:tplc="0C84664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38B160D"/>
    <w:multiLevelType w:val="hybridMultilevel"/>
    <w:tmpl w:val="A2AAE3CC"/>
    <w:lvl w:ilvl="0" w:tplc="D716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3C63C9"/>
    <w:multiLevelType w:val="hybridMultilevel"/>
    <w:tmpl w:val="2D0EE9F6"/>
    <w:lvl w:ilvl="0" w:tplc="2E18C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F679ED"/>
    <w:multiLevelType w:val="hybridMultilevel"/>
    <w:tmpl w:val="CE66A58C"/>
    <w:lvl w:ilvl="0" w:tplc="9112F544">
      <w:start w:val="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9D3ED9"/>
    <w:multiLevelType w:val="multilevel"/>
    <w:tmpl w:val="7F207D6C"/>
    <w:lvl w:ilvl="0">
      <w:start w:val="4"/>
      <w:numFmt w:val="decimal"/>
      <w:lvlText w:val="%1"/>
      <w:lvlJc w:val="left"/>
      <w:pPr>
        <w:ind w:left="480" w:hanging="480"/>
      </w:pPr>
      <w:rPr>
        <w:rFonts w:hint="default"/>
      </w:rPr>
    </w:lvl>
    <w:lvl w:ilvl="1">
      <w:start w:val="6"/>
      <w:numFmt w:val="decimal"/>
      <w:lvlText w:val="%1.%2"/>
      <w:lvlJc w:val="left"/>
      <w:pPr>
        <w:ind w:left="1560" w:hanging="48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nsid w:val="741773C9"/>
    <w:multiLevelType w:val="multilevel"/>
    <w:tmpl w:val="75A6FB40"/>
    <w:lvl w:ilvl="0">
      <w:start w:val="4"/>
      <w:numFmt w:val="decimal"/>
      <w:lvlText w:val="%1"/>
      <w:lvlJc w:val="left"/>
      <w:pPr>
        <w:ind w:left="480" w:hanging="480"/>
      </w:pPr>
      <w:rPr>
        <w:rFonts w:hint="default"/>
      </w:rPr>
    </w:lvl>
    <w:lvl w:ilvl="1">
      <w:start w:val="4"/>
      <w:numFmt w:val="decimal"/>
      <w:lvlText w:val="%1.%2"/>
      <w:lvlJc w:val="left"/>
      <w:pPr>
        <w:ind w:left="1425" w:hanging="48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43">
    <w:nsid w:val="793952F3"/>
    <w:multiLevelType w:val="hybridMultilevel"/>
    <w:tmpl w:val="F8F6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D11A95"/>
    <w:multiLevelType w:val="multilevel"/>
    <w:tmpl w:val="FEC6A2A4"/>
    <w:lvl w:ilvl="0">
      <w:start w:val="4"/>
      <w:numFmt w:val="decimal"/>
      <w:lvlText w:val="%1"/>
      <w:lvlJc w:val="left"/>
      <w:pPr>
        <w:ind w:left="360" w:hanging="360"/>
      </w:pPr>
      <w:rPr>
        <w:rFonts w:ascii="Times New Roman" w:hAnsi="Times New Roman" w:hint="default"/>
        <w:sz w:val="24"/>
      </w:rPr>
    </w:lvl>
    <w:lvl w:ilvl="1">
      <w:start w:val="4"/>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num w:numId="1">
    <w:abstractNumId w:val="16"/>
  </w:num>
  <w:num w:numId="2">
    <w:abstractNumId w:val="9"/>
  </w:num>
  <w:num w:numId="3">
    <w:abstractNumId w:val="12"/>
  </w:num>
  <w:num w:numId="4">
    <w:abstractNumId w:val="25"/>
  </w:num>
  <w:num w:numId="5">
    <w:abstractNumId w:val="3"/>
  </w:num>
  <w:num w:numId="6">
    <w:abstractNumId w:val="34"/>
  </w:num>
  <w:num w:numId="7">
    <w:abstractNumId w:val="26"/>
  </w:num>
  <w:num w:numId="8">
    <w:abstractNumId w:val="31"/>
  </w:num>
  <w:num w:numId="9">
    <w:abstractNumId w:val="36"/>
  </w:num>
  <w:num w:numId="10">
    <w:abstractNumId w:val="7"/>
  </w:num>
  <w:num w:numId="11">
    <w:abstractNumId w:val="6"/>
  </w:num>
  <w:num w:numId="12">
    <w:abstractNumId w:val="18"/>
  </w:num>
  <w:num w:numId="13">
    <w:abstractNumId w:val="17"/>
  </w:num>
  <w:num w:numId="14">
    <w:abstractNumId w:val="19"/>
  </w:num>
  <w:num w:numId="15">
    <w:abstractNumId w:val="24"/>
  </w:num>
  <w:num w:numId="16">
    <w:abstractNumId w:val="20"/>
  </w:num>
  <w:num w:numId="17">
    <w:abstractNumId w:val="40"/>
  </w:num>
  <w:num w:numId="18">
    <w:abstractNumId w:val="32"/>
  </w:num>
  <w:num w:numId="19">
    <w:abstractNumId w:val="39"/>
  </w:num>
  <w:num w:numId="20">
    <w:abstractNumId w:val="10"/>
  </w:num>
  <w:num w:numId="21">
    <w:abstractNumId w:val="43"/>
  </w:num>
  <w:num w:numId="22">
    <w:abstractNumId w:val="4"/>
  </w:num>
  <w:num w:numId="23">
    <w:abstractNumId w:val="14"/>
  </w:num>
  <w:num w:numId="24">
    <w:abstractNumId w:val="5"/>
  </w:num>
  <w:num w:numId="25">
    <w:abstractNumId w:val="33"/>
  </w:num>
  <w:num w:numId="26">
    <w:abstractNumId w:val="37"/>
  </w:num>
  <w:num w:numId="27">
    <w:abstractNumId w:val="27"/>
  </w:num>
  <w:num w:numId="28">
    <w:abstractNumId w:val="35"/>
  </w:num>
  <w:num w:numId="29">
    <w:abstractNumId w:val="30"/>
  </w:num>
  <w:num w:numId="30">
    <w:abstractNumId w:val="8"/>
  </w:num>
  <w:num w:numId="31">
    <w:abstractNumId w:val="15"/>
  </w:num>
  <w:num w:numId="32">
    <w:abstractNumId w:val="23"/>
  </w:num>
  <w:num w:numId="33">
    <w:abstractNumId w:val="38"/>
  </w:num>
  <w:num w:numId="34">
    <w:abstractNumId w:val="29"/>
  </w:num>
  <w:num w:numId="35">
    <w:abstractNumId w:val="1"/>
  </w:num>
  <w:num w:numId="36">
    <w:abstractNumId w:val="13"/>
  </w:num>
  <w:num w:numId="37">
    <w:abstractNumId w:val="0"/>
  </w:num>
  <w:num w:numId="38">
    <w:abstractNumId w:val="42"/>
  </w:num>
  <w:num w:numId="39">
    <w:abstractNumId w:val="28"/>
  </w:num>
  <w:num w:numId="40">
    <w:abstractNumId w:val="21"/>
  </w:num>
  <w:num w:numId="41">
    <w:abstractNumId w:val="41"/>
  </w:num>
  <w:num w:numId="42">
    <w:abstractNumId w:val="2"/>
  </w:num>
  <w:num w:numId="43">
    <w:abstractNumId w:val="11"/>
  </w:num>
  <w:num w:numId="44">
    <w:abstractNumId w:val="22"/>
  </w:num>
  <w:num w:numId="45">
    <w:abstractNumId w:val="4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EE-rp22687-la">
    <w15:presenceInfo w15:providerId="AD" w15:userId="S-1-5-21-527237240-963894560-725345543-5302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474"/>
    <w:rsid w:val="00000133"/>
    <w:rsid w:val="00002AC4"/>
    <w:rsid w:val="00003279"/>
    <w:rsid w:val="000049EE"/>
    <w:rsid w:val="00004D6F"/>
    <w:rsid w:val="00011D27"/>
    <w:rsid w:val="00012F95"/>
    <w:rsid w:val="00014218"/>
    <w:rsid w:val="00015461"/>
    <w:rsid w:val="000155CF"/>
    <w:rsid w:val="00015C8F"/>
    <w:rsid w:val="00020658"/>
    <w:rsid w:val="00021A32"/>
    <w:rsid w:val="00021FE9"/>
    <w:rsid w:val="00022D88"/>
    <w:rsid w:val="000274CA"/>
    <w:rsid w:val="00030B6B"/>
    <w:rsid w:val="000329B1"/>
    <w:rsid w:val="00035375"/>
    <w:rsid w:val="000371D8"/>
    <w:rsid w:val="00040FA6"/>
    <w:rsid w:val="000414FF"/>
    <w:rsid w:val="00043093"/>
    <w:rsid w:val="00043F13"/>
    <w:rsid w:val="00046208"/>
    <w:rsid w:val="0005012A"/>
    <w:rsid w:val="00050A44"/>
    <w:rsid w:val="00050C4E"/>
    <w:rsid w:val="0005173D"/>
    <w:rsid w:val="000540ED"/>
    <w:rsid w:val="00057306"/>
    <w:rsid w:val="000605ED"/>
    <w:rsid w:val="00064C5A"/>
    <w:rsid w:val="00065651"/>
    <w:rsid w:val="00065DA9"/>
    <w:rsid w:val="00066EFE"/>
    <w:rsid w:val="00067565"/>
    <w:rsid w:val="00073E62"/>
    <w:rsid w:val="00076203"/>
    <w:rsid w:val="00081245"/>
    <w:rsid w:val="00082B59"/>
    <w:rsid w:val="00085423"/>
    <w:rsid w:val="000862C1"/>
    <w:rsid w:val="00092218"/>
    <w:rsid w:val="0009402F"/>
    <w:rsid w:val="000949C4"/>
    <w:rsid w:val="00094A35"/>
    <w:rsid w:val="00094E40"/>
    <w:rsid w:val="000968B6"/>
    <w:rsid w:val="00096BCE"/>
    <w:rsid w:val="0009749A"/>
    <w:rsid w:val="00097D6C"/>
    <w:rsid w:val="000A071E"/>
    <w:rsid w:val="000A0D78"/>
    <w:rsid w:val="000A5252"/>
    <w:rsid w:val="000A654D"/>
    <w:rsid w:val="000A69C5"/>
    <w:rsid w:val="000A7F82"/>
    <w:rsid w:val="000B0656"/>
    <w:rsid w:val="000B1B2C"/>
    <w:rsid w:val="000B7E04"/>
    <w:rsid w:val="000C0284"/>
    <w:rsid w:val="000C53E2"/>
    <w:rsid w:val="000C5812"/>
    <w:rsid w:val="000C7FF1"/>
    <w:rsid w:val="000D0B6D"/>
    <w:rsid w:val="000D14CF"/>
    <w:rsid w:val="000D44BF"/>
    <w:rsid w:val="000D7273"/>
    <w:rsid w:val="000D7DE1"/>
    <w:rsid w:val="000E0E9B"/>
    <w:rsid w:val="000E114C"/>
    <w:rsid w:val="000E4094"/>
    <w:rsid w:val="000F0BD1"/>
    <w:rsid w:val="000F1B61"/>
    <w:rsid w:val="000F3122"/>
    <w:rsid w:val="000F3458"/>
    <w:rsid w:val="00102E2D"/>
    <w:rsid w:val="00104331"/>
    <w:rsid w:val="00104D49"/>
    <w:rsid w:val="00105A08"/>
    <w:rsid w:val="00105F51"/>
    <w:rsid w:val="001072A6"/>
    <w:rsid w:val="00110ECE"/>
    <w:rsid w:val="001133AC"/>
    <w:rsid w:val="001135A3"/>
    <w:rsid w:val="00117468"/>
    <w:rsid w:val="00121750"/>
    <w:rsid w:val="00121A94"/>
    <w:rsid w:val="0013447A"/>
    <w:rsid w:val="00134BEC"/>
    <w:rsid w:val="00135B32"/>
    <w:rsid w:val="00136101"/>
    <w:rsid w:val="0013631E"/>
    <w:rsid w:val="00137E5B"/>
    <w:rsid w:val="00142023"/>
    <w:rsid w:val="00143C6E"/>
    <w:rsid w:val="00145B5F"/>
    <w:rsid w:val="00145F02"/>
    <w:rsid w:val="00152800"/>
    <w:rsid w:val="00154378"/>
    <w:rsid w:val="0015515D"/>
    <w:rsid w:val="0015798C"/>
    <w:rsid w:val="001600AB"/>
    <w:rsid w:val="00164DC0"/>
    <w:rsid w:val="001657DB"/>
    <w:rsid w:val="00165FA7"/>
    <w:rsid w:val="00170043"/>
    <w:rsid w:val="00177AD5"/>
    <w:rsid w:val="001811FA"/>
    <w:rsid w:val="00182B53"/>
    <w:rsid w:val="001840A4"/>
    <w:rsid w:val="0018579A"/>
    <w:rsid w:val="00186F23"/>
    <w:rsid w:val="00187584"/>
    <w:rsid w:val="00191032"/>
    <w:rsid w:val="00191B38"/>
    <w:rsid w:val="00192635"/>
    <w:rsid w:val="00193AB2"/>
    <w:rsid w:val="00194720"/>
    <w:rsid w:val="00194A9A"/>
    <w:rsid w:val="00194DC9"/>
    <w:rsid w:val="00194EB5"/>
    <w:rsid w:val="00195D3B"/>
    <w:rsid w:val="00197C53"/>
    <w:rsid w:val="001A082D"/>
    <w:rsid w:val="001A436D"/>
    <w:rsid w:val="001B2E33"/>
    <w:rsid w:val="001B4A03"/>
    <w:rsid w:val="001B6602"/>
    <w:rsid w:val="001B69D9"/>
    <w:rsid w:val="001C1FFC"/>
    <w:rsid w:val="001C6474"/>
    <w:rsid w:val="001C6706"/>
    <w:rsid w:val="001D0284"/>
    <w:rsid w:val="001D21BB"/>
    <w:rsid w:val="001D613E"/>
    <w:rsid w:val="001D6D52"/>
    <w:rsid w:val="001D7BF5"/>
    <w:rsid w:val="001E43B4"/>
    <w:rsid w:val="001E4CB5"/>
    <w:rsid w:val="001F1C49"/>
    <w:rsid w:val="001F20BA"/>
    <w:rsid w:val="001F306C"/>
    <w:rsid w:val="001F6744"/>
    <w:rsid w:val="002003C2"/>
    <w:rsid w:val="00201586"/>
    <w:rsid w:val="002026DF"/>
    <w:rsid w:val="0020437E"/>
    <w:rsid w:val="00205173"/>
    <w:rsid w:val="00211B4C"/>
    <w:rsid w:val="00211D76"/>
    <w:rsid w:val="00212006"/>
    <w:rsid w:val="0021280A"/>
    <w:rsid w:val="00213E9B"/>
    <w:rsid w:val="002168AB"/>
    <w:rsid w:val="00217D59"/>
    <w:rsid w:val="002209FB"/>
    <w:rsid w:val="002246DF"/>
    <w:rsid w:val="00226860"/>
    <w:rsid w:val="00230D78"/>
    <w:rsid w:val="00231B30"/>
    <w:rsid w:val="0023205A"/>
    <w:rsid w:val="00233F11"/>
    <w:rsid w:val="00236E89"/>
    <w:rsid w:val="00243937"/>
    <w:rsid w:val="002445EC"/>
    <w:rsid w:val="00254B26"/>
    <w:rsid w:val="002552E7"/>
    <w:rsid w:val="00260990"/>
    <w:rsid w:val="002621EE"/>
    <w:rsid w:val="00267AAE"/>
    <w:rsid w:val="00271A58"/>
    <w:rsid w:val="002754A5"/>
    <w:rsid w:val="00281F79"/>
    <w:rsid w:val="00285D2B"/>
    <w:rsid w:val="0028704E"/>
    <w:rsid w:val="002901BD"/>
    <w:rsid w:val="00291760"/>
    <w:rsid w:val="00292000"/>
    <w:rsid w:val="002925D9"/>
    <w:rsid w:val="002940FB"/>
    <w:rsid w:val="002A7F5D"/>
    <w:rsid w:val="002B07CA"/>
    <w:rsid w:val="002B0947"/>
    <w:rsid w:val="002B3299"/>
    <w:rsid w:val="002B3582"/>
    <w:rsid w:val="002B3CD0"/>
    <w:rsid w:val="002B40C0"/>
    <w:rsid w:val="002B6430"/>
    <w:rsid w:val="002C0491"/>
    <w:rsid w:val="002C2866"/>
    <w:rsid w:val="002C2F24"/>
    <w:rsid w:val="002C37E6"/>
    <w:rsid w:val="002C4442"/>
    <w:rsid w:val="002C4FC3"/>
    <w:rsid w:val="002C6FEB"/>
    <w:rsid w:val="002D33B8"/>
    <w:rsid w:val="002D4663"/>
    <w:rsid w:val="002D53AD"/>
    <w:rsid w:val="002D59CF"/>
    <w:rsid w:val="002E230B"/>
    <w:rsid w:val="002E3FC8"/>
    <w:rsid w:val="002E64C1"/>
    <w:rsid w:val="002F653B"/>
    <w:rsid w:val="0030066D"/>
    <w:rsid w:val="003026A9"/>
    <w:rsid w:val="00306FA0"/>
    <w:rsid w:val="00307CB0"/>
    <w:rsid w:val="003100BE"/>
    <w:rsid w:val="003107FC"/>
    <w:rsid w:val="0031340A"/>
    <w:rsid w:val="00321552"/>
    <w:rsid w:val="00325EED"/>
    <w:rsid w:val="003333D3"/>
    <w:rsid w:val="00333A27"/>
    <w:rsid w:val="00334086"/>
    <w:rsid w:val="003359FB"/>
    <w:rsid w:val="003368AA"/>
    <w:rsid w:val="0034232F"/>
    <w:rsid w:val="003435D9"/>
    <w:rsid w:val="003435F7"/>
    <w:rsid w:val="00346569"/>
    <w:rsid w:val="00350D7D"/>
    <w:rsid w:val="00354C9F"/>
    <w:rsid w:val="00361270"/>
    <w:rsid w:val="00361CC9"/>
    <w:rsid w:val="003626EA"/>
    <w:rsid w:val="003631E6"/>
    <w:rsid w:val="003643B6"/>
    <w:rsid w:val="003730F0"/>
    <w:rsid w:val="00373ED0"/>
    <w:rsid w:val="00373F4F"/>
    <w:rsid w:val="00375F8D"/>
    <w:rsid w:val="00380480"/>
    <w:rsid w:val="00380848"/>
    <w:rsid w:val="00381E0A"/>
    <w:rsid w:val="003874DA"/>
    <w:rsid w:val="00390536"/>
    <w:rsid w:val="00390D5D"/>
    <w:rsid w:val="00391FDD"/>
    <w:rsid w:val="003968C5"/>
    <w:rsid w:val="0039772B"/>
    <w:rsid w:val="003A26FD"/>
    <w:rsid w:val="003A5828"/>
    <w:rsid w:val="003B07B7"/>
    <w:rsid w:val="003B149F"/>
    <w:rsid w:val="003B3D35"/>
    <w:rsid w:val="003B5118"/>
    <w:rsid w:val="003B711E"/>
    <w:rsid w:val="003C1E3E"/>
    <w:rsid w:val="003C3DC4"/>
    <w:rsid w:val="003C4270"/>
    <w:rsid w:val="003C62A3"/>
    <w:rsid w:val="003D2F87"/>
    <w:rsid w:val="003D3F07"/>
    <w:rsid w:val="003D4333"/>
    <w:rsid w:val="003E781B"/>
    <w:rsid w:val="003F39E3"/>
    <w:rsid w:val="003F585C"/>
    <w:rsid w:val="003F69AC"/>
    <w:rsid w:val="003F6A6F"/>
    <w:rsid w:val="0040191E"/>
    <w:rsid w:val="00403DCA"/>
    <w:rsid w:val="0040500F"/>
    <w:rsid w:val="00413BEA"/>
    <w:rsid w:val="00423E0A"/>
    <w:rsid w:val="00423E53"/>
    <w:rsid w:val="004243DD"/>
    <w:rsid w:val="00425144"/>
    <w:rsid w:val="00426162"/>
    <w:rsid w:val="00426DD8"/>
    <w:rsid w:val="00426F14"/>
    <w:rsid w:val="0042784F"/>
    <w:rsid w:val="00430BB2"/>
    <w:rsid w:val="00431774"/>
    <w:rsid w:val="00432B1B"/>
    <w:rsid w:val="00433953"/>
    <w:rsid w:val="004361DD"/>
    <w:rsid w:val="00440659"/>
    <w:rsid w:val="00442D80"/>
    <w:rsid w:val="00447DB3"/>
    <w:rsid w:val="00452242"/>
    <w:rsid w:val="00456485"/>
    <w:rsid w:val="004564B9"/>
    <w:rsid w:val="004568EE"/>
    <w:rsid w:val="0046357A"/>
    <w:rsid w:val="00463593"/>
    <w:rsid w:val="004636AF"/>
    <w:rsid w:val="004702BE"/>
    <w:rsid w:val="00474C94"/>
    <w:rsid w:val="00476D64"/>
    <w:rsid w:val="004813C1"/>
    <w:rsid w:val="00481BB1"/>
    <w:rsid w:val="00484016"/>
    <w:rsid w:val="00486CBD"/>
    <w:rsid w:val="00486DCC"/>
    <w:rsid w:val="00490C24"/>
    <w:rsid w:val="004948E7"/>
    <w:rsid w:val="004961CF"/>
    <w:rsid w:val="00497402"/>
    <w:rsid w:val="004A097F"/>
    <w:rsid w:val="004A2D15"/>
    <w:rsid w:val="004A2D52"/>
    <w:rsid w:val="004A3562"/>
    <w:rsid w:val="004A37F2"/>
    <w:rsid w:val="004A5B3F"/>
    <w:rsid w:val="004A7DED"/>
    <w:rsid w:val="004B0233"/>
    <w:rsid w:val="004C64E9"/>
    <w:rsid w:val="004C7720"/>
    <w:rsid w:val="004D0FF3"/>
    <w:rsid w:val="004D1193"/>
    <w:rsid w:val="004D2173"/>
    <w:rsid w:val="004D2ADD"/>
    <w:rsid w:val="004D41D9"/>
    <w:rsid w:val="004D43B3"/>
    <w:rsid w:val="004D5D0F"/>
    <w:rsid w:val="004E27A7"/>
    <w:rsid w:val="004F6276"/>
    <w:rsid w:val="005002A4"/>
    <w:rsid w:val="00500E99"/>
    <w:rsid w:val="00501E88"/>
    <w:rsid w:val="00503CDE"/>
    <w:rsid w:val="005079CB"/>
    <w:rsid w:val="00511785"/>
    <w:rsid w:val="005144D7"/>
    <w:rsid w:val="00514600"/>
    <w:rsid w:val="00517844"/>
    <w:rsid w:val="00521205"/>
    <w:rsid w:val="005216D9"/>
    <w:rsid w:val="00522ACD"/>
    <w:rsid w:val="005232D0"/>
    <w:rsid w:val="005243D5"/>
    <w:rsid w:val="005263F3"/>
    <w:rsid w:val="00532511"/>
    <w:rsid w:val="00533D55"/>
    <w:rsid w:val="00540C29"/>
    <w:rsid w:val="00542B49"/>
    <w:rsid w:val="0054699D"/>
    <w:rsid w:val="005541F8"/>
    <w:rsid w:val="0055754A"/>
    <w:rsid w:val="00565CA6"/>
    <w:rsid w:val="0057456F"/>
    <w:rsid w:val="00574B21"/>
    <w:rsid w:val="00575184"/>
    <w:rsid w:val="00582E27"/>
    <w:rsid w:val="00586473"/>
    <w:rsid w:val="00586BE2"/>
    <w:rsid w:val="005925A2"/>
    <w:rsid w:val="005943EF"/>
    <w:rsid w:val="00596496"/>
    <w:rsid w:val="00597306"/>
    <w:rsid w:val="005A00E1"/>
    <w:rsid w:val="005A0189"/>
    <w:rsid w:val="005A1D67"/>
    <w:rsid w:val="005A439B"/>
    <w:rsid w:val="005A4682"/>
    <w:rsid w:val="005B3C18"/>
    <w:rsid w:val="005B3D80"/>
    <w:rsid w:val="005B3DD4"/>
    <w:rsid w:val="005B47E2"/>
    <w:rsid w:val="005B4832"/>
    <w:rsid w:val="005B5805"/>
    <w:rsid w:val="005C178A"/>
    <w:rsid w:val="005C7D76"/>
    <w:rsid w:val="005D00F9"/>
    <w:rsid w:val="005D3EB8"/>
    <w:rsid w:val="005D3ED4"/>
    <w:rsid w:val="005E06BF"/>
    <w:rsid w:val="005E1FBA"/>
    <w:rsid w:val="005E495B"/>
    <w:rsid w:val="005F3824"/>
    <w:rsid w:val="005F7E0C"/>
    <w:rsid w:val="0060055D"/>
    <w:rsid w:val="0060292A"/>
    <w:rsid w:val="0060550B"/>
    <w:rsid w:val="00607D29"/>
    <w:rsid w:val="006144F0"/>
    <w:rsid w:val="00615C87"/>
    <w:rsid w:val="00621E07"/>
    <w:rsid w:val="00622731"/>
    <w:rsid w:val="00623156"/>
    <w:rsid w:val="0062659A"/>
    <w:rsid w:val="00627B3A"/>
    <w:rsid w:val="00635714"/>
    <w:rsid w:val="00637586"/>
    <w:rsid w:val="00640B19"/>
    <w:rsid w:val="006436B9"/>
    <w:rsid w:val="00644E73"/>
    <w:rsid w:val="00650249"/>
    <w:rsid w:val="006502C2"/>
    <w:rsid w:val="00653366"/>
    <w:rsid w:val="006542F1"/>
    <w:rsid w:val="00655432"/>
    <w:rsid w:val="00657CEF"/>
    <w:rsid w:val="00657F55"/>
    <w:rsid w:val="00660ECD"/>
    <w:rsid w:val="0066109F"/>
    <w:rsid w:val="00670A25"/>
    <w:rsid w:val="00670B7C"/>
    <w:rsid w:val="006723A4"/>
    <w:rsid w:val="00672C64"/>
    <w:rsid w:val="00676EEB"/>
    <w:rsid w:val="006868A7"/>
    <w:rsid w:val="00691D95"/>
    <w:rsid w:val="00695839"/>
    <w:rsid w:val="00697F45"/>
    <w:rsid w:val="006A0582"/>
    <w:rsid w:val="006A06F2"/>
    <w:rsid w:val="006A114D"/>
    <w:rsid w:val="006A5555"/>
    <w:rsid w:val="006A739D"/>
    <w:rsid w:val="006A7812"/>
    <w:rsid w:val="006B37AD"/>
    <w:rsid w:val="006B4364"/>
    <w:rsid w:val="006B5BED"/>
    <w:rsid w:val="006B5D19"/>
    <w:rsid w:val="006B7650"/>
    <w:rsid w:val="006B77B5"/>
    <w:rsid w:val="006C2100"/>
    <w:rsid w:val="006D3633"/>
    <w:rsid w:val="006E4DFD"/>
    <w:rsid w:val="006F5FF0"/>
    <w:rsid w:val="006F6DB6"/>
    <w:rsid w:val="006F7179"/>
    <w:rsid w:val="0070380B"/>
    <w:rsid w:val="0070395C"/>
    <w:rsid w:val="00704D23"/>
    <w:rsid w:val="00705936"/>
    <w:rsid w:val="00713F35"/>
    <w:rsid w:val="00717612"/>
    <w:rsid w:val="00721354"/>
    <w:rsid w:val="0072208D"/>
    <w:rsid w:val="0072232D"/>
    <w:rsid w:val="00723F43"/>
    <w:rsid w:val="0072479E"/>
    <w:rsid w:val="007256BE"/>
    <w:rsid w:val="007264FD"/>
    <w:rsid w:val="0073172B"/>
    <w:rsid w:val="007328DB"/>
    <w:rsid w:val="007329A9"/>
    <w:rsid w:val="00733DCD"/>
    <w:rsid w:val="00733EBE"/>
    <w:rsid w:val="007340EE"/>
    <w:rsid w:val="00734798"/>
    <w:rsid w:val="0073549F"/>
    <w:rsid w:val="007358C8"/>
    <w:rsid w:val="00751CD6"/>
    <w:rsid w:val="00751E85"/>
    <w:rsid w:val="0075319E"/>
    <w:rsid w:val="00754FB3"/>
    <w:rsid w:val="007551FF"/>
    <w:rsid w:val="007569E6"/>
    <w:rsid w:val="00766288"/>
    <w:rsid w:val="00772811"/>
    <w:rsid w:val="00772BDE"/>
    <w:rsid w:val="0077540C"/>
    <w:rsid w:val="00775BA5"/>
    <w:rsid w:val="0078167B"/>
    <w:rsid w:val="00784C55"/>
    <w:rsid w:val="0078504F"/>
    <w:rsid w:val="00790D20"/>
    <w:rsid w:val="00795F99"/>
    <w:rsid w:val="007A030D"/>
    <w:rsid w:val="007A326D"/>
    <w:rsid w:val="007A3406"/>
    <w:rsid w:val="007A5CF0"/>
    <w:rsid w:val="007A79A1"/>
    <w:rsid w:val="007B0EFA"/>
    <w:rsid w:val="007B1B0F"/>
    <w:rsid w:val="007B26B8"/>
    <w:rsid w:val="007B68F4"/>
    <w:rsid w:val="007C1D4B"/>
    <w:rsid w:val="007C7688"/>
    <w:rsid w:val="007D09F8"/>
    <w:rsid w:val="007D18CB"/>
    <w:rsid w:val="007D2828"/>
    <w:rsid w:val="007D3515"/>
    <w:rsid w:val="007D4C27"/>
    <w:rsid w:val="007D68AB"/>
    <w:rsid w:val="007E233C"/>
    <w:rsid w:val="007E7D01"/>
    <w:rsid w:val="007F0B16"/>
    <w:rsid w:val="007F1EB1"/>
    <w:rsid w:val="007F539A"/>
    <w:rsid w:val="007F7DED"/>
    <w:rsid w:val="0080151A"/>
    <w:rsid w:val="008045F7"/>
    <w:rsid w:val="00807C70"/>
    <w:rsid w:val="008105A9"/>
    <w:rsid w:val="00810BE2"/>
    <w:rsid w:val="00810F50"/>
    <w:rsid w:val="00811440"/>
    <w:rsid w:val="008134FB"/>
    <w:rsid w:val="00815239"/>
    <w:rsid w:val="00816CE7"/>
    <w:rsid w:val="008174D6"/>
    <w:rsid w:val="008217CE"/>
    <w:rsid w:val="00822593"/>
    <w:rsid w:val="008246DE"/>
    <w:rsid w:val="00827DCC"/>
    <w:rsid w:val="00831399"/>
    <w:rsid w:val="00831739"/>
    <w:rsid w:val="00831F09"/>
    <w:rsid w:val="0083666E"/>
    <w:rsid w:val="00837861"/>
    <w:rsid w:val="0084294D"/>
    <w:rsid w:val="008479C0"/>
    <w:rsid w:val="00850F7D"/>
    <w:rsid w:val="008512D7"/>
    <w:rsid w:val="0085210A"/>
    <w:rsid w:val="00861A22"/>
    <w:rsid w:val="00862D64"/>
    <w:rsid w:val="00864C60"/>
    <w:rsid w:val="00865590"/>
    <w:rsid w:val="0086785A"/>
    <w:rsid w:val="00872513"/>
    <w:rsid w:val="0087280B"/>
    <w:rsid w:val="00872F25"/>
    <w:rsid w:val="00877F81"/>
    <w:rsid w:val="00880494"/>
    <w:rsid w:val="00881E7F"/>
    <w:rsid w:val="008825BF"/>
    <w:rsid w:val="00883386"/>
    <w:rsid w:val="008859E7"/>
    <w:rsid w:val="008862F3"/>
    <w:rsid w:val="00886654"/>
    <w:rsid w:val="008871F1"/>
    <w:rsid w:val="00891097"/>
    <w:rsid w:val="0089434C"/>
    <w:rsid w:val="00894BF3"/>
    <w:rsid w:val="008966F1"/>
    <w:rsid w:val="008A0833"/>
    <w:rsid w:val="008A41B8"/>
    <w:rsid w:val="008A4696"/>
    <w:rsid w:val="008A7AF2"/>
    <w:rsid w:val="008B17C5"/>
    <w:rsid w:val="008C0B61"/>
    <w:rsid w:val="008E0347"/>
    <w:rsid w:val="008E0FB6"/>
    <w:rsid w:val="008E20A8"/>
    <w:rsid w:val="008E2E26"/>
    <w:rsid w:val="008E5C76"/>
    <w:rsid w:val="008F04E5"/>
    <w:rsid w:val="008F07E2"/>
    <w:rsid w:val="008F102F"/>
    <w:rsid w:val="008F10BF"/>
    <w:rsid w:val="008F22F7"/>
    <w:rsid w:val="008F3145"/>
    <w:rsid w:val="0090456B"/>
    <w:rsid w:val="00904779"/>
    <w:rsid w:val="0091178F"/>
    <w:rsid w:val="00914049"/>
    <w:rsid w:val="00925387"/>
    <w:rsid w:val="00925566"/>
    <w:rsid w:val="00926403"/>
    <w:rsid w:val="00927443"/>
    <w:rsid w:val="00927CA5"/>
    <w:rsid w:val="00927D23"/>
    <w:rsid w:val="00930494"/>
    <w:rsid w:val="009322EF"/>
    <w:rsid w:val="009346C9"/>
    <w:rsid w:val="00935FDA"/>
    <w:rsid w:val="00940195"/>
    <w:rsid w:val="00942869"/>
    <w:rsid w:val="009450BB"/>
    <w:rsid w:val="00947FC3"/>
    <w:rsid w:val="00951F5B"/>
    <w:rsid w:val="00966478"/>
    <w:rsid w:val="00967D49"/>
    <w:rsid w:val="00970913"/>
    <w:rsid w:val="00971262"/>
    <w:rsid w:val="00973E33"/>
    <w:rsid w:val="00974BA6"/>
    <w:rsid w:val="00980C1C"/>
    <w:rsid w:val="0098188F"/>
    <w:rsid w:val="00984225"/>
    <w:rsid w:val="009849DF"/>
    <w:rsid w:val="00990F7A"/>
    <w:rsid w:val="00993406"/>
    <w:rsid w:val="0099402F"/>
    <w:rsid w:val="009A6397"/>
    <w:rsid w:val="009B19A8"/>
    <w:rsid w:val="009B76C8"/>
    <w:rsid w:val="009C2331"/>
    <w:rsid w:val="009C6615"/>
    <w:rsid w:val="009D01C9"/>
    <w:rsid w:val="009D2686"/>
    <w:rsid w:val="009D2B6B"/>
    <w:rsid w:val="009D4049"/>
    <w:rsid w:val="009D54DD"/>
    <w:rsid w:val="009E2BD1"/>
    <w:rsid w:val="009E4FBC"/>
    <w:rsid w:val="009F3916"/>
    <w:rsid w:val="009F3958"/>
    <w:rsid w:val="009F3B5D"/>
    <w:rsid w:val="009F5155"/>
    <w:rsid w:val="009F55E5"/>
    <w:rsid w:val="009F6E8E"/>
    <w:rsid w:val="00A04958"/>
    <w:rsid w:val="00A07E5C"/>
    <w:rsid w:val="00A12EFB"/>
    <w:rsid w:val="00A26FD0"/>
    <w:rsid w:val="00A3225E"/>
    <w:rsid w:val="00A32733"/>
    <w:rsid w:val="00A350DD"/>
    <w:rsid w:val="00A407CA"/>
    <w:rsid w:val="00A43965"/>
    <w:rsid w:val="00A465D8"/>
    <w:rsid w:val="00A50A80"/>
    <w:rsid w:val="00A53389"/>
    <w:rsid w:val="00A5466B"/>
    <w:rsid w:val="00A55EAE"/>
    <w:rsid w:val="00A605E1"/>
    <w:rsid w:val="00A60725"/>
    <w:rsid w:val="00A61486"/>
    <w:rsid w:val="00A6168F"/>
    <w:rsid w:val="00A64BD1"/>
    <w:rsid w:val="00A64F0B"/>
    <w:rsid w:val="00A701F1"/>
    <w:rsid w:val="00A701FF"/>
    <w:rsid w:val="00A716FA"/>
    <w:rsid w:val="00A7265E"/>
    <w:rsid w:val="00A72766"/>
    <w:rsid w:val="00A7492A"/>
    <w:rsid w:val="00A77B9F"/>
    <w:rsid w:val="00A83D42"/>
    <w:rsid w:val="00A91E18"/>
    <w:rsid w:val="00A9457A"/>
    <w:rsid w:val="00A94E99"/>
    <w:rsid w:val="00A964DC"/>
    <w:rsid w:val="00AA0E85"/>
    <w:rsid w:val="00AA2714"/>
    <w:rsid w:val="00AA39BB"/>
    <w:rsid w:val="00AA4EE4"/>
    <w:rsid w:val="00AB0455"/>
    <w:rsid w:val="00AB12A6"/>
    <w:rsid w:val="00AB23F7"/>
    <w:rsid w:val="00AB2A5D"/>
    <w:rsid w:val="00AB48F9"/>
    <w:rsid w:val="00AB68AB"/>
    <w:rsid w:val="00AB72C2"/>
    <w:rsid w:val="00AC50B7"/>
    <w:rsid w:val="00AC64D8"/>
    <w:rsid w:val="00AC6A60"/>
    <w:rsid w:val="00AD072E"/>
    <w:rsid w:val="00AD124E"/>
    <w:rsid w:val="00AD5767"/>
    <w:rsid w:val="00AD6281"/>
    <w:rsid w:val="00AD76FB"/>
    <w:rsid w:val="00AE0D5E"/>
    <w:rsid w:val="00AE2B34"/>
    <w:rsid w:val="00AE5F5C"/>
    <w:rsid w:val="00AE656D"/>
    <w:rsid w:val="00AE6621"/>
    <w:rsid w:val="00AE78DA"/>
    <w:rsid w:val="00AF22EE"/>
    <w:rsid w:val="00B00013"/>
    <w:rsid w:val="00B03B70"/>
    <w:rsid w:val="00B0464B"/>
    <w:rsid w:val="00B04F44"/>
    <w:rsid w:val="00B05931"/>
    <w:rsid w:val="00B05B13"/>
    <w:rsid w:val="00B07866"/>
    <w:rsid w:val="00B1242B"/>
    <w:rsid w:val="00B20AAB"/>
    <w:rsid w:val="00B24E55"/>
    <w:rsid w:val="00B25842"/>
    <w:rsid w:val="00B309A1"/>
    <w:rsid w:val="00B3252F"/>
    <w:rsid w:val="00B34416"/>
    <w:rsid w:val="00B34460"/>
    <w:rsid w:val="00B35EC8"/>
    <w:rsid w:val="00B35FAC"/>
    <w:rsid w:val="00B37F06"/>
    <w:rsid w:val="00B37F5C"/>
    <w:rsid w:val="00B42E92"/>
    <w:rsid w:val="00B474FE"/>
    <w:rsid w:val="00B57E99"/>
    <w:rsid w:val="00B604E1"/>
    <w:rsid w:val="00B60EC7"/>
    <w:rsid w:val="00B6130E"/>
    <w:rsid w:val="00B62A0B"/>
    <w:rsid w:val="00B67611"/>
    <w:rsid w:val="00B67764"/>
    <w:rsid w:val="00B713A2"/>
    <w:rsid w:val="00B766B5"/>
    <w:rsid w:val="00B76D91"/>
    <w:rsid w:val="00B76DBF"/>
    <w:rsid w:val="00B77283"/>
    <w:rsid w:val="00B800FC"/>
    <w:rsid w:val="00B805C1"/>
    <w:rsid w:val="00B8106E"/>
    <w:rsid w:val="00B81AF5"/>
    <w:rsid w:val="00B845D5"/>
    <w:rsid w:val="00B86306"/>
    <w:rsid w:val="00B92861"/>
    <w:rsid w:val="00B93756"/>
    <w:rsid w:val="00B96E71"/>
    <w:rsid w:val="00B97A1A"/>
    <w:rsid w:val="00B97AB0"/>
    <w:rsid w:val="00BA578D"/>
    <w:rsid w:val="00BA6577"/>
    <w:rsid w:val="00BA74CC"/>
    <w:rsid w:val="00BB4DF0"/>
    <w:rsid w:val="00BB5A0F"/>
    <w:rsid w:val="00BB7016"/>
    <w:rsid w:val="00BC1A8E"/>
    <w:rsid w:val="00BC2BA8"/>
    <w:rsid w:val="00BC2D0C"/>
    <w:rsid w:val="00BC4ABF"/>
    <w:rsid w:val="00BC67B7"/>
    <w:rsid w:val="00BC743F"/>
    <w:rsid w:val="00BC7FDC"/>
    <w:rsid w:val="00BD2DAF"/>
    <w:rsid w:val="00BD426A"/>
    <w:rsid w:val="00BD5960"/>
    <w:rsid w:val="00BE2CB4"/>
    <w:rsid w:val="00BF0B1E"/>
    <w:rsid w:val="00BF1F4B"/>
    <w:rsid w:val="00BF4111"/>
    <w:rsid w:val="00C008AD"/>
    <w:rsid w:val="00C01C04"/>
    <w:rsid w:val="00C036DC"/>
    <w:rsid w:val="00C03DDF"/>
    <w:rsid w:val="00C05729"/>
    <w:rsid w:val="00C0746C"/>
    <w:rsid w:val="00C10C04"/>
    <w:rsid w:val="00C12C05"/>
    <w:rsid w:val="00C139FB"/>
    <w:rsid w:val="00C178C3"/>
    <w:rsid w:val="00C22E85"/>
    <w:rsid w:val="00C24D14"/>
    <w:rsid w:val="00C25841"/>
    <w:rsid w:val="00C26A98"/>
    <w:rsid w:val="00C31ECB"/>
    <w:rsid w:val="00C320E9"/>
    <w:rsid w:val="00C343C3"/>
    <w:rsid w:val="00C34B4D"/>
    <w:rsid w:val="00C34CE6"/>
    <w:rsid w:val="00C3625A"/>
    <w:rsid w:val="00C411BE"/>
    <w:rsid w:val="00C43202"/>
    <w:rsid w:val="00C43CB7"/>
    <w:rsid w:val="00C44084"/>
    <w:rsid w:val="00C44275"/>
    <w:rsid w:val="00C4737A"/>
    <w:rsid w:val="00C476B8"/>
    <w:rsid w:val="00C47959"/>
    <w:rsid w:val="00C51841"/>
    <w:rsid w:val="00C533D3"/>
    <w:rsid w:val="00C552E2"/>
    <w:rsid w:val="00C571A0"/>
    <w:rsid w:val="00C62987"/>
    <w:rsid w:val="00C62CB7"/>
    <w:rsid w:val="00C62D00"/>
    <w:rsid w:val="00C638DD"/>
    <w:rsid w:val="00C64A6B"/>
    <w:rsid w:val="00C655BD"/>
    <w:rsid w:val="00C70C07"/>
    <w:rsid w:val="00C70CDB"/>
    <w:rsid w:val="00C771EE"/>
    <w:rsid w:val="00C80614"/>
    <w:rsid w:val="00C81CEF"/>
    <w:rsid w:val="00C83BE8"/>
    <w:rsid w:val="00C85362"/>
    <w:rsid w:val="00C85378"/>
    <w:rsid w:val="00C85F7D"/>
    <w:rsid w:val="00C86481"/>
    <w:rsid w:val="00C87D47"/>
    <w:rsid w:val="00C900AF"/>
    <w:rsid w:val="00C916EB"/>
    <w:rsid w:val="00C917C7"/>
    <w:rsid w:val="00C924F9"/>
    <w:rsid w:val="00C93276"/>
    <w:rsid w:val="00C94047"/>
    <w:rsid w:val="00C96215"/>
    <w:rsid w:val="00C96B69"/>
    <w:rsid w:val="00C976D0"/>
    <w:rsid w:val="00CA02C8"/>
    <w:rsid w:val="00CA04CC"/>
    <w:rsid w:val="00CA29BF"/>
    <w:rsid w:val="00CA402A"/>
    <w:rsid w:val="00CA6859"/>
    <w:rsid w:val="00CB4E61"/>
    <w:rsid w:val="00CC16D5"/>
    <w:rsid w:val="00CC249D"/>
    <w:rsid w:val="00CC3978"/>
    <w:rsid w:val="00CC498C"/>
    <w:rsid w:val="00CC49BA"/>
    <w:rsid w:val="00CC4BFE"/>
    <w:rsid w:val="00CC7487"/>
    <w:rsid w:val="00CC7FD0"/>
    <w:rsid w:val="00CD02C0"/>
    <w:rsid w:val="00CD0344"/>
    <w:rsid w:val="00CD28FB"/>
    <w:rsid w:val="00CD2BFF"/>
    <w:rsid w:val="00CD333E"/>
    <w:rsid w:val="00CD3C1C"/>
    <w:rsid w:val="00CE0E23"/>
    <w:rsid w:val="00CE0E2C"/>
    <w:rsid w:val="00CE2867"/>
    <w:rsid w:val="00CE37F7"/>
    <w:rsid w:val="00CE545C"/>
    <w:rsid w:val="00CE62B2"/>
    <w:rsid w:val="00CE62C0"/>
    <w:rsid w:val="00CF5600"/>
    <w:rsid w:val="00CF6372"/>
    <w:rsid w:val="00CF6932"/>
    <w:rsid w:val="00D02752"/>
    <w:rsid w:val="00D02FA8"/>
    <w:rsid w:val="00D0657F"/>
    <w:rsid w:val="00D07E22"/>
    <w:rsid w:val="00D10514"/>
    <w:rsid w:val="00D10616"/>
    <w:rsid w:val="00D1600A"/>
    <w:rsid w:val="00D208B6"/>
    <w:rsid w:val="00D310A6"/>
    <w:rsid w:val="00D31C51"/>
    <w:rsid w:val="00D31EB4"/>
    <w:rsid w:val="00D3298A"/>
    <w:rsid w:val="00D353F6"/>
    <w:rsid w:val="00D379FC"/>
    <w:rsid w:val="00D40378"/>
    <w:rsid w:val="00D4425C"/>
    <w:rsid w:val="00D47B10"/>
    <w:rsid w:val="00D505C8"/>
    <w:rsid w:val="00D548C1"/>
    <w:rsid w:val="00D61789"/>
    <w:rsid w:val="00D6557D"/>
    <w:rsid w:val="00D66C65"/>
    <w:rsid w:val="00D66DB6"/>
    <w:rsid w:val="00D671FB"/>
    <w:rsid w:val="00D72D2A"/>
    <w:rsid w:val="00D732EC"/>
    <w:rsid w:val="00D740EB"/>
    <w:rsid w:val="00D75122"/>
    <w:rsid w:val="00D76194"/>
    <w:rsid w:val="00D80735"/>
    <w:rsid w:val="00D82D99"/>
    <w:rsid w:val="00D860F8"/>
    <w:rsid w:val="00D865F1"/>
    <w:rsid w:val="00D8662F"/>
    <w:rsid w:val="00D908A1"/>
    <w:rsid w:val="00D92DDF"/>
    <w:rsid w:val="00D96F10"/>
    <w:rsid w:val="00DA0DBD"/>
    <w:rsid w:val="00DA1AD5"/>
    <w:rsid w:val="00DA3E72"/>
    <w:rsid w:val="00DB3A38"/>
    <w:rsid w:val="00DB3A3C"/>
    <w:rsid w:val="00DB654C"/>
    <w:rsid w:val="00DB7EDA"/>
    <w:rsid w:val="00DC297D"/>
    <w:rsid w:val="00DC4629"/>
    <w:rsid w:val="00DC5948"/>
    <w:rsid w:val="00DC6ECF"/>
    <w:rsid w:val="00DD0952"/>
    <w:rsid w:val="00DD4857"/>
    <w:rsid w:val="00DE4D33"/>
    <w:rsid w:val="00DE5C92"/>
    <w:rsid w:val="00DF1B67"/>
    <w:rsid w:val="00DF2E9B"/>
    <w:rsid w:val="00DF4B86"/>
    <w:rsid w:val="00DF63A2"/>
    <w:rsid w:val="00E010EE"/>
    <w:rsid w:val="00E01894"/>
    <w:rsid w:val="00E026DE"/>
    <w:rsid w:val="00E111DD"/>
    <w:rsid w:val="00E128EB"/>
    <w:rsid w:val="00E14270"/>
    <w:rsid w:val="00E154D0"/>
    <w:rsid w:val="00E162A6"/>
    <w:rsid w:val="00E178D6"/>
    <w:rsid w:val="00E2012F"/>
    <w:rsid w:val="00E22BDD"/>
    <w:rsid w:val="00E2420C"/>
    <w:rsid w:val="00E257B6"/>
    <w:rsid w:val="00E35166"/>
    <w:rsid w:val="00E366EB"/>
    <w:rsid w:val="00E406FA"/>
    <w:rsid w:val="00E416E7"/>
    <w:rsid w:val="00E4221C"/>
    <w:rsid w:val="00E43330"/>
    <w:rsid w:val="00E45905"/>
    <w:rsid w:val="00E4637C"/>
    <w:rsid w:val="00E473F4"/>
    <w:rsid w:val="00E4794A"/>
    <w:rsid w:val="00E513FF"/>
    <w:rsid w:val="00E51C11"/>
    <w:rsid w:val="00E558EE"/>
    <w:rsid w:val="00E56484"/>
    <w:rsid w:val="00E577B4"/>
    <w:rsid w:val="00E617FD"/>
    <w:rsid w:val="00E6307F"/>
    <w:rsid w:val="00E6427C"/>
    <w:rsid w:val="00E65B0B"/>
    <w:rsid w:val="00E7232A"/>
    <w:rsid w:val="00E72476"/>
    <w:rsid w:val="00E778F2"/>
    <w:rsid w:val="00E807A6"/>
    <w:rsid w:val="00E81EF8"/>
    <w:rsid w:val="00E82F86"/>
    <w:rsid w:val="00E83B2D"/>
    <w:rsid w:val="00E84AAF"/>
    <w:rsid w:val="00E84DBF"/>
    <w:rsid w:val="00E90592"/>
    <w:rsid w:val="00E929F0"/>
    <w:rsid w:val="00E93545"/>
    <w:rsid w:val="00E95575"/>
    <w:rsid w:val="00EA6DC1"/>
    <w:rsid w:val="00EB1A35"/>
    <w:rsid w:val="00EB2265"/>
    <w:rsid w:val="00EB31FA"/>
    <w:rsid w:val="00EB5163"/>
    <w:rsid w:val="00EB58F6"/>
    <w:rsid w:val="00EC0F44"/>
    <w:rsid w:val="00EC2562"/>
    <w:rsid w:val="00ED2211"/>
    <w:rsid w:val="00ED2420"/>
    <w:rsid w:val="00ED3B81"/>
    <w:rsid w:val="00EE0849"/>
    <w:rsid w:val="00EE2FCE"/>
    <w:rsid w:val="00EE4643"/>
    <w:rsid w:val="00EE66E3"/>
    <w:rsid w:val="00EF7A20"/>
    <w:rsid w:val="00F02946"/>
    <w:rsid w:val="00F02BCC"/>
    <w:rsid w:val="00F05A44"/>
    <w:rsid w:val="00F07F5F"/>
    <w:rsid w:val="00F11144"/>
    <w:rsid w:val="00F209F0"/>
    <w:rsid w:val="00F21B4C"/>
    <w:rsid w:val="00F253A2"/>
    <w:rsid w:val="00F25CB3"/>
    <w:rsid w:val="00F267CE"/>
    <w:rsid w:val="00F3122C"/>
    <w:rsid w:val="00F31DD9"/>
    <w:rsid w:val="00F362FB"/>
    <w:rsid w:val="00F3658D"/>
    <w:rsid w:val="00F367A5"/>
    <w:rsid w:val="00F40D51"/>
    <w:rsid w:val="00F410E8"/>
    <w:rsid w:val="00F443A2"/>
    <w:rsid w:val="00F458ED"/>
    <w:rsid w:val="00F474C1"/>
    <w:rsid w:val="00F513A1"/>
    <w:rsid w:val="00F51CEB"/>
    <w:rsid w:val="00F522D0"/>
    <w:rsid w:val="00F52E60"/>
    <w:rsid w:val="00F558A2"/>
    <w:rsid w:val="00F56098"/>
    <w:rsid w:val="00F56F62"/>
    <w:rsid w:val="00F60D41"/>
    <w:rsid w:val="00F618F4"/>
    <w:rsid w:val="00F65B91"/>
    <w:rsid w:val="00F66FE4"/>
    <w:rsid w:val="00F76ED1"/>
    <w:rsid w:val="00F822A1"/>
    <w:rsid w:val="00F87FA8"/>
    <w:rsid w:val="00F929B1"/>
    <w:rsid w:val="00F93F19"/>
    <w:rsid w:val="00F95001"/>
    <w:rsid w:val="00F95969"/>
    <w:rsid w:val="00F95FB7"/>
    <w:rsid w:val="00F96F6F"/>
    <w:rsid w:val="00F97D0D"/>
    <w:rsid w:val="00FB1E50"/>
    <w:rsid w:val="00FB5325"/>
    <w:rsid w:val="00FC135B"/>
    <w:rsid w:val="00FC2CB9"/>
    <w:rsid w:val="00FC7E28"/>
    <w:rsid w:val="00FD1CCA"/>
    <w:rsid w:val="00FD6980"/>
    <w:rsid w:val="00FD7E2A"/>
    <w:rsid w:val="00FE1E2F"/>
    <w:rsid w:val="00FE211D"/>
    <w:rsid w:val="00FE541B"/>
    <w:rsid w:val="00FE591A"/>
    <w:rsid w:val="00FF10EB"/>
    <w:rsid w:val="00FF40FE"/>
    <w:rsid w:val="00FF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66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74"/>
    <w:pPr>
      <w:spacing w:after="0" w:line="36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64C60"/>
    <w:pPr>
      <w:keepNext/>
      <w:numPr>
        <w:numId w:val="5"/>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9"/>
    <w:qFormat/>
    <w:rsid w:val="00864C60"/>
    <w:pPr>
      <w:keepNext/>
      <w:numPr>
        <w:ilvl w:val="1"/>
        <w:numId w:val="5"/>
      </w:numPr>
      <w:spacing w:before="240" w:after="60"/>
      <w:outlineLvl w:val="1"/>
    </w:pPr>
    <w:rPr>
      <w:rFonts w:ascii="Cambria" w:eastAsia="MS Mincho" w:hAnsi="Cambria"/>
      <w:b/>
      <w:bCs/>
      <w:i/>
      <w:iCs/>
      <w:sz w:val="28"/>
      <w:szCs w:val="28"/>
      <w:lang w:val="x-none" w:eastAsia="ja-JP"/>
    </w:rPr>
  </w:style>
  <w:style w:type="paragraph" w:styleId="Heading3">
    <w:name w:val="heading 3"/>
    <w:basedOn w:val="Normal"/>
    <w:next w:val="Normal"/>
    <w:link w:val="Heading3Char"/>
    <w:uiPriority w:val="99"/>
    <w:qFormat/>
    <w:rsid w:val="00864C60"/>
    <w:pPr>
      <w:keepNext/>
      <w:numPr>
        <w:ilvl w:val="2"/>
        <w:numId w:val="5"/>
      </w:numPr>
      <w:spacing w:before="240" w:after="60"/>
      <w:outlineLvl w:val="2"/>
    </w:pPr>
    <w:rPr>
      <w:rFonts w:ascii="Cambria" w:eastAsia="MS Mincho" w:hAnsi="Cambria"/>
      <w:b/>
      <w:bCs/>
      <w:sz w:val="26"/>
      <w:szCs w:val="26"/>
      <w:lang w:val="x-none" w:eastAsia="ja-JP"/>
    </w:rPr>
  </w:style>
  <w:style w:type="paragraph" w:styleId="Heading4">
    <w:name w:val="heading 4"/>
    <w:basedOn w:val="Normal"/>
    <w:next w:val="Normal"/>
    <w:link w:val="Heading4Char"/>
    <w:uiPriority w:val="99"/>
    <w:qFormat/>
    <w:rsid w:val="00864C60"/>
    <w:pPr>
      <w:keepNext/>
      <w:numPr>
        <w:ilvl w:val="3"/>
        <w:numId w:val="5"/>
      </w:numPr>
      <w:spacing w:before="240" w:after="60"/>
      <w:outlineLvl w:val="3"/>
    </w:pPr>
    <w:rPr>
      <w:rFonts w:ascii="Calibri" w:eastAsia="MS Mincho" w:hAnsi="Calibri"/>
      <w:b/>
      <w:bCs/>
      <w:sz w:val="28"/>
      <w:szCs w:val="28"/>
      <w:lang w:val="x-none" w:eastAsia="ja-JP"/>
    </w:rPr>
  </w:style>
  <w:style w:type="paragraph" w:styleId="Heading5">
    <w:name w:val="heading 5"/>
    <w:basedOn w:val="Normal"/>
    <w:next w:val="Normal"/>
    <w:link w:val="Heading5Char"/>
    <w:uiPriority w:val="9"/>
    <w:semiHidden/>
    <w:unhideWhenUsed/>
    <w:qFormat/>
    <w:rsid w:val="00657CEF"/>
    <w:pPr>
      <w:keepNext/>
      <w:keepLines/>
      <w:spacing w:before="200" w:line="276" w:lineRule="auto"/>
      <w:ind w:left="1008" w:hanging="1008"/>
      <w:outlineLvl w:val="4"/>
    </w:pPr>
    <w:rPr>
      <w:rFonts w:ascii="Cambria" w:eastAsia="SimSun" w:hAnsi="Cambria"/>
      <w:color w:val="243F60"/>
      <w:sz w:val="22"/>
      <w:szCs w:val="22"/>
      <w:lang w:eastAsia="zh-CN"/>
    </w:rPr>
  </w:style>
  <w:style w:type="paragraph" w:styleId="Heading6">
    <w:name w:val="heading 6"/>
    <w:basedOn w:val="Normal"/>
    <w:next w:val="Normal"/>
    <w:link w:val="Heading6Char"/>
    <w:uiPriority w:val="99"/>
    <w:qFormat/>
    <w:rsid w:val="00864C60"/>
    <w:pPr>
      <w:numPr>
        <w:ilvl w:val="5"/>
        <w:numId w:val="5"/>
      </w:numPr>
      <w:spacing w:before="240" w:after="60" w:line="480" w:lineRule="auto"/>
      <w:outlineLvl w:val="5"/>
    </w:pPr>
    <w:rPr>
      <w:rFonts w:ascii="Calibri" w:eastAsia="MS Mincho" w:hAnsi="Calibri"/>
      <w:b/>
      <w:bCs/>
      <w:sz w:val="20"/>
      <w:szCs w:val="20"/>
      <w:lang w:val="x-none" w:eastAsia="ja-JP"/>
    </w:rPr>
  </w:style>
  <w:style w:type="paragraph" w:styleId="Heading7">
    <w:name w:val="heading 7"/>
    <w:basedOn w:val="Normal"/>
    <w:next w:val="Normal"/>
    <w:link w:val="Heading7Char"/>
    <w:uiPriority w:val="99"/>
    <w:qFormat/>
    <w:rsid w:val="00864C60"/>
    <w:pPr>
      <w:numPr>
        <w:ilvl w:val="6"/>
        <w:numId w:val="5"/>
      </w:numPr>
      <w:spacing w:before="240" w:after="60" w:line="480" w:lineRule="auto"/>
      <w:outlineLvl w:val="6"/>
    </w:pPr>
    <w:rPr>
      <w:rFonts w:ascii="Calibri" w:eastAsia="MS Mincho" w:hAnsi="Calibri"/>
      <w:lang w:val="x-none" w:eastAsia="ja-JP"/>
    </w:rPr>
  </w:style>
  <w:style w:type="paragraph" w:styleId="Heading8">
    <w:name w:val="heading 8"/>
    <w:basedOn w:val="Normal"/>
    <w:next w:val="Normal"/>
    <w:link w:val="Heading8Char"/>
    <w:uiPriority w:val="99"/>
    <w:qFormat/>
    <w:rsid w:val="00864C60"/>
    <w:pPr>
      <w:numPr>
        <w:ilvl w:val="7"/>
        <w:numId w:val="5"/>
      </w:numPr>
      <w:spacing w:before="240" w:after="60" w:line="480" w:lineRule="auto"/>
      <w:outlineLvl w:val="7"/>
    </w:pPr>
    <w:rPr>
      <w:rFonts w:ascii="Calibri" w:eastAsia="MS Mincho" w:hAnsi="Calibri"/>
      <w:i/>
      <w:iCs/>
      <w:lang w:val="x-none" w:eastAsia="ja-JP"/>
    </w:rPr>
  </w:style>
  <w:style w:type="paragraph" w:styleId="Heading9">
    <w:name w:val="heading 9"/>
    <w:basedOn w:val="Normal"/>
    <w:next w:val="Normal"/>
    <w:link w:val="Heading9Char"/>
    <w:uiPriority w:val="99"/>
    <w:qFormat/>
    <w:rsid w:val="00864C60"/>
    <w:pPr>
      <w:numPr>
        <w:ilvl w:val="8"/>
        <w:numId w:val="5"/>
      </w:numPr>
      <w:spacing w:before="240" w:after="60" w:line="480" w:lineRule="auto"/>
      <w:outlineLvl w:val="8"/>
    </w:pPr>
    <w:rPr>
      <w:rFonts w:ascii="Cambria" w:eastAsia="MS Mincho" w:hAnsi="Cambria"/>
      <w:sz w:val="20"/>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4C60"/>
    <w:rPr>
      <w:rFonts w:ascii="Arial" w:hAnsi="Arial" w:cs="Arial"/>
      <w:b/>
      <w:bCs/>
      <w:kern w:val="32"/>
      <w:sz w:val="32"/>
      <w:szCs w:val="32"/>
    </w:rPr>
  </w:style>
  <w:style w:type="character" w:customStyle="1" w:styleId="Heading2Char">
    <w:name w:val="Heading 2 Char"/>
    <w:basedOn w:val="DefaultParagraphFont"/>
    <w:link w:val="Heading2"/>
    <w:uiPriority w:val="99"/>
    <w:rsid w:val="00864C60"/>
    <w:rPr>
      <w:rFonts w:ascii="Cambria" w:eastAsia="MS Mincho" w:hAnsi="Cambria" w:cs="Times New Roman"/>
      <w:b/>
      <w:bCs/>
      <w:i/>
      <w:iCs/>
      <w:sz w:val="28"/>
      <w:szCs w:val="28"/>
      <w:lang w:val="x-none" w:eastAsia="ja-JP"/>
    </w:rPr>
  </w:style>
  <w:style w:type="character" w:customStyle="1" w:styleId="Heading3Char">
    <w:name w:val="Heading 3 Char"/>
    <w:basedOn w:val="DefaultParagraphFont"/>
    <w:link w:val="Heading3"/>
    <w:uiPriority w:val="99"/>
    <w:rsid w:val="00864C60"/>
    <w:rPr>
      <w:rFonts w:ascii="Cambria" w:eastAsia="MS Mincho" w:hAnsi="Cambria" w:cs="Times New Roman"/>
      <w:b/>
      <w:bCs/>
      <w:sz w:val="26"/>
      <w:szCs w:val="26"/>
      <w:lang w:val="x-none" w:eastAsia="ja-JP"/>
    </w:rPr>
  </w:style>
  <w:style w:type="character" w:customStyle="1" w:styleId="Heading4Char">
    <w:name w:val="Heading 4 Char"/>
    <w:basedOn w:val="DefaultParagraphFont"/>
    <w:link w:val="Heading4"/>
    <w:uiPriority w:val="99"/>
    <w:rsid w:val="00864C60"/>
    <w:rPr>
      <w:rFonts w:ascii="Calibri" w:eastAsia="MS Mincho" w:hAnsi="Calibri" w:cs="Times New Roman"/>
      <w:b/>
      <w:bCs/>
      <w:sz w:val="28"/>
      <w:szCs w:val="28"/>
      <w:lang w:val="x-none" w:eastAsia="ja-JP"/>
    </w:rPr>
  </w:style>
  <w:style w:type="character" w:customStyle="1" w:styleId="Heading6Char">
    <w:name w:val="Heading 6 Char"/>
    <w:basedOn w:val="DefaultParagraphFont"/>
    <w:link w:val="Heading6"/>
    <w:uiPriority w:val="99"/>
    <w:rsid w:val="00864C60"/>
    <w:rPr>
      <w:rFonts w:ascii="Calibri" w:eastAsia="MS Mincho" w:hAnsi="Calibri" w:cs="Times New Roman"/>
      <w:b/>
      <w:bCs/>
      <w:sz w:val="20"/>
      <w:szCs w:val="20"/>
      <w:lang w:val="x-none" w:eastAsia="ja-JP"/>
    </w:rPr>
  </w:style>
  <w:style w:type="character" w:customStyle="1" w:styleId="Heading7Char">
    <w:name w:val="Heading 7 Char"/>
    <w:basedOn w:val="DefaultParagraphFont"/>
    <w:link w:val="Heading7"/>
    <w:uiPriority w:val="99"/>
    <w:rsid w:val="00864C60"/>
    <w:rPr>
      <w:rFonts w:ascii="Calibri" w:eastAsia="MS Mincho" w:hAnsi="Calibri" w:cs="Times New Roman"/>
      <w:sz w:val="24"/>
      <w:szCs w:val="24"/>
      <w:lang w:val="x-none" w:eastAsia="ja-JP"/>
    </w:rPr>
  </w:style>
  <w:style w:type="character" w:customStyle="1" w:styleId="Heading8Char">
    <w:name w:val="Heading 8 Char"/>
    <w:basedOn w:val="DefaultParagraphFont"/>
    <w:link w:val="Heading8"/>
    <w:uiPriority w:val="99"/>
    <w:rsid w:val="00864C60"/>
    <w:rPr>
      <w:rFonts w:ascii="Calibri" w:eastAsia="MS Mincho" w:hAnsi="Calibri" w:cs="Times New Roman"/>
      <w:i/>
      <w:iCs/>
      <w:sz w:val="24"/>
      <w:szCs w:val="24"/>
      <w:lang w:val="x-none" w:eastAsia="ja-JP"/>
    </w:rPr>
  </w:style>
  <w:style w:type="character" w:customStyle="1" w:styleId="Heading9Char">
    <w:name w:val="Heading 9 Char"/>
    <w:basedOn w:val="DefaultParagraphFont"/>
    <w:link w:val="Heading9"/>
    <w:uiPriority w:val="99"/>
    <w:rsid w:val="00864C60"/>
    <w:rPr>
      <w:rFonts w:ascii="Cambria" w:eastAsia="MS Mincho" w:hAnsi="Cambria" w:cs="Times New Roman"/>
      <w:sz w:val="20"/>
      <w:szCs w:val="20"/>
      <w:lang w:val="x-none" w:eastAsia="ja-JP"/>
    </w:rPr>
  </w:style>
  <w:style w:type="paragraph" w:customStyle="1" w:styleId="StyleFirstline05">
    <w:name w:val="Style First line:  0.5&quot;"/>
    <w:basedOn w:val="Normal"/>
    <w:rsid w:val="001C6474"/>
    <w:pPr>
      <w:spacing w:line="480" w:lineRule="auto"/>
      <w:ind w:firstLine="720"/>
    </w:pPr>
    <w:rPr>
      <w:szCs w:val="20"/>
    </w:rPr>
  </w:style>
  <w:style w:type="paragraph" w:customStyle="1" w:styleId="Default">
    <w:name w:val="Default"/>
    <w:link w:val="DefaultChar"/>
    <w:rsid w:val="00AE6621"/>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basedOn w:val="DefaultParagraphFont"/>
    <w:link w:val="Default"/>
    <w:locked/>
    <w:rsid w:val="00864C60"/>
    <w:rPr>
      <w:rFonts w:ascii="Cambria" w:hAnsi="Cambria" w:cs="Cambria"/>
      <w:color w:val="000000"/>
      <w:sz w:val="24"/>
      <w:szCs w:val="24"/>
    </w:rPr>
  </w:style>
  <w:style w:type="paragraph" w:styleId="BalloonText">
    <w:name w:val="Balloon Text"/>
    <w:basedOn w:val="Normal"/>
    <w:link w:val="BalloonTextChar"/>
    <w:uiPriority w:val="99"/>
    <w:semiHidden/>
    <w:unhideWhenUsed/>
    <w:rsid w:val="006958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839"/>
    <w:rPr>
      <w:rFonts w:ascii="Tahoma" w:eastAsia="Times New Roman" w:hAnsi="Tahoma" w:cs="Tahoma"/>
      <w:sz w:val="16"/>
      <w:szCs w:val="16"/>
    </w:rPr>
  </w:style>
  <w:style w:type="paragraph" w:styleId="FootnoteText">
    <w:name w:val="footnote text"/>
    <w:basedOn w:val="Normal"/>
    <w:link w:val="FootnoteTextChar"/>
    <w:uiPriority w:val="99"/>
    <w:unhideWhenUsed/>
    <w:rsid w:val="00A12EFB"/>
    <w:pPr>
      <w:spacing w:line="240" w:lineRule="auto"/>
    </w:pPr>
    <w:rPr>
      <w:sz w:val="20"/>
      <w:szCs w:val="20"/>
    </w:rPr>
  </w:style>
  <w:style w:type="character" w:customStyle="1" w:styleId="FootnoteTextChar">
    <w:name w:val="Footnote Text Char"/>
    <w:basedOn w:val="DefaultParagraphFont"/>
    <w:link w:val="FootnoteText"/>
    <w:uiPriority w:val="99"/>
    <w:rsid w:val="00A12EF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2EFB"/>
    <w:rPr>
      <w:vertAlign w:val="superscript"/>
    </w:rPr>
  </w:style>
  <w:style w:type="paragraph" w:styleId="ListParagraph">
    <w:name w:val="List Paragraph"/>
    <w:basedOn w:val="Normal"/>
    <w:uiPriority w:val="34"/>
    <w:qFormat/>
    <w:rsid w:val="00864C60"/>
    <w:pPr>
      <w:spacing w:after="200" w:line="276" w:lineRule="auto"/>
      <w:ind w:left="720"/>
      <w:contextualSpacing/>
    </w:pPr>
    <w:rPr>
      <w:rFonts w:ascii="Calibri" w:eastAsia="Calibri" w:hAnsi="Calibri"/>
      <w:sz w:val="22"/>
      <w:szCs w:val="22"/>
    </w:rPr>
  </w:style>
  <w:style w:type="character" w:customStyle="1" w:styleId="Heading1Char1">
    <w:name w:val="Heading 1 Char1"/>
    <w:basedOn w:val="DefaultParagraphFont"/>
    <w:uiPriority w:val="9"/>
    <w:rsid w:val="00864C60"/>
    <w:rPr>
      <w:rFonts w:asciiTheme="majorHAnsi" w:eastAsiaTheme="majorEastAsia" w:hAnsiTheme="majorHAnsi" w:cstheme="majorBidi"/>
      <w:b/>
      <w:bCs/>
      <w:color w:val="365F91" w:themeColor="accent1" w:themeShade="BF"/>
      <w:sz w:val="28"/>
      <w:szCs w:val="28"/>
    </w:rPr>
  </w:style>
  <w:style w:type="paragraph" w:customStyle="1" w:styleId="CM3">
    <w:name w:val="CM3"/>
    <w:basedOn w:val="Normal"/>
    <w:next w:val="Normal"/>
    <w:rsid w:val="00864C60"/>
    <w:pPr>
      <w:widowControl w:val="0"/>
      <w:autoSpaceDE w:val="0"/>
      <w:autoSpaceDN w:val="0"/>
      <w:adjustRightInd w:val="0"/>
      <w:spacing w:line="568" w:lineRule="atLeast"/>
    </w:pPr>
  </w:style>
  <w:style w:type="paragraph" w:styleId="NormalWeb">
    <w:name w:val="Normal (Web)"/>
    <w:basedOn w:val="Normal"/>
    <w:uiPriority w:val="99"/>
    <w:unhideWhenUsed/>
    <w:rsid w:val="00864C60"/>
    <w:pPr>
      <w:spacing w:before="100" w:beforeAutospacing="1" w:after="100" w:afterAutospacing="1" w:line="240" w:lineRule="auto"/>
    </w:pPr>
  </w:style>
  <w:style w:type="paragraph" w:styleId="Header">
    <w:name w:val="header"/>
    <w:basedOn w:val="Normal"/>
    <w:link w:val="HeaderChar"/>
    <w:uiPriority w:val="99"/>
    <w:unhideWhenUsed/>
    <w:rsid w:val="00864C60"/>
    <w:pPr>
      <w:tabs>
        <w:tab w:val="center" w:pos="4680"/>
        <w:tab w:val="right" w:pos="9360"/>
      </w:tabs>
      <w:spacing w:line="240" w:lineRule="auto"/>
    </w:pPr>
    <w:rPr>
      <w:rFonts w:ascii="Calibri" w:eastAsia="Calibri" w:hAnsi="Calibri"/>
      <w:sz w:val="22"/>
      <w:szCs w:val="22"/>
    </w:rPr>
  </w:style>
  <w:style w:type="character" w:customStyle="1" w:styleId="HeaderChar">
    <w:name w:val="Header Char"/>
    <w:basedOn w:val="DefaultParagraphFont"/>
    <w:link w:val="Header"/>
    <w:uiPriority w:val="99"/>
    <w:rsid w:val="00864C60"/>
    <w:rPr>
      <w:rFonts w:ascii="Calibri" w:eastAsia="Calibri" w:hAnsi="Calibri" w:cs="Times New Roman"/>
    </w:rPr>
  </w:style>
  <w:style w:type="paragraph" w:styleId="Footer">
    <w:name w:val="footer"/>
    <w:basedOn w:val="Normal"/>
    <w:link w:val="FooterChar"/>
    <w:uiPriority w:val="99"/>
    <w:unhideWhenUsed/>
    <w:rsid w:val="00864C60"/>
    <w:pPr>
      <w:tabs>
        <w:tab w:val="center" w:pos="4680"/>
        <w:tab w:val="right" w:pos="9360"/>
      </w:tabs>
      <w:spacing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864C60"/>
    <w:rPr>
      <w:rFonts w:ascii="Calibri" w:eastAsia="Calibri" w:hAnsi="Calibri" w:cs="Times New Roman"/>
    </w:rPr>
  </w:style>
  <w:style w:type="character" w:customStyle="1" w:styleId="pubtitle">
    <w:name w:val="pubtitle"/>
    <w:basedOn w:val="DefaultParagraphFont"/>
    <w:rsid w:val="00864C60"/>
  </w:style>
  <w:style w:type="character" w:customStyle="1" w:styleId="apple-style-span">
    <w:name w:val="apple-style-span"/>
    <w:basedOn w:val="DefaultParagraphFont"/>
    <w:rsid w:val="00864C60"/>
  </w:style>
  <w:style w:type="character" w:styleId="Strong">
    <w:name w:val="Strong"/>
    <w:basedOn w:val="DefaultParagraphFont"/>
    <w:uiPriority w:val="22"/>
    <w:qFormat/>
    <w:rsid w:val="00864C60"/>
    <w:rPr>
      <w:b/>
      <w:bCs/>
    </w:rPr>
  </w:style>
  <w:style w:type="paragraph" w:styleId="BodyText">
    <w:name w:val="Body Text"/>
    <w:basedOn w:val="Normal"/>
    <w:link w:val="BodyTextChar"/>
    <w:rsid w:val="00864C60"/>
    <w:pPr>
      <w:spacing w:line="240" w:lineRule="auto"/>
      <w:jc w:val="both"/>
    </w:pPr>
  </w:style>
  <w:style w:type="character" w:customStyle="1" w:styleId="BodyTextChar">
    <w:name w:val="Body Text Char"/>
    <w:basedOn w:val="DefaultParagraphFont"/>
    <w:link w:val="BodyText"/>
    <w:rsid w:val="00864C60"/>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4C60"/>
  </w:style>
  <w:style w:type="character" w:styleId="Emphasis">
    <w:name w:val="Emphasis"/>
    <w:basedOn w:val="DefaultParagraphFont"/>
    <w:uiPriority w:val="20"/>
    <w:qFormat/>
    <w:rsid w:val="00864C60"/>
    <w:rPr>
      <w:i/>
      <w:iCs/>
    </w:rPr>
  </w:style>
  <w:style w:type="character" w:customStyle="1" w:styleId="maintitle">
    <w:name w:val="maintitle"/>
    <w:basedOn w:val="DefaultParagraphFont"/>
    <w:rsid w:val="00864C60"/>
  </w:style>
  <w:style w:type="paragraph" w:customStyle="1" w:styleId="text">
    <w:name w:val="text"/>
    <w:aliases w:val="t"/>
    <w:basedOn w:val="Normal"/>
    <w:uiPriority w:val="99"/>
    <w:rsid w:val="00864C60"/>
    <w:pPr>
      <w:overflowPunct w:val="0"/>
      <w:autoSpaceDE w:val="0"/>
      <w:autoSpaceDN w:val="0"/>
      <w:adjustRightInd w:val="0"/>
      <w:spacing w:line="480" w:lineRule="atLeast"/>
      <w:ind w:firstLine="720"/>
      <w:jc w:val="both"/>
      <w:textAlignment w:val="baseline"/>
    </w:pPr>
    <w:rPr>
      <w:rFonts w:ascii="Times" w:hAnsi="Times"/>
      <w:szCs w:val="20"/>
    </w:rPr>
  </w:style>
  <w:style w:type="table" w:styleId="TableGrid">
    <w:name w:val="Table Grid"/>
    <w:basedOn w:val="TableNormal"/>
    <w:uiPriority w:val="39"/>
    <w:rsid w:val="00B2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3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4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657CEF"/>
    <w:rPr>
      <w:rFonts w:ascii="Cambria" w:eastAsia="SimSun" w:hAnsi="Cambria" w:cs="Times New Roman"/>
      <w:color w:val="243F60"/>
      <w:lang w:eastAsia="zh-CN"/>
    </w:rPr>
  </w:style>
  <w:style w:type="character" w:styleId="Hyperlink">
    <w:name w:val="Hyperlink"/>
    <w:uiPriority w:val="99"/>
    <w:unhideWhenUsed/>
    <w:rsid w:val="00657CEF"/>
    <w:rPr>
      <w:color w:val="0000FF"/>
      <w:u w:val="single"/>
    </w:rPr>
  </w:style>
  <w:style w:type="numbering" w:customStyle="1" w:styleId="1">
    <w:name w:val="无列表1"/>
    <w:next w:val="NoList"/>
    <w:uiPriority w:val="99"/>
    <w:semiHidden/>
    <w:unhideWhenUsed/>
    <w:rsid w:val="00657CEF"/>
  </w:style>
  <w:style w:type="table" w:customStyle="1" w:styleId="10">
    <w:name w:val="网格型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657CEF"/>
  </w:style>
  <w:style w:type="table" w:customStyle="1" w:styleId="20">
    <w:name w:val="网格型2"/>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7CEF"/>
    <w:rPr>
      <w:sz w:val="16"/>
      <w:szCs w:val="16"/>
    </w:rPr>
  </w:style>
  <w:style w:type="paragraph" w:styleId="CommentText">
    <w:name w:val="annotation text"/>
    <w:basedOn w:val="Normal"/>
    <w:link w:val="CommentTextChar"/>
    <w:uiPriority w:val="99"/>
    <w:semiHidden/>
    <w:unhideWhenUsed/>
    <w:rsid w:val="00657CEF"/>
    <w:pPr>
      <w:spacing w:after="200" w:line="240" w:lineRule="auto"/>
    </w:pPr>
    <w:rPr>
      <w:rFonts w:ascii="Calibri" w:eastAsia="SimSun" w:hAnsi="Calibri"/>
      <w:sz w:val="20"/>
      <w:szCs w:val="20"/>
      <w:lang w:eastAsia="zh-CN"/>
    </w:rPr>
  </w:style>
  <w:style w:type="character" w:customStyle="1" w:styleId="CommentTextChar">
    <w:name w:val="Comment Text Char"/>
    <w:basedOn w:val="DefaultParagraphFont"/>
    <w:link w:val="CommentText"/>
    <w:uiPriority w:val="99"/>
    <w:semiHidden/>
    <w:rsid w:val="00657CEF"/>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57CEF"/>
    <w:rPr>
      <w:b/>
      <w:bCs/>
    </w:rPr>
  </w:style>
  <w:style w:type="character" w:customStyle="1" w:styleId="CommentSubjectChar">
    <w:name w:val="Comment Subject Char"/>
    <w:basedOn w:val="CommentTextChar"/>
    <w:link w:val="CommentSubject"/>
    <w:uiPriority w:val="99"/>
    <w:semiHidden/>
    <w:rsid w:val="00657CEF"/>
    <w:rPr>
      <w:rFonts w:ascii="Calibri" w:eastAsia="SimSun" w:hAnsi="Calibri" w:cs="Times New Roman"/>
      <w:b/>
      <w:bCs/>
      <w:sz w:val="20"/>
      <w:szCs w:val="20"/>
      <w:lang w:eastAsia="zh-CN"/>
    </w:rPr>
  </w:style>
  <w:style w:type="table" w:customStyle="1" w:styleId="TableGrid6">
    <w:name w:val="Table Grid6"/>
    <w:basedOn w:val="TableNormal"/>
    <w:next w:val="TableGrid"/>
    <w:uiPriority w:val="39"/>
    <w:rsid w:val="00C9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9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94720"/>
  </w:style>
  <w:style w:type="table" w:customStyle="1" w:styleId="TableGrid8">
    <w:name w:val="Table Grid8"/>
    <w:basedOn w:val="TableNormal"/>
    <w:next w:val="TableGrid"/>
    <w:uiPriority w:val="39"/>
    <w:rsid w:val="0019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9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F513A1"/>
  </w:style>
  <w:style w:type="paragraph" w:customStyle="1" w:styleId="sourcetitle">
    <w:name w:val="sourcetitle"/>
    <w:basedOn w:val="Normal"/>
    <w:rsid w:val="00F513A1"/>
    <w:pPr>
      <w:spacing w:before="100" w:beforeAutospacing="1" w:after="100" w:afterAutospacing="1" w:line="240" w:lineRule="auto"/>
    </w:pPr>
  </w:style>
  <w:style w:type="character" w:customStyle="1" w:styleId="sourcetitletxt">
    <w:name w:val="sourcetitle_txt"/>
    <w:basedOn w:val="DefaultParagraphFont"/>
    <w:rsid w:val="00F513A1"/>
  </w:style>
  <w:style w:type="character" w:customStyle="1" w:styleId="journaloverlayclose">
    <w:name w:val="journal_overlay_close"/>
    <w:basedOn w:val="DefaultParagraphFont"/>
    <w:rsid w:val="00F513A1"/>
  </w:style>
  <w:style w:type="character" w:customStyle="1" w:styleId="regmark">
    <w:name w:val="regmark"/>
    <w:basedOn w:val="DefaultParagraphFont"/>
    <w:rsid w:val="00F513A1"/>
  </w:style>
  <w:style w:type="paragraph" w:customStyle="1" w:styleId="overlayjcrtext">
    <w:name w:val="overlayjcrtext"/>
    <w:basedOn w:val="Normal"/>
    <w:rsid w:val="00F513A1"/>
    <w:pPr>
      <w:spacing w:before="100" w:beforeAutospacing="1" w:after="100" w:afterAutospacing="1" w:line="240" w:lineRule="auto"/>
    </w:pPr>
  </w:style>
  <w:style w:type="paragraph" w:customStyle="1" w:styleId="frfield">
    <w:name w:val="fr_field"/>
    <w:basedOn w:val="Normal"/>
    <w:rsid w:val="00F513A1"/>
    <w:pPr>
      <w:spacing w:before="100" w:beforeAutospacing="1" w:after="100" w:afterAutospacing="1" w:line="240" w:lineRule="auto"/>
    </w:pPr>
  </w:style>
  <w:style w:type="character" w:customStyle="1" w:styleId="frlabel">
    <w:name w:val="fr_label"/>
    <w:basedOn w:val="DefaultParagraphFont"/>
    <w:rsid w:val="00F513A1"/>
  </w:style>
  <w:style w:type="paragraph" w:customStyle="1" w:styleId="closewindow">
    <w:name w:val="closewindow"/>
    <w:basedOn w:val="Normal"/>
    <w:rsid w:val="00F513A1"/>
    <w:pPr>
      <w:spacing w:before="100" w:beforeAutospacing="1" w:after="100" w:afterAutospacing="1" w:line="240" w:lineRule="auto"/>
    </w:pPr>
  </w:style>
  <w:style w:type="character" w:customStyle="1" w:styleId="databold">
    <w:name w:val="data_bold"/>
    <w:basedOn w:val="DefaultParagraphFont"/>
    <w:rsid w:val="00F513A1"/>
  </w:style>
  <w:style w:type="table" w:customStyle="1" w:styleId="TableGrid9">
    <w:name w:val="Table Grid9"/>
    <w:basedOn w:val="TableNormal"/>
    <w:next w:val="TableGrid"/>
    <w:uiPriority w:val="39"/>
    <w:rsid w:val="00F31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5263F3"/>
    <w:rPr>
      <w:i/>
      <w:iCs/>
    </w:rPr>
  </w:style>
  <w:style w:type="character" w:customStyle="1" w:styleId="cit-publ-loc">
    <w:name w:val="cit-publ-loc"/>
    <w:basedOn w:val="DefaultParagraphFont"/>
    <w:rsid w:val="005263F3"/>
  </w:style>
  <w:style w:type="character" w:customStyle="1" w:styleId="cit-publ-name">
    <w:name w:val="cit-publ-name"/>
    <w:basedOn w:val="DefaultParagraphFont"/>
    <w:rsid w:val="005263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474"/>
    <w:pPr>
      <w:spacing w:after="0" w:line="36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864C60"/>
    <w:pPr>
      <w:keepNext/>
      <w:numPr>
        <w:numId w:val="5"/>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9"/>
    <w:qFormat/>
    <w:rsid w:val="00864C60"/>
    <w:pPr>
      <w:keepNext/>
      <w:numPr>
        <w:ilvl w:val="1"/>
        <w:numId w:val="5"/>
      </w:numPr>
      <w:spacing w:before="240" w:after="60"/>
      <w:outlineLvl w:val="1"/>
    </w:pPr>
    <w:rPr>
      <w:rFonts w:ascii="Cambria" w:eastAsia="MS Mincho" w:hAnsi="Cambria"/>
      <w:b/>
      <w:bCs/>
      <w:i/>
      <w:iCs/>
      <w:sz w:val="28"/>
      <w:szCs w:val="28"/>
      <w:lang w:val="x-none" w:eastAsia="ja-JP"/>
    </w:rPr>
  </w:style>
  <w:style w:type="paragraph" w:styleId="Heading3">
    <w:name w:val="heading 3"/>
    <w:basedOn w:val="Normal"/>
    <w:next w:val="Normal"/>
    <w:link w:val="Heading3Char"/>
    <w:uiPriority w:val="99"/>
    <w:qFormat/>
    <w:rsid w:val="00864C60"/>
    <w:pPr>
      <w:keepNext/>
      <w:numPr>
        <w:ilvl w:val="2"/>
        <w:numId w:val="5"/>
      </w:numPr>
      <w:spacing w:before="240" w:after="60"/>
      <w:outlineLvl w:val="2"/>
    </w:pPr>
    <w:rPr>
      <w:rFonts w:ascii="Cambria" w:eastAsia="MS Mincho" w:hAnsi="Cambria"/>
      <w:b/>
      <w:bCs/>
      <w:sz w:val="26"/>
      <w:szCs w:val="26"/>
      <w:lang w:val="x-none" w:eastAsia="ja-JP"/>
    </w:rPr>
  </w:style>
  <w:style w:type="paragraph" w:styleId="Heading4">
    <w:name w:val="heading 4"/>
    <w:basedOn w:val="Normal"/>
    <w:next w:val="Normal"/>
    <w:link w:val="Heading4Char"/>
    <w:uiPriority w:val="99"/>
    <w:qFormat/>
    <w:rsid w:val="00864C60"/>
    <w:pPr>
      <w:keepNext/>
      <w:numPr>
        <w:ilvl w:val="3"/>
        <w:numId w:val="5"/>
      </w:numPr>
      <w:spacing w:before="240" w:after="60"/>
      <w:outlineLvl w:val="3"/>
    </w:pPr>
    <w:rPr>
      <w:rFonts w:ascii="Calibri" w:eastAsia="MS Mincho" w:hAnsi="Calibri"/>
      <w:b/>
      <w:bCs/>
      <w:sz w:val="28"/>
      <w:szCs w:val="28"/>
      <w:lang w:val="x-none" w:eastAsia="ja-JP"/>
    </w:rPr>
  </w:style>
  <w:style w:type="paragraph" w:styleId="Heading5">
    <w:name w:val="heading 5"/>
    <w:basedOn w:val="Normal"/>
    <w:next w:val="Normal"/>
    <w:link w:val="Heading5Char"/>
    <w:uiPriority w:val="9"/>
    <w:semiHidden/>
    <w:unhideWhenUsed/>
    <w:qFormat/>
    <w:rsid w:val="00657CEF"/>
    <w:pPr>
      <w:keepNext/>
      <w:keepLines/>
      <w:spacing w:before="200" w:line="276" w:lineRule="auto"/>
      <w:ind w:left="1008" w:hanging="1008"/>
      <w:outlineLvl w:val="4"/>
    </w:pPr>
    <w:rPr>
      <w:rFonts w:ascii="Cambria" w:eastAsia="SimSun" w:hAnsi="Cambria"/>
      <w:color w:val="243F60"/>
      <w:sz w:val="22"/>
      <w:szCs w:val="22"/>
      <w:lang w:eastAsia="zh-CN"/>
    </w:rPr>
  </w:style>
  <w:style w:type="paragraph" w:styleId="Heading6">
    <w:name w:val="heading 6"/>
    <w:basedOn w:val="Normal"/>
    <w:next w:val="Normal"/>
    <w:link w:val="Heading6Char"/>
    <w:uiPriority w:val="99"/>
    <w:qFormat/>
    <w:rsid w:val="00864C60"/>
    <w:pPr>
      <w:numPr>
        <w:ilvl w:val="5"/>
        <w:numId w:val="5"/>
      </w:numPr>
      <w:spacing w:before="240" w:after="60" w:line="480" w:lineRule="auto"/>
      <w:outlineLvl w:val="5"/>
    </w:pPr>
    <w:rPr>
      <w:rFonts w:ascii="Calibri" w:eastAsia="MS Mincho" w:hAnsi="Calibri"/>
      <w:b/>
      <w:bCs/>
      <w:sz w:val="20"/>
      <w:szCs w:val="20"/>
      <w:lang w:val="x-none" w:eastAsia="ja-JP"/>
    </w:rPr>
  </w:style>
  <w:style w:type="paragraph" w:styleId="Heading7">
    <w:name w:val="heading 7"/>
    <w:basedOn w:val="Normal"/>
    <w:next w:val="Normal"/>
    <w:link w:val="Heading7Char"/>
    <w:uiPriority w:val="99"/>
    <w:qFormat/>
    <w:rsid w:val="00864C60"/>
    <w:pPr>
      <w:numPr>
        <w:ilvl w:val="6"/>
        <w:numId w:val="5"/>
      </w:numPr>
      <w:spacing w:before="240" w:after="60" w:line="480" w:lineRule="auto"/>
      <w:outlineLvl w:val="6"/>
    </w:pPr>
    <w:rPr>
      <w:rFonts w:ascii="Calibri" w:eastAsia="MS Mincho" w:hAnsi="Calibri"/>
      <w:lang w:val="x-none" w:eastAsia="ja-JP"/>
    </w:rPr>
  </w:style>
  <w:style w:type="paragraph" w:styleId="Heading8">
    <w:name w:val="heading 8"/>
    <w:basedOn w:val="Normal"/>
    <w:next w:val="Normal"/>
    <w:link w:val="Heading8Char"/>
    <w:uiPriority w:val="99"/>
    <w:qFormat/>
    <w:rsid w:val="00864C60"/>
    <w:pPr>
      <w:numPr>
        <w:ilvl w:val="7"/>
        <w:numId w:val="5"/>
      </w:numPr>
      <w:spacing w:before="240" w:after="60" w:line="480" w:lineRule="auto"/>
      <w:outlineLvl w:val="7"/>
    </w:pPr>
    <w:rPr>
      <w:rFonts w:ascii="Calibri" w:eastAsia="MS Mincho" w:hAnsi="Calibri"/>
      <w:i/>
      <w:iCs/>
      <w:lang w:val="x-none" w:eastAsia="ja-JP"/>
    </w:rPr>
  </w:style>
  <w:style w:type="paragraph" w:styleId="Heading9">
    <w:name w:val="heading 9"/>
    <w:basedOn w:val="Normal"/>
    <w:next w:val="Normal"/>
    <w:link w:val="Heading9Char"/>
    <w:uiPriority w:val="99"/>
    <w:qFormat/>
    <w:rsid w:val="00864C60"/>
    <w:pPr>
      <w:numPr>
        <w:ilvl w:val="8"/>
        <w:numId w:val="5"/>
      </w:numPr>
      <w:spacing w:before="240" w:after="60" w:line="480" w:lineRule="auto"/>
      <w:outlineLvl w:val="8"/>
    </w:pPr>
    <w:rPr>
      <w:rFonts w:ascii="Cambria" w:eastAsia="MS Mincho" w:hAnsi="Cambria"/>
      <w:sz w:val="20"/>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4C60"/>
    <w:rPr>
      <w:rFonts w:ascii="Arial" w:hAnsi="Arial" w:cs="Arial"/>
      <w:b/>
      <w:bCs/>
      <w:kern w:val="32"/>
      <w:sz w:val="32"/>
      <w:szCs w:val="32"/>
    </w:rPr>
  </w:style>
  <w:style w:type="character" w:customStyle="1" w:styleId="Heading2Char">
    <w:name w:val="Heading 2 Char"/>
    <w:basedOn w:val="DefaultParagraphFont"/>
    <w:link w:val="Heading2"/>
    <w:uiPriority w:val="99"/>
    <w:rsid w:val="00864C60"/>
    <w:rPr>
      <w:rFonts w:ascii="Cambria" w:eastAsia="MS Mincho" w:hAnsi="Cambria" w:cs="Times New Roman"/>
      <w:b/>
      <w:bCs/>
      <w:i/>
      <w:iCs/>
      <w:sz w:val="28"/>
      <w:szCs w:val="28"/>
      <w:lang w:val="x-none" w:eastAsia="ja-JP"/>
    </w:rPr>
  </w:style>
  <w:style w:type="character" w:customStyle="1" w:styleId="Heading3Char">
    <w:name w:val="Heading 3 Char"/>
    <w:basedOn w:val="DefaultParagraphFont"/>
    <w:link w:val="Heading3"/>
    <w:uiPriority w:val="99"/>
    <w:rsid w:val="00864C60"/>
    <w:rPr>
      <w:rFonts w:ascii="Cambria" w:eastAsia="MS Mincho" w:hAnsi="Cambria" w:cs="Times New Roman"/>
      <w:b/>
      <w:bCs/>
      <w:sz w:val="26"/>
      <w:szCs w:val="26"/>
      <w:lang w:val="x-none" w:eastAsia="ja-JP"/>
    </w:rPr>
  </w:style>
  <w:style w:type="character" w:customStyle="1" w:styleId="Heading4Char">
    <w:name w:val="Heading 4 Char"/>
    <w:basedOn w:val="DefaultParagraphFont"/>
    <w:link w:val="Heading4"/>
    <w:uiPriority w:val="99"/>
    <w:rsid w:val="00864C60"/>
    <w:rPr>
      <w:rFonts w:ascii="Calibri" w:eastAsia="MS Mincho" w:hAnsi="Calibri" w:cs="Times New Roman"/>
      <w:b/>
      <w:bCs/>
      <w:sz w:val="28"/>
      <w:szCs w:val="28"/>
      <w:lang w:val="x-none" w:eastAsia="ja-JP"/>
    </w:rPr>
  </w:style>
  <w:style w:type="character" w:customStyle="1" w:styleId="Heading6Char">
    <w:name w:val="Heading 6 Char"/>
    <w:basedOn w:val="DefaultParagraphFont"/>
    <w:link w:val="Heading6"/>
    <w:uiPriority w:val="99"/>
    <w:rsid w:val="00864C60"/>
    <w:rPr>
      <w:rFonts w:ascii="Calibri" w:eastAsia="MS Mincho" w:hAnsi="Calibri" w:cs="Times New Roman"/>
      <w:b/>
      <w:bCs/>
      <w:sz w:val="20"/>
      <w:szCs w:val="20"/>
      <w:lang w:val="x-none" w:eastAsia="ja-JP"/>
    </w:rPr>
  </w:style>
  <w:style w:type="character" w:customStyle="1" w:styleId="Heading7Char">
    <w:name w:val="Heading 7 Char"/>
    <w:basedOn w:val="DefaultParagraphFont"/>
    <w:link w:val="Heading7"/>
    <w:uiPriority w:val="99"/>
    <w:rsid w:val="00864C60"/>
    <w:rPr>
      <w:rFonts w:ascii="Calibri" w:eastAsia="MS Mincho" w:hAnsi="Calibri" w:cs="Times New Roman"/>
      <w:sz w:val="24"/>
      <w:szCs w:val="24"/>
      <w:lang w:val="x-none" w:eastAsia="ja-JP"/>
    </w:rPr>
  </w:style>
  <w:style w:type="character" w:customStyle="1" w:styleId="Heading8Char">
    <w:name w:val="Heading 8 Char"/>
    <w:basedOn w:val="DefaultParagraphFont"/>
    <w:link w:val="Heading8"/>
    <w:uiPriority w:val="99"/>
    <w:rsid w:val="00864C60"/>
    <w:rPr>
      <w:rFonts w:ascii="Calibri" w:eastAsia="MS Mincho" w:hAnsi="Calibri" w:cs="Times New Roman"/>
      <w:i/>
      <w:iCs/>
      <w:sz w:val="24"/>
      <w:szCs w:val="24"/>
      <w:lang w:val="x-none" w:eastAsia="ja-JP"/>
    </w:rPr>
  </w:style>
  <w:style w:type="character" w:customStyle="1" w:styleId="Heading9Char">
    <w:name w:val="Heading 9 Char"/>
    <w:basedOn w:val="DefaultParagraphFont"/>
    <w:link w:val="Heading9"/>
    <w:uiPriority w:val="99"/>
    <w:rsid w:val="00864C60"/>
    <w:rPr>
      <w:rFonts w:ascii="Cambria" w:eastAsia="MS Mincho" w:hAnsi="Cambria" w:cs="Times New Roman"/>
      <w:sz w:val="20"/>
      <w:szCs w:val="20"/>
      <w:lang w:val="x-none" w:eastAsia="ja-JP"/>
    </w:rPr>
  </w:style>
  <w:style w:type="paragraph" w:customStyle="1" w:styleId="StyleFirstline05">
    <w:name w:val="Style First line:  0.5&quot;"/>
    <w:basedOn w:val="Normal"/>
    <w:rsid w:val="001C6474"/>
    <w:pPr>
      <w:spacing w:line="480" w:lineRule="auto"/>
      <w:ind w:firstLine="720"/>
    </w:pPr>
    <w:rPr>
      <w:szCs w:val="20"/>
    </w:rPr>
  </w:style>
  <w:style w:type="paragraph" w:customStyle="1" w:styleId="Default">
    <w:name w:val="Default"/>
    <w:link w:val="DefaultChar"/>
    <w:rsid w:val="00AE6621"/>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basedOn w:val="DefaultParagraphFont"/>
    <w:link w:val="Default"/>
    <w:locked/>
    <w:rsid w:val="00864C60"/>
    <w:rPr>
      <w:rFonts w:ascii="Cambria" w:hAnsi="Cambria" w:cs="Cambria"/>
      <w:color w:val="000000"/>
      <w:sz w:val="24"/>
      <w:szCs w:val="24"/>
    </w:rPr>
  </w:style>
  <w:style w:type="paragraph" w:styleId="BalloonText">
    <w:name w:val="Balloon Text"/>
    <w:basedOn w:val="Normal"/>
    <w:link w:val="BalloonTextChar"/>
    <w:uiPriority w:val="99"/>
    <w:semiHidden/>
    <w:unhideWhenUsed/>
    <w:rsid w:val="006958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839"/>
    <w:rPr>
      <w:rFonts w:ascii="Tahoma" w:eastAsia="Times New Roman" w:hAnsi="Tahoma" w:cs="Tahoma"/>
      <w:sz w:val="16"/>
      <w:szCs w:val="16"/>
    </w:rPr>
  </w:style>
  <w:style w:type="paragraph" w:styleId="FootnoteText">
    <w:name w:val="footnote text"/>
    <w:basedOn w:val="Normal"/>
    <w:link w:val="FootnoteTextChar"/>
    <w:uiPriority w:val="99"/>
    <w:unhideWhenUsed/>
    <w:rsid w:val="00A12EFB"/>
    <w:pPr>
      <w:spacing w:line="240" w:lineRule="auto"/>
    </w:pPr>
    <w:rPr>
      <w:sz w:val="20"/>
      <w:szCs w:val="20"/>
    </w:rPr>
  </w:style>
  <w:style w:type="character" w:customStyle="1" w:styleId="FootnoteTextChar">
    <w:name w:val="Footnote Text Char"/>
    <w:basedOn w:val="DefaultParagraphFont"/>
    <w:link w:val="FootnoteText"/>
    <w:uiPriority w:val="99"/>
    <w:rsid w:val="00A12EF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12EFB"/>
    <w:rPr>
      <w:vertAlign w:val="superscript"/>
    </w:rPr>
  </w:style>
  <w:style w:type="paragraph" w:styleId="ListParagraph">
    <w:name w:val="List Paragraph"/>
    <w:basedOn w:val="Normal"/>
    <w:uiPriority w:val="34"/>
    <w:qFormat/>
    <w:rsid w:val="00864C60"/>
    <w:pPr>
      <w:spacing w:after="200" w:line="276" w:lineRule="auto"/>
      <w:ind w:left="720"/>
      <w:contextualSpacing/>
    </w:pPr>
    <w:rPr>
      <w:rFonts w:ascii="Calibri" w:eastAsia="Calibri" w:hAnsi="Calibri"/>
      <w:sz w:val="22"/>
      <w:szCs w:val="22"/>
    </w:rPr>
  </w:style>
  <w:style w:type="character" w:customStyle="1" w:styleId="Heading1Char1">
    <w:name w:val="Heading 1 Char1"/>
    <w:basedOn w:val="DefaultParagraphFont"/>
    <w:uiPriority w:val="9"/>
    <w:rsid w:val="00864C60"/>
    <w:rPr>
      <w:rFonts w:asciiTheme="majorHAnsi" w:eastAsiaTheme="majorEastAsia" w:hAnsiTheme="majorHAnsi" w:cstheme="majorBidi"/>
      <w:b/>
      <w:bCs/>
      <w:color w:val="365F91" w:themeColor="accent1" w:themeShade="BF"/>
      <w:sz w:val="28"/>
      <w:szCs w:val="28"/>
    </w:rPr>
  </w:style>
  <w:style w:type="paragraph" w:customStyle="1" w:styleId="CM3">
    <w:name w:val="CM3"/>
    <w:basedOn w:val="Normal"/>
    <w:next w:val="Normal"/>
    <w:rsid w:val="00864C60"/>
    <w:pPr>
      <w:widowControl w:val="0"/>
      <w:autoSpaceDE w:val="0"/>
      <w:autoSpaceDN w:val="0"/>
      <w:adjustRightInd w:val="0"/>
      <w:spacing w:line="568" w:lineRule="atLeast"/>
    </w:pPr>
  </w:style>
  <w:style w:type="paragraph" w:styleId="NormalWeb">
    <w:name w:val="Normal (Web)"/>
    <w:basedOn w:val="Normal"/>
    <w:uiPriority w:val="99"/>
    <w:unhideWhenUsed/>
    <w:rsid w:val="00864C60"/>
    <w:pPr>
      <w:spacing w:before="100" w:beforeAutospacing="1" w:after="100" w:afterAutospacing="1" w:line="240" w:lineRule="auto"/>
    </w:pPr>
  </w:style>
  <w:style w:type="paragraph" w:styleId="Header">
    <w:name w:val="header"/>
    <w:basedOn w:val="Normal"/>
    <w:link w:val="HeaderChar"/>
    <w:uiPriority w:val="99"/>
    <w:unhideWhenUsed/>
    <w:rsid w:val="00864C60"/>
    <w:pPr>
      <w:tabs>
        <w:tab w:val="center" w:pos="4680"/>
        <w:tab w:val="right" w:pos="9360"/>
      </w:tabs>
      <w:spacing w:line="240" w:lineRule="auto"/>
    </w:pPr>
    <w:rPr>
      <w:rFonts w:ascii="Calibri" w:eastAsia="Calibri" w:hAnsi="Calibri"/>
      <w:sz w:val="22"/>
      <w:szCs w:val="22"/>
    </w:rPr>
  </w:style>
  <w:style w:type="character" w:customStyle="1" w:styleId="HeaderChar">
    <w:name w:val="Header Char"/>
    <w:basedOn w:val="DefaultParagraphFont"/>
    <w:link w:val="Header"/>
    <w:uiPriority w:val="99"/>
    <w:rsid w:val="00864C60"/>
    <w:rPr>
      <w:rFonts w:ascii="Calibri" w:eastAsia="Calibri" w:hAnsi="Calibri" w:cs="Times New Roman"/>
    </w:rPr>
  </w:style>
  <w:style w:type="paragraph" w:styleId="Footer">
    <w:name w:val="footer"/>
    <w:basedOn w:val="Normal"/>
    <w:link w:val="FooterChar"/>
    <w:uiPriority w:val="99"/>
    <w:unhideWhenUsed/>
    <w:rsid w:val="00864C60"/>
    <w:pPr>
      <w:tabs>
        <w:tab w:val="center" w:pos="4680"/>
        <w:tab w:val="right" w:pos="9360"/>
      </w:tabs>
      <w:spacing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864C60"/>
    <w:rPr>
      <w:rFonts w:ascii="Calibri" w:eastAsia="Calibri" w:hAnsi="Calibri" w:cs="Times New Roman"/>
    </w:rPr>
  </w:style>
  <w:style w:type="character" w:customStyle="1" w:styleId="pubtitle">
    <w:name w:val="pubtitle"/>
    <w:basedOn w:val="DefaultParagraphFont"/>
    <w:rsid w:val="00864C60"/>
  </w:style>
  <w:style w:type="character" w:customStyle="1" w:styleId="apple-style-span">
    <w:name w:val="apple-style-span"/>
    <w:basedOn w:val="DefaultParagraphFont"/>
    <w:rsid w:val="00864C60"/>
  </w:style>
  <w:style w:type="character" w:styleId="Strong">
    <w:name w:val="Strong"/>
    <w:basedOn w:val="DefaultParagraphFont"/>
    <w:uiPriority w:val="22"/>
    <w:qFormat/>
    <w:rsid w:val="00864C60"/>
    <w:rPr>
      <w:b/>
      <w:bCs/>
    </w:rPr>
  </w:style>
  <w:style w:type="paragraph" w:styleId="BodyText">
    <w:name w:val="Body Text"/>
    <w:basedOn w:val="Normal"/>
    <w:link w:val="BodyTextChar"/>
    <w:rsid w:val="00864C60"/>
    <w:pPr>
      <w:spacing w:line="240" w:lineRule="auto"/>
      <w:jc w:val="both"/>
    </w:pPr>
  </w:style>
  <w:style w:type="character" w:customStyle="1" w:styleId="BodyTextChar">
    <w:name w:val="Body Text Char"/>
    <w:basedOn w:val="DefaultParagraphFont"/>
    <w:link w:val="BodyText"/>
    <w:rsid w:val="00864C60"/>
    <w:rPr>
      <w:rFonts w:ascii="Times New Roman" w:eastAsia="Times New Roman" w:hAnsi="Times New Roman" w:cs="Times New Roman"/>
      <w:sz w:val="24"/>
      <w:szCs w:val="24"/>
    </w:rPr>
  </w:style>
  <w:style w:type="character" w:customStyle="1" w:styleId="apple-converted-space">
    <w:name w:val="apple-converted-space"/>
    <w:basedOn w:val="DefaultParagraphFont"/>
    <w:rsid w:val="00864C60"/>
  </w:style>
  <w:style w:type="character" w:styleId="Emphasis">
    <w:name w:val="Emphasis"/>
    <w:basedOn w:val="DefaultParagraphFont"/>
    <w:uiPriority w:val="20"/>
    <w:qFormat/>
    <w:rsid w:val="00864C60"/>
    <w:rPr>
      <w:i/>
      <w:iCs/>
    </w:rPr>
  </w:style>
  <w:style w:type="character" w:customStyle="1" w:styleId="maintitle">
    <w:name w:val="maintitle"/>
    <w:basedOn w:val="DefaultParagraphFont"/>
    <w:rsid w:val="00864C60"/>
  </w:style>
  <w:style w:type="paragraph" w:customStyle="1" w:styleId="text">
    <w:name w:val="text"/>
    <w:aliases w:val="t"/>
    <w:basedOn w:val="Normal"/>
    <w:uiPriority w:val="99"/>
    <w:rsid w:val="00864C60"/>
    <w:pPr>
      <w:overflowPunct w:val="0"/>
      <w:autoSpaceDE w:val="0"/>
      <w:autoSpaceDN w:val="0"/>
      <w:adjustRightInd w:val="0"/>
      <w:spacing w:line="480" w:lineRule="atLeast"/>
      <w:ind w:firstLine="720"/>
      <w:jc w:val="both"/>
      <w:textAlignment w:val="baseline"/>
    </w:pPr>
    <w:rPr>
      <w:rFonts w:ascii="Times" w:hAnsi="Times"/>
      <w:szCs w:val="20"/>
    </w:rPr>
  </w:style>
  <w:style w:type="table" w:styleId="TableGrid">
    <w:name w:val="Table Grid"/>
    <w:basedOn w:val="TableNormal"/>
    <w:uiPriority w:val="39"/>
    <w:rsid w:val="00B2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3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4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4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4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4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657CEF"/>
    <w:rPr>
      <w:rFonts w:ascii="Cambria" w:eastAsia="SimSun" w:hAnsi="Cambria" w:cs="Times New Roman"/>
      <w:color w:val="243F60"/>
      <w:lang w:eastAsia="zh-CN"/>
    </w:rPr>
  </w:style>
  <w:style w:type="character" w:styleId="Hyperlink">
    <w:name w:val="Hyperlink"/>
    <w:uiPriority w:val="99"/>
    <w:unhideWhenUsed/>
    <w:rsid w:val="00657CEF"/>
    <w:rPr>
      <w:color w:val="0000FF"/>
      <w:u w:val="single"/>
    </w:rPr>
  </w:style>
  <w:style w:type="numbering" w:customStyle="1" w:styleId="1">
    <w:name w:val="无列表1"/>
    <w:next w:val="NoList"/>
    <w:uiPriority w:val="99"/>
    <w:semiHidden/>
    <w:unhideWhenUsed/>
    <w:rsid w:val="00657CEF"/>
  </w:style>
  <w:style w:type="table" w:customStyle="1" w:styleId="10">
    <w:name w:val="网格型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657CEF"/>
  </w:style>
  <w:style w:type="table" w:customStyle="1" w:styleId="20">
    <w:name w:val="网格型2"/>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657CE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7CEF"/>
    <w:rPr>
      <w:sz w:val="16"/>
      <w:szCs w:val="16"/>
    </w:rPr>
  </w:style>
  <w:style w:type="paragraph" w:styleId="CommentText">
    <w:name w:val="annotation text"/>
    <w:basedOn w:val="Normal"/>
    <w:link w:val="CommentTextChar"/>
    <w:uiPriority w:val="99"/>
    <w:semiHidden/>
    <w:unhideWhenUsed/>
    <w:rsid w:val="00657CEF"/>
    <w:pPr>
      <w:spacing w:after="200" w:line="240" w:lineRule="auto"/>
    </w:pPr>
    <w:rPr>
      <w:rFonts w:ascii="Calibri" w:eastAsia="SimSun" w:hAnsi="Calibri"/>
      <w:sz w:val="20"/>
      <w:szCs w:val="20"/>
      <w:lang w:eastAsia="zh-CN"/>
    </w:rPr>
  </w:style>
  <w:style w:type="character" w:customStyle="1" w:styleId="CommentTextChar">
    <w:name w:val="Comment Text Char"/>
    <w:basedOn w:val="DefaultParagraphFont"/>
    <w:link w:val="CommentText"/>
    <w:uiPriority w:val="99"/>
    <w:semiHidden/>
    <w:rsid w:val="00657CEF"/>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57CEF"/>
    <w:rPr>
      <w:b/>
      <w:bCs/>
    </w:rPr>
  </w:style>
  <w:style w:type="character" w:customStyle="1" w:styleId="CommentSubjectChar">
    <w:name w:val="Comment Subject Char"/>
    <w:basedOn w:val="CommentTextChar"/>
    <w:link w:val="CommentSubject"/>
    <w:uiPriority w:val="99"/>
    <w:semiHidden/>
    <w:rsid w:val="00657CEF"/>
    <w:rPr>
      <w:rFonts w:ascii="Calibri" w:eastAsia="SimSun" w:hAnsi="Calibri" w:cs="Times New Roman"/>
      <w:b/>
      <w:bCs/>
      <w:sz w:val="20"/>
      <w:szCs w:val="20"/>
      <w:lang w:eastAsia="zh-CN"/>
    </w:rPr>
  </w:style>
  <w:style w:type="table" w:customStyle="1" w:styleId="TableGrid6">
    <w:name w:val="Table Grid6"/>
    <w:basedOn w:val="TableNormal"/>
    <w:next w:val="TableGrid"/>
    <w:uiPriority w:val="39"/>
    <w:rsid w:val="00C9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9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94720"/>
  </w:style>
  <w:style w:type="table" w:customStyle="1" w:styleId="TableGrid8">
    <w:name w:val="Table Grid8"/>
    <w:basedOn w:val="TableNormal"/>
    <w:next w:val="TableGrid"/>
    <w:uiPriority w:val="39"/>
    <w:rsid w:val="0019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94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F513A1"/>
  </w:style>
  <w:style w:type="paragraph" w:customStyle="1" w:styleId="sourcetitle">
    <w:name w:val="sourcetitle"/>
    <w:basedOn w:val="Normal"/>
    <w:rsid w:val="00F513A1"/>
    <w:pPr>
      <w:spacing w:before="100" w:beforeAutospacing="1" w:after="100" w:afterAutospacing="1" w:line="240" w:lineRule="auto"/>
    </w:pPr>
  </w:style>
  <w:style w:type="character" w:customStyle="1" w:styleId="sourcetitletxt">
    <w:name w:val="sourcetitle_txt"/>
    <w:basedOn w:val="DefaultParagraphFont"/>
    <w:rsid w:val="00F513A1"/>
  </w:style>
  <w:style w:type="character" w:customStyle="1" w:styleId="journaloverlayclose">
    <w:name w:val="journal_overlay_close"/>
    <w:basedOn w:val="DefaultParagraphFont"/>
    <w:rsid w:val="00F513A1"/>
  </w:style>
  <w:style w:type="character" w:customStyle="1" w:styleId="regmark">
    <w:name w:val="regmark"/>
    <w:basedOn w:val="DefaultParagraphFont"/>
    <w:rsid w:val="00F513A1"/>
  </w:style>
  <w:style w:type="paragraph" w:customStyle="1" w:styleId="overlayjcrtext">
    <w:name w:val="overlayjcrtext"/>
    <w:basedOn w:val="Normal"/>
    <w:rsid w:val="00F513A1"/>
    <w:pPr>
      <w:spacing w:before="100" w:beforeAutospacing="1" w:after="100" w:afterAutospacing="1" w:line="240" w:lineRule="auto"/>
    </w:pPr>
  </w:style>
  <w:style w:type="paragraph" w:customStyle="1" w:styleId="frfield">
    <w:name w:val="fr_field"/>
    <w:basedOn w:val="Normal"/>
    <w:rsid w:val="00F513A1"/>
    <w:pPr>
      <w:spacing w:before="100" w:beforeAutospacing="1" w:after="100" w:afterAutospacing="1" w:line="240" w:lineRule="auto"/>
    </w:pPr>
  </w:style>
  <w:style w:type="character" w:customStyle="1" w:styleId="frlabel">
    <w:name w:val="fr_label"/>
    <w:basedOn w:val="DefaultParagraphFont"/>
    <w:rsid w:val="00F513A1"/>
  </w:style>
  <w:style w:type="paragraph" w:customStyle="1" w:styleId="closewindow">
    <w:name w:val="closewindow"/>
    <w:basedOn w:val="Normal"/>
    <w:rsid w:val="00F513A1"/>
    <w:pPr>
      <w:spacing w:before="100" w:beforeAutospacing="1" w:after="100" w:afterAutospacing="1" w:line="240" w:lineRule="auto"/>
    </w:pPr>
  </w:style>
  <w:style w:type="character" w:customStyle="1" w:styleId="databold">
    <w:name w:val="data_bold"/>
    <w:basedOn w:val="DefaultParagraphFont"/>
    <w:rsid w:val="00F513A1"/>
  </w:style>
  <w:style w:type="table" w:customStyle="1" w:styleId="TableGrid9">
    <w:name w:val="Table Grid9"/>
    <w:basedOn w:val="TableNormal"/>
    <w:next w:val="TableGrid"/>
    <w:uiPriority w:val="39"/>
    <w:rsid w:val="00F31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5263F3"/>
    <w:rPr>
      <w:i/>
      <w:iCs/>
    </w:rPr>
  </w:style>
  <w:style w:type="character" w:customStyle="1" w:styleId="cit-publ-loc">
    <w:name w:val="cit-publ-loc"/>
    <w:basedOn w:val="DefaultParagraphFont"/>
    <w:rsid w:val="005263F3"/>
  </w:style>
  <w:style w:type="character" w:customStyle="1" w:styleId="cit-publ-name">
    <w:name w:val="cit-publ-name"/>
    <w:basedOn w:val="DefaultParagraphFont"/>
    <w:rsid w:val="0052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04719">
      <w:bodyDiv w:val="1"/>
      <w:marLeft w:val="0"/>
      <w:marRight w:val="0"/>
      <w:marTop w:val="0"/>
      <w:marBottom w:val="0"/>
      <w:divBdr>
        <w:top w:val="none" w:sz="0" w:space="0" w:color="auto"/>
        <w:left w:val="none" w:sz="0" w:space="0" w:color="auto"/>
        <w:bottom w:val="none" w:sz="0" w:space="0" w:color="auto"/>
        <w:right w:val="none" w:sz="0" w:space="0" w:color="auto"/>
      </w:divBdr>
      <w:divsChild>
        <w:div w:id="586302373">
          <w:marLeft w:val="0"/>
          <w:marRight w:val="0"/>
          <w:marTop w:val="0"/>
          <w:marBottom w:val="0"/>
          <w:divBdr>
            <w:top w:val="none" w:sz="0" w:space="0" w:color="auto"/>
            <w:left w:val="none" w:sz="0" w:space="0" w:color="auto"/>
            <w:bottom w:val="none" w:sz="0" w:space="0" w:color="auto"/>
            <w:right w:val="none" w:sz="0" w:space="0" w:color="auto"/>
          </w:divBdr>
          <w:divsChild>
            <w:div w:id="699627075">
              <w:marLeft w:val="0"/>
              <w:marRight w:val="0"/>
              <w:marTop w:val="0"/>
              <w:marBottom w:val="0"/>
              <w:divBdr>
                <w:top w:val="none" w:sz="0" w:space="0" w:color="auto"/>
                <w:left w:val="none" w:sz="0" w:space="0" w:color="auto"/>
                <w:bottom w:val="none" w:sz="0" w:space="0" w:color="auto"/>
                <w:right w:val="none" w:sz="0" w:space="0" w:color="auto"/>
              </w:divBdr>
              <w:divsChild>
                <w:div w:id="2102724543">
                  <w:marLeft w:val="0"/>
                  <w:marRight w:val="0"/>
                  <w:marTop w:val="0"/>
                  <w:marBottom w:val="0"/>
                  <w:divBdr>
                    <w:top w:val="none" w:sz="0" w:space="0" w:color="auto"/>
                    <w:left w:val="none" w:sz="0" w:space="0" w:color="auto"/>
                    <w:bottom w:val="none" w:sz="0" w:space="0" w:color="auto"/>
                    <w:right w:val="none" w:sz="0" w:space="0" w:color="auto"/>
                  </w:divBdr>
                  <w:divsChild>
                    <w:div w:id="2029675270">
                      <w:marLeft w:val="0"/>
                      <w:marRight w:val="0"/>
                      <w:marTop w:val="0"/>
                      <w:marBottom w:val="0"/>
                      <w:divBdr>
                        <w:top w:val="none" w:sz="0" w:space="0" w:color="auto"/>
                        <w:left w:val="none" w:sz="0" w:space="0" w:color="auto"/>
                        <w:bottom w:val="none" w:sz="0" w:space="0" w:color="auto"/>
                        <w:right w:val="none" w:sz="0" w:space="0" w:color="auto"/>
                      </w:divBdr>
                      <w:divsChild>
                        <w:div w:id="1508641739">
                          <w:marLeft w:val="0"/>
                          <w:marRight w:val="0"/>
                          <w:marTop w:val="0"/>
                          <w:marBottom w:val="0"/>
                          <w:divBdr>
                            <w:top w:val="none" w:sz="0" w:space="0" w:color="auto"/>
                            <w:left w:val="none" w:sz="0" w:space="0" w:color="auto"/>
                            <w:bottom w:val="none" w:sz="0" w:space="0" w:color="auto"/>
                            <w:right w:val="none" w:sz="0" w:space="0" w:color="auto"/>
                          </w:divBdr>
                          <w:divsChild>
                            <w:div w:id="284242890">
                              <w:marLeft w:val="0"/>
                              <w:marRight w:val="0"/>
                              <w:marTop w:val="0"/>
                              <w:marBottom w:val="0"/>
                              <w:divBdr>
                                <w:top w:val="none" w:sz="0" w:space="0" w:color="auto"/>
                                <w:left w:val="none" w:sz="0" w:space="0" w:color="auto"/>
                                <w:bottom w:val="none" w:sz="0" w:space="0" w:color="auto"/>
                                <w:right w:val="none" w:sz="0" w:space="0" w:color="auto"/>
                              </w:divBdr>
                              <w:divsChild>
                                <w:div w:id="1127089776">
                                  <w:marLeft w:val="0"/>
                                  <w:marRight w:val="0"/>
                                  <w:marTop w:val="0"/>
                                  <w:marBottom w:val="0"/>
                                  <w:divBdr>
                                    <w:top w:val="none" w:sz="0" w:space="0" w:color="auto"/>
                                    <w:left w:val="none" w:sz="0" w:space="0" w:color="auto"/>
                                    <w:bottom w:val="none" w:sz="0" w:space="0" w:color="auto"/>
                                    <w:right w:val="none" w:sz="0" w:space="0" w:color="auto"/>
                                  </w:divBdr>
                                  <w:divsChild>
                                    <w:div w:id="1403867307">
                                      <w:marLeft w:val="0"/>
                                      <w:marRight w:val="0"/>
                                      <w:marTop w:val="0"/>
                                      <w:marBottom w:val="0"/>
                                      <w:divBdr>
                                        <w:top w:val="none" w:sz="0" w:space="0" w:color="auto"/>
                                        <w:left w:val="none" w:sz="0" w:space="0" w:color="auto"/>
                                        <w:bottom w:val="none" w:sz="0" w:space="0" w:color="auto"/>
                                        <w:right w:val="none" w:sz="0" w:space="0" w:color="auto"/>
                                      </w:divBdr>
                                      <w:divsChild>
                                        <w:div w:id="964655108">
                                          <w:marLeft w:val="0"/>
                                          <w:marRight w:val="0"/>
                                          <w:marTop w:val="0"/>
                                          <w:marBottom w:val="0"/>
                                          <w:divBdr>
                                            <w:top w:val="none" w:sz="0" w:space="0" w:color="auto"/>
                                            <w:left w:val="none" w:sz="0" w:space="0" w:color="auto"/>
                                            <w:bottom w:val="none" w:sz="0" w:space="0" w:color="auto"/>
                                            <w:right w:val="none" w:sz="0" w:space="0" w:color="auto"/>
                                          </w:divBdr>
                                          <w:divsChild>
                                            <w:div w:id="577859466">
                                              <w:marLeft w:val="0"/>
                                              <w:marRight w:val="0"/>
                                              <w:marTop w:val="0"/>
                                              <w:marBottom w:val="0"/>
                                              <w:divBdr>
                                                <w:top w:val="none" w:sz="0" w:space="0" w:color="auto"/>
                                                <w:left w:val="none" w:sz="0" w:space="0" w:color="auto"/>
                                                <w:bottom w:val="none" w:sz="0" w:space="0" w:color="auto"/>
                                                <w:right w:val="none" w:sz="0" w:space="0" w:color="auto"/>
                                              </w:divBdr>
                                              <w:divsChild>
                                                <w:div w:id="534078572">
                                                  <w:marLeft w:val="0"/>
                                                  <w:marRight w:val="0"/>
                                                  <w:marTop w:val="0"/>
                                                  <w:marBottom w:val="0"/>
                                                  <w:divBdr>
                                                    <w:top w:val="none" w:sz="0" w:space="0" w:color="auto"/>
                                                    <w:left w:val="none" w:sz="0" w:space="0" w:color="auto"/>
                                                    <w:bottom w:val="none" w:sz="0" w:space="0" w:color="auto"/>
                                                    <w:right w:val="none" w:sz="0" w:space="0" w:color="auto"/>
                                                  </w:divBdr>
                                                  <w:divsChild>
                                                    <w:div w:id="1248033448">
                                                      <w:marLeft w:val="0"/>
                                                      <w:marRight w:val="0"/>
                                                      <w:marTop w:val="0"/>
                                                      <w:marBottom w:val="0"/>
                                                      <w:divBdr>
                                                        <w:top w:val="none" w:sz="0" w:space="0" w:color="auto"/>
                                                        <w:left w:val="none" w:sz="0" w:space="0" w:color="auto"/>
                                                        <w:bottom w:val="none" w:sz="0" w:space="0" w:color="auto"/>
                                                        <w:right w:val="none" w:sz="0" w:space="0" w:color="auto"/>
                                                      </w:divBdr>
                                                      <w:divsChild>
                                                        <w:div w:id="1232813069">
                                                          <w:marLeft w:val="0"/>
                                                          <w:marRight w:val="0"/>
                                                          <w:marTop w:val="0"/>
                                                          <w:marBottom w:val="0"/>
                                                          <w:divBdr>
                                                            <w:top w:val="none" w:sz="0" w:space="0" w:color="auto"/>
                                                            <w:left w:val="none" w:sz="0" w:space="0" w:color="auto"/>
                                                            <w:bottom w:val="none" w:sz="0" w:space="0" w:color="auto"/>
                                                            <w:right w:val="none" w:sz="0" w:space="0" w:color="auto"/>
                                                          </w:divBdr>
                                                          <w:divsChild>
                                                            <w:div w:id="1061173544">
                                                              <w:marLeft w:val="0"/>
                                                              <w:marRight w:val="0"/>
                                                              <w:marTop w:val="0"/>
                                                              <w:marBottom w:val="0"/>
                                                              <w:divBdr>
                                                                <w:top w:val="none" w:sz="0" w:space="0" w:color="auto"/>
                                                                <w:left w:val="none" w:sz="0" w:space="0" w:color="auto"/>
                                                                <w:bottom w:val="none" w:sz="0" w:space="0" w:color="auto"/>
                                                                <w:right w:val="none" w:sz="0" w:space="0" w:color="auto"/>
                                                              </w:divBdr>
                                                              <w:divsChild>
                                                                <w:div w:id="927887570">
                                                                  <w:marLeft w:val="0"/>
                                                                  <w:marRight w:val="0"/>
                                                                  <w:marTop w:val="0"/>
                                                                  <w:marBottom w:val="0"/>
                                                                  <w:divBdr>
                                                                    <w:top w:val="none" w:sz="0" w:space="0" w:color="auto"/>
                                                                    <w:left w:val="none" w:sz="0" w:space="0" w:color="auto"/>
                                                                    <w:bottom w:val="none" w:sz="0" w:space="0" w:color="auto"/>
                                                                    <w:right w:val="none" w:sz="0" w:space="0" w:color="auto"/>
                                                                  </w:divBdr>
                                                                  <w:divsChild>
                                                                    <w:div w:id="1761364303">
                                                                      <w:marLeft w:val="0"/>
                                                                      <w:marRight w:val="0"/>
                                                                      <w:marTop w:val="0"/>
                                                                      <w:marBottom w:val="0"/>
                                                                      <w:divBdr>
                                                                        <w:top w:val="none" w:sz="0" w:space="0" w:color="auto"/>
                                                                        <w:left w:val="none" w:sz="0" w:space="0" w:color="auto"/>
                                                                        <w:bottom w:val="none" w:sz="0" w:space="0" w:color="auto"/>
                                                                        <w:right w:val="none" w:sz="0" w:space="0" w:color="auto"/>
                                                                      </w:divBdr>
                                                                      <w:divsChild>
                                                                        <w:div w:id="341199113">
                                                                          <w:marLeft w:val="0"/>
                                                                          <w:marRight w:val="0"/>
                                                                          <w:marTop w:val="0"/>
                                                                          <w:marBottom w:val="0"/>
                                                                          <w:divBdr>
                                                                            <w:top w:val="none" w:sz="0" w:space="0" w:color="auto"/>
                                                                            <w:left w:val="none" w:sz="0" w:space="0" w:color="auto"/>
                                                                            <w:bottom w:val="none" w:sz="0" w:space="0" w:color="auto"/>
                                                                            <w:right w:val="none" w:sz="0" w:space="0" w:color="auto"/>
                                                                          </w:divBdr>
                                                                        </w:div>
                                                                      </w:divsChild>
                                                                    </w:div>
                                                                    <w:div w:id="1936664713">
                                                                      <w:marLeft w:val="0"/>
                                                                      <w:marRight w:val="0"/>
                                                                      <w:marTop w:val="0"/>
                                                                      <w:marBottom w:val="0"/>
                                                                      <w:divBdr>
                                                                        <w:top w:val="none" w:sz="0" w:space="0" w:color="auto"/>
                                                                        <w:left w:val="none" w:sz="0" w:space="0" w:color="auto"/>
                                                                        <w:bottom w:val="none" w:sz="0" w:space="0" w:color="auto"/>
                                                                        <w:right w:val="none" w:sz="0" w:space="0" w:color="auto"/>
                                                                      </w:divBdr>
                                                                    </w:div>
                                                                    <w:div w:id="1143693574">
                                                                      <w:marLeft w:val="0"/>
                                                                      <w:marRight w:val="0"/>
                                                                      <w:marTop w:val="0"/>
                                                                      <w:marBottom w:val="0"/>
                                                                      <w:divBdr>
                                                                        <w:top w:val="none" w:sz="0" w:space="0" w:color="auto"/>
                                                                        <w:left w:val="none" w:sz="0" w:space="0" w:color="auto"/>
                                                                        <w:bottom w:val="none" w:sz="0" w:space="0" w:color="auto"/>
                                                                        <w:right w:val="none" w:sz="0" w:space="0" w:color="auto"/>
                                                                      </w:divBdr>
                                                                      <w:divsChild>
                                                                        <w:div w:id="20773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060704">
      <w:bodyDiv w:val="1"/>
      <w:marLeft w:val="0"/>
      <w:marRight w:val="0"/>
      <w:marTop w:val="0"/>
      <w:marBottom w:val="0"/>
      <w:divBdr>
        <w:top w:val="none" w:sz="0" w:space="0" w:color="auto"/>
        <w:left w:val="none" w:sz="0" w:space="0" w:color="auto"/>
        <w:bottom w:val="none" w:sz="0" w:space="0" w:color="auto"/>
        <w:right w:val="none" w:sz="0" w:space="0" w:color="auto"/>
      </w:divBdr>
      <w:divsChild>
        <w:div w:id="302658738">
          <w:marLeft w:val="0"/>
          <w:marRight w:val="0"/>
          <w:marTop w:val="0"/>
          <w:marBottom w:val="0"/>
          <w:divBdr>
            <w:top w:val="none" w:sz="0" w:space="0" w:color="auto"/>
            <w:left w:val="none" w:sz="0" w:space="0" w:color="auto"/>
            <w:bottom w:val="none" w:sz="0" w:space="0" w:color="auto"/>
            <w:right w:val="none" w:sz="0" w:space="0" w:color="auto"/>
          </w:divBdr>
          <w:divsChild>
            <w:div w:id="1704478932">
              <w:marLeft w:val="0"/>
              <w:marRight w:val="0"/>
              <w:marTop w:val="0"/>
              <w:marBottom w:val="0"/>
              <w:divBdr>
                <w:top w:val="none" w:sz="0" w:space="0" w:color="auto"/>
                <w:left w:val="none" w:sz="0" w:space="0" w:color="auto"/>
                <w:bottom w:val="none" w:sz="0" w:space="0" w:color="auto"/>
                <w:right w:val="none" w:sz="0" w:space="0" w:color="auto"/>
              </w:divBdr>
              <w:divsChild>
                <w:div w:id="233245826">
                  <w:marLeft w:val="0"/>
                  <w:marRight w:val="0"/>
                  <w:marTop w:val="0"/>
                  <w:marBottom w:val="0"/>
                  <w:divBdr>
                    <w:top w:val="none" w:sz="0" w:space="0" w:color="auto"/>
                    <w:left w:val="none" w:sz="0" w:space="0" w:color="auto"/>
                    <w:bottom w:val="none" w:sz="0" w:space="0" w:color="auto"/>
                    <w:right w:val="none" w:sz="0" w:space="0" w:color="auto"/>
                  </w:divBdr>
                  <w:divsChild>
                    <w:div w:id="2143887406">
                      <w:marLeft w:val="0"/>
                      <w:marRight w:val="0"/>
                      <w:marTop w:val="0"/>
                      <w:marBottom w:val="0"/>
                      <w:divBdr>
                        <w:top w:val="none" w:sz="0" w:space="0" w:color="auto"/>
                        <w:left w:val="none" w:sz="0" w:space="0" w:color="auto"/>
                        <w:bottom w:val="none" w:sz="0" w:space="0" w:color="auto"/>
                        <w:right w:val="none" w:sz="0" w:space="0" w:color="auto"/>
                      </w:divBdr>
                      <w:divsChild>
                        <w:div w:id="224143082">
                          <w:marLeft w:val="0"/>
                          <w:marRight w:val="0"/>
                          <w:marTop w:val="0"/>
                          <w:marBottom w:val="0"/>
                          <w:divBdr>
                            <w:top w:val="none" w:sz="0" w:space="0" w:color="auto"/>
                            <w:left w:val="none" w:sz="0" w:space="0" w:color="auto"/>
                            <w:bottom w:val="none" w:sz="0" w:space="0" w:color="auto"/>
                            <w:right w:val="none" w:sz="0" w:space="0" w:color="auto"/>
                          </w:divBdr>
                          <w:divsChild>
                            <w:div w:id="503668920">
                              <w:marLeft w:val="0"/>
                              <w:marRight w:val="0"/>
                              <w:marTop w:val="0"/>
                              <w:marBottom w:val="0"/>
                              <w:divBdr>
                                <w:top w:val="none" w:sz="0" w:space="0" w:color="auto"/>
                                <w:left w:val="none" w:sz="0" w:space="0" w:color="auto"/>
                                <w:bottom w:val="none" w:sz="0" w:space="0" w:color="auto"/>
                                <w:right w:val="none" w:sz="0" w:space="0" w:color="auto"/>
                              </w:divBdr>
                              <w:divsChild>
                                <w:div w:id="970742497">
                                  <w:marLeft w:val="0"/>
                                  <w:marRight w:val="0"/>
                                  <w:marTop w:val="0"/>
                                  <w:marBottom w:val="0"/>
                                  <w:divBdr>
                                    <w:top w:val="none" w:sz="0" w:space="0" w:color="auto"/>
                                    <w:left w:val="none" w:sz="0" w:space="0" w:color="auto"/>
                                    <w:bottom w:val="none" w:sz="0" w:space="0" w:color="auto"/>
                                    <w:right w:val="none" w:sz="0" w:space="0" w:color="auto"/>
                                  </w:divBdr>
                                </w:div>
                                <w:div w:id="2048984669">
                                  <w:marLeft w:val="0"/>
                                  <w:marRight w:val="0"/>
                                  <w:marTop w:val="0"/>
                                  <w:marBottom w:val="0"/>
                                  <w:divBdr>
                                    <w:top w:val="none" w:sz="0" w:space="0" w:color="auto"/>
                                    <w:left w:val="none" w:sz="0" w:space="0" w:color="auto"/>
                                    <w:bottom w:val="none" w:sz="0" w:space="0" w:color="auto"/>
                                    <w:right w:val="none" w:sz="0" w:space="0" w:color="auto"/>
                                  </w:divBdr>
                                </w:div>
                                <w:div w:id="605962043">
                                  <w:marLeft w:val="0"/>
                                  <w:marRight w:val="0"/>
                                  <w:marTop w:val="0"/>
                                  <w:marBottom w:val="0"/>
                                  <w:divBdr>
                                    <w:top w:val="none" w:sz="0" w:space="0" w:color="auto"/>
                                    <w:left w:val="none" w:sz="0" w:space="0" w:color="auto"/>
                                    <w:bottom w:val="none" w:sz="0" w:space="0" w:color="auto"/>
                                    <w:right w:val="none" w:sz="0" w:space="0" w:color="auto"/>
                                  </w:divBdr>
                                </w:div>
                                <w:div w:id="1121729993">
                                  <w:marLeft w:val="0"/>
                                  <w:marRight w:val="0"/>
                                  <w:marTop w:val="0"/>
                                  <w:marBottom w:val="0"/>
                                  <w:divBdr>
                                    <w:top w:val="none" w:sz="0" w:space="0" w:color="auto"/>
                                    <w:left w:val="none" w:sz="0" w:space="0" w:color="auto"/>
                                    <w:bottom w:val="none" w:sz="0" w:space="0" w:color="auto"/>
                                    <w:right w:val="none" w:sz="0" w:space="0" w:color="auto"/>
                                  </w:divBdr>
                                </w:div>
                                <w:div w:id="1476994002">
                                  <w:marLeft w:val="0"/>
                                  <w:marRight w:val="0"/>
                                  <w:marTop w:val="0"/>
                                  <w:marBottom w:val="0"/>
                                  <w:divBdr>
                                    <w:top w:val="none" w:sz="0" w:space="0" w:color="auto"/>
                                    <w:left w:val="none" w:sz="0" w:space="0" w:color="auto"/>
                                    <w:bottom w:val="none" w:sz="0" w:space="0" w:color="auto"/>
                                    <w:right w:val="none" w:sz="0" w:space="0" w:color="auto"/>
                                  </w:divBdr>
                                </w:div>
                                <w:div w:id="959335057">
                                  <w:marLeft w:val="0"/>
                                  <w:marRight w:val="0"/>
                                  <w:marTop w:val="0"/>
                                  <w:marBottom w:val="0"/>
                                  <w:divBdr>
                                    <w:top w:val="none" w:sz="0" w:space="0" w:color="auto"/>
                                    <w:left w:val="none" w:sz="0" w:space="0" w:color="auto"/>
                                    <w:bottom w:val="none" w:sz="0" w:space="0" w:color="auto"/>
                                    <w:right w:val="none" w:sz="0" w:space="0" w:color="auto"/>
                                  </w:divBdr>
                                </w:div>
                                <w:div w:id="10503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972467">
      <w:bodyDiv w:val="1"/>
      <w:marLeft w:val="0"/>
      <w:marRight w:val="0"/>
      <w:marTop w:val="0"/>
      <w:marBottom w:val="0"/>
      <w:divBdr>
        <w:top w:val="none" w:sz="0" w:space="0" w:color="auto"/>
        <w:left w:val="none" w:sz="0" w:space="0" w:color="auto"/>
        <w:bottom w:val="none" w:sz="0" w:space="0" w:color="auto"/>
        <w:right w:val="none" w:sz="0" w:space="0" w:color="auto"/>
      </w:divBdr>
    </w:div>
    <w:div w:id="1042170002">
      <w:bodyDiv w:val="1"/>
      <w:marLeft w:val="0"/>
      <w:marRight w:val="0"/>
      <w:marTop w:val="0"/>
      <w:marBottom w:val="0"/>
      <w:divBdr>
        <w:top w:val="none" w:sz="0" w:space="0" w:color="auto"/>
        <w:left w:val="none" w:sz="0" w:space="0" w:color="auto"/>
        <w:bottom w:val="none" w:sz="0" w:space="0" w:color="auto"/>
        <w:right w:val="none" w:sz="0" w:space="0" w:color="auto"/>
      </w:divBdr>
      <w:divsChild>
        <w:div w:id="547297483">
          <w:marLeft w:val="0"/>
          <w:marRight w:val="0"/>
          <w:marTop w:val="0"/>
          <w:marBottom w:val="0"/>
          <w:divBdr>
            <w:top w:val="none" w:sz="0" w:space="0" w:color="auto"/>
            <w:left w:val="none" w:sz="0" w:space="0" w:color="auto"/>
            <w:bottom w:val="none" w:sz="0" w:space="0" w:color="auto"/>
            <w:right w:val="none" w:sz="0" w:space="0" w:color="auto"/>
          </w:divBdr>
          <w:divsChild>
            <w:div w:id="382213860">
              <w:marLeft w:val="0"/>
              <w:marRight w:val="0"/>
              <w:marTop w:val="0"/>
              <w:marBottom w:val="0"/>
              <w:divBdr>
                <w:top w:val="none" w:sz="0" w:space="0" w:color="auto"/>
                <w:left w:val="none" w:sz="0" w:space="0" w:color="auto"/>
                <w:bottom w:val="none" w:sz="0" w:space="0" w:color="auto"/>
                <w:right w:val="none" w:sz="0" w:space="0" w:color="auto"/>
              </w:divBdr>
              <w:divsChild>
                <w:div w:id="1763380272">
                  <w:marLeft w:val="0"/>
                  <w:marRight w:val="0"/>
                  <w:marTop w:val="0"/>
                  <w:marBottom w:val="0"/>
                  <w:divBdr>
                    <w:top w:val="none" w:sz="0" w:space="0" w:color="auto"/>
                    <w:left w:val="none" w:sz="0" w:space="0" w:color="auto"/>
                    <w:bottom w:val="none" w:sz="0" w:space="0" w:color="auto"/>
                    <w:right w:val="none" w:sz="0" w:space="0" w:color="auto"/>
                  </w:divBdr>
                  <w:divsChild>
                    <w:div w:id="1541674552">
                      <w:marLeft w:val="0"/>
                      <w:marRight w:val="0"/>
                      <w:marTop w:val="0"/>
                      <w:marBottom w:val="0"/>
                      <w:divBdr>
                        <w:top w:val="none" w:sz="0" w:space="0" w:color="auto"/>
                        <w:left w:val="none" w:sz="0" w:space="0" w:color="auto"/>
                        <w:bottom w:val="none" w:sz="0" w:space="0" w:color="auto"/>
                        <w:right w:val="none" w:sz="0" w:space="0" w:color="auto"/>
                      </w:divBdr>
                      <w:divsChild>
                        <w:div w:id="351803743">
                          <w:marLeft w:val="0"/>
                          <w:marRight w:val="0"/>
                          <w:marTop w:val="0"/>
                          <w:marBottom w:val="0"/>
                          <w:divBdr>
                            <w:top w:val="none" w:sz="0" w:space="0" w:color="auto"/>
                            <w:left w:val="none" w:sz="0" w:space="0" w:color="auto"/>
                            <w:bottom w:val="none" w:sz="0" w:space="0" w:color="auto"/>
                            <w:right w:val="none" w:sz="0" w:space="0" w:color="auto"/>
                          </w:divBdr>
                          <w:divsChild>
                            <w:div w:id="62139616">
                              <w:marLeft w:val="0"/>
                              <w:marRight w:val="0"/>
                              <w:marTop w:val="0"/>
                              <w:marBottom w:val="0"/>
                              <w:divBdr>
                                <w:top w:val="none" w:sz="0" w:space="0" w:color="auto"/>
                                <w:left w:val="none" w:sz="0" w:space="0" w:color="auto"/>
                                <w:bottom w:val="none" w:sz="0" w:space="0" w:color="auto"/>
                                <w:right w:val="none" w:sz="0" w:space="0" w:color="auto"/>
                              </w:divBdr>
                              <w:divsChild>
                                <w:div w:id="415909076">
                                  <w:marLeft w:val="0"/>
                                  <w:marRight w:val="0"/>
                                  <w:marTop w:val="0"/>
                                  <w:marBottom w:val="0"/>
                                  <w:divBdr>
                                    <w:top w:val="none" w:sz="0" w:space="0" w:color="auto"/>
                                    <w:left w:val="none" w:sz="0" w:space="0" w:color="auto"/>
                                    <w:bottom w:val="none" w:sz="0" w:space="0" w:color="auto"/>
                                    <w:right w:val="none" w:sz="0" w:space="0" w:color="auto"/>
                                  </w:divBdr>
                                  <w:divsChild>
                                    <w:div w:id="520163413">
                                      <w:marLeft w:val="0"/>
                                      <w:marRight w:val="0"/>
                                      <w:marTop w:val="0"/>
                                      <w:marBottom w:val="0"/>
                                      <w:divBdr>
                                        <w:top w:val="none" w:sz="0" w:space="0" w:color="auto"/>
                                        <w:left w:val="none" w:sz="0" w:space="0" w:color="auto"/>
                                        <w:bottom w:val="none" w:sz="0" w:space="0" w:color="auto"/>
                                        <w:right w:val="none" w:sz="0" w:space="0" w:color="auto"/>
                                      </w:divBdr>
                                      <w:divsChild>
                                        <w:div w:id="2142962679">
                                          <w:marLeft w:val="0"/>
                                          <w:marRight w:val="0"/>
                                          <w:marTop w:val="0"/>
                                          <w:marBottom w:val="0"/>
                                          <w:divBdr>
                                            <w:top w:val="none" w:sz="0" w:space="0" w:color="auto"/>
                                            <w:left w:val="none" w:sz="0" w:space="0" w:color="auto"/>
                                            <w:bottom w:val="none" w:sz="0" w:space="0" w:color="auto"/>
                                            <w:right w:val="none" w:sz="0" w:space="0" w:color="auto"/>
                                          </w:divBdr>
                                          <w:divsChild>
                                            <w:div w:id="1562060432">
                                              <w:marLeft w:val="0"/>
                                              <w:marRight w:val="0"/>
                                              <w:marTop w:val="0"/>
                                              <w:marBottom w:val="0"/>
                                              <w:divBdr>
                                                <w:top w:val="none" w:sz="0" w:space="0" w:color="auto"/>
                                                <w:left w:val="none" w:sz="0" w:space="0" w:color="auto"/>
                                                <w:bottom w:val="none" w:sz="0" w:space="0" w:color="auto"/>
                                                <w:right w:val="none" w:sz="0" w:space="0" w:color="auto"/>
                                              </w:divBdr>
                                              <w:divsChild>
                                                <w:div w:id="983196898">
                                                  <w:marLeft w:val="0"/>
                                                  <w:marRight w:val="0"/>
                                                  <w:marTop w:val="0"/>
                                                  <w:marBottom w:val="0"/>
                                                  <w:divBdr>
                                                    <w:top w:val="none" w:sz="0" w:space="0" w:color="auto"/>
                                                    <w:left w:val="none" w:sz="0" w:space="0" w:color="auto"/>
                                                    <w:bottom w:val="none" w:sz="0" w:space="0" w:color="auto"/>
                                                    <w:right w:val="none" w:sz="0" w:space="0" w:color="auto"/>
                                                  </w:divBdr>
                                                  <w:divsChild>
                                                    <w:div w:id="865094743">
                                                      <w:marLeft w:val="0"/>
                                                      <w:marRight w:val="0"/>
                                                      <w:marTop w:val="0"/>
                                                      <w:marBottom w:val="0"/>
                                                      <w:divBdr>
                                                        <w:top w:val="none" w:sz="0" w:space="0" w:color="auto"/>
                                                        <w:left w:val="none" w:sz="0" w:space="0" w:color="auto"/>
                                                        <w:bottom w:val="none" w:sz="0" w:space="0" w:color="auto"/>
                                                        <w:right w:val="none" w:sz="0" w:space="0" w:color="auto"/>
                                                      </w:divBdr>
                                                      <w:divsChild>
                                                        <w:div w:id="749692670">
                                                          <w:marLeft w:val="0"/>
                                                          <w:marRight w:val="0"/>
                                                          <w:marTop w:val="0"/>
                                                          <w:marBottom w:val="0"/>
                                                          <w:divBdr>
                                                            <w:top w:val="none" w:sz="0" w:space="0" w:color="auto"/>
                                                            <w:left w:val="none" w:sz="0" w:space="0" w:color="auto"/>
                                                            <w:bottom w:val="none" w:sz="0" w:space="0" w:color="auto"/>
                                                            <w:right w:val="none" w:sz="0" w:space="0" w:color="auto"/>
                                                          </w:divBdr>
                                                          <w:divsChild>
                                                            <w:div w:id="440607224">
                                                              <w:marLeft w:val="0"/>
                                                              <w:marRight w:val="0"/>
                                                              <w:marTop w:val="0"/>
                                                              <w:marBottom w:val="0"/>
                                                              <w:divBdr>
                                                                <w:top w:val="none" w:sz="0" w:space="0" w:color="auto"/>
                                                                <w:left w:val="none" w:sz="0" w:space="0" w:color="auto"/>
                                                                <w:bottom w:val="none" w:sz="0" w:space="0" w:color="auto"/>
                                                                <w:right w:val="none" w:sz="0" w:space="0" w:color="auto"/>
                                                              </w:divBdr>
                                                              <w:divsChild>
                                                                <w:div w:id="778796061">
                                                                  <w:marLeft w:val="0"/>
                                                                  <w:marRight w:val="0"/>
                                                                  <w:marTop w:val="0"/>
                                                                  <w:marBottom w:val="0"/>
                                                                  <w:divBdr>
                                                                    <w:top w:val="none" w:sz="0" w:space="0" w:color="auto"/>
                                                                    <w:left w:val="none" w:sz="0" w:space="0" w:color="auto"/>
                                                                    <w:bottom w:val="none" w:sz="0" w:space="0" w:color="auto"/>
                                                                    <w:right w:val="none" w:sz="0" w:space="0" w:color="auto"/>
                                                                  </w:divBdr>
                                                                  <w:divsChild>
                                                                    <w:div w:id="842819144">
                                                                      <w:marLeft w:val="0"/>
                                                                      <w:marRight w:val="0"/>
                                                                      <w:marTop w:val="0"/>
                                                                      <w:marBottom w:val="0"/>
                                                                      <w:divBdr>
                                                                        <w:top w:val="none" w:sz="0" w:space="0" w:color="auto"/>
                                                                        <w:left w:val="none" w:sz="0" w:space="0" w:color="auto"/>
                                                                        <w:bottom w:val="none" w:sz="0" w:space="0" w:color="auto"/>
                                                                        <w:right w:val="none" w:sz="0" w:space="0" w:color="auto"/>
                                                                      </w:divBdr>
                                                                      <w:divsChild>
                                                                        <w:div w:id="1101678758">
                                                                          <w:marLeft w:val="0"/>
                                                                          <w:marRight w:val="0"/>
                                                                          <w:marTop w:val="0"/>
                                                                          <w:marBottom w:val="0"/>
                                                                          <w:divBdr>
                                                                            <w:top w:val="none" w:sz="0" w:space="0" w:color="auto"/>
                                                                            <w:left w:val="none" w:sz="0" w:space="0" w:color="auto"/>
                                                                            <w:bottom w:val="none" w:sz="0" w:space="0" w:color="auto"/>
                                                                            <w:right w:val="none" w:sz="0" w:space="0" w:color="auto"/>
                                                                          </w:divBdr>
                                                                        </w:div>
                                                                      </w:divsChild>
                                                                    </w:div>
                                                                    <w:div w:id="237444415">
                                                                      <w:marLeft w:val="0"/>
                                                                      <w:marRight w:val="0"/>
                                                                      <w:marTop w:val="0"/>
                                                                      <w:marBottom w:val="0"/>
                                                                      <w:divBdr>
                                                                        <w:top w:val="none" w:sz="0" w:space="0" w:color="auto"/>
                                                                        <w:left w:val="none" w:sz="0" w:space="0" w:color="auto"/>
                                                                        <w:bottom w:val="none" w:sz="0" w:space="0" w:color="auto"/>
                                                                        <w:right w:val="none" w:sz="0" w:space="0" w:color="auto"/>
                                                                      </w:divBdr>
                                                                    </w:div>
                                                                    <w:div w:id="730467076">
                                                                      <w:marLeft w:val="0"/>
                                                                      <w:marRight w:val="0"/>
                                                                      <w:marTop w:val="0"/>
                                                                      <w:marBottom w:val="0"/>
                                                                      <w:divBdr>
                                                                        <w:top w:val="none" w:sz="0" w:space="0" w:color="auto"/>
                                                                        <w:left w:val="none" w:sz="0" w:space="0" w:color="auto"/>
                                                                        <w:bottom w:val="none" w:sz="0" w:space="0" w:color="auto"/>
                                                                        <w:right w:val="none" w:sz="0" w:space="0" w:color="auto"/>
                                                                      </w:divBdr>
                                                                      <w:divsChild>
                                                                        <w:div w:id="13412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970157">
      <w:bodyDiv w:val="1"/>
      <w:marLeft w:val="0"/>
      <w:marRight w:val="0"/>
      <w:marTop w:val="0"/>
      <w:marBottom w:val="0"/>
      <w:divBdr>
        <w:top w:val="none" w:sz="0" w:space="0" w:color="auto"/>
        <w:left w:val="none" w:sz="0" w:space="0" w:color="auto"/>
        <w:bottom w:val="none" w:sz="0" w:space="0" w:color="auto"/>
        <w:right w:val="none" w:sz="0" w:space="0" w:color="auto"/>
      </w:divBdr>
      <w:divsChild>
        <w:div w:id="693656445">
          <w:marLeft w:val="0"/>
          <w:marRight w:val="0"/>
          <w:marTop w:val="0"/>
          <w:marBottom w:val="0"/>
          <w:divBdr>
            <w:top w:val="none" w:sz="0" w:space="0" w:color="auto"/>
            <w:left w:val="none" w:sz="0" w:space="0" w:color="auto"/>
            <w:bottom w:val="none" w:sz="0" w:space="0" w:color="auto"/>
            <w:right w:val="none" w:sz="0" w:space="0" w:color="auto"/>
          </w:divBdr>
          <w:divsChild>
            <w:div w:id="600375801">
              <w:marLeft w:val="0"/>
              <w:marRight w:val="0"/>
              <w:marTop w:val="0"/>
              <w:marBottom w:val="300"/>
              <w:divBdr>
                <w:top w:val="none" w:sz="0" w:space="0" w:color="auto"/>
                <w:left w:val="none" w:sz="0" w:space="0" w:color="auto"/>
                <w:bottom w:val="none" w:sz="0" w:space="0" w:color="auto"/>
                <w:right w:val="none" w:sz="0" w:space="0" w:color="auto"/>
              </w:divBdr>
              <w:divsChild>
                <w:div w:id="283924544">
                  <w:marLeft w:val="0"/>
                  <w:marRight w:val="0"/>
                  <w:marTop w:val="0"/>
                  <w:marBottom w:val="100"/>
                  <w:divBdr>
                    <w:top w:val="none" w:sz="0" w:space="0" w:color="auto"/>
                    <w:left w:val="none" w:sz="0" w:space="0" w:color="auto"/>
                    <w:bottom w:val="none" w:sz="0" w:space="0" w:color="auto"/>
                    <w:right w:val="none" w:sz="0" w:space="0" w:color="auto"/>
                  </w:divBdr>
                  <w:divsChild>
                    <w:div w:id="1696737063">
                      <w:marLeft w:val="0"/>
                      <w:marRight w:val="0"/>
                      <w:marTop w:val="0"/>
                      <w:marBottom w:val="0"/>
                      <w:divBdr>
                        <w:top w:val="none" w:sz="0" w:space="0" w:color="auto"/>
                        <w:left w:val="none" w:sz="0" w:space="0" w:color="auto"/>
                        <w:bottom w:val="none" w:sz="0" w:space="0" w:color="auto"/>
                        <w:right w:val="none" w:sz="0" w:space="0" w:color="auto"/>
                      </w:divBdr>
                      <w:divsChild>
                        <w:div w:id="195899545">
                          <w:marLeft w:val="0"/>
                          <w:marRight w:val="0"/>
                          <w:marTop w:val="0"/>
                          <w:marBottom w:val="0"/>
                          <w:divBdr>
                            <w:top w:val="none" w:sz="0" w:space="0" w:color="auto"/>
                            <w:left w:val="none" w:sz="0" w:space="0" w:color="auto"/>
                            <w:bottom w:val="none" w:sz="0" w:space="0" w:color="auto"/>
                            <w:right w:val="none" w:sz="0" w:space="0" w:color="auto"/>
                          </w:divBdr>
                          <w:divsChild>
                            <w:div w:id="863783434">
                              <w:marLeft w:val="0"/>
                              <w:marRight w:val="0"/>
                              <w:marTop w:val="150"/>
                              <w:marBottom w:val="0"/>
                              <w:divBdr>
                                <w:top w:val="none" w:sz="0" w:space="0" w:color="auto"/>
                                <w:left w:val="none" w:sz="0" w:space="0" w:color="auto"/>
                                <w:bottom w:val="none" w:sz="0" w:space="0" w:color="auto"/>
                                <w:right w:val="none" w:sz="0" w:space="0" w:color="auto"/>
                              </w:divBdr>
                              <w:divsChild>
                                <w:div w:id="742067402">
                                  <w:marLeft w:val="0"/>
                                  <w:marRight w:val="0"/>
                                  <w:marTop w:val="0"/>
                                  <w:marBottom w:val="0"/>
                                  <w:divBdr>
                                    <w:top w:val="none" w:sz="0" w:space="0" w:color="auto"/>
                                    <w:left w:val="none" w:sz="0" w:space="0" w:color="auto"/>
                                    <w:bottom w:val="none" w:sz="0" w:space="0" w:color="auto"/>
                                    <w:right w:val="none" w:sz="0" w:space="0" w:color="auto"/>
                                  </w:divBdr>
                                  <w:divsChild>
                                    <w:div w:id="1442798980">
                                      <w:marLeft w:val="0"/>
                                      <w:marRight w:val="0"/>
                                      <w:marTop w:val="0"/>
                                      <w:marBottom w:val="0"/>
                                      <w:divBdr>
                                        <w:top w:val="none" w:sz="0" w:space="0" w:color="auto"/>
                                        <w:left w:val="none" w:sz="0" w:space="0" w:color="auto"/>
                                        <w:bottom w:val="none" w:sz="0" w:space="0" w:color="auto"/>
                                        <w:right w:val="none" w:sz="0" w:space="0" w:color="auto"/>
                                      </w:divBdr>
                                      <w:divsChild>
                                        <w:div w:id="1949728519">
                                          <w:marLeft w:val="0"/>
                                          <w:marRight w:val="0"/>
                                          <w:marTop w:val="0"/>
                                          <w:marBottom w:val="0"/>
                                          <w:divBdr>
                                            <w:top w:val="none" w:sz="0" w:space="0" w:color="auto"/>
                                            <w:left w:val="none" w:sz="0" w:space="0" w:color="auto"/>
                                            <w:bottom w:val="none" w:sz="0" w:space="0" w:color="auto"/>
                                            <w:right w:val="none" w:sz="0" w:space="0" w:color="auto"/>
                                          </w:divBdr>
                                          <w:divsChild>
                                            <w:div w:id="15345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3759859">
      <w:bodyDiv w:val="1"/>
      <w:marLeft w:val="0"/>
      <w:marRight w:val="0"/>
      <w:marTop w:val="0"/>
      <w:marBottom w:val="0"/>
      <w:divBdr>
        <w:top w:val="none" w:sz="0" w:space="0" w:color="auto"/>
        <w:left w:val="none" w:sz="0" w:space="0" w:color="auto"/>
        <w:bottom w:val="none" w:sz="0" w:space="0" w:color="auto"/>
        <w:right w:val="none" w:sz="0" w:space="0" w:color="auto"/>
      </w:divBdr>
    </w:div>
    <w:div w:id="1629971147">
      <w:bodyDiv w:val="1"/>
      <w:marLeft w:val="0"/>
      <w:marRight w:val="0"/>
      <w:marTop w:val="0"/>
      <w:marBottom w:val="0"/>
      <w:divBdr>
        <w:top w:val="none" w:sz="0" w:space="0" w:color="auto"/>
        <w:left w:val="none" w:sz="0" w:space="0" w:color="auto"/>
        <w:bottom w:val="none" w:sz="0" w:space="0" w:color="auto"/>
        <w:right w:val="none" w:sz="0" w:space="0" w:color="auto"/>
      </w:divBdr>
      <w:divsChild>
        <w:div w:id="40829221">
          <w:marLeft w:val="0"/>
          <w:marRight w:val="0"/>
          <w:marTop w:val="0"/>
          <w:marBottom w:val="0"/>
          <w:divBdr>
            <w:top w:val="none" w:sz="0" w:space="0" w:color="auto"/>
            <w:left w:val="none" w:sz="0" w:space="0" w:color="auto"/>
            <w:bottom w:val="none" w:sz="0" w:space="0" w:color="auto"/>
            <w:right w:val="none" w:sz="0" w:space="0" w:color="auto"/>
          </w:divBdr>
          <w:divsChild>
            <w:div w:id="837770066">
              <w:marLeft w:val="0"/>
              <w:marRight w:val="0"/>
              <w:marTop w:val="0"/>
              <w:marBottom w:val="0"/>
              <w:divBdr>
                <w:top w:val="none" w:sz="0" w:space="0" w:color="auto"/>
                <w:left w:val="none" w:sz="0" w:space="0" w:color="auto"/>
                <w:bottom w:val="none" w:sz="0" w:space="0" w:color="auto"/>
                <w:right w:val="none" w:sz="0" w:space="0" w:color="auto"/>
              </w:divBdr>
              <w:divsChild>
                <w:div w:id="1140460759">
                  <w:marLeft w:val="300"/>
                  <w:marRight w:val="300"/>
                  <w:marTop w:val="0"/>
                  <w:marBottom w:val="0"/>
                  <w:divBdr>
                    <w:top w:val="none" w:sz="0" w:space="0" w:color="auto"/>
                    <w:left w:val="none" w:sz="0" w:space="0" w:color="auto"/>
                    <w:bottom w:val="none" w:sz="0" w:space="0" w:color="auto"/>
                    <w:right w:val="none" w:sz="0" w:space="0" w:color="auto"/>
                  </w:divBdr>
                  <w:divsChild>
                    <w:div w:id="1056128179">
                      <w:marLeft w:val="0"/>
                      <w:marRight w:val="0"/>
                      <w:marTop w:val="0"/>
                      <w:marBottom w:val="0"/>
                      <w:divBdr>
                        <w:top w:val="none" w:sz="0" w:space="0" w:color="auto"/>
                        <w:left w:val="none" w:sz="0" w:space="0" w:color="auto"/>
                        <w:bottom w:val="none" w:sz="0" w:space="0" w:color="auto"/>
                        <w:right w:val="none" w:sz="0" w:space="0" w:color="auto"/>
                      </w:divBdr>
                      <w:divsChild>
                        <w:div w:id="1812286457">
                          <w:marLeft w:val="0"/>
                          <w:marRight w:val="0"/>
                          <w:marTop w:val="0"/>
                          <w:marBottom w:val="0"/>
                          <w:divBdr>
                            <w:top w:val="none" w:sz="0" w:space="0" w:color="auto"/>
                            <w:left w:val="none" w:sz="0" w:space="0" w:color="auto"/>
                            <w:bottom w:val="none" w:sz="0" w:space="0" w:color="auto"/>
                            <w:right w:val="none" w:sz="0" w:space="0" w:color="auto"/>
                          </w:divBdr>
                          <w:divsChild>
                            <w:div w:id="1775203457">
                              <w:marLeft w:val="0"/>
                              <w:marRight w:val="0"/>
                              <w:marTop w:val="0"/>
                              <w:marBottom w:val="0"/>
                              <w:divBdr>
                                <w:top w:val="none" w:sz="0" w:space="0" w:color="auto"/>
                                <w:left w:val="none" w:sz="0" w:space="0" w:color="auto"/>
                                <w:bottom w:val="none" w:sz="0" w:space="0" w:color="auto"/>
                                <w:right w:val="none" w:sz="0" w:space="0" w:color="auto"/>
                              </w:divBdr>
                              <w:divsChild>
                                <w:div w:id="2145417644">
                                  <w:marLeft w:val="0"/>
                                  <w:marRight w:val="0"/>
                                  <w:marTop w:val="0"/>
                                  <w:marBottom w:val="0"/>
                                  <w:divBdr>
                                    <w:top w:val="none" w:sz="0" w:space="0" w:color="auto"/>
                                    <w:left w:val="none" w:sz="0" w:space="0" w:color="auto"/>
                                    <w:bottom w:val="none" w:sz="0" w:space="0" w:color="auto"/>
                                    <w:right w:val="none" w:sz="0" w:space="0" w:color="auto"/>
                                  </w:divBdr>
                                </w:div>
                              </w:divsChild>
                            </w:div>
                            <w:div w:id="608395317">
                              <w:marLeft w:val="0"/>
                              <w:marRight w:val="0"/>
                              <w:marTop w:val="0"/>
                              <w:marBottom w:val="0"/>
                              <w:divBdr>
                                <w:top w:val="none" w:sz="0" w:space="0" w:color="auto"/>
                                <w:left w:val="none" w:sz="0" w:space="0" w:color="auto"/>
                                <w:bottom w:val="none" w:sz="0" w:space="0" w:color="auto"/>
                                <w:right w:val="none" w:sz="0" w:space="0" w:color="auto"/>
                              </w:divBdr>
                            </w:div>
                            <w:div w:id="1135442789">
                              <w:marLeft w:val="0"/>
                              <w:marRight w:val="0"/>
                              <w:marTop w:val="0"/>
                              <w:marBottom w:val="0"/>
                              <w:divBdr>
                                <w:top w:val="none" w:sz="0" w:space="0" w:color="auto"/>
                                <w:left w:val="none" w:sz="0" w:space="0" w:color="auto"/>
                                <w:bottom w:val="none" w:sz="0" w:space="0" w:color="auto"/>
                                <w:right w:val="none" w:sz="0" w:space="0" w:color="auto"/>
                              </w:divBdr>
                              <w:divsChild>
                                <w:div w:id="274993205">
                                  <w:marLeft w:val="0"/>
                                  <w:marRight w:val="0"/>
                                  <w:marTop w:val="0"/>
                                  <w:marBottom w:val="0"/>
                                  <w:divBdr>
                                    <w:top w:val="none" w:sz="0" w:space="0" w:color="auto"/>
                                    <w:left w:val="none" w:sz="0" w:space="0" w:color="auto"/>
                                    <w:bottom w:val="none" w:sz="0" w:space="0" w:color="auto"/>
                                    <w:right w:val="none" w:sz="0" w:space="0" w:color="auto"/>
                                  </w:divBdr>
                                  <w:divsChild>
                                    <w:div w:id="10499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826409">
      <w:bodyDiv w:val="1"/>
      <w:marLeft w:val="0"/>
      <w:marRight w:val="0"/>
      <w:marTop w:val="0"/>
      <w:marBottom w:val="0"/>
      <w:divBdr>
        <w:top w:val="none" w:sz="0" w:space="0" w:color="auto"/>
        <w:left w:val="none" w:sz="0" w:space="0" w:color="auto"/>
        <w:bottom w:val="none" w:sz="0" w:space="0" w:color="auto"/>
        <w:right w:val="none" w:sz="0" w:space="0" w:color="auto"/>
      </w:divBdr>
      <w:divsChild>
        <w:div w:id="1143351283">
          <w:marLeft w:val="0"/>
          <w:marRight w:val="0"/>
          <w:marTop w:val="0"/>
          <w:marBottom w:val="0"/>
          <w:divBdr>
            <w:top w:val="none" w:sz="0" w:space="0" w:color="auto"/>
            <w:left w:val="none" w:sz="0" w:space="0" w:color="auto"/>
            <w:bottom w:val="none" w:sz="0" w:space="0" w:color="auto"/>
            <w:right w:val="none" w:sz="0" w:space="0" w:color="auto"/>
          </w:divBdr>
        </w:div>
        <w:div w:id="691801599">
          <w:marLeft w:val="0"/>
          <w:marRight w:val="0"/>
          <w:marTop w:val="0"/>
          <w:marBottom w:val="0"/>
          <w:divBdr>
            <w:top w:val="none" w:sz="0" w:space="0" w:color="auto"/>
            <w:left w:val="none" w:sz="0" w:space="0" w:color="auto"/>
            <w:bottom w:val="none" w:sz="0" w:space="0" w:color="auto"/>
            <w:right w:val="none" w:sz="0" w:space="0" w:color="auto"/>
          </w:divBdr>
        </w:div>
      </w:divsChild>
    </w:div>
    <w:div w:id="1828860651">
      <w:bodyDiv w:val="1"/>
      <w:marLeft w:val="0"/>
      <w:marRight w:val="0"/>
      <w:marTop w:val="0"/>
      <w:marBottom w:val="0"/>
      <w:divBdr>
        <w:top w:val="none" w:sz="0" w:space="0" w:color="auto"/>
        <w:left w:val="none" w:sz="0" w:space="0" w:color="auto"/>
        <w:bottom w:val="none" w:sz="0" w:space="0" w:color="auto"/>
        <w:right w:val="none" w:sz="0" w:space="0" w:color="auto"/>
      </w:divBdr>
      <w:divsChild>
        <w:div w:id="1744335296">
          <w:marLeft w:val="0"/>
          <w:marRight w:val="0"/>
          <w:marTop w:val="0"/>
          <w:marBottom w:val="0"/>
          <w:divBdr>
            <w:top w:val="none" w:sz="0" w:space="0" w:color="auto"/>
            <w:left w:val="none" w:sz="0" w:space="0" w:color="auto"/>
            <w:bottom w:val="none" w:sz="0" w:space="0" w:color="auto"/>
            <w:right w:val="none" w:sz="0" w:space="0" w:color="auto"/>
          </w:divBdr>
          <w:divsChild>
            <w:div w:id="1627081469">
              <w:marLeft w:val="0"/>
              <w:marRight w:val="0"/>
              <w:marTop w:val="0"/>
              <w:marBottom w:val="0"/>
              <w:divBdr>
                <w:top w:val="none" w:sz="0" w:space="0" w:color="auto"/>
                <w:left w:val="none" w:sz="0" w:space="0" w:color="auto"/>
                <w:bottom w:val="none" w:sz="0" w:space="0" w:color="auto"/>
                <w:right w:val="none" w:sz="0" w:space="0" w:color="auto"/>
              </w:divBdr>
              <w:divsChild>
                <w:div w:id="441805904">
                  <w:marLeft w:val="0"/>
                  <w:marRight w:val="0"/>
                  <w:marTop w:val="0"/>
                  <w:marBottom w:val="0"/>
                  <w:divBdr>
                    <w:top w:val="none" w:sz="0" w:space="0" w:color="auto"/>
                    <w:left w:val="none" w:sz="0" w:space="0" w:color="auto"/>
                    <w:bottom w:val="none" w:sz="0" w:space="0" w:color="auto"/>
                    <w:right w:val="none" w:sz="0" w:space="0" w:color="auto"/>
                  </w:divBdr>
                  <w:divsChild>
                    <w:div w:id="374548050">
                      <w:marLeft w:val="0"/>
                      <w:marRight w:val="0"/>
                      <w:marTop w:val="0"/>
                      <w:marBottom w:val="0"/>
                      <w:divBdr>
                        <w:top w:val="none" w:sz="0" w:space="0" w:color="auto"/>
                        <w:left w:val="none" w:sz="0" w:space="0" w:color="auto"/>
                        <w:bottom w:val="none" w:sz="0" w:space="0" w:color="auto"/>
                        <w:right w:val="none" w:sz="0" w:space="0" w:color="auto"/>
                      </w:divBdr>
                      <w:divsChild>
                        <w:div w:id="1048913750">
                          <w:marLeft w:val="0"/>
                          <w:marRight w:val="0"/>
                          <w:marTop w:val="0"/>
                          <w:marBottom w:val="0"/>
                          <w:divBdr>
                            <w:top w:val="none" w:sz="0" w:space="0" w:color="auto"/>
                            <w:left w:val="none" w:sz="0" w:space="0" w:color="auto"/>
                            <w:bottom w:val="none" w:sz="0" w:space="0" w:color="auto"/>
                            <w:right w:val="none" w:sz="0" w:space="0" w:color="auto"/>
                          </w:divBdr>
                          <w:divsChild>
                            <w:div w:id="1018778828">
                              <w:marLeft w:val="0"/>
                              <w:marRight w:val="0"/>
                              <w:marTop w:val="0"/>
                              <w:marBottom w:val="0"/>
                              <w:divBdr>
                                <w:top w:val="none" w:sz="0" w:space="0" w:color="auto"/>
                                <w:left w:val="none" w:sz="0" w:space="0" w:color="auto"/>
                                <w:bottom w:val="none" w:sz="0" w:space="0" w:color="auto"/>
                                <w:right w:val="none" w:sz="0" w:space="0" w:color="auto"/>
                              </w:divBdr>
                              <w:divsChild>
                                <w:div w:id="15977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48.bin"/><Relationship Id="rId21" Type="http://schemas.openxmlformats.org/officeDocument/2006/relationships/oleObject" Target="embeddings/oleObject6.bin"/><Relationship Id="rId63" Type="http://schemas.openxmlformats.org/officeDocument/2006/relationships/image" Target="media/image26.wmf"/><Relationship Id="rId159" Type="http://schemas.openxmlformats.org/officeDocument/2006/relationships/oleObject" Target="embeddings/oleObject76.bin"/><Relationship Id="rId324" Type="http://schemas.openxmlformats.org/officeDocument/2006/relationships/image" Target="media/image154.wmf"/><Relationship Id="rId366" Type="http://schemas.openxmlformats.org/officeDocument/2006/relationships/image" Target="media/image175.wmf"/><Relationship Id="rId170" Type="http://schemas.openxmlformats.org/officeDocument/2006/relationships/image" Target="media/image78.wmf"/><Relationship Id="rId226" Type="http://schemas.openxmlformats.org/officeDocument/2006/relationships/image" Target="media/image106.wmf"/><Relationship Id="rId433" Type="http://schemas.openxmlformats.org/officeDocument/2006/relationships/image" Target="media/image204.wmf"/><Relationship Id="rId268" Type="http://schemas.openxmlformats.org/officeDocument/2006/relationships/oleObject" Target="embeddings/oleObject132.bin"/><Relationship Id="rId32" Type="http://schemas.openxmlformats.org/officeDocument/2006/relationships/image" Target="media/image11.wmf"/><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166.bin"/><Relationship Id="rId377" Type="http://schemas.openxmlformats.org/officeDocument/2006/relationships/oleObject" Target="embeddings/oleObject187.bin"/><Relationship Id="rId5" Type="http://schemas.openxmlformats.org/officeDocument/2006/relationships/settings" Target="settings.xml"/><Relationship Id="rId181" Type="http://schemas.openxmlformats.org/officeDocument/2006/relationships/oleObject" Target="embeddings/oleObject88.bin"/><Relationship Id="rId237" Type="http://schemas.openxmlformats.org/officeDocument/2006/relationships/image" Target="media/image111.wmf"/><Relationship Id="rId402" Type="http://schemas.openxmlformats.org/officeDocument/2006/relationships/hyperlink" Target="http://www.caee.utexas.edu/prof/bhat/ABSTRACTS/ResidentialChoice/Independent_Variables.pdf" TargetMode="External"/><Relationship Id="rId279" Type="http://schemas.openxmlformats.org/officeDocument/2006/relationships/image" Target="media/image132.wmf"/><Relationship Id="rId444" Type="http://schemas.openxmlformats.org/officeDocument/2006/relationships/oleObject" Target="embeddings/oleObject223.bin"/><Relationship Id="rId43" Type="http://schemas.openxmlformats.org/officeDocument/2006/relationships/image" Target="media/image16.wmf"/><Relationship Id="rId139" Type="http://schemas.openxmlformats.org/officeDocument/2006/relationships/image" Target="media/image64.wmf"/><Relationship Id="rId290" Type="http://schemas.openxmlformats.org/officeDocument/2006/relationships/image" Target="media/image137.wmf"/><Relationship Id="rId304" Type="http://schemas.openxmlformats.org/officeDocument/2006/relationships/image" Target="media/image144.wmf"/><Relationship Id="rId346" Type="http://schemas.openxmlformats.org/officeDocument/2006/relationships/image" Target="media/image165.wmf"/><Relationship Id="rId388" Type="http://schemas.openxmlformats.org/officeDocument/2006/relationships/oleObject" Target="embeddings/oleObject193.bin"/><Relationship Id="rId85" Type="http://schemas.openxmlformats.org/officeDocument/2006/relationships/image" Target="media/image37.wmf"/><Relationship Id="rId150" Type="http://schemas.openxmlformats.org/officeDocument/2006/relationships/oleObject" Target="embeddings/oleObject71.bin"/><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image" Target="media/image197.wmf"/><Relationship Id="rId248" Type="http://schemas.openxmlformats.org/officeDocument/2006/relationships/oleObject" Target="embeddings/oleObject122.bin"/><Relationship Id="rId455" Type="http://schemas.openxmlformats.org/officeDocument/2006/relationships/fontTable" Target="fontTable.xml"/><Relationship Id="rId12" Type="http://schemas.openxmlformats.org/officeDocument/2006/relationships/oleObject" Target="embeddings/oleObject1.bin"/><Relationship Id="rId108" Type="http://schemas.openxmlformats.org/officeDocument/2006/relationships/oleObject" Target="embeddings/oleObject50.bin"/><Relationship Id="rId315" Type="http://schemas.openxmlformats.org/officeDocument/2006/relationships/oleObject" Target="embeddings/oleObject156.bin"/><Relationship Id="rId357" Type="http://schemas.openxmlformats.org/officeDocument/2006/relationships/oleObject" Target="embeddings/oleObject177.bin"/><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oleObject" Target="embeddings/oleObject106.bin"/><Relationship Id="rId399" Type="http://schemas.openxmlformats.org/officeDocument/2006/relationships/image" Target="media/image191.wmf"/><Relationship Id="rId259" Type="http://schemas.openxmlformats.org/officeDocument/2006/relationships/image" Target="media/image122.wmf"/><Relationship Id="rId424" Type="http://schemas.openxmlformats.org/officeDocument/2006/relationships/oleObject" Target="embeddings/oleObject213.bin"/><Relationship Id="rId23" Type="http://schemas.openxmlformats.org/officeDocument/2006/relationships/oleObject" Target="embeddings/oleObject7.bin"/><Relationship Id="rId119" Type="http://schemas.openxmlformats.org/officeDocument/2006/relationships/image" Target="media/image54.wmf"/><Relationship Id="rId270" Type="http://schemas.openxmlformats.org/officeDocument/2006/relationships/oleObject" Target="embeddings/oleObject133.bin"/><Relationship Id="rId291" Type="http://schemas.openxmlformats.org/officeDocument/2006/relationships/oleObject" Target="embeddings/oleObject144.bin"/><Relationship Id="rId305" Type="http://schemas.openxmlformats.org/officeDocument/2006/relationships/oleObject" Target="embeddings/oleObject151.bin"/><Relationship Id="rId326" Type="http://schemas.openxmlformats.org/officeDocument/2006/relationships/image" Target="media/image155.wmf"/><Relationship Id="rId347" Type="http://schemas.openxmlformats.org/officeDocument/2006/relationships/oleObject" Target="embeddings/oleObject172.bin"/><Relationship Id="rId44" Type="http://schemas.openxmlformats.org/officeDocument/2006/relationships/oleObject" Target="embeddings/oleObject18.bin"/><Relationship Id="rId65" Type="http://schemas.openxmlformats.org/officeDocument/2006/relationships/image" Target="media/image27.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0.wmf"/><Relationship Id="rId368" Type="http://schemas.openxmlformats.org/officeDocument/2006/relationships/image" Target="media/image176.wmf"/><Relationship Id="rId389" Type="http://schemas.openxmlformats.org/officeDocument/2006/relationships/image" Target="media/image186.wmf"/><Relationship Id="rId172" Type="http://schemas.openxmlformats.org/officeDocument/2006/relationships/image" Target="media/image79.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07.wmf"/><Relationship Id="rId249" Type="http://schemas.openxmlformats.org/officeDocument/2006/relationships/image" Target="media/image117.wmf"/><Relationship Id="rId414" Type="http://schemas.openxmlformats.org/officeDocument/2006/relationships/oleObject" Target="embeddings/oleObject205.bin"/><Relationship Id="rId435" Type="http://schemas.openxmlformats.org/officeDocument/2006/relationships/image" Target="media/image205.wmf"/><Relationship Id="rId456" Type="http://schemas.openxmlformats.org/officeDocument/2006/relationships/theme" Target="theme/theme1.xml"/><Relationship Id="rId13" Type="http://schemas.openxmlformats.org/officeDocument/2006/relationships/image" Target="media/image2.wmf"/><Relationship Id="rId109" Type="http://schemas.openxmlformats.org/officeDocument/2006/relationships/image" Target="media/image49.wmf"/><Relationship Id="rId260" Type="http://schemas.openxmlformats.org/officeDocument/2006/relationships/oleObject" Target="embeddings/oleObject128.bin"/><Relationship Id="rId281" Type="http://schemas.openxmlformats.org/officeDocument/2006/relationships/oleObject" Target="embeddings/oleObject139.bin"/><Relationship Id="rId316" Type="http://schemas.openxmlformats.org/officeDocument/2006/relationships/image" Target="media/image150.wmf"/><Relationship Id="rId337" Type="http://schemas.openxmlformats.org/officeDocument/2006/relationships/oleObject" Target="embeddings/oleObject167.bin"/><Relationship Id="rId34" Type="http://schemas.openxmlformats.org/officeDocument/2006/relationships/image" Target="media/image12.wmf"/><Relationship Id="rId55" Type="http://schemas.openxmlformats.org/officeDocument/2006/relationships/image" Target="media/image22.wmf"/><Relationship Id="rId76" Type="http://schemas.openxmlformats.org/officeDocument/2006/relationships/oleObject" Target="embeddings/oleObject34.bin"/><Relationship Id="rId97" Type="http://schemas.openxmlformats.org/officeDocument/2006/relationships/image" Target="media/image43.wmf"/><Relationship Id="rId120" Type="http://schemas.openxmlformats.org/officeDocument/2006/relationships/oleObject" Target="embeddings/oleObject56.bin"/><Relationship Id="rId141" Type="http://schemas.openxmlformats.org/officeDocument/2006/relationships/image" Target="media/image65.wmf"/><Relationship Id="rId358" Type="http://schemas.openxmlformats.org/officeDocument/2006/relationships/image" Target="media/image171.wmf"/><Relationship Id="rId379" Type="http://schemas.openxmlformats.org/officeDocument/2006/relationships/oleObject" Target="embeddings/oleObject188.bin"/><Relationship Id="rId7" Type="http://schemas.openxmlformats.org/officeDocument/2006/relationships/footnotes" Target="footnotes.xml"/><Relationship Id="rId162" Type="http://schemas.openxmlformats.org/officeDocument/2006/relationships/oleObject" Target="embeddings/oleObject78.bin"/><Relationship Id="rId183" Type="http://schemas.openxmlformats.org/officeDocument/2006/relationships/oleObject" Target="embeddings/oleObject89.bin"/><Relationship Id="rId218" Type="http://schemas.openxmlformats.org/officeDocument/2006/relationships/image" Target="media/image102.wmf"/><Relationship Id="rId239" Type="http://schemas.openxmlformats.org/officeDocument/2006/relationships/image" Target="media/image112.wmf"/><Relationship Id="rId390" Type="http://schemas.openxmlformats.org/officeDocument/2006/relationships/oleObject" Target="embeddings/oleObject194.bin"/><Relationship Id="rId404" Type="http://schemas.openxmlformats.org/officeDocument/2006/relationships/oleObject" Target="embeddings/oleObject200.bin"/><Relationship Id="rId425" Type="http://schemas.openxmlformats.org/officeDocument/2006/relationships/image" Target="media/image200.wmf"/><Relationship Id="rId446" Type="http://schemas.openxmlformats.org/officeDocument/2006/relationships/oleObject" Target="embeddings/oleObject224.bin"/><Relationship Id="rId250" Type="http://schemas.openxmlformats.org/officeDocument/2006/relationships/oleObject" Target="embeddings/oleObject123.bin"/><Relationship Id="rId271" Type="http://schemas.openxmlformats.org/officeDocument/2006/relationships/image" Target="media/image128.wmf"/><Relationship Id="rId292" Type="http://schemas.openxmlformats.org/officeDocument/2006/relationships/image" Target="media/image138.wmf"/><Relationship Id="rId306" Type="http://schemas.openxmlformats.org/officeDocument/2006/relationships/image" Target="media/image145.wmf"/><Relationship Id="rId24" Type="http://schemas.openxmlformats.org/officeDocument/2006/relationships/image" Target="media/image7.wmf"/><Relationship Id="rId45" Type="http://schemas.openxmlformats.org/officeDocument/2006/relationships/image" Target="media/image17.wmf"/><Relationship Id="rId66" Type="http://schemas.openxmlformats.org/officeDocument/2006/relationships/oleObject" Target="embeddings/oleObject29.bin"/><Relationship Id="rId87" Type="http://schemas.openxmlformats.org/officeDocument/2006/relationships/image" Target="media/image38.wmf"/><Relationship Id="rId110" Type="http://schemas.openxmlformats.org/officeDocument/2006/relationships/oleObject" Target="embeddings/oleObject51.bin"/><Relationship Id="rId131" Type="http://schemas.openxmlformats.org/officeDocument/2006/relationships/image" Target="media/image60.wmf"/><Relationship Id="rId327" Type="http://schemas.openxmlformats.org/officeDocument/2006/relationships/oleObject" Target="embeddings/oleObject162.bin"/><Relationship Id="rId348" Type="http://schemas.openxmlformats.org/officeDocument/2006/relationships/image" Target="media/image166.wmf"/><Relationship Id="rId369" Type="http://schemas.openxmlformats.org/officeDocument/2006/relationships/oleObject" Target="embeddings/oleObject183.bin"/><Relationship Id="rId152" Type="http://schemas.openxmlformats.org/officeDocument/2006/relationships/oleObject" Target="embeddings/oleObject72.bin"/><Relationship Id="rId173" Type="http://schemas.openxmlformats.org/officeDocument/2006/relationships/oleObject" Target="embeddings/oleObject84.bin"/><Relationship Id="rId194" Type="http://schemas.openxmlformats.org/officeDocument/2006/relationships/image" Target="media/image90.wmf"/><Relationship Id="rId208" Type="http://schemas.openxmlformats.org/officeDocument/2006/relationships/image" Target="media/image97.wmf"/><Relationship Id="rId229" Type="http://schemas.openxmlformats.org/officeDocument/2006/relationships/oleObject" Target="embeddings/oleObject112.bin"/><Relationship Id="rId380" Type="http://schemas.openxmlformats.org/officeDocument/2006/relationships/image" Target="media/image182.wmf"/><Relationship Id="rId415" Type="http://schemas.openxmlformats.org/officeDocument/2006/relationships/oleObject" Target="embeddings/oleObject206.bin"/><Relationship Id="rId436" Type="http://schemas.openxmlformats.org/officeDocument/2006/relationships/oleObject" Target="embeddings/oleObject219.bin"/><Relationship Id="rId240" Type="http://schemas.openxmlformats.org/officeDocument/2006/relationships/oleObject" Target="embeddings/oleObject118.bin"/><Relationship Id="rId261" Type="http://schemas.openxmlformats.org/officeDocument/2006/relationships/image" Target="media/image123.wmf"/><Relationship Id="rId14" Type="http://schemas.openxmlformats.org/officeDocument/2006/relationships/oleObject" Target="embeddings/oleObject2.bin"/><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46.bin"/><Relationship Id="rId282" Type="http://schemas.openxmlformats.org/officeDocument/2006/relationships/image" Target="media/image133.wmf"/><Relationship Id="rId317" Type="http://schemas.openxmlformats.org/officeDocument/2006/relationships/oleObject" Target="embeddings/oleObject157.bin"/><Relationship Id="rId338" Type="http://schemas.openxmlformats.org/officeDocument/2006/relationships/image" Target="media/image161.wmf"/><Relationship Id="rId359" Type="http://schemas.openxmlformats.org/officeDocument/2006/relationships/oleObject" Target="embeddings/oleObject178.bin"/><Relationship Id="rId8" Type="http://schemas.openxmlformats.org/officeDocument/2006/relationships/endnotes" Target="endnotes.xml"/><Relationship Id="rId98" Type="http://schemas.openxmlformats.org/officeDocument/2006/relationships/oleObject" Target="embeddings/oleObject45.bin"/><Relationship Id="rId121" Type="http://schemas.openxmlformats.org/officeDocument/2006/relationships/image" Target="media/image55.wmf"/><Relationship Id="rId142" Type="http://schemas.openxmlformats.org/officeDocument/2006/relationships/oleObject" Target="embeddings/oleObject67.bin"/><Relationship Id="rId163" Type="http://schemas.openxmlformats.org/officeDocument/2006/relationships/image" Target="media/image75.wmf"/><Relationship Id="rId184" Type="http://schemas.openxmlformats.org/officeDocument/2006/relationships/image" Target="media/image85.wmf"/><Relationship Id="rId219" Type="http://schemas.openxmlformats.org/officeDocument/2006/relationships/oleObject" Target="embeddings/oleObject107.bin"/><Relationship Id="rId370" Type="http://schemas.openxmlformats.org/officeDocument/2006/relationships/image" Target="media/image177.wmf"/><Relationship Id="rId391" Type="http://schemas.openxmlformats.org/officeDocument/2006/relationships/image" Target="media/image187.wmf"/><Relationship Id="rId405" Type="http://schemas.openxmlformats.org/officeDocument/2006/relationships/image" Target="media/image193.wmf"/><Relationship Id="rId426" Type="http://schemas.openxmlformats.org/officeDocument/2006/relationships/oleObject" Target="embeddings/oleObject214.bin"/><Relationship Id="rId447" Type="http://schemas.openxmlformats.org/officeDocument/2006/relationships/image" Target="media/image211.wmf"/><Relationship Id="rId230" Type="http://schemas.openxmlformats.org/officeDocument/2006/relationships/oleObject" Target="embeddings/oleObject113.bin"/><Relationship Id="rId251" Type="http://schemas.openxmlformats.org/officeDocument/2006/relationships/image" Target="media/image118.wmf"/><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28.wmf"/><Relationship Id="rId272" Type="http://schemas.openxmlformats.org/officeDocument/2006/relationships/oleObject" Target="embeddings/oleObject134.bin"/><Relationship Id="rId293" Type="http://schemas.openxmlformats.org/officeDocument/2006/relationships/oleObject" Target="embeddings/oleObject145.bin"/><Relationship Id="rId307" Type="http://schemas.openxmlformats.org/officeDocument/2006/relationships/oleObject" Target="embeddings/oleObject152.bin"/><Relationship Id="rId328" Type="http://schemas.openxmlformats.org/officeDocument/2006/relationships/image" Target="media/image156.wmf"/><Relationship Id="rId349" Type="http://schemas.openxmlformats.org/officeDocument/2006/relationships/oleObject" Target="embeddings/oleObject173.bin"/><Relationship Id="rId88" Type="http://schemas.openxmlformats.org/officeDocument/2006/relationships/oleObject" Target="embeddings/oleObject40.bin"/><Relationship Id="rId111" Type="http://schemas.openxmlformats.org/officeDocument/2006/relationships/image" Target="media/image50.wmf"/><Relationship Id="rId132" Type="http://schemas.openxmlformats.org/officeDocument/2006/relationships/oleObject" Target="embeddings/oleObject62.bin"/><Relationship Id="rId153" Type="http://schemas.openxmlformats.org/officeDocument/2006/relationships/image" Target="media/image71.wmf"/><Relationship Id="rId174" Type="http://schemas.openxmlformats.org/officeDocument/2006/relationships/image" Target="media/image80.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72.wmf"/><Relationship Id="rId381" Type="http://schemas.openxmlformats.org/officeDocument/2006/relationships/oleObject" Target="embeddings/oleObject189.bin"/><Relationship Id="rId416" Type="http://schemas.openxmlformats.org/officeDocument/2006/relationships/image" Target="media/image198.wmf"/><Relationship Id="rId220" Type="http://schemas.openxmlformats.org/officeDocument/2006/relationships/image" Target="media/image103.wmf"/><Relationship Id="rId241" Type="http://schemas.openxmlformats.org/officeDocument/2006/relationships/image" Target="media/image113.wmf"/><Relationship Id="rId437" Type="http://schemas.openxmlformats.org/officeDocument/2006/relationships/image" Target="media/image206.wmf"/><Relationship Id="rId15" Type="http://schemas.openxmlformats.org/officeDocument/2006/relationships/oleObject" Target="embeddings/oleObject3.bin"/><Relationship Id="rId36" Type="http://schemas.openxmlformats.org/officeDocument/2006/relationships/image" Target="media/image13.wmf"/><Relationship Id="rId57" Type="http://schemas.openxmlformats.org/officeDocument/2006/relationships/image" Target="media/image23.wmf"/><Relationship Id="rId262" Type="http://schemas.openxmlformats.org/officeDocument/2006/relationships/oleObject" Target="embeddings/oleObject129.bin"/><Relationship Id="rId283" Type="http://schemas.openxmlformats.org/officeDocument/2006/relationships/oleObject" Target="embeddings/oleObject140.bin"/><Relationship Id="rId318" Type="http://schemas.openxmlformats.org/officeDocument/2006/relationships/image" Target="media/image151.wmf"/><Relationship Id="rId339" Type="http://schemas.openxmlformats.org/officeDocument/2006/relationships/oleObject" Target="embeddings/oleObject168.bin"/><Relationship Id="rId78" Type="http://schemas.openxmlformats.org/officeDocument/2006/relationships/oleObject" Target="embeddings/oleObject3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7.bin"/><Relationship Id="rId143" Type="http://schemas.openxmlformats.org/officeDocument/2006/relationships/image" Target="media/image66.wmf"/><Relationship Id="rId164" Type="http://schemas.openxmlformats.org/officeDocument/2006/relationships/oleObject" Target="embeddings/oleObject79.bin"/><Relationship Id="rId185" Type="http://schemas.openxmlformats.org/officeDocument/2006/relationships/oleObject" Target="embeddings/oleObject90.bin"/><Relationship Id="rId350" Type="http://schemas.openxmlformats.org/officeDocument/2006/relationships/image" Target="media/image167.wmf"/><Relationship Id="rId371" Type="http://schemas.openxmlformats.org/officeDocument/2006/relationships/oleObject" Target="embeddings/oleObject184.bin"/><Relationship Id="rId406" Type="http://schemas.openxmlformats.org/officeDocument/2006/relationships/oleObject" Target="embeddings/oleObject201.bin"/><Relationship Id="rId9" Type="http://schemas.openxmlformats.org/officeDocument/2006/relationships/hyperlink" Target="mailto:bhat@mail.utexas.edu" TargetMode="External"/><Relationship Id="rId210" Type="http://schemas.openxmlformats.org/officeDocument/2006/relationships/image" Target="media/image98.wmf"/><Relationship Id="rId392" Type="http://schemas.openxmlformats.org/officeDocument/2006/relationships/oleObject" Target="embeddings/oleObject195.bin"/><Relationship Id="rId427" Type="http://schemas.openxmlformats.org/officeDocument/2006/relationships/image" Target="media/image201.wmf"/><Relationship Id="rId448" Type="http://schemas.openxmlformats.org/officeDocument/2006/relationships/oleObject" Target="embeddings/oleObject225.bin"/><Relationship Id="rId26" Type="http://schemas.openxmlformats.org/officeDocument/2006/relationships/image" Target="media/image8.wmf"/><Relationship Id="rId231" Type="http://schemas.openxmlformats.org/officeDocument/2006/relationships/image" Target="media/image108.wmf"/><Relationship Id="rId252" Type="http://schemas.openxmlformats.org/officeDocument/2006/relationships/oleObject" Target="embeddings/oleObject124.bin"/><Relationship Id="rId273" Type="http://schemas.openxmlformats.org/officeDocument/2006/relationships/image" Target="media/image129.wmf"/><Relationship Id="rId294" Type="http://schemas.openxmlformats.org/officeDocument/2006/relationships/image" Target="media/image139.wmf"/><Relationship Id="rId308" Type="http://schemas.openxmlformats.org/officeDocument/2006/relationships/image" Target="media/image146.wmf"/><Relationship Id="rId329" Type="http://schemas.openxmlformats.org/officeDocument/2006/relationships/oleObject" Target="embeddings/oleObject163.bin"/><Relationship Id="rId47" Type="http://schemas.openxmlformats.org/officeDocument/2006/relationships/image" Target="media/image18.wmf"/><Relationship Id="rId68" Type="http://schemas.openxmlformats.org/officeDocument/2006/relationships/oleObject" Target="embeddings/oleObject30.bin"/><Relationship Id="rId89" Type="http://schemas.openxmlformats.org/officeDocument/2006/relationships/image" Target="media/image39.wmf"/><Relationship Id="rId112" Type="http://schemas.openxmlformats.org/officeDocument/2006/relationships/oleObject" Target="embeddings/oleObject52.bin"/><Relationship Id="rId133" Type="http://schemas.openxmlformats.org/officeDocument/2006/relationships/image" Target="media/image61.wmf"/><Relationship Id="rId154" Type="http://schemas.openxmlformats.org/officeDocument/2006/relationships/oleObject" Target="embeddings/oleObject73.bin"/><Relationship Id="rId175" Type="http://schemas.openxmlformats.org/officeDocument/2006/relationships/oleObject" Target="embeddings/oleObject85.bin"/><Relationship Id="rId340" Type="http://schemas.openxmlformats.org/officeDocument/2006/relationships/image" Target="media/image162.wmf"/><Relationship Id="rId361" Type="http://schemas.openxmlformats.org/officeDocument/2006/relationships/oleObject" Target="embeddings/oleObject179.bin"/><Relationship Id="rId196" Type="http://schemas.openxmlformats.org/officeDocument/2006/relationships/image" Target="media/image91.wmf"/><Relationship Id="rId200" Type="http://schemas.openxmlformats.org/officeDocument/2006/relationships/image" Target="media/image93.wmf"/><Relationship Id="rId382" Type="http://schemas.openxmlformats.org/officeDocument/2006/relationships/image" Target="media/image183.wmf"/><Relationship Id="rId417" Type="http://schemas.openxmlformats.org/officeDocument/2006/relationships/oleObject" Target="embeddings/oleObject207.bin"/><Relationship Id="rId438" Type="http://schemas.openxmlformats.org/officeDocument/2006/relationships/oleObject" Target="embeddings/oleObject220.bin"/><Relationship Id="rId16" Type="http://schemas.openxmlformats.org/officeDocument/2006/relationships/image" Target="media/image3.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image" Target="media/image124.wmf"/><Relationship Id="rId284" Type="http://schemas.openxmlformats.org/officeDocument/2006/relationships/image" Target="media/image134.wmf"/><Relationship Id="rId319" Type="http://schemas.openxmlformats.org/officeDocument/2006/relationships/oleObject" Target="embeddings/oleObject158.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4.wmf"/><Relationship Id="rId102" Type="http://schemas.openxmlformats.org/officeDocument/2006/relationships/oleObject" Target="embeddings/oleObject47.bin"/><Relationship Id="rId123" Type="http://schemas.openxmlformats.org/officeDocument/2006/relationships/image" Target="media/image56.wmf"/><Relationship Id="rId144" Type="http://schemas.openxmlformats.org/officeDocument/2006/relationships/oleObject" Target="embeddings/oleObject68.bin"/><Relationship Id="rId330" Type="http://schemas.openxmlformats.org/officeDocument/2006/relationships/image" Target="media/image157.wmf"/><Relationship Id="rId90" Type="http://schemas.openxmlformats.org/officeDocument/2006/relationships/oleObject" Target="embeddings/oleObject41.bin"/><Relationship Id="rId165" Type="http://schemas.openxmlformats.org/officeDocument/2006/relationships/image" Target="media/image76.wmf"/><Relationship Id="rId186" Type="http://schemas.openxmlformats.org/officeDocument/2006/relationships/image" Target="media/image86.wmf"/><Relationship Id="rId351" Type="http://schemas.openxmlformats.org/officeDocument/2006/relationships/oleObject" Target="embeddings/oleObject174.bin"/><Relationship Id="rId372" Type="http://schemas.openxmlformats.org/officeDocument/2006/relationships/image" Target="media/image178.wmf"/><Relationship Id="rId393" Type="http://schemas.openxmlformats.org/officeDocument/2006/relationships/image" Target="media/image188.wmf"/><Relationship Id="rId407" Type="http://schemas.openxmlformats.org/officeDocument/2006/relationships/image" Target="media/image194.wmf"/><Relationship Id="rId428" Type="http://schemas.openxmlformats.org/officeDocument/2006/relationships/oleObject" Target="embeddings/oleObject215.bin"/><Relationship Id="rId449" Type="http://schemas.openxmlformats.org/officeDocument/2006/relationships/image" Target="media/image212.wmf"/><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image" Target="media/image119.wmf"/><Relationship Id="rId274" Type="http://schemas.openxmlformats.org/officeDocument/2006/relationships/oleObject" Target="embeddings/oleObject135.bin"/><Relationship Id="rId295" Type="http://schemas.openxmlformats.org/officeDocument/2006/relationships/oleObject" Target="embeddings/oleObject146.bin"/><Relationship Id="rId309" Type="http://schemas.openxmlformats.org/officeDocument/2006/relationships/oleObject" Target="embeddings/oleObject153.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oleObject" Target="embeddings/oleObject63.bin"/><Relationship Id="rId320" Type="http://schemas.openxmlformats.org/officeDocument/2006/relationships/image" Target="media/image152.wmf"/><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1.wmf"/><Relationship Id="rId197" Type="http://schemas.openxmlformats.org/officeDocument/2006/relationships/oleObject" Target="embeddings/oleObject96.bin"/><Relationship Id="rId341" Type="http://schemas.openxmlformats.org/officeDocument/2006/relationships/oleObject" Target="embeddings/oleObject169.bin"/><Relationship Id="rId362" Type="http://schemas.openxmlformats.org/officeDocument/2006/relationships/image" Target="media/image173.wmf"/><Relationship Id="rId383" Type="http://schemas.openxmlformats.org/officeDocument/2006/relationships/oleObject" Target="embeddings/oleObject190.bin"/><Relationship Id="rId418" Type="http://schemas.openxmlformats.org/officeDocument/2006/relationships/image" Target="media/image199.wmf"/><Relationship Id="rId439" Type="http://schemas.openxmlformats.org/officeDocument/2006/relationships/image" Target="media/image207.wmf"/><Relationship Id="rId201" Type="http://schemas.openxmlformats.org/officeDocument/2006/relationships/oleObject" Target="embeddings/oleObject98.bin"/><Relationship Id="rId222" Type="http://schemas.openxmlformats.org/officeDocument/2006/relationships/image" Target="media/image104.wmf"/><Relationship Id="rId243" Type="http://schemas.openxmlformats.org/officeDocument/2006/relationships/image" Target="media/image114.wmf"/><Relationship Id="rId264" Type="http://schemas.openxmlformats.org/officeDocument/2006/relationships/oleObject" Target="embeddings/oleObject130.bin"/><Relationship Id="rId285" Type="http://schemas.openxmlformats.org/officeDocument/2006/relationships/oleObject" Target="embeddings/oleObject141.bin"/><Relationship Id="rId450" Type="http://schemas.openxmlformats.org/officeDocument/2006/relationships/oleObject" Target="embeddings/oleObject226.bin"/><Relationship Id="rId17" Type="http://schemas.openxmlformats.org/officeDocument/2006/relationships/oleObject" Target="embeddings/oleObject4.bin"/><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58.bin"/><Relationship Id="rId310" Type="http://schemas.openxmlformats.org/officeDocument/2006/relationships/image" Target="media/image147.wmf"/><Relationship Id="rId70" Type="http://schemas.openxmlformats.org/officeDocument/2006/relationships/oleObject" Target="embeddings/oleObject31.bin"/><Relationship Id="rId91" Type="http://schemas.openxmlformats.org/officeDocument/2006/relationships/image" Target="media/image40.wmf"/><Relationship Id="rId145" Type="http://schemas.openxmlformats.org/officeDocument/2006/relationships/image" Target="media/image67.wmf"/><Relationship Id="rId166" Type="http://schemas.openxmlformats.org/officeDocument/2006/relationships/oleObject" Target="embeddings/oleObject80.bin"/><Relationship Id="rId187" Type="http://schemas.openxmlformats.org/officeDocument/2006/relationships/oleObject" Target="embeddings/oleObject91.bin"/><Relationship Id="rId331" Type="http://schemas.openxmlformats.org/officeDocument/2006/relationships/oleObject" Target="embeddings/oleObject164.bin"/><Relationship Id="rId352" Type="http://schemas.openxmlformats.org/officeDocument/2006/relationships/image" Target="media/image168.wmf"/><Relationship Id="rId373" Type="http://schemas.openxmlformats.org/officeDocument/2006/relationships/oleObject" Target="embeddings/oleObject185.bin"/><Relationship Id="rId394" Type="http://schemas.openxmlformats.org/officeDocument/2006/relationships/oleObject" Target="embeddings/oleObject196.bin"/><Relationship Id="rId408" Type="http://schemas.openxmlformats.org/officeDocument/2006/relationships/oleObject" Target="embeddings/oleObject202.bin"/><Relationship Id="rId429" Type="http://schemas.openxmlformats.org/officeDocument/2006/relationships/image" Target="media/image202.wmf"/><Relationship Id="rId1" Type="http://schemas.openxmlformats.org/officeDocument/2006/relationships/customXml" Target="../customXml/item1.xml"/><Relationship Id="rId212" Type="http://schemas.openxmlformats.org/officeDocument/2006/relationships/image" Target="media/image99.wmf"/><Relationship Id="rId233" Type="http://schemas.openxmlformats.org/officeDocument/2006/relationships/image" Target="media/image109.wmf"/><Relationship Id="rId254" Type="http://schemas.openxmlformats.org/officeDocument/2006/relationships/oleObject" Target="embeddings/oleObject125.bin"/><Relationship Id="rId440" Type="http://schemas.openxmlformats.org/officeDocument/2006/relationships/oleObject" Target="embeddings/oleObject221.bin"/><Relationship Id="rId28" Type="http://schemas.openxmlformats.org/officeDocument/2006/relationships/image" Target="media/image9.wmf"/><Relationship Id="rId49" Type="http://schemas.openxmlformats.org/officeDocument/2006/relationships/image" Target="media/image19.wmf"/><Relationship Id="rId114" Type="http://schemas.openxmlformats.org/officeDocument/2006/relationships/oleObject" Target="embeddings/oleObject53.bin"/><Relationship Id="rId275" Type="http://schemas.openxmlformats.org/officeDocument/2006/relationships/image" Target="media/image130.wmf"/><Relationship Id="rId296" Type="http://schemas.openxmlformats.org/officeDocument/2006/relationships/image" Target="media/image140.wmf"/><Relationship Id="rId300" Type="http://schemas.openxmlformats.org/officeDocument/2006/relationships/image" Target="media/image142.wmf"/><Relationship Id="rId60" Type="http://schemas.openxmlformats.org/officeDocument/2006/relationships/oleObject" Target="embeddings/oleObject26.bin"/><Relationship Id="rId81" Type="http://schemas.openxmlformats.org/officeDocument/2006/relationships/image" Target="media/image35.wmf"/><Relationship Id="rId135" Type="http://schemas.openxmlformats.org/officeDocument/2006/relationships/image" Target="media/image62.wmf"/><Relationship Id="rId156" Type="http://schemas.openxmlformats.org/officeDocument/2006/relationships/image" Target="media/image72.wmf"/><Relationship Id="rId177" Type="http://schemas.openxmlformats.org/officeDocument/2006/relationships/oleObject" Target="embeddings/oleObject86.bin"/><Relationship Id="rId198" Type="http://schemas.openxmlformats.org/officeDocument/2006/relationships/image" Target="media/image92.wmf"/><Relationship Id="rId321" Type="http://schemas.openxmlformats.org/officeDocument/2006/relationships/oleObject" Target="embeddings/oleObject159.bin"/><Relationship Id="rId342" Type="http://schemas.openxmlformats.org/officeDocument/2006/relationships/image" Target="media/image163.wmf"/><Relationship Id="rId363" Type="http://schemas.openxmlformats.org/officeDocument/2006/relationships/oleObject" Target="embeddings/oleObject180.bin"/><Relationship Id="rId384" Type="http://schemas.openxmlformats.org/officeDocument/2006/relationships/image" Target="media/image184.wmf"/><Relationship Id="rId419" Type="http://schemas.openxmlformats.org/officeDocument/2006/relationships/oleObject" Target="embeddings/oleObject208.bin"/><Relationship Id="rId202" Type="http://schemas.openxmlformats.org/officeDocument/2006/relationships/image" Target="media/image94.wmf"/><Relationship Id="rId223" Type="http://schemas.openxmlformats.org/officeDocument/2006/relationships/oleObject" Target="embeddings/oleObject109.bin"/><Relationship Id="rId244" Type="http://schemas.openxmlformats.org/officeDocument/2006/relationships/oleObject" Target="embeddings/oleObject120.bin"/><Relationship Id="rId430" Type="http://schemas.openxmlformats.org/officeDocument/2006/relationships/oleObject" Target="embeddings/oleObject216.bin"/><Relationship Id="rId18" Type="http://schemas.openxmlformats.org/officeDocument/2006/relationships/image" Target="media/image4.wmf"/><Relationship Id="rId39" Type="http://schemas.openxmlformats.org/officeDocument/2006/relationships/oleObject" Target="embeddings/oleObject15.bin"/><Relationship Id="rId265" Type="http://schemas.openxmlformats.org/officeDocument/2006/relationships/image" Target="media/image125.wmf"/><Relationship Id="rId286" Type="http://schemas.openxmlformats.org/officeDocument/2006/relationships/image" Target="media/image135.wmf"/><Relationship Id="rId451" Type="http://schemas.openxmlformats.org/officeDocument/2006/relationships/hyperlink" Target="http://www.researchgate.net/researcher/62655163_Gunnar_Floetteroed" TargetMode="External"/><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7.wmf"/><Relationship Id="rId146" Type="http://schemas.openxmlformats.org/officeDocument/2006/relationships/oleObject" Target="embeddings/oleObject69.bin"/><Relationship Id="rId167" Type="http://schemas.openxmlformats.org/officeDocument/2006/relationships/oleObject" Target="embeddings/oleObject81.bin"/><Relationship Id="rId188" Type="http://schemas.openxmlformats.org/officeDocument/2006/relationships/image" Target="media/image87.wmf"/><Relationship Id="rId311" Type="http://schemas.openxmlformats.org/officeDocument/2006/relationships/oleObject" Target="embeddings/oleObject154.bin"/><Relationship Id="rId332" Type="http://schemas.openxmlformats.org/officeDocument/2006/relationships/image" Target="media/image158.wmf"/><Relationship Id="rId353" Type="http://schemas.openxmlformats.org/officeDocument/2006/relationships/oleObject" Target="embeddings/oleObject175.bin"/><Relationship Id="rId374" Type="http://schemas.openxmlformats.org/officeDocument/2006/relationships/image" Target="media/image179.wmf"/><Relationship Id="rId395" Type="http://schemas.openxmlformats.org/officeDocument/2006/relationships/image" Target="media/image189.wmf"/><Relationship Id="rId409" Type="http://schemas.openxmlformats.org/officeDocument/2006/relationships/image" Target="media/image195.wmf"/><Relationship Id="rId71" Type="http://schemas.openxmlformats.org/officeDocument/2006/relationships/image" Target="media/image30.wmf"/><Relationship Id="rId92" Type="http://schemas.openxmlformats.org/officeDocument/2006/relationships/oleObject" Target="embeddings/oleObject42.bin"/><Relationship Id="rId213" Type="http://schemas.openxmlformats.org/officeDocument/2006/relationships/oleObject" Target="embeddings/oleObject104.bin"/><Relationship Id="rId234" Type="http://schemas.openxmlformats.org/officeDocument/2006/relationships/oleObject" Target="embeddings/oleObject115.bin"/><Relationship Id="rId420" Type="http://schemas.openxmlformats.org/officeDocument/2006/relationships/oleObject" Target="embeddings/oleObject209.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image" Target="media/image120.wmf"/><Relationship Id="rId276" Type="http://schemas.openxmlformats.org/officeDocument/2006/relationships/oleObject" Target="embeddings/oleObject136.bin"/><Relationship Id="rId297" Type="http://schemas.openxmlformats.org/officeDocument/2006/relationships/oleObject" Target="embeddings/oleObject147.bin"/><Relationship Id="rId441" Type="http://schemas.openxmlformats.org/officeDocument/2006/relationships/image" Target="media/image208.wmf"/><Relationship Id="rId40" Type="http://schemas.openxmlformats.org/officeDocument/2006/relationships/image" Target="media/image15.wmf"/><Relationship Id="rId115" Type="http://schemas.openxmlformats.org/officeDocument/2006/relationships/image" Target="media/image52.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image" Target="media/image82.wmf"/><Relationship Id="rId301" Type="http://schemas.openxmlformats.org/officeDocument/2006/relationships/oleObject" Target="embeddings/oleObject149.bin"/><Relationship Id="rId322" Type="http://schemas.openxmlformats.org/officeDocument/2006/relationships/image" Target="media/image153.wmf"/><Relationship Id="rId343" Type="http://schemas.openxmlformats.org/officeDocument/2006/relationships/oleObject" Target="embeddings/oleObject170.bin"/><Relationship Id="rId364" Type="http://schemas.openxmlformats.org/officeDocument/2006/relationships/image" Target="media/image174.wmf"/><Relationship Id="rId61" Type="http://schemas.openxmlformats.org/officeDocument/2006/relationships/image" Target="media/image25.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1.bin"/><Relationship Id="rId19" Type="http://schemas.openxmlformats.org/officeDocument/2006/relationships/oleObject" Target="embeddings/oleObject5.bin"/><Relationship Id="rId224" Type="http://schemas.openxmlformats.org/officeDocument/2006/relationships/image" Target="media/image105.wmf"/><Relationship Id="rId245" Type="http://schemas.openxmlformats.org/officeDocument/2006/relationships/image" Target="media/image115.wmf"/><Relationship Id="rId266" Type="http://schemas.openxmlformats.org/officeDocument/2006/relationships/oleObject" Target="embeddings/oleObject131.bin"/><Relationship Id="rId287" Type="http://schemas.openxmlformats.org/officeDocument/2006/relationships/oleObject" Target="embeddings/oleObject142.bin"/><Relationship Id="rId410" Type="http://schemas.openxmlformats.org/officeDocument/2006/relationships/oleObject" Target="embeddings/oleObject203.bin"/><Relationship Id="rId431" Type="http://schemas.openxmlformats.org/officeDocument/2006/relationships/image" Target="media/image203.wmf"/><Relationship Id="rId452" Type="http://schemas.openxmlformats.org/officeDocument/2006/relationships/hyperlink" Target="http://www.newgeography.com/content/002506-more-americans-move-detached-houses" TargetMode="External"/><Relationship Id="rId30" Type="http://schemas.openxmlformats.org/officeDocument/2006/relationships/image" Target="media/image10.wmf"/><Relationship Id="rId105" Type="http://schemas.openxmlformats.org/officeDocument/2006/relationships/image" Target="media/image47.wmf"/><Relationship Id="rId126" Type="http://schemas.openxmlformats.org/officeDocument/2006/relationships/oleObject" Target="embeddings/oleObject59.bin"/><Relationship Id="rId147" Type="http://schemas.openxmlformats.org/officeDocument/2006/relationships/image" Target="media/image68.wmf"/><Relationship Id="rId168" Type="http://schemas.openxmlformats.org/officeDocument/2006/relationships/image" Target="media/image77.wmf"/><Relationship Id="rId312" Type="http://schemas.openxmlformats.org/officeDocument/2006/relationships/image" Target="media/image148.wmf"/><Relationship Id="rId333" Type="http://schemas.openxmlformats.org/officeDocument/2006/relationships/oleObject" Target="embeddings/oleObject165.bin"/><Relationship Id="rId354" Type="http://schemas.openxmlformats.org/officeDocument/2006/relationships/image" Target="media/image169.wmf"/><Relationship Id="rId51" Type="http://schemas.openxmlformats.org/officeDocument/2006/relationships/image" Target="media/image20.wmf"/><Relationship Id="rId72" Type="http://schemas.openxmlformats.org/officeDocument/2006/relationships/oleObject" Target="embeddings/oleObject32.bin"/><Relationship Id="rId93" Type="http://schemas.openxmlformats.org/officeDocument/2006/relationships/image" Target="media/image41.wmf"/><Relationship Id="rId189" Type="http://schemas.openxmlformats.org/officeDocument/2006/relationships/oleObject" Target="embeddings/oleObject92.bin"/><Relationship Id="rId375" Type="http://schemas.openxmlformats.org/officeDocument/2006/relationships/oleObject" Target="embeddings/oleObject186.bin"/><Relationship Id="rId396" Type="http://schemas.openxmlformats.org/officeDocument/2006/relationships/oleObject" Target="embeddings/oleObject197.bin"/><Relationship Id="rId3" Type="http://schemas.openxmlformats.org/officeDocument/2006/relationships/styles" Target="styles.xml"/><Relationship Id="rId214" Type="http://schemas.openxmlformats.org/officeDocument/2006/relationships/image" Target="media/image100.wmf"/><Relationship Id="rId235" Type="http://schemas.openxmlformats.org/officeDocument/2006/relationships/image" Target="media/image110.wmf"/><Relationship Id="rId256" Type="http://schemas.openxmlformats.org/officeDocument/2006/relationships/oleObject" Target="embeddings/oleObject126.bin"/><Relationship Id="rId277" Type="http://schemas.openxmlformats.org/officeDocument/2006/relationships/image" Target="media/image131.wmf"/><Relationship Id="rId298" Type="http://schemas.openxmlformats.org/officeDocument/2006/relationships/image" Target="media/image141.wmf"/><Relationship Id="rId400" Type="http://schemas.openxmlformats.org/officeDocument/2006/relationships/oleObject" Target="embeddings/oleObject199.bin"/><Relationship Id="rId421" Type="http://schemas.openxmlformats.org/officeDocument/2006/relationships/oleObject" Target="embeddings/oleObject210.bin"/><Relationship Id="rId442" Type="http://schemas.openxmlformats.org/officeDocument/2006/relationships/oleObject" Target="embeddings/oleObject222.bin"/><Relationship Id="rId670" Type="http://schemas.microsoft.com/office/2011/relationships/people" Target="people.xml"/><Relationship Id="rId116" Type="http://schemas.openxmlformats.org/officeDocument/2006/relationships/oleObject" Target="embeddings/oleObject54.bin"/><Relationship Id="rId137" Type="http://schemas.openxmlformats.org/officeDocument/2006/relationships/image" Target="media/image63.wmf"/><Relationship Id="rId158" Type="http://schemas.openxmlformats.org/officeDocument/2006/relationships/image" Target="media/image73.wmf"/><Relationship Id="rId302" Type="http://schemas.openxmlformats.org/officeDocument/2006/relationships/image" Target="media/image143.wmf"/><Relationship Id="rId323" Type="http://schemas.openxmlformats.org/officeDocument/2006/relationships/oleObject" Target="embeddings/oleObject160.bin"/><Relationship Id="rId344" Type="http://schemas.openxmlformats.org/officeDocument/2006/relationships/image" Target="media/image164.wmf"/><Relationship Id="rId20" Type="http://schemas.openxmlformats.org/officeDocument/2006/relationships/image" Target="media/image5.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image" Target="media/image36.wmf"/><Relationship Id="rId179" Type="http://schemas.openxmlformats.org/officeDocument/2006/relationships/oleObject" Target="embeddings/oleObject87.bin"/><Relationship Id="rId365" Type="http://schemas.openxmlformats.org/officeDocument/2006/relationships/oleObject" Target="embeddings/oleObject181.bin"/><Relationship Id="rId386" Type="http://schemas.openxmlformats.org/officeDocument/2006/relationships/oleObject" Target="embeddings/oleObject192.bin"/><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image" Target="media/image126.wmf"/><Relationship Id="rId288" Type="http://schemas.openxmlformats.org/officeDocument/2006/relationships/image" Target="media/image136.wmf"/><Relationship Id="rId411" Type="http://schemas.openxmlformats.org/officeDocument/2006/relationships/image" Target="media/image196.wmf"/><Relationship Id="rId432" Type="http://schemas.openxmlformats.org/officeDocument/2006/relationships/oleObject" Target="embeddings/oleObject217.bin"/><Relationship Id="rId453" Type="http://schemas.openxmlformats.org/officeDocument/2006/relationships/footer" Target="footer2.xml"/><Relationship Id="rId106" Type="http://schemas.openxmlformats.org/officeDocument/2006/relationships/oleObject" Target="embeddings/oleObject49.bin"/><Relationship Id="rId127" Type="http://schemas.openxmlformats.org/officeDocument/2006/relationships/image" Target="media/image58.wmf"/><Relationship Id="rId313" Type="http://schemas.openxmlformats.org/officeDocument/2006/relationships/oleObject" Target="embeddings/oleObject155.bin"/><Relationship Id="rId10" Type="http://schemas.openxmlformats.org/officeDocument/2006/relationships/footer" Target="footer1.xml"/><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1.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2.bin"/><Relationship Id="rId334" Type="http://schemas.openxmlformats.org/officeDocument/2006/relationships/image" Target="media/image159.wmf"/><Relationship Id="rId355" Type="http://schemas.openxmlformats.org/officeDocument/2006/relationships/oleObject" Target="embeddings/oleObject176.bin"/><Relationship Id="rId376" Type="http://schemas.openxmlformats.org/officeDocument/2006/relationships/image" Target="media/image180.wmf"/><Relationship Id="rId397" Type="http://schemas.openxmlformats.org/officeDocument/2006/relationships/image" Target="media/image190.wmf"/><Relationship Id="rId4" Type="http://schemas.microsoft.com/office/2007/relationships/stylesWithEffects" Target="stylesWithEffects.xml"/><Relationship Id="rId180" Type="http://schemas.openxmlformats.org/officeDocument/2006/relationships/image" Target="media/image83.wmf"/><Relationship Id="rId215" Type="http://schemas.openxmlformats.org/officeDocument/2006/relationships/oleObject" Target="embeddings/oleObject105.bin"/><Relationship Id="rId236" Type="http://schemas.openxmlformats.org/officeDocument/2006/relationships/oleObject" Target="embeddings/oleObject116.bin"/><Relationship Id="rId257" Type="http://schemas.openxmlformats.org/officeDocument/2006/relationships/image" Target="media/image121.wmf"/><Relationship Id="rId278" Type="http://schemas.openxmlformats.org/officeDocument/2006/relationships/oleObject" Target="embeddings/oleObject137.bin"/><Relationship Id="rId401" Type="http://schemas.openxmlformats.org/officeDocument/2006/relationships/hyperlink" Target="http://www.caee.utexas.edu/prof/bhat/ABSTRACTS/ResidentialChoice/Online_supplementary_note.pdf" TargetMode="External"/><Relationship Id="rId422" Type="http://schemas.openxmlformats.org/officeDocument/2006/relationships/oleObject" Target="embeddings/oleObject211.bin"/><Relationship Id="rId443" Type="http://schemas.openxmlformats.org/officeDocument/2006/relationships/image" Target="media/image209.wmf"/><Relationship Id="rId303" Type="http://schemas.openxmlformats.org/officeDocument/2006/relationships/oleObject" Target="embeddings/oleObject150.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oleObject" Target="embeddings/oleObject171.bin"/><Relationship Id="rId387" Type="http://schemas.openxmlformats.org/officeDocument/2006/relationships/image" Target="media/image185.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16.wmf"/><Relationship Id="rId412" Type="http://schemas.openxmlformats.org/officeDocument/2006/relationships/oleObject" Target="embeddings/oleObject204.bin"/><Relationship Id="rId107" Type="http://schemas.openxmlformats.org/officeDocument/2006/relationships/image" Target="media/image48.wmf"/><Relationship Id="rId289" Type="http://schemas.openxmlformats.org/officeDocument/2006/relationships/oleObject" Target="embeddings/oleObject143.bin"/><Relationship Id="rId454" Type="http://schemas.openxmlformats.org/officeDocument/2006/relationships/image" Target="media/image213.jpg"/><Relationship Id="rId11" Type="http://schemas.openxmlformats.org/officeDocument/2006/relationships/image" Target="media/image1.wmf"/><Relationship Id="rId53" Type="http://schemas.openxmlformats.org/officeDocument/2006/relationships/image" Target="media/image21.wmf"/><Relationship Id="rId149" Type="http://schemas.openxmlformats.org/officeDocument/2006/relationships/image" Target="media/image69.wmf"/><Relationship Id="rId314" Type="http://schemas.openxmlformats.org/officeDocument/2006/relationships/image" Target="media/image149.wmf"/><Relationship Id="rId356" Type="http://schemas.openxmlformats.org/officeDocument/2006/relationships/image" Target="media/image170.wmf"/><Relationship Id="rId398" Type="http://schemas.openxmlformats.org/officeDocument/2006/relationships/oleObject" Target="embeddings/oleObject198.bin"/><Relationship Id="rId95" Type="http://schemas.openxmlformats.org/officeDocument/2006/relationships/image" Target="media/image42.wmf"/><Relationship Id="rId160" Type="http://schemas.openxmlformats.org/officeDocument/2006/relationships/image" Target="media/image74.wmf"/><Relationship Id="rId216" Type="http://schemas.openxmlformats.org/officeDocument/2006/relationships/image" Target="media/image101.wmf"/><Relationship Id="rId423" Type="http://schemas.openxmlformats.org/officeDocument/2006/relationships/oleObject" Target="embeddings/oleObject212.bin"/><Relationship Id="rId258" Type="http://schemas.openxmlformats.org/officeDocument/2006/relationships/oleObject" Target="embeddings/oleObject127.bin"/><Relationship Id="rId22" Type="http://schemas.openxmlformats.org/officeDocument/2006/relationships/image" Target="media/image6.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1.bin"/><Relationship Id="rId367" Type="http://schemas.openxmlformats.org/officeDocument/2006/relationships/oleObject" Target="embeddings/oleObject182.bin"/><Relationship Id="rId171" Type="http://schemas.openxmlformats.org/officeDocument/2006/relationships/oleObject" Target="embeddings/oleObject83.bin"/><Relationship Id="rId227" Type="http://schemas.openxmlformats.org/officeDocument/2006/relationships/oleObject" Target="embeddings/oleObject111.bin"/><Relationship Id="rId269" Type="http://schemas.openxmlformats.org/officeDocument/2006/relationships/image" Target="media/image127.wmf"/><Relationship Id="rId434" Type="http://schemas.openxmlformats.org/officeDocument/2006/relationships/oleObject" Target="embeddings/oleObject218.bin"/><Relationship Id="rId33" Type="http://schemas.openxmlformats.org/officeDocument/2006/relationships/oleObject" Target="embeddings/oleObject12.bin"/><Relationship Id="rId129" Type="http://schemas.openxmlformats.org/officeDocument/2006/relationships/image" Target="media/image59.wmf"/><Relationship Id="rId280" Type="http://schemas.openxmlformats.org/officeDocument/2006/relationships/oleObject" Target="embeddings/oleObject138.bin"/><Relationship Id="rId336" Type="http://schemas.openxmlformats.org/officeDocument/2006/relationships/image" Target="media/image160.wmf"/><Relationship Id="rId75" Type="http://schemas.openxmlformats.org/officeDocument/2006/relationships/image" Target="media/image32.wmf"/><Relationship Id="rId140" Type="http://schemas.openxmlformats.org/officeDocument/2006/relationships/oleObject" Target="embeddings/oleObject66.bin"/><Relationship Id="rId182" Type="http://schemas.openxmlformats.org/officeDocument/2006/relationships/image" Target="media/image84.wmf"/><Relationship Id="rId378" Type="http://schemas.openxmlformats.org/officeDocument/2006/relationships/image" Target="media/image181.wmf"/><Relationship Id="rId403" Type="http://schemas.openxmlformats.org/officeDocument/2006/relationships/image" Target="media/image192.wmf"/><Relationship Id="rId6" Type="http://schemas.openxmlformats.org/officeDocument/2006/relationships/webSettings" Target="webSettings.xml"/><Relationship Id="rId238" Type="http://schemas.openxmlformats.org/officeDocument/2006/relationships/oleObject" Target="embeddings/oleObject117.bin"/><Relationship Id="rId445" Type="http://schemas.openxmlformats.org/officeDocument/2006/relationships/image" Target="media/image2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D951-B80C-4868-946B-E34E3CB3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63</Pages>
  <Words>21557</Words>
  <Characters>122881</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144150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Dubey, Subodh K</dc:creator>
  <cp:lastModifiedBy>weyantlj</cp:lastModifiedBy>
  <cp:revision>4</cp:revision>
  <cp:lastPrinted>2015-05-18T23:22:00Z</cp:lastPrinted>
  <dcterms:created xsi:type="dcterms:W3CDTF">2015-05-18T23:22:00Z</dcterms:created>
  <dcterms:modified xsi:type="dcterms:W3CDTF">2015-05-18T23:27:00Z</dcterms:modified>
</cp:coreProperties>
</file>