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AF508F" w14:textId="02D9433C" w:rsidR="00020841" w:rsidRDefault="00020841" w:rsidP="00F7439A">
      <w:pPr>
        <w:spacing w:after="0" w:line="240" w:lineRule="auto"/>
        <w:contextualSpacing/>
        <w:rPr>
          <w:rFonts w:eastAsiaTheme="majorEastAsia" w:cstheme="majorBidi"/>
          <w:b/>
          <w:bCs/>
          <w:sz w:val="24"/>
          <w:szCs w:val="24"/>
        </w:rPr>
      </w:pPr>
    </w:p>
    <w:p w14:paraId="27D0333F" w14:textId="77777777" w:rsidR="00B0521F" w:rsidRDefault="00B0521F" w:rsidP="00F7439A">
      <w:pPr>
        <w:spacing w:after="0" w:line="240" w:lineRule="auto"/>
        <w:contextualSpacing/>
        <w:rPr>
          <w:rFonts w:eastAsiaTheme="majorEastAsia" w:cstheme="majorBidi"/>
          <w:b/>
          <w:bCs/>
          <w:sz w:val="24"/>
          <w:szCs w:val="24"/>
        </w:rPr>
      </w:pPr>
    </w:p>
    <w:p w14:paraId="794AAD02" w14:textId="77777777" w:rsidR="00B0521F" w:rsidRDefault="00B0521F" w:rsidP="00F7439A">
      <w:pPr>
        <w:spacing w:after="0" w:line="240" w:lineRule="auto"/>
        <w:contextualSpacing/>
        <w:rPr>
          <w:rFonts w:eastAsiaTheme="majorEastAsia" w:cstheme="majorBidi"/>
          <w:b/>
          <w:bCs/>
          <w:sz w:val="24"/>
          <w:szCs w:val="24"/>
        </w:rPr>
      </w:pPr>
    </w:p>
    <w:p w14:paraId="5C70897B" w14:textId="02C69678" w:rsidR="00FD087D" w:rsidRPr="00020841" w:rsidRDefault="003B7039" w:rsidP="00F7439A">
      <w:pPr>
        <w:spacing w:after="0" w:line="240" w:lineRule="auto"/>
        <w:contextualSpacing/>
        <w:rPr>
          <w:rFonts w:eastAsiaTheme="majorEastAsia" w:cstheme="majorBidi"/>
          <w:b/>
          <w:bCs/>
          <w:sz w:val="24"/>
          <w:szCs w:val="24"/>
        </w:rPr>
      </w:pPr>
      <w:r w:rsidRPr="00020841">
        <w:rPr>
          <w:rFonts w:eastAsiaTheme="majorEastAsia" w:cstheme="majorBidi"/>
          <w:b/>
          <w:bCs/>
          <w:sz w:val="24"/>
          <w:szCs w:val="24"/>
        </w:rPr>
        <w:t>A Model of Deadheading Trips and Pick-Up Locations for Ride-Hailing Service Vehicles</w:t>
      </w:r>
    </w:p>
    <w:p w14:paraId="721BF39E" w14:textId="1878BF79" w:rsidR="00FD087D" w:rsidRDefault="00FD087D" w:rsidP="00F7439A">
      <w:pPr>
        <w:spacing w:after="0" w:line="240" w:lineRule="auto"/>
        <w:rPr>
          <w:sz w:val="24"/>
          <w:szCs w:val="24"/>
        </w:rPr>
      </w:pPr>
    </w:p>
    <w:p w14:paraId="6B563B81" w14:textId="77777777" w:rsidR="00F534E2" w:rsidRDefault="00F534E2" w:rsidP="00F7439A">
      <w:pPr>
        <w:spacing w:after="0" w:line="240" w:lineRule="auto"/>
        <w:rPr>
          <w:b/>
          <w:sz w:val="24"/>
          <w:szCs w:val="24"/>
        </w:rPr>
      </w:pPr>
    </w:p>
    <w:p w14:paraId="33B2783C" w14:textId="77777777" w:rsidR="00020841" w:rsidRDefault="00020841" w:rsidP="00F7439A">
      <w:pPr>
        <w:spacing w:after="0" w:line="240" w:lineRule="auto"/>
        <w:rPr>
          <w:b/>
          <w:sz w:val="24"/>
          <w:szCs w:val="24"/>
        </w:rPr>
      </w:pPr>
    </w:p>
    <w:p w14:paraId="60BB5A0E" w14:textId="77777777" w:rsidR="00020841" w:rsidRDefault="00020841" w:rsidP="00F7439A">
      <w:pPr>
        <w:spacing w:after="0" w:line="240" w:lineRule="auto"/>
        <w:rPr>
          <w:b/>
          <w:sz w:val="24"/>
          <w:szCs w:val="24"/>
        </w:rPr>
      </w:pPr>
    </w:p>
    <w:p w14:paraId="40DC1D9D" w14:textId="77777777" w:rsidR="00B0521F" w:rsidRPr="00FA67AA" w:rsidRDefault="00B0521F" w:rsidP="00F7439A">
      <w:pPr>
        <w:spacing w:after="0" w:line="240" w:lineRule="auto"/>
        <w:rPr>
          <w:b/>
          <w:sz w:val="24"/>
          <w:szCs w:val="24"/>
        </w:rPr>
      </w:pPr>
    </w:p>
    <w:p w14:paraId="355DF80C" w14:textId="77777777" w:rsidR="00FD087D" w:rsidRPr="00020841" w:rsidRDefault="00FD087D" w:rsidP="00F7439A">
      <w:pPr>
        <w:spacing w:after="0" w:line="240" w:lineRule="auto"/>
        <w:rPr>
          <w:b/>
          <w:sz w:val="24"/>
          <w:szCs w:val="24"/>
        </w:rPr>
      </w:pPr>
      <w:proofErr w:type="spellStart"/>
      <w:r w:rsidRPr="00020841">
        <w:rPr>
          <w:b/>
          <w:sz w:val="24"/>
          <w:szCs w:val="24"/>
        </w:rPr>
        <w:t>Gopindra</w:t>
      </w:r>
      <w:proofErr w:type="spellEnd"/>
      <w:r w:rsidRPr="00020841">
        <w:rPr>
          <w:b/>
          <w:sz w:val="24"/>
          <w:szCs w:val="24"/>
        </w:rPr>
        <w:t xml:space="preserve"> S. Nair</w:t>
      </w:r>
    </w:p>
    <w:p w14:paraId="7101C3BE" w14:textId="77777777" w:rsidR="00FD087D" w:rsidRPr="00020841" w:rsidRDefault="00FD087D" w:rsidP="00F7439A">
      <w:pPr>
        <w:spacing w:after="0" w:line="240" w:lineRule="auto"/>
        <w:rPr>
          <w:sz w:val="24"/>
          <w:szCs w:val="24"/>
        </w:rPr>
      </w:pPr>
      <w:r w:rsidRPr="00020841">
        <w:rPr>
          <w:sz w:val="24"/>
          <w:szCs w:val="24"/>
        </w:rPr>
        <w:t>The University of Texas at Austin</w:t>
      </w:r>
    </w:p>
    <w:p w14:paraId="6BBF32A0" w14:textId="77777777" w:rsidR="00FD087D" w:rsidRPr="00020841" w:rsidRDefault="00FD087D" w:rsidP="00F7439A">
      <w:pPr>
        <w:spacing w:after="0" w:line="240" w:lineRule="auto"/>
        <w:rPr>
          <w:sz w:val="24"/>
          <w:szCs w:val="24"/>
        </w:rPr>
      </w:pPr>
      <w:r w:rsidRPr="00020841">
        <w:rPr>
          <w:sz w:val="24"/>
          <w:szCs w:val="24"/>
        </w:rPr>
        <w:t>Department of Civil, Architectural and Environmental Engineering</w:t>
      </w:r>
    </w:p>
    <w:p w14:paraId="210625D4" w14:textId="77777777" w:rsidR="00FD087D" w:rsidRPr="00020841" w:rsidRDefault="00FD087D" w:rsidP="00F7439A">
      <w:pPr>
        <w:spacing w:after="0" w:line="240" w:lineRule="auto"/>
        <w:rPr>
          <w:sz w:val="24"/>
          <w:szCs w:val="24"/>
        </w:rPr>
      </w:pPr>
      <w:r w:rsidRPr="00020841">
        <w:rPr>
          <w:sz w:val="24"/>
          <w:szCs w:val="24"/>
        </w:rPr>
        <w:t>301 E. Dean Keeton St. Stop C1761, Austin, TX 78712, USA</w:t>
      </w:r>
    </w:p>
    <w:p w14:paraId="03E5F9AE" w14:textId="3F2D47A6" w:rsidR="00FD087D" w:rsidRPr="00020841" w:rsidRDefault="00FD087D" w:rsidP="00F7439A">
      <w:pPr>
        <w:spacing w:after="0" w:line="240" w:lineRule="auto"/>
        <w:rPr>
          <w:sz w:val="24"/>
          <w:szCs w:val="24"/>
        </w:rPr>
      </w:pPr>
      <w:r w:rsidRPr="00020841">
        <w:rPr>
          <w:sz w:val="24"/>
          <w:szCs w:val="24"/>
        </w:rPr>
        <w:t xml:space="preserve">Tel: 512-471-4535; Email: </w:t>
      </w:r>
      <w:hyperlink r:id="rId8" w:history="1">
        <w:r w:rsidRPr="00020841">
          <w:rPr>
            <w:color w:val="0563C1" w:themeColor="hyperlink"/>
            <w:sz w:val="24"/>
            <w:szCs w:val="24"/>
            <w:u w:val="single"/>
          </w:rPr>
          <w:t>gopindra@utexas.edu</w:t>
        </w:r>
      </w:hyperlink>
    </w:p>
    <w:p w14:paraId="28A83C83" w14:textId="77777777" w:rsidR="00FD087D" w:rsidRPr="00020841" w:rsidRDefault="00FD087D" w:rsidP="00F7439A">
      <w:pPr>
        <w:spacing w:after="0" w:line="240" w:lineRule="auto"/>
        <w:rPr>
          <w:sz w:val="24"/>
          <w:szCs w:val="24"/>
        </w:rPr>
      </w:pPr>
    </w:p>
    <w:p w14:paraId="59263F2F" w14:textId="13395C6E" w:rsidR="00FD087D" w:rsidRPr="00020841" w:rsidRDefault="00FD087D" w:rsidP="00F7439A">
      <w:pPr>
        <w:spacing w:after="0" w:line="240" w:lineRule="auto"/>
        <w:rPr>
          <w:b/>
          <w:sz w:val="24"/>
          <w:szCs w:val="24"/>
        </w:rPr>
      </w:pPr>
      <w:r w:rsidRPr="00020841">
        <w:rPr>
          <w:b/>
          <w:sz w:val="24"/>
          <w:szCs w:val="24"/>
        </w:rPr>
        <w:t>Chandra R. Bhat</w:t>
      </w:r>
      <w:r w:rsidR="00020841" w:rsidRPr="00020841">
        <w:rPr>
          <w:b/>
          <w:sz w:val="24"/>
          <w:szCs w:val="24"/>
        </w:rPr>
        <w:t xml:space="preserve"> (corresponding author)</w:t>
      </w:r>
    </w:p>
    <w:p w14:paraId="2B52E6DC" w14:textId="77777777" w:rsidR="00FD087D" w:rsidRPr="00020841" w:rsidRDefault="00FD087D" w:rsidP="00F7439A">
      <w:pPr>
        <w:spacing w:after="0" w:line="240" w:lineRule="auto"/>
        <w:rPr>
          <w:sz w:val="24"/>
          <w:szCs w:val="24"/>
        </w:rPr>
      </w:pPr>
      <w:r w:rsidRPr="00020841">
        <w:rPr>
          <w:sz w:val="24"/>
          <w:szCs w:val="24"/>
        </w:rPr>
        <w:t>The University of Texas at Austin</w:t>
      </w:r>
    </w:p>
    <w:p w14:paraId="266F5845" w14:textId="77777777" w:rsidR="00FD087D" w:rsidRPr="00020841" w:rsidRDefault="00FD087D" w:rsidP="00F7439A">
      <w:pPr>
        <w:spacing w:after="0" w:line="240" w:lineRule="auto"/>
        <w:rPr>
          <w:sz w:val="24"/>
          <w:szCs w:val="24"/>
        </w:rPr>
      </w:pPr>
      <w:r w:rsidRPr="00020841">
        <w:rPr>
          <w:sz w:val="24"/>
          <w:szCs w:val="24"/>
        </w:rPr>
        <w:t>Department of Civil, Architectural and Environmental Engineering</w:t>
      </w:r>
    </w:p>
    <w:p w14:paraId="189A1A72" w14:textId="77777777" w:rsidR="00FD087D" w:rsidRPr="00020841" w:rsidRDefault="00FD087D" w:rsidP="00F7439A">
      <w:pPr>
        <w:spacing w:after="0" w:line="240" w:lineRule="auto"/>
        <w:rPr>
          <w:sz w:val="24"/>
          <w:szCs w:val="24"/>
        </w:rPr>
      </w:pPr>
      <w:r w:rsidRPr="00020841">
        <w:rPr>
          <w:sz w:val="24"/>
          <w:szCs w:val="24"/>
        </w:rPr>
        <w:t>301 E. Dean Keeton St. Stop C1761, Austin, TX 78712, USA</w:t>
      </w:r>
    </w:p>
    <w:p w14:paraId="6AF556E9" w14:textId="47227376" w:rsidR="00FD087D" w:rsidRPr="00020841" w:rsidRDefault="00FD087D" w:rsidP="00F7439A">
      <w:pPr>
        <w:spacing w:after="0" w:line="240" w:lineRule="auto"/>
        <w:rPr>
          <w:sz w:val="24"/>
          <w:szCs w:val="24"/>
        </w:rPr>
      </w:pPr>
      <w:r w:rsidRPr="00020841">
        <w:rPr>
          <w:sz w:val="24"/>
          <w:szCs w:val="24"/>
        </w:rPr>
        <w:t xml:space="preserve">Tel: 512-471-4535; Email: </w:t>
      </w:r>
      <w:hyperlink r:id="rId9" w:history="1">
        <w:r w:rsidRPr="00020841">
          <w:rPr>
            <w:color w:val="0563C1" w:themeColor="hyperlink"/>
            <w:sz w:val="24"/>
            <w:szCs w:val="24"/>
            <w:u w:val="single"/>
          </w:rPr>
          <w:t>bhat@mail.utexas.edu</w:t>
        </w:r>
      </w:hyperlink>
      <w:r w:rsidRPr="00020841">
        <w:rPr>
          <w:sz w:val="24"/>
          <w:szCs w:val="24"/>
        </w:rPr>
        <w:t xml:space="preserve"> </w:t>
      </w:r>
    </w:p>
    <w:p w14:paraId="61141E21" w14:textId="77777777" w:rsidR="00FD087D" w:rsidRPr="00020841" w:rsidRDefault="00FD087D" w:rsidP="00F7439A">
      <w:pPr>
        <w:spacing w:after="0" w:line="240" w:lineRule="auto"/>
        <w:rPr>
          <w:sz w:val="24"/>
          <w:szCs w:val="24"/>
        </w:rPr>
      </w:pPr>
      <w:r w:rsidRPr="00020841">
        <w:rPr>
          <w:sz w:val="24"/>
          <w:szCs w:val="24"/>
        </w:rPr>
        <w:t>and</w:t>
      </w:r>
    </w:p>
    <w:p w14:paraId="5BD4D0FF" w14:textId="77777777" w:rsidR="00FD087D" w:rsidRPr="00020841" w:rsidRDefault="00FD087D" w:rsidP="00F7439A">
      <w:pPr>
        <w:spacing w:after="0" w:line="240" w:lineRule="auto"/>
        <w:rPr>
          <w:sz w:val="24"/>
          <w:szCs w:val="24"/>
        </w:rPr>
      </w:pPr>
      <w:r w:rsidRPr="00020841">
        <w:rPr>
          <w:sz w:val="24"/>
          <w:szCs w:val="24"/>
        </w:rPr>
        <w:t xml:space="preserve">The Hong Kong Polytechnic University, Hung </w:t>
      </w:r>
      <w:proofErr w:type="spellStart"/>
      <w:r w:rsidRPr="00020841">
        <w:rPr>
          <w:sz w:val="24"/>
          <w:szCs w:val="24"/>
        </w:rPr>
        <w:t>Hom</w:t>
      </w:r>
      <w:proofErr w:type="spellEnd"/>
      <w:r w:rsidRPr="00020841">
        <w:rPr>
          <w:sz w:val="24"/>
          <w:szCs w:val="24"/>
        </w:rPr>
        <w:t>, Kowloon, Hong Kong</w:t>
      </w:r>
    </w:p>
    <w:p w14:paraId="0E62ADE4" w14:textId="03D43557" w:rsidR="00FD087D" w:rsidRPr="00020841" w:rsidRDefault="00FD087D" w:rsidP="00F7439A">
      <w:pPr>
        <w:spacing w:after="0" w:line="240" w:lineRule="auto"/>
        <w:rPr>
          <w:sz w:val="24"/>
          <w:szCs w:val="24"/>
        </w:rPr>
      </w:pPr>
    </w:p>
    <w:p w14:paraId="37850A4A" w14:textId="45B91DE1" w:rsidR="00E268B0" w:rsidRPr="00020841" w:rsidRDefault="00E268B0" w:rsidP="00E268B0">
      <w:pPr>
        <w:spacing w:after="0" w:line="240" w:lineRule="auto"/>
        <w:jc w:val="left"/>
        <w:rPr>
          <w:rFonts w:cs="Times New Roman"/>
          <w:b/>
          <w:sz w:val="24"/>
          <w:szCs w:val="24"/>
        </w:rPr>
      </w:pPr>
      <w:r w:rsidRPr="00020841">
        <w:rPr>
          <w:rFonts w:cs="Times New Roman"/>
          <w:b/>
          <w:sz w:val="24"/>
          <w:szCs w:val="24"/>
        </w:rPr>
        <w:t>Irfan Batur</w:t>
      </w:r>
    </w:p>
    <w:p w14:paraId="05E87A99" w14:textId="77777777" w:rsidR="00E268B0" w:rsidRPr="00020841" w:rsidRDefault="00E268B0" w:rsidP="00E268B0">
      <w:pPr>
        <w:spacing w:after="0" w:line="240" w:lineRule="auto"/>
        <w:jc w:val="left"/>
        <w:rPr>
          <w:rFonts w:cs="Times New Roman"/>
          <w:sz w:val="24"/>
          <w:szCs w:val="24"/>
        </w:rPr>
      </w:pPr>
      <w:r w:rsidRPr="00020841">
        <w:rPr>
          <w:rFonts w:cs="Times New Roman"/>
          <w:sz w:val="24"/>
          <w:szCs w:val="24"/>
        </w:rPr>
        <w:t>Arizona State University</w:t>
      </w:r>
    </w:p>
    <w:p w14:paraId="42B3FE86" w14:textId="77777777" w:rsidR="00E268B0" w:rsidRPr="00020841" w:rsidRDefault="00E268B0" w:rsidP="00E268B0">
      <w:pPr>
        <w:spacing w:after="0" w:line="240" w:lineRule="auto"/>
        <w:jc w:val="left"/>
        <w:rPr>
          <w:rFonts w:cs="Times New Roman"/>
          <w:sz w:val="24"/>
          <w:szCs w:val="24"/>
        </w:rPr>
      </w:pPr>
      <w:r w:rsidRPr="00020841">
        <w:rPr>
          <w:rFonts w:cs="Times New Roman"/>
          <w:sz w:val="24"/>
          <w:szCs w:val="24"/>
        </w:rPr>
        <w:t>School of Sustainable Engineering and the Built Environment</w:t>
      </w:r>
    </w:p>
    <w:p w14:paraId="0E382456" w14:textId="5E112163" w:rsidR="00E268B0" w:rsidRPr="00020841" w:rsidRDefault="00E268B0" w:rsidP="00E268B0">
      <w:pPr>
        <w:spacing w:after="0" w:line="240" w:lineRule="auto"/>
        <w:jc w:val="left"/>
        <w:rPr>
          <w:rFonts w:cs="Times New Roman"/>
          <w:sz w:val="24"/>
          <w:szCs w:val="24"/>
        </w:rPr>
      </w:pPr>
      <w:r w:rsidRPr="00020841">
        <w:rPr>
          <w:rFonts w:cs="Times New Roman"/>
          <w:sz w:val="24"/>
          <w:szCs w:val="24"/>
        </w:rPr>
        <w:t>660 S. College Avenue, Tempe, AZ 85287-3005</w:t>
      </w:r>
      <w:r w:rsidR="00020841">
        <w:rPr>
          <w:rFonts w:cs="Times New Roman"/>
          <w:sz w:val="24"/>
          <w:szCs w:val="24"/>
        </w:rPr>
        <w:t xml:space="preserve">, </w:t>
      </w:r>
      <w:r w:rsidR="00020841" w:rsidRPr="00020841">
        <w:rPr>
          <w:sz w:val="24"/>
          <w:szCs w:val="24"/>
        </w:rPr>
        <w:t>USA</w:t>
      </w:r>
    </w:p>
    <w:p w14:paraId="7F0F0918" w14:textId="0FB44CA3" w:rsidR="00E268B0" w:rsidRPr="00020841" w:rsidRDefault="00E268B0" w:rsidP="001C78C3">
      <w:pPr>
        <w:spacing w:after="0" w:line="240" w:lineRule="auto"/>
        <w:jc w:val="left"/>
        <w:rPr>
          <w:rFonts w:cs="Times New Roman"/>
          <w:sz w:val="24"/>
          <w:szCs w:val="24"/>
        </w:rPr>
      </w:pPr>
      <w:r w:rsidRPr="00020841">
        <w:rPr>
          <w:rFonts w:cs="Times New Roman"/>
          <w:sz w:val="24"/>
          <w:szCs w:val="24"/>
        </w:rPr>
        <w:t xml:space="preserve">Tel: 480-727-3613; Email: </w:t>
      </w:r>
      <w:hyperlink r:id="rId10" w:history="1">
        <w:r w:rsidRPr="00020841">
          <w:rPr>
            <w:rStyle w:val="Hyperlink"/>
            <w:rFonts w:cs="Times New Roman"/>
            <w:sz w:val="24"/>
            <w:szCs w:val="24"/>
          </w:rPr>
          <w:t>ibatur@asu.edu</w:t>
        </w:r>
      </w:hyperlink>
      <w:r w:rsidRPr="00020841">
        <w:rPr>
          <w:rFonts w:cs="Times New Roman"/>
          <w:sz w:val="24"/>
          <w:szCs w:val="24"/>
        </w:rPr>
        <w:t xml:space="preserve"> </w:t>
      </w:r>
    </w:p>
    <w:p w14:paraId="769AE9C7" w14:textId="77777777" w:rsidR="00E268B0" w:rsidRPr="00020841" w:rsidRDefault="00E268B0" w:rsidP="00F7439A">
      <w:pPr>
        <w:spacing w:after="0" w:line="240" w:lineRule="auto"/>
        <w:rPr>
          <w:sz w:val="24"/>
          <w:szCs w:val="24"/>
        </w:rPr>
      </w:pPr>
    </w:p>
    <w:p w14:paraId="2154B6D6" w14:textId="77777777" w:rsidR="00D95BC7" w:rsidRPr="00020841" w:rsidRDefault="00D95BC7" w:rsidP="00F7439A">
      <w:pPr>
        <w:spacing w:after="0" w:line="240" w:lineRule="auto"/>
        <w:jc w:val="left"/>
        <w:rPr>
          <w:rFonts w:cs="Times New Roman"/>
          <w:b/>
          <w:sz w:val="24"/>
          <w:szCs w:val="24"/>
        </w:rPr>
      </w:pPr>
      <w:r w:rsidRPr="00020841">
        <w:rPr>
          <w:rFonts w:cs="Times New Roman"/>
          <w:b/>
          <w:sz w:val="24"/>
          <w:szCs w:val="24"/>
        </w:rPr>
        <w:t xml:space="preserve">Ram M. </w:t>
      </w:r>
      <w:proofErr w:type="spellStart"/>
      <w:r w:rsidRPr="00020841">
        <w:rPr>
          <w:rFonts w:cs="Times New Roman"/>
          <w:b/>
          <w:sz w:val="24"/>
          <w:szCs w:val="24"/>
        </w:rPr>
        <w:t>Pendyala</w:t>
      </w:r>
      <w:proofErr w:type="spellEnd"/>
    </w:p>
    <w:p w14:paraId="49F6FA5F" w14:textId="77777777" w:rsidR="00D95BC7" w:rsidRPr="00020841" w:rsidRDefault="00D95BC7" w:rsidP="00F7439A">
      <w:pPr>
        <w:spacing w:after="0" w:line="240" w:lineRule="auto"/>
        <w:jc w:val="left"/>
        <w:rPr>
          <w:rFonts w:cs="Times New Roman"/>
          <w:sz w:val="24"/>
          <w:szCs w:val="24"/>
        </w:rPr>
      </w:pPr>
      <w:r w:rsidRPr="00020841">
        <w:rPr>
          <w:rFonts w:cs="Times New Roman"/>
          <w:sz w:val="24"/>
          <w:szCs w:val="24"/>
        </w:rPr>
        <w:t>Arizona State University</w:t>
      </w:r>
    </w:p>
    <w:p w14:paraId="22EFE50E" w14:textId="77777777" w:rsidR="00D95BC7" w:rsidRPr="00020841" w:rsidRDefault="00D95BC7" w:rsidP="00F7439A">
      <w:pPr>
        <w:spacing w:after="0" w:line="240" w:lineRule="auto"/>
        <w:jc w:val="left"/>
        <w:rPr>
          <w:rFonts w:cs="Times New Roman"/>
          <w:sz w:val="24"/>
          <w:szCs w:val="24"/>
        </w:rPr>
      </w:pPr>
      <w:r w:rsidRPr="00020841">
        <w:rPr>
          <w:rFonts w:cs="Times New Roman"/>
          <w:sz w:val="24"/>
          <w:szCs w:val="24"/>
        </w:rPr>
        <w:t>School of Sustainable Engineering and the Built Environment</w:t>
      </w:r>
    </w:p>
    <w:p w14:paraId="68331C0E" w14:textId="327C900F" w:rsidR="00D95BC7" w:rsidRPr="00020841" w:rsidRDefault="00D95BC7" w:rsidP="00F7439A">
      <w:pPr>
        <w:spacing w:after="0" w:line="240" w:lineRule="auto"/>
        <w:jc w:val="left"/>
        <w:rPr>
          <w:rFonts w:cs="Times New Roman"/>
          <w:sz w:val="24"/>
          <w:szCs w:val="24"/>
        </w:rPr>
      </w:pPr>
      <w:r w:rsidRPr="00020841">
        <w:rPr>
          <w:rFonts w:cs="Times New Roman"/>
          <w:sz w:val="24"/>
          <w:szCs w:val="24"/>
        </w:rPr>
        <w:t>660 S. College Avenue, Tempe, AZ 85287-3005</w:t>
      </w:r>
      <w:r w:rsidR="00020841">
        <w:rPr>
          <w:rFonts w:cs="Times New Roman"/>
          <w:sz w:val="24"/>
          <w:szCs w:val="24"/>
        </w:rPr>
        <w:t xml:space="preserve">, </w:t>
      </w:r>
      <w:r w:rsidR="00020841" w:rsidRPr="00020841">
        <w:rPr>
          <w:sz w:val="24"/>
          <w:szCs w:val="24"/>
        </w:rPr>
        <w:t>USA</w:t>
      </w:r>
    </w:p>
    <w:p w14:paraId="0BC83A5A" w14:textId="12ECC9BB" w:rsidR="00D95BC7" w:rsidRPr="00020841" w:rsidRDefault="00D95BC7" w:rsidP="00F7439A">
      <w:pPr>
        <w:spacing w:after="0" w:line="240" w:lineRule="auto"/>
        <w:jc w:val="left"/>
        <w:rPr>
          <w:rFonts w:cs="Times New Roman"/>
          <w:sz w:val="24"/>
          <w:szCs w:val="24"/>
        </w:rPr>
      </w:pPr>
      <w:r w:rsidRPr="00020841">
        <w:rPr>
          <w:rFonts w:cs="Times New Roman"/>
          <w:sz w:val="24"/>
          <w:szCs w:val="24"/>
        </w:rPr>
        <w:t xml:space="preserve">Tel: 480-727-4587; Email: </w:t>
      </w:r>
      <w:hyperlink r:id="rId11" w:history="1">
        <w:r w:rsidRPr="00020841">
          <w:rPr>
            <w:rFonts w:cs="Times New Roman"/>
            <w:color w:val="0563C1" w:themeColor="hyperlink"/>
            <w:sz w:val="24"/>
            <w:szCs w:val="24"/>
            <w:u w:val="single"/>
          </w:rPr>
          <w:t>ram.pendyala@asu.edu</w:t>
        </w:r>
      </w:hyperlink>
      <w:r w:rsidRPr="00020841">
        <w:rPr>
          <w:rFonts w:cs="Times New Roman"/>
          <w:sz w:val="24"/>
          <w:szCs w:val="24"/>
        </w:rPr>
        <w:t xml:space="preserve"> </w:t>
      </w:r>
    </w:p>
    <w:p w14:paraId="28C921C2" w14:textId="77777777" w:rsidR="00FD087D" w:rsidRPr="00020841" w:rsidRDefault="00FD087D" w:rsidP="00F7439A">
      <w:pPr>
        <w:spacing w:after="0" w:line="240" w:lineRule="auto"/>
        <w:rPr>
          <w:sz w:val="24"/>
          <w:szCs w:val="24"/>
        </w:rPr>
      </w:pPr>
    </w:p>
    <w:p w14:paraId="02B512DE" w14:textId="77777777" w:rsidR="004D305F" w:rsidRPr="00020841" w:rsidRDefault="004D305F" w:rsidP="004D305F">
      <w:pPr>
        <w:keepNext/>
        <w:spacing w:after="0" w:line="240" w:lineRule="auto"/>
        <w:contextualSpacing/>
        <w:jc w:val="left"/>
        <w:rPr>
          <w:rFonts w:cs="Times New Roman"/>
          <w:b/>
          <w:sz w:val="24"/>
          <w:szCs w:val="24"/>
        </w:rPr>
      </w:pPr>
      <w:r w:rsidRPr="00020841">
        <w:rPr>
          <w:rFonts w:cs="Times New Roman"/>
          <w:b/>
          <w:sz w:val="24"/>
          <w:szCs w:val="24"/>
        </w:rPr>
        <w:t>William H.K. Lam</w:t>
      </w:r>
    </w:p>
    <w:p w14:paraId="77A18FFC" w14:textId="77777777" w:rsidR="004D305F" w:rsidRPr="00020841" w:rsidRDefault="004D305F" w:rsidP="004D305F">
      <w:pPr>
        <w:keepNext/>
        <w:spacing w:after="0" w:line="240" w:lineRule="auto"/>
        <w:rPr>
          <w:sz w:val="24"/>
          <w:szCs w:val="24"/>
        </w:rPr>
      </w:pPr>
      <w:r w:rsidRPr="00020841">
        <w:rPr>
          <w:sz w:val="24"/>
          <w:szCs w:val="24"/>
        </w:rPr>
        <w:t>The Hong Kong Polytechnic University</w:t>
      </w:r>
    </w:p>
    <w:p w14:paraId="0C1D9F61" w14:textId="77777777" w:rsidR="004D305F" w:rsidRPr="00020841" w:rsidRDefault="004D305F" w:rsidP="004D305F">
      <w:pPr>
        <w:keepNext/>
        <w:spacing w:after="0" w:line="240" w:lineRule="auto"/>
        <w:rPr>
          <w:sz w:val="24"/>
          <w:szCs w:val="24"/>
        </w:rPr>
      </w:pPr>
      <w:r w:rsidRPr="00020841">
        <w:rPr>
          <w:sz w:val="24"/>
          <w:szCs w:val="24"/>
        </w:rPr>
        <w:t>Department of Civil and Environmental Engineering</w:t>
      </w:r>
    </w:p>
    <w:p w14:paraId="6777F4C6" w14:textId="77777777" w:rsidR="004D305F" w:rsidRPr="00020841" w:rsidRDefault="004D305F" w:rsidP="004D305F">
      <w:pPr>
        <w:keepNext/>
        <w:spacing w:after="0" w:line="240" w:lineRule="auto"/>
        <w:rPr>
          <w:sz w:val="24"/>
          <w:szCs w:val="24"/>
        </w:rPr>
      </w:pPr>
      <w:r w:rsidRPr="00020841">
        <w:rPr>
          <w:sz w:val="24"/>
          <w:szCs w:val="24"/>
        </w:rPr>
        <w:t xml:space="preserve">9/F, Block Z, 181 Chatham Road South, Hung </w:t>
      </w:r>
      <w:proofErr w:type="spellStart"/>
      <w:r w:rsidRPr="00020841">
        <w:rPr>
          <w:sz w:val="24"/>
          <w:szCs w:val="24"/>
        </w:rPr>
        <w:t>Hom</w:t>
      </w:r>
      <w:proofErr w:type="spellEnd"/>
    </w:p>
    <w:p w14:paraId="7FF63408" w14:textId="77777777" w:rsidR="004D305F" w:rsidRPr="00020841" w:rsidRDefault="004D305F" w:rsidP="004D305F">
      <w:pPr>
        <w:keepNext/>
        <w:spacing w:after="0" w:line="240" w:lineRule="auto"/>
        <w:rPr>
          <w:sz w:val="24"/>
          <w:szCs w:val="24"/>
        </w:rPr>
      </w:pPr>
      <w:r w:rsidRPr="00020841">
        <w:rPr>
          <w:sz w:val="24"/>
          <w:szCs w:val="24"/>
        </w:rPr>
        <w:t>Kowloon, Hong Kong</w:t>
      </w:r>
    </w:p>
    <w:p w14:paraId="23370A86" w14:textId="13F0453A" w:rsidR="004D305F" w:rsidRPr="00020841" w:rsidRDefault="004D305F" w:rsidP="004D305F">
      <w:pPr>
        <w:keepNext/>
        <w:spacing w:after="0" w:line="240" w:lineRule="auto"/>
        <w:rPr>
          <w:sz w:val="24"/>
          <w:szCs w:val="24"/>
        </w:rPr>
      </w:pPr>
      <w:r w:rsidRPr="00020841">
        <w:rPr>
          <w:sz w:val="24"/>
          <w:szCs w:val="24"/>
        </w:rPr>
        <w:t xml:space="preserve">Tel: +852-2766-6045; Email: </w:t>
      </w:r>
      <w:hyperlink r:id="rId12" w:history="1">
        <w:r w:rsidRPr="00020841">
          <w:rPr>
            <w:color w:val="0563C1" w:themeColor="hyperlink"/>
            <w:sz w:val="24"/>
            <w:szCs w:val="24"/>
            <w:u w:val="single"/>
          </w:rPr>
          <w:t>william.lam@polyu.edu.hk</w:t>
        </w:r>
      </w:hyperlink>
    </w:p>
    <w:p w14:paraId="218CFDEA" w14:textId="77777777" w:rsidR="001C3EB4" w:rsidRPr="00FA67AA" w:rsidRDefault="001C3EB4" w:rsidP="00F7439A">
      <w:pPr>
        <w:spacing w:after="0" w:line="240" w:lineRule="auto"/>
        <w:rPr>
          <w:sz w:val="24"/>
          <w:szCs w:val="24"/>
        </w:rPr>
      </w:pPr>
    </w:p>
    <w:p w14:paraId="2C15C00C" w14:textId="77777777" w:rsidR="001C3EB4" w:rsidRPr="00FA67AA" w:rsidRDefault="001C3EB4" w:rsidP="00F7439A">
      <w:pPr>
        <w:spacing w:after="0" w:line="240" w:lineRule="auto"/>
        <w:rPr>
          <w:sz w:val="24"/>
          <w:szCs w:val="24"/>
        </w:rPr>
      </w:pPr>
    </w:p>
    <w:p w14:paraId="52FCACFD" w14:textId="77777777" w:rsidR="00F534E2" w:rsidRDefault="00F534E2" w:rsidP="00F7439A">
      <w:pPr>
        <w:spacing w:after="0" w:line="240" w:lineRule="auto"/>
        <w:rPr>
          <w:sz w:val="24"/>
          <w:szCs w:val="24"/>
        </w:rPr>
      </w:pPr>
    </w:p>
    <w:p w14:paraId="2C6BA5AD" w14:textId="0E7AB723" w:rsidR="00F534E2" w:rsidRDefault="00F534E2" w:rsidP="00F7439A">
      <w:pPr>
        <w:spacing w:after="0" w:line="240" w:lineRule="auto"/>
        <w:rPr>
          <w:sz w:val="24"/>
          <w:szCs w:val="24"/>
        </w:rPr>
      </w:pPr>
    </w:p>
    <w:p w14:paraId="272CEF74" w14:textId="3164AC8C" w:rsidR="009B5E16" w:rsidRDefault="009B5E16" w:rsidP="00F7439A">
      <w:pPr>
        <w:spacing w:after="0" w:line="240" w:lineRule="auto"/>
        <w:rPr>
          <w:sz w:val="24"/>
          <w:szCs w:val="24"/>
        </w:rPr>
        <w:sectPr w:rsidR="009B5E16" w:rsidSect="009E0008">
          <w:footerReference w:type="default" r:id="rId13"/>
          <w:footerReference w:type="first" r:id="rId14"/>
          <w:pgSz w:w="12240" w:h="15840"/>
          <w:pgMar w:top="1440" w:right="1440" w:bottom="1440" w:left="1440" w:header="720" w:footer="720" w:gutter="0"/>
          <w:cols w:space="720"/>
          <w:titlePg/>
          <w:docGrid w:linePitch="299"/>
        </w:sectPr>
      </w:pPr>
    </w:p>
    <w:p w14:paraId="417B0317" w14:textId="751F5544" w:rsidR="007C16E6" w:rsidRPr="00D30FA8" w:rsidRDefault="007C16E6" w:rsidP="00D30FA8">
      <w:pPr>
        <w:spacing w:after="0" w:line="240" w:lineRule="auto"/>
        <w:rPr>
          <w:szCs w:val="24"/>
        </w:rPr>
      </w:pPr>
      <w:bookmarkStart w:id="0" w:name="_Ref6166728"/>
      <w:r w:rsidRPr="00D30FA8">
        <w:rPr>
          <w:b/>
          <w:sz w:val="24"/>
          <w:szCs w:val="24"/>
        </w:rPr>
        <w:lastRenderedPageBreak/>
        <w:t>ABSTRACT</w:t>
      </w:r>
    </w:p>
    <w:p w14:paraId="186F4A1D" w14:textId="28C1059A" w:rsidR="0019679B" w:rsidRPr="00FA67AA" w:rsidRDefault="00E02368" w:rsidP="00F7439A">
      <w:pPr>
        <w:spacing w:after="0" w:line="240" w:lineRule="auto"/>
        <w:rPr>
          <w:sz w:val="24"/>
          <w:szCs w:val="24"/>
        </w:rPr>
      </w:pPr>
      <w:r w:rsidRPr="00FA67AA">
        <w:rPr>
          <w:sz w:val="24"/>
          <w:szCs w:val="24"/>
        </w:rPr>
        <w:t xml:space="preserve">The mode share of </w:t>
      </w:r>
      <w:r w:rsidR="00A612EB">
        <w:rPr>
          <w:sz w:val="24"/>
          <w:szCs w:val="24"/>
        </w:rPr>
        <w:t xml:space="preserve">app-based </w:t>
      </w:r>
      <w:r w:rsidRPr="00FA67AA">
        <w:rPr>
          <w:sz w:val="24"/>
          <w:szCs w:val="24"/>
        </w:rPr>
        <w:t>ride-hailing</w:t>
      </w:r>
      <w:r w:rsidR="00FA67AA">
        <w:rPr>
          <w:sz w:val="24"/>
          <w:szCs w:val="24"/>
        </w:rPr>
        <w:t xml:space="preserve"> services </w:t>
      </w:r>
      <w:r w:rsidRPr="00FA67AA">
        <w:rPr>
          <w:sz w:val="24"/>
          <w:szCs w:val="24"/>
        </w:rPr>
        <w:t xml:space="preserve">has been growing steadily </w:t>
      </w:r>
      <w:r w:rsidR="00FA67AA">
        <w:rPr>
          <w:sz w:val="24"/>
          <w:szCs w:val="24"/>
        </w:rPr>
        <w:t>in</w:t>
      </w:r>
      <w:r w:rsidRPr="00FA67AA">
        <w:rPr>
          <w:sz w:val="24"/>
          <w:szCs w:val="24"/>
        </w:rPr>
        <w:t xml:space="preserve"> recent years and this trend is expected to continue. </w:t>
      </w:r>
      <w:r w:rsidR="00AA33C0" w:rsidRPr="00FA67AA">
        <w:rPr>
          <w:sz w:val="24"/>
          <w:szCs w:val="24"/>
        </w:rPr>
        <w:t>Ride-hailing services generate two types of trips – passenger hauling trips and deadheading trips</w:t>
      </w:r>
      <w:r w:rsidR="008B5B62">
        <w:rPr>
          <w:sz w:val="24"/>
          <w:szCs w:val="24"/>
        </w:rPr>
        <w:t>. P</w:t>
      </w:r>
      <w:r w:rsidR="00AA33C0" w:rsidRPr="00FA67AA">
        <w:rPr>
          <w:sz w:val="24"/>
          <w:szCs w:val="24"/>
        </w:rPr>
        <w:t xml:space="preserve">assenger hauling trips are the trips made </w:t>
      </w:r>
      <w:r w:rsidR="00E55EF3" w:rsidRPr="00FA67AA">
        <w:rPr>
          <w:sz w:val="24"/>
          <w:szCs w:val="24"/>
        </w:rPr>
        <w:t>while</w:t>
      </w:r>
      <w:r w:rsidR="00AA33C0" w:rsidRPr="00FA67AA">
        <w:rPr>
          <w:sz w:val="24"/>
          <w:szCs w:val="24"/>
        </w:rPr>
        <w:t xml:space="preserve"> </w:t>
      </w:r>
      <w:r w:rsidR="00FA67AA">
        <w:rPr>
          <w:sz w:val="24"/>
          <w:szCs w:val="24"/>
        </w:rPr>
        <w:t>transporting</w:t>
      </w:r>
      <w:r w:rsidR="00AA33C0" w:rsidRPr="00FA67AA">
        <w:rPr>
          <w:sz w:val="24"/>
          <w:szCs w:val="24"/>
        </w:rPr>
        <w:t xml:space="preserve"> passengers </w:t>
      </w:r>
      <w:r w:rsidR="00E55EF3" w:rsidRPr="00FA67AA">
        <w:rPr>
          <w:sz w:val="24"/>
          <w:szCs w:val="24"/>
        </w:rPr>
        <w:t xml:space="preserve">between </w:t>
      </w:r>
      <w:r w:rsidR="00FA67AA">
        <w:rPr>
          <w:sz w:val="24"/>
          <w:szCs w:val="24"/>
        </w:rPr>
        <w:t>places</w:t>
      </w:r>
      <w:r w:rsidR="001E38BA" w:rsidRPr="00FA67AA">
        <w:rPr>
          <w:sz w:val="24"/>
          <w:szCs w:val="24"/>
        </w:rPr>
        <w:t>.</w:t>
      </w:r>
      <w:r w:rsidR="00AA33C0" w:rsidRPr="00FA67AA">
        <w:rPr>
          <w:sz w:val="24"/>
          <w:szCs w:val="24"/>
        </w:rPr>
        <w:t xml:space="preserve"> </w:t>
      </w:r>
      <w:r w:rsidR="008B5B62">
        <w:rPr>
          <w:sz w:val="24"/>
          <w:szCs w:val="24"/>
        </w:rPr>
        <w:t>Virtually a</w:t>
      </w:r>
      <w:r w:rsidR="00AA33C0" w:rsidRPr="00FA67AA">
        <w:rPr>
          <w:sz w:val="24"/>
          <w:szCs w:val="24"/>
        </w:rPr>
        <w:t>ll other trips made by a ride-hailing vehicle when there are no passengers in the vehicle are called deadheading trips</w:t>
      </w:r>
      <w:r w:rsidR="009F5D67" w:rsidRPr="00FA67AA">
        <w:rPr>
          <w:sz w:val="24"/>
          <w:szCs w:val="24"/>
        </w:rPr>
        <w:t xml:space="preserve"> or empty trips</w:t>
      </w:r>
      <w:r w:rsidR="00AA33C0" w:rsidRPr="00FA67AA">
        <w:rPr>
          <w:sz w:val="24"/>
          <w:szCs w:val="24"/>
        </w:rPr>
        <w:t xml:space="preserve">. </w:t>
      </w:r>
      <w:r w:rsidR="008B5B62">
        <w:rPr>
          <w:sz w:val="24"/>
          <w:szCs w:val="24"/>
        </w:rPr>
        <w:t xml:space="preserve">Trips between the drop-off location of one passenger and the pick-up location of the next passenger could comprise a substantial share of total travel by ride-hailing vehicles, both in terms of number of trips and miles of travel. </w:t>
      </w:r>
      <w:r w:rsidR="00B77A65" w:rsidRPr="00FA67AA">
        <w:rPr>
          <w:sz w:val="24"/>
          <w:szCs w:val="24"/>
        </w:rPr>
        <w:t xml:space="preserve">This paper </w:t>
      </w:r>
      <w:r w:rsidR="008B5B62">
        <w:rPr>
          <w:sz w:val="24"/>
          <w:szCs w:val="24"/>
        </w:rPr>
        <w:t>aims to model</w:t>
      </w:r>
      <w:r w:rsidR="00B77A65" w:rsidRPr="00FA67AA">
        <w:rPr>
          <w:sz w:val="24"/>
          <w:szCs w:val="24"/>
        </w:rPr>
        <w:t xml:space="preserve"> </w:t>
      </w:r>
      <w:r w:rsidR="0087556F">
        <w:rPr>
          <w:sz w:val="24"/>
          <w:szCs w:val="24"/>
        </w:rPr>
        <w:t>the</w:t>
      </w:r>
      <w:r w:rsidR="0087556F" w:rsidRPr="00FA67AA">
        <w:rPr>
          <w:sz w:val="24"/>
          <w:szCs w:val="24"/>
        </w:rPr>
        <w:t xml:space="preserve"> </w:t>
      </w:r>
      <w:r w:rsidR="00B77A65" w:rsidRPr="00FA67AA">
        <w:rPr>
          <w:sz w:val="24"/>
          <w:szCs w:val="24"/>
        </w:rPr>
        <w:t xml:space="preserve">deadheading trips </w:t>
      </w:r>
      <w:r w:rsidR="0087556F">
        <w:rPr>
          <w:sz w:val="24"/>
          <w:szCs w:val="24"/>
        </w:rPr>
        <w:t xml:space="preserve">produced by app-based ride-hailing services </w:t>
      </w:r>
      <w:r w:rsidR="00B77A65" w:rsidRPr="00FA67AA">
        <w:rPr>
          <w:sz w:val="24"/>
          <w:szCs w:val="24"/>
        </w:rPr>
        <w:t>at the disaggregate level</w:t>
      </w:r>
      <w:r w:rsidR="00287855" w:rsidRPr="00FA67AA">
        <w:rPr>
          <w:sz w:val="24"/>
          <w:szCs w:val="24"/>
        </w:rPr>
        <w:t xml:space="preserve"> of individual trips</w:t>
      </w:r>
      <w:r w:rsidR="00C9793B" w:rsidRPr="00FA67AA">
        <w:rPr>
          <w:sz w:val="24"/>
          <w:szCs w:val="24"/>
        </w:rPr>
        <w:t xml:space="preserve">. </w:t>
      </w:r>
      <w:r w:rsidR="008B5B62">
        <w:rPr>
          <w:sz w:val="24"/>
          <w:szCs w:val="24"/>
        </w:rPr>
        <w:t>P</w:t>
      </w:r>
      <w:r w:rsidR="00B77A65" w:rsidRPr="00FA67AA">
        <w:rPr>
          <w:sz w:val="24"/>
          <w:szCs w:val="24"/>
        </w:rPr>
        <w:t>assenger trip data published by the</w:t>
      </w:r>
      <w:r w:rsidR="00A612EB">
        <w:rPr>
          <w:sz w:val="24"/>
          <w:szCs w:val="24"/>
        </w:rPr>
        <w:t xml:space="preserve"> app-based</w:t>
      </w:r>
      <w:r w:rsidR="00B77A65" w:rsidRPr="00FA67AA">
        <w:rPr>
          <w:sz w:val="24"/>
          <w:szCs w:val="24"/>
        </w:rPr>
        <w:t xml:space="preserve"> ride-hailing company Ride Austin </w:t>
      </w:r>
      <w:r w:rsidR="008B5B62">
        <w:rPr>
          <w:sz w:val="24"/>
          <w:szCs w:val="24"/>
        </w:rPr>
        <w:t xml:space="preserve">is used </w:t>
      </w:r>
      <w:r w:rsidR="00B77A65" w:rsidRPr="00FA67AA">
        <w:rPr>
          <w:sz w:val="24"/>
          <w:szCs w:val="24"/>
        </w:rPr>
        <w:t xml:space="preserve">to impute deadheading trips. The </w:t>
      </w:r>
      <w:r w:rsidR="008B5B62">
        <w:rPr>
          <w:sz w:val="24"/>
          <w:szCs w:val="24"/>
        </w:rPr>
        <w:t>pick-up locations of passengers</w:t>
      </w:r>
      <w:r w:rsidR="00B77A65" w:rsidRPr="00FA67AA">
        <w:rPr>
          <w:sz w:val="24"/>
          <w:szCs w:val="24"/>
        </w:rPr>
        <w:t xml:space="preserve"> are then modeled using a nonlinear-in-parameter</w:t>
      </w:r>
      <w:r w:rsidR="002F6960">
        <w:rPr>
          <w:sz w:val="24"/>
          <w:szCs w:val="24"/>
        </w:rPr>
        <w:t>s</w:t>
      </w:r>
      <w:r w:rsidR="00B77A65" w:rsidRPr="00FA67AA">
        <w:rPr>
          <w:sz w:val="24"/>
          <w:szCs w:val="24"/>
        </w:rPr>
        <w:t xml:space="preserve"> multinomial logit framework</w:t>
      </w:r>
      <w:r w:rsidR="008B5B62">
        <w:rPr>
          <w:sz w:val="24"/>
          <w:szCs w:val="24"/>
        </w:rPr>
        <w:t xml:space="preserve">, essentially capturing the deadheading that takes place from the drop-off </w:t>
      </w:r>
      <w:r w:rsidR="007709D0">
        <w:rPr>
          <w:sz w:val="24"/>
          <w:szCs w:val="24"/>
        </w:rPr>
        <w:t xml:space="preserve">of </w:t>
      </w:r>
      <w:r w:rsidR="008B5B62">
        <w:rPr>
          <w:sz w:val="24"/>
          <w:szCs w:val="24"/>
        </w:rPr>
        <w:t>one passenger to the pick-up of the next passenger</w:t>
      </w:r>
      <w:r w:rsidR="008A2DE7" w:rsidRPr="00FA67AA">
        <w:rPr>
          <w:sz w:val="24"/>
          <w:szCs w:val="24"/>
        </w:rPr>
        <w:t xml:space="preserve">. The model is sensitive to socio-demographic characteristics, </w:t>
      </w:r>
      <w:r w:rsidR="008B5B62">
        <w:rPr>
          <w:sz w:val="24"/>
          <w:szCs w:val="24"/>
        </w:rPr>
        <w:t xml:space="preserve">as well as </w:t>
      </w:r>
      <w:r w:rsidR="008A2DE7" w:rsidRPr="00FA67AA">
        <w:rPr>
          <w:sz w:val="24"/>
          <w:szCs w:val="24"/>
        </w:rPr>
        <w:t xml:space="preserve">employment opportunities and built environment characteristics </w:t>
      </w:r>
      <w:r w:rsidR="005C00D4" w:rsidRPr="00FA67AA">
        <w:rPr>
          <w:sz w:val="24"/>
          <w:szCs w:val="24"/>
        </w:rPr>
        <w:t>of the study area</w:t>
      </w:r>
      <w:r w:rsidR="008A2DE7" w:rsidRPr="00FA67AA">
        <w:rPr>
          <w:sz w:val="24"/>
          <w:szCs w:val="24"/>
        </w:rPr>
        <w:t>.</w:t>
      </w:r>
      <w:r w:rsidR="00665526" w:rsidRPr="00FA67AA">
        <w:rPr>
          <w:sz w:val="24"/>
          <w:szCs w:val="24"/>
        </w:rPr>
        <w:t xml:space="preserve"> </w:t>
      </w:r>
      <w:r w:rsidR="008B5B62" w:rsidRPr="008B5B62">
        <w:rPr>
          <w:sz w:val="24"/>
          <w:szCs w:val="24"/>
        </w:rPr>
        <w:t xml:space="preserve">The model results shed light on the characteristics of deadheading trips at different locations and at different time periods in a day. </w:t>
      </w:r>
      <w:r w:rsidR="008B5B62">
        <w:rPr>
          <w:sz w:val="24"/>
          <w:szCs w:val="24"/>
        </w:rPr>
        <w:t>The paper concludes with a discussion of</w:t>
      </w:r>
      <w:r w:rsidR="00665526" w:rsidRPr="00FA67AA">
        <w:rPr>
          <w:sz w:val="24"/>
          <w:szCs w:val="24"/>
        </w:rPr>
        <w:t xml:space="preserve"> how transportation planners and </w:t>
      </w:r>
      <w:r w:rsidR="00A612EB">
        <w:rPr>
          <w:sz w:val="24"/>
          <w:szCs w:val="24"/>
        </w:rPr>
        <w:t xml:space="preserve">app-based </w:t>
      </w:r>
      <w:r w:rsidR="00665526" w:rsidRPr="00FA67AA">
        <w:rPr>
          <w:sz w:val="24"/>
          <w:szCs w:val="24"/>
        </w:rPr>
        <w:t xml:space="preserve">ride-hailing companies may utilize knowledge </w:t>
      </w:r>
      <w:r w:rsidR="00152FCD">
        <w:rPr>
          <w:sz w:val="24"/>
          <w:szCs w:val="24"/>
        </w:rPr>
        <w:t xml:space="preserve">about deadheading </w:t>
      </w:r>
      <w:r w:rsidR="00F30EE6" w:rsidRPr="00FA67AA">
        <w:rPr>
          <w:sz w:val="24"/>
          <w:szCs w:val="24"/>
        </w:rPr>
        <w:t xml:space="preserve">to enact policies and pricing schemes that </w:t>
      </w:r>
      <w:r w:rsidR="00152FCD">
        <w:rPr>
          <w:sz w:val="24"/>
          <w:szCs w:val="24"/>
        </w:rPr>
        <w:t>reduce</w:t>
      </w:r>
      <w:r w:rsidR="00F30EE6" w:rsidRPr="00FA67AA">
        <w:rPr>
          <w:sz w:val="24"/>
          <w:szCs w:val="24"/>
        </w:rPr>
        <w:t xml:space="preserve"> deadheading.</w:t>
      </w:r>
      <w:r w:rsidR="00A01D74" w:rsidRPr="00FA67AA">
        <w:rPr>
          <w:sz w:val="24"/>
          <w:szCs w:val="24"/>
        </w:rPr>
        <w:t xml:space="preserve"> </w:t>
      </w:r>
    </w:p>
    <w:p w14:paraId="626E001E" w14:textId="77777777" w:rsidR="00577B14" w:rsidRPr="00FA67AA" w:rsidRDefault="00577B14" w:rsidP="00F7439A">
      <w:pPr>
        <w:spacing w:after="0" w:line="240" w:lineRule="auto"/>
        <w:rPr>
          <w:sz w:val="24"/>
          <w:szCs w:val="24"/>
        </w:rPr>
      </w:pPr>
    </w:p>
    <w:p w14:paraId="02716675" w14:textId="069AE8E3" w:rsidR="00577B14" w:rsidRPr="00FA67AA" w:rsidRDefault="00577B14" w:rsidP="00F7439A">
      <w:pPr>
        <w:spacing w:after="0" w:line="240" w:lineRule="auto"/>
        <w:rPr>
          <w:sz w:val="24"/>
          <w:szCs w:val="24"/>
        </w:rPr>
      </w:pPr>
      <w:r w:rsidRPr="00FA67AA">
        <w:rPr>
          <w:b/>
          <w:sz w:val="24"/>
          <w:szCs w:val="24"/>
        </w:rPr>
        <w:t>Keywords:</w:t>
      </w:r>
      <w:r w:rsidRPr="00FA67AA">
        <w:rPr>
          <w:sz w:val="24"/>
          <w:szCs w:val="24"/>
        </w:rPr>
        <w:t xml:space="preserve"> Ride-hailing, TNC, deadheading, empty trips, </w:t>
      </w:r>
      <w:r w:rsidR="00B71E8D" w:rsidRPr="00FA67AA">
        <w:rPr>
          <w:sz w:val="24"/>
          <w:szCs w:val="24"/>
        </w:rPr>
        <w:t xml:space="preserve">Ride Austin, </w:t>
      </w:r>
      <w:r w:rsidR="0061099B">
        <w:rPr>
          <w:sz w:val="24"/>
          <w:szCs w:val="24"/>
        </w:rPr>
        <w:t>location choice model</w:t>
      </w:r>
    </w:p>
    <w:p w14:paraId="5DF55B17" w14:textId="77777777" w:rsidR="00096C6C" w:rsidRDefault="00096C6C" w:rsidP="00F7439A">
      <w:pPr>
        <w:spacing w:after="0" w:line="240" w:lineRule="auto"/>
        <w:rPr>
          <w:rFonts w:eastAsiaTheme="majorEastAsia" w:cstheme="majorBidi"/>
          <w:b/>
          <w:bCs/>
          <w:caps/>
          <w:spacing w:val="4"/>
          <w:sz w:val="24"/>
          <w:szCs w:val="24"/>
        </w:rPr>
        <w:sectPr w:rsidR="00096C6C" w:rsidSect="009E0008">
          <w:footerReference w:type="first" r:id="rId15"/>
          <w:pgSz w:w="12240" w:h="15840"/>
          <w:pgMar w:top="1440" w:right="1440" w:bottom="1440" w:left="1440" w:header="720" w:footer="720" w:gutter="0"/>
          <w:cols w:space="720"/>
          <w:titlePg/>
          <w:docGrid w:linePitch="299"/>
        </w:sectPr>
      </w:pPr>
    </w:p>
    <w:p w14:paraId="60B8BF4E" w14:textId="65211BCB" w:rsidR="00296305" w:rsidRPr="000F27C8" w:rsidRDefault="001C5A95" w:rsidP="00F7439A">
      <w:pPr>
        <w:pStyle w:val="Heading1"/>
        <w:spacing w:before="0" w:after="0" w:line="240" w:lineRule="auto"/>
        <w:rPr>
          <w:szCs w:val="24"/>
        </w:rPr>
      </w:pPr>
      <w:r w:rsidRPr="000F27C8">
        <w:rPr>
          <w:szCs w:val="24"/>
        </w:rPr>
        <w:lastRenderedPageBreak/>
        <w:t>Introduction</w:t>
      </w:r>
      <w:bookmarkEnd w:id="0"/>
    </w:p>
    <w:p w14:paraId="078F823C" w14:textId="1F7001E4" w:rsidR="00A65EF5" w:rsidRDefault="00164B3F" w:rsidP="00993CC7">
      <w:pPr>
        <w:spacing w:after="0" w:line="240" w:lineRule="auto"/>
        <w:rPr>
          <w:sz w:val="24"/>
          <w:szCs w:val="24"/>
        </w:rPr>
      </w:pPr>
      <w:r w:rsidRPr="006D70B5">
        <w:rPr>
          <w:sz w:val="24"/>
          <w:szCs w:val="24"/>
        </w:rPr>
        <w:t xml:space="preserve">The past decade has </w:t>
      </w:r>
      <w:r w:rsidR="00CB738D" w:rsidRPr="00100D81">
        <w:rPr>
          <w:sz w:val="24"/>
          <w:szCs w:val="24"/>
        </w:rPr>
        <w:t xml:space="preserve">seen </w:t>
      </w:r>
      <w:r w:rsidR="003A155E">
        <w:rPr>
          <w:sz w:val="24"/>
          <w:szCs w:val="24"/>
        </w:rPr>
        <w:t xml:space="preserve">a </w:t>
      </w:r>
      <w:r w:rsidR="00CB738D" w:rsidRPr="00100D81">
        <w:rPr>
          <w:sz w:val="24"/>
          <w:szCs w:val="24"/>
        </w:rPr>
        <w:t>dramatic</w:t>
      </w:r>
      <w:r w:rsidRPr="00100D81">
        <w:rPr>
          <w:sz w:val="24"/>
          <w:szCs w:val="24"/>
        </w:rPr>
        <w:t xml:space="preserve"> growth in </w:t>
      </w:r>
      <w:r w:rsidR="00CB738D" w:rsidRPr="00100D81">
        <w:rPr>
          <w:sz w:val="24"/>
          <w:szCs w:val="24"/>
        </w:rPr>
        <w:t>the use of</w:t>
      </w:r>
      <w:r w:rsidR="00A612EB" w:rsidRPr="00100D81">
        <w:rPr>
          <w:sz w:val="24"/>
          <w:szCs w:val="24"/>
        </w:rPr>
        <w:t xml:space="preserve"> app-based</w:t>
      </w:r>
      <w:r w:rsidR="00855E26" w:rsidRPr="00100D81">
        <w:rPr>
          <w:sz w:val="24"/>
          <w:szCs w:val="24"/>
        </w:rPr>
        <w:t xml:space="preserve"> </w:t>
      </w:r>
      <w:r w:rsidRPr="00100D81">
        <w:rPr>
          <w:sz w:val="24"/>
          <w:szCs w:val="24"/>
        </w:rPr>
        <w:t>ride-hailing</w:t>
      </w:r>
      <w:r w:rsidR="00CB738D" w:rsidRPr="00100D81">
        <w:rPr>
          <w:sz w:val="24"/>
          <w:szCs w:val="24"/>
        </w:rPr>
        <w:t xml:space="preserve"> </w:t>
      </w:r>
      <w:r w:rsidR="00EA7575">
        <w:rPr>
          <w:sz w:val="24"/>
          <w:szCs w:val="24"/>
        </w:rPr>
        <w:t xml:space="preserve">(or ride-sourcing) </w:t>
      </w:r>
      <w:r w:rsidR="00CB738D" w:rsidRPr="00100D81">
        <w:rPr>
          <w:sz w:val="24"/>
          <w:szCs w:val="24"/>
        </w:rPr>
        <w:t>services around the world</w:t>
      </w:r>
      <w:r w:rsidR="007709D0" w:rsidRPr="00100D81">
        <w:rPr>
          <w:sz w:val="24"/>
          <w:szCs w:val="24"/>
        </w:rPr>
        <w:t xml:space="preserve"> </w:t>
      </w:r>
      <w:r w:rsidR="007709D0" w:rsidRPr="00100D81">
        <w:rPr>
          <w:sz w:val="24"/>
          <w:szCs w:val="24"/>
        </w:rPr>
        <w:fldChar w:fldCharType="begin"/>
      </w:r>
      <w:r w:rsidR="00B46899">
        <w:rPr>
          <w:sz w:val="24"/>
          <w:szCs w:val="24"/>
        </w:rPr>
        <w:instrText xml:space="preserve"> ADDIN ZOTERO_ITEM CSL_CITATION {"citationID":"FbfUXoal","properties":{"formattedCitation":"(Statista, 2019)","plainCitation":"(Statista, 2019)","noteIndex":0},"citationItems":[{"id":"pYE2dMDV/Deu15dv4","uris":["http://zotero.org/users/local/CJ2Dv405/items/LL46TDZI"],"uri":["http://zotero.org/users/local/CJ2Dv405/items/LL46TDZI"],"itemData":{"id":300,"type":"webpage","abstract":"United States: Revenue in the Ride Hailing segment amounts to US$18,405m in 2019. The Ride Hailing segment covers online platforms and apps that bring together passengers and drivers.","container-title":"Statista","language":"en","title":"Ride Hailing - United States | Statista Market Forecast","URL":"https://www.statista.com/outlook/368/109/ride-hailing/united-states","author":[{"family":"Statista","given":""}],"accessed":{"date-parts":[["2019",5,27]]},"issued":{"date-parts":[["2019"]]}}}],"schema":"https://github.com/citation-style-language/schema/raw/master/csl-citation.json"} </w:instrText>
      </w:r>
      <w:r w:rsidR="007709D0" w:rsidRPr="00100D81">
        <w:rPr>
          <w:sz w:val="24"/>
          <w:szCs w:val="24"/>
        </w:rPr>
        <w:fldChar w:fldCharType="separate"/>
      </w:r>
      <w:r w:rsidR="007709D0" w:rsidRPr="00100D81">
        <w:rPr>
          <w:rFonts w:cs="Times New Roman"/>
          <w:sz w:val="24"/>
          <w:szCs w:val="24"/>
        </w:rPr>
        <w:t>(Statista, 2019)</w:t>
      </w:r>
      <w:r w:rsidR="007709D0" w:rsidRPr="00100D81">
        <w:rPr>
          <w:sz w:val="24"/>
          <w:szCs w:val="24"/>
        </w:rPr>
        <w:fldChar w:fldCharType="end"/>
      </w:r>
      <w:r w:rsidRPr="00100D81">
        <w:rPr>
          <w:sz w:val="24"/>
          <w:szCs w:val="24"/>
        </w:rPr>
        <w:t>.</w:t>
      </w:r>
      <w:r w:rsidR="00732801" w:rsidRPr="00100D81">
        <w:rPr>
          <w:sz w:val="24"/>
          <w:szCs w:val="24"/>
        </w:rPr>
        <w:t xml:space="preserve"> </w:t>
      </w:r>
      <w:r w:rsidR="00A612EB" w:rsidRPr="00100D81">
        <w:rPr>
          <w:sz w:val="24"/>
          <w:szCs w:val="24"/>
        </w:rPr>
        <w:t>App-based r</w:t>
      </w:r>
      <w:r w:rsidR="00E91A33" w:rsidRPr="00100D81">
        <w:rPr>
          <w:sz w:val="24"/>
          <w:szCs w:val="24"/>
        </w:rPr>
        <w:t>ide-hailing is</w:t>
      </w:r>
      <w:r w:rsidR="006675E2" w:rsidRPr="00100D81">
        <w:rPr>
          <w:sz w:val="24"/>
          <w:szCs w:val="24"/>
        </w:rPr>
        <w:t xml:space="preserve"> </w:t>
      </w:r>
      <w:r w:rsidR="00E91A33" w:rsidRPr="0007365E">
        <w:rPr>
          <w:sz w:val="24"/>
          <w:szCs w:val="24"/>
        </w:rPr>
        <w:t>a</w:t>
      </w:r>
      <w:r w:rsidR="00821856" w:rsidRPr="0007365E">
        <w:rPr>
          <w:sz w:val="24"/>
          <w:szCs w:val="24"/>
        </w:rPr>
        <w:t>n</w:t>
      </w:r>
      <w:r w:rsidR="00CB738D" w:rsidRPr="0007365E">
        <w:rPr>
          <w:sz w:val="24"/>
          <w:szCs w:val="24"/>
        </w:rPr>
        <w:t xml:space="preserve"> </w:t>
      </w:r>
      <w:r w:rsidR="00821856" w:rsidRPr="0007365E">
        <w:rPr>
          <w:sz w:val="24"/>
          <w:szCs w:val="24"/>
        </w:rPr>
        <w:t xml:space="preserve">internet </w:t>
      </w:r>
      <w:r w:rsidR="00E91A33" w:rsidRPr="00C61CB8">
        <w:rPr>
          <w:sz w:val="24"/>
          <w:szCs w:val="24"/>
        </w:rPr>
        <w:t>platform</w:t>
      </w:r>
      <w:r w:rsidR="00855E26" w:rsidRPr="00C61CB8">
        <w:rPr>
          <w:sz w:val="24"/>
          <w:szCs w:val="24"/>
        </w:rPr>
        <w:t>-based service that</w:t>
      </w:r>
      <w:r w:rsidR="00E91A33" w:rsidRPr="0070385E">
        <w:rPr>
          <w:sz w:val="24"/>
          <w:szCs w:val="24"/>
        </w:rPr>
        <w:t xml:space="preserve"> facilitates the real</w:t>
      </w:r>
      <w:r w:rsidR="008B2E66" w:rsidRPr="0070385E">
        <w:rPr>
          <w:sz w:val="24"/>
          <w:szCs w:val="24"/>
        </w:rPr>
        <w:t>-</w:t>
      </w:r>
      <w:r w:rsidR="00E91A33" w:rsidRPr="00501016">
        <w:rPr>
          <w:sz w:val="24"/>
          <w:szCs w:val="24"/>
        </w:rPr>
        <w:t xml:space="preserve">time matching </w:t>
      </w:r>
      <w:r w:rsidR="00CB738D" w:rsidRPr="00501016">
        <w:rPr>
          <w:sz w:val="24"/>
          <w:szCs w:val="24"/>
        </w:rPr>
        <w:t xml:space="preserve">of </w:t>
      </w:r>
      <w:r w:rsidR="00E91A33" w:rsidRPr="003937A0">
        <w:rPr>
          <w:sz w:val="24"/>
          <w:szCs w:val="24"/>
        </w:rPr>
        <w:t>driver</w:t>
      </w:r>
      <w:r w:rsidR="00915AB9" w:rsidRPr="003937A0">
        <w:rPr>
          <w:sz w:val="24"/>
          <w:szCs w:val="24"/>
        </w:rPr>
        <w:t>s</w:t>
      </w:r>
      <w:r w:rsidR="00542657" w:rsidRPr="003937A0">
        <w:rPr>
          <w:sz w:val="24"/>
          <w:szCs w:val="24"/>
        </w:rPr>
        <w:t xml:space="preserve"> who are willing to provide a ride</w:t>
      </w:r>
      <w:r w:rsidR="00E91A33" w:rsidRPr="0017692D">
        <w:rPr>
          <w:sz w:val="24"/>
          <w:szCs w:val="24"/>
        </w:rPr>
        <w:t xml:space="preserve"> and </w:t>
      </w:r>
      <w:r w:rsidR="00542657" w:rsidRPr="006D70B5">
        <w:rPr>
          <w:sz w:val="24"/>
          <w:szCs w:val="24"/>
        </w:rPr>
        <w:t xml:space="preserve">potential </w:t>
      </w:r>
      <w:r w:rsidR="00E91A33" w:rsidRPr="006D70B5">
        <w:rPr>
          <w:sz w:val="24"/>
          <w:szCs w:val="24"/>
        </w:rPr>
        <w:t>passenger</w:t>
      </w:r>
      <w:r w:rsidR="00915AB9" w:rsidRPr="006D70B5">
        <w:rPr>
          <w:sz w:val="24"/>
          <w:szCs w:val="24"/>
        </w:rPr>
        <w:t>s</w:t>
      </w:r>
      <w:r w:rsidR="00E91A33" w:rsidRPr="006D70B5">
        <w:rPr>
          <w:sz w:val="24"/>
          <w:szCs w:val="24"/>
        </w:rPr>
        <w:t xml:space="preserve"> based on the spatial proximity</w:t>
      </w:r>
      <w:r w:rsidR="00855E26" w:rsidRPr="006D70B5">
        <w:rPr>
          <w:sz w:val="24"/>
          <w:szCs w:val="24"/>
        </w:rPr>
        <w:t xml:space="preserve"> between the potential “matches”</w:t>
      </w:r>
      <w:r w:rsidR="00E91A33" w:rsidRPr="006D70B5">
        <w:rPr>
          <w:sz w:val="24"/>
          <w:szCs w:val="24"/>
        </w:rPr>
        <w:t xml:space="preserve">. </w:t>
      </w:r>
      <w:r w:rsidR="006675E2" w:rsidRPr="006D70B5">
        <w:rPr>
          <w:sz w:val="24"/>
          <w:szCs w:val="24"/>
        </w:rPr>
        <w:t xml:space="preserve">In app-based ride-hailing, </w:t>
      </w:r>
      <w:r w:rsidR="006F473B" w:rsidRPr="006D70B5">
        <w:rPr>
          <w:sz w:val="24"/>
          <w:szCs w:val="24"/>
        </w:rPr>
        <w:t>provided by what are now labeled as Transportation Network Companies (or TNCs)</w:t>
      </w:r>
      <w:r w:rsidR="004F39EB" w:rsidRPr="006D70B5">
        <w:rPr>
          <w:sz w:val="24"/>
          <w:szCs w:val="24"/>
        </w:rPr>
        <w:t xml:space="preserve"> </w:t>
      </w:r>
      <w:r w:rsidR="00F84E08" w:rsidRPr="006D70B5">
        <w:rPr>
          <w:sz w:val="24"/>
          <w:szCs w:val="24"/>
        </w:rPr>
        <w:t xml:space="preserve">(such as Uber, Lyft, Ola, and Didi) </w:t>
      </w:r>
      <w:r w:rsidR="00BB414B">
        <w:rPr>
          <w:sz w:val="24"/>
          <w:szCs w:val="24"/>
        </w:rPr>
        <w:t>who use</w:t>
      </w:r>
      <w:r w:rsidR="004F39EB" w:rsidRPr="006D70B5">
        <w:rPr>
          <w:sz w:val="24"/>
          <w:szCs w:val="24"/>
        </w:rPr>
        <w:t xml:space="preserve"> a dynamic matching algorithm</w:t>
      </w:r>
      <w:r w:rsidR="006F473B" w:rsidRPr="006D70B5">
        <w:rPr>
          <w:sz w:val="24"/>
          <w:szCs w:val="24"/>
        </w:rPr>
        <w:t xml:space="preserve">, </w:t>
      </w:r>
      <w:r w:rsidR="006675E2" w:rsidRPr="006D70B5">
        <w:rPr>
          <w:sz w:val="24"/>
          <w:szCs w:val="24"/>
        </w:rPr>
        <w:t xml:space="preserve">it is strictly necessary to request a ride in advance through a smartphone app. </w:t>
      </w:r>
      <w:r w:rsidR="00A612EB" w:rsidRPr="006D70B5">
        <w:rPr>
          <w:sz w:val="24"/>
          <w:szCs w:val="24"/>
        </w:rPr>
        <w:t xml:space="preserve">This is </w:t>
      </w:r>
      <w:r w:rsidR="00E233E8" w:rsidRPr="006D70B5">
        <w:rPr>
          <w:sz w:val="24"/>
          <w:szCs w:val="24"/>
        </w:rPr>
        <w:t xml:space="preserve">in </w:t>
      </w:r>
      <w:r w:rsidR="00A612EB" w:rsidRPr="006D70B5">
        <w:rPr>
          <w:sz w:val="24"/>
          <w:szCs w:val="24"/>
        </w:rPr>
        <w:t xml:space="preserve">contrast to traditional </w:t>
      </w:r>
      <w:r w:rsidR="003A155E">
        <w:rPr>
          <w:sz w:val="24"/>
          <w:szCs w:val="24"/>
        </w:rPr>
        <w:t xml:space="preserve">taxi-based </w:t>
      </w:r>
      <w:r w:rsidR="00A612EB" w:rsidRPr="006D70B5">
        <w:rPr>
          <w:sz w:val="24"/>
          <w:szCs w:val="24"/>
        </w:rPr>
        <w:t xml:space="preserve">ride-hailing services where riders physically hail a taxi from the street </w:t>
      </w:r>
      <w:r w:rsidR="006675E2" w:rsidRPr="006D70B5">
        <w:rPr>
          <w:sz w:val="24"/>
          <w:szCs w:val="24"/>
        </w:rPr>
        <w:t>or elsewhere without prior notification/booking</w:t>
      </w:r>
      <w:r w:rsidR="006E10F6" w:rsidRPr="006D70B5">
        <w:rPr>
          <w:sz w:val="24"/>
          <w:szCs w:val="24"/>
        </w:rPr>
        <w:t xml:space="preserve">. </w:t>
      </w:r>
      <w:r w:rsidR="00212C31">
        <w:rPr>
          <w:sz w:val="24"/>
          <w:szCs w:val="24"/>
        </w:rPr>
        <w:t>App</w:t>
      </w:r>
      <w:r w:rsidR="004F39EB" w:rsidRPr="006D70B5">
        <w:rPr>
          <w:sz w:val="24"/>
          <w:szCs w:val="24"/>
        </w:rPr>
        <w:t>-based ride-hailing enables consumers to ascertain a vehicle’s real-time location and estimated arrival time, and all mone</w:t>
      </w:r>
      <w:r w:rsidR="00450D02">
        <w:rPr>
          <w:sz w:val="24"/>
          <w:szCs w:val="24"/>
        </w:rPr>
        <w:t>tary</w:t>
      </w:r>
      <w:r w:rsidR="004F39EB" w:rsidRPr="006D70B5">
        <w:rPr>
          <w:sz w:val="24"/>
          <w:szCs w:val="24"/>
        </w:rPr>
        <w:t xml:space="preserve"> transactions are</w:t>
      </w:r>
      <w:r w:rsidR="003A155E">
        <w:rPr>
          <w:sz w:val="24"/>
          <w:szCs w:val="24"/>
        </w:rPr>
        <w:t xml:space="preserve"> conducted through an </w:t>
      </w:r>
      <w:r w:rsidR="004F39EB" w:rsidRPr="006D70B5">
        <w:rPr>
          <w:sz w:val="24"/>
          <w:szCs w:val="24"/>
        </w:rPr>
        <w:t>on-line platform</w:t>
      </w:r>
      <w:r w:rsidR="0094544F">
        <w:rPr>
          <w:sz w:val="24"/>
          <w:szCs w:val="24"/>
        </w:rPr>
        <w:t xml:space="preserve"> (</w:t>
      </w:r>
      <w:r w:rsidR="00C117F7">
        <w:rPr>
          <w:sz w:val="24"/>
          <w:szCs w:val="24"/>
        </w:rPr>
        <w:t xml:space="preserve">Cohen and </w:t>
      </w:r>
      <w:proofErr w:type="spellStart"/>
      <w:r w:rsidR="00C117F7">
        <w:rPr>
          <w:sz w:val="24"/>
          <w:szCs w:val="24"/>
        </w:rPr>
        <w:t>Shaheen</w:t>
      </w:r>
      <w:proofErr w:type="spellEnd"/>
      <w:r w:rsidR="00F66C72">
        <w:rPr>
          <w:sz w:val="24"/>
          <w:szCs w:val="24"/>
        </w:rPr>
        <w:t>,</w:t>
      </w:r>
      <w:r w:rsidR="00C117F7">
        <w:rPr>
          <w:sz w:val="24"/>
          <w:szCs w:val="24"/>
        </w:rPr>
        <w:t xml:space="preserve"> </w:t>
      </w:r>
      <w:r w:rsidR="00F66C72">
        <w:rPr>
          <w:sz w:val="24"/>
          <w:szCs w:val="24"/>
        </w:rPr>
        <w:t>2016</w:t>
      </w:r>
      <w:r w:rsidR="00C117F7">
        <w:rPr>
          <w:sz w:val="24"/>
          <w:szCs w:val="24"/>
        </w:rPr>
        <w:t xml:space="preserve">; </w:t>
      </w:r>
      <w:proofErr w:type="spellStart"/>
      <w:r w:rsidR="0094544F">
        <w:rPr>
          <w:sz w:val="24"/>
          <w:szCs w:val="24"/>
        </w:rPr>
        <w:t>Shaheen</w:t>
      </w:r>
      <w:proofErr w:type="spellEnd"/>
      <w:r w:rsidR="0094544F">
        <w:rPr>
          <w:sz w:val="24"/>
          <w:szCs w:val="24"/>
        </w:rPr>
        <w:t xml:space="preserve"> </w:t>
      </w:r>
      <w:r w:rsidR="0094544F" w:rsidRPr="006E6152">
        <w:rPr>
          <w:i/>
          <w:sz w:val="24"/>
          <w:szCs w:val="24"/>
        </w:rPr>
        <w:t>et al</w:t>
      </w:r>
      <w:r w:rsidR="0094544F">
        <w:rPr>
          <w:sz w:val="24"/>
          <w:szCs w:val="24"/>
        </w:rPr>
        <w:t>., 2016)</w:t>
      </w:r>
      <w:r w:rsidR="004F39EB" w:rsidRPr="006D70B5">
        <w:rPr>
          <w:sz w:val="24"/>
          <w:szCs w:val="24"/>
        </w:rPr>
        <w:t xml:space="preserve">. </w:t>
      </w:r>
      <w:r w:rsidR="00212C31">
        <w:rPr>
          <w:sz w:val="24"/>
          <w:szCs w:val="24"/>
        </w:rPr>
        <w:t>Further, a</w:t>
      </w:r>
      <w:r w:rsidR="00212C31" w:rsidRPr="006D70B5">
        <w:rPr>
          <w:sz w:val="24"/>
          <w:szCs w:val="24"/>
        </w:rPr>
        <w:t>pp-based ride-hailing facilitates shared (pooled) travel in a seamless fashion for individuals who would like to share travel costs and reduce their carbon footprint.</w:t>
      </w:r>
      <w:r w:rsidR="00212C31">
        <w:rPr>
          <w:sz w:val="24"/>
          <w:szCs w:val="24"/>
        </w:rPr>
        <w:t xml:space="preserve"> </w:t>
      </w:r>
      <w:r w:rsidR="004F39EB" w:rsidRPr="006D70B5">
        <w:rPr>
          <w:sz w:val="24"/>
          <w:szCs w:val="24"/>
        </w:rPr>
        <w:t xml:space="preserve">In </w:t>
      </w:r>
      <w:r w:rsidR="00A806D1">
        <w:rPr>
          <w:sz w:val="24"/>
          <w:szCs w:val="24"/>
        </w:rPr>
        <w:t>many</w:t>
      </w:r>
      <w:r w:rsidR="00A806D1" w:rsidRPr="006D70B5">
        <w:rPr>
          <w:sz w:val="24"/>
          <w:szCs w:val="24"/>
        </w:rPr>
        <w:t xml:space="preserve"> </w:t>
      </w:r>
      <w:r w:rsidR="006C5F36" w:rsidRPr="006D70B5">
        <w:rPr>
          <w:sz w:val="24"/>
          <w:szCs w:val="24"/>
        </w:rPr>
        <w:t xml:space="preserve">parts of the world, the difference between traditional taxi ride-hailing and app-based ride-hailing services, at least in terms of passenger service, is fading, with traditional taxi ride-hailing companies also allowing the use of a smart phone app to request a ride. </w:t>
      </w:r>
      <w:bookmarkStart w:id="1" w:name="_Hlk32613350"/>
      <w:r w:rsidR="00A806D1">
        <w:rPr>
          <w:sz w:val="24"/>
          <w:szCs w:val="24"/>
        </w:rPr>
        <w:t>App</w:t>
      </w:r>
      <w:r w:rsidR="00F84E08" w:rsidRPr="00876C25">
        <w:rPr>
          <w:sz w:val="24"/>
          <w:szCs w:val="24"/>
        </w:rPr>
        <w:t xml:space="preserve">-based ride-hailing is </w:t>
      </w:r>
      <w:bookmarkStart w:id="2" w:name="_Hlk32612444"/>
      <w:r w:rsidR="00F84E08" w:rsidRPr="00876C25">
        <w:rPr>
          <w:sz w:val="24"/>
          <w:szCs w:val="24"/>
        </w:rPr>
        <w:t>the modern transformed version of the traditional taxi-based ride-hailing service</w:t>
      </w:r>
      <w:bookmarkEnd w:id="2"/>
      <w:r w:rsidR="00F84E08" w:rsidRPr="00876C25">
        <w:rPr>
          <w:sz w:val="24"/>
          <w:szCs w:val="24"/>
        </w:rPr>
        <w:t xml:space="preserve"> that is here to stay </w:t>
      </w:r>
      <w:r w:rsidR="00015381">
        <w:rPr>
          <w:sz w:val="24"/>
          <w:szCs w:val="24"/>
        </w:rPr>
        <w:t>(</w:t>
      </w:r>
      <w:proofErr w:type="spellStart"/>
      <w:r w:rsidR="00015381">
        <w:rPr>
          <w:sz w:val="24"/>
          <w:szCs w:val="24"/>
        </w:rPr>
        <w:t>Komanduri</w:t>
      </w:r>
      <w:proofErr w:type="spellEnd"/>
      <w:r w:rsidR="00015381">
        <w:rPr>
          <w:sz w:val="24"/>
          <w:szCs w:val="24"/>
        </w:rPr>
        <w:t xml:space="preserve"> </w:t>
      </w:r>
      <w:r w:rsidR="00015381" w:rsidRPr="006A5AF9">
        <w:rPr>
          <w:i/>
          <w:sz w:val="24"/>
          <w:szCs w:val="24"/>
        </w:rPr>
        <w:t>et al</w:t>
      </w:r>
      <w:r w:rsidR="00015381">
        <w:rPr>
          <w:sz w:val="24"/>
          <w:szCs w:val="24"/>
        </w:rPr>
        <w:t>., 2018</w:t>
      </w:r>
      <w:r w:rsidR="00A806D1">
        <w:rPr>
          <w:sz w:val="24"/>
          <w:szCs w:val="24"/>
        </w:rPr>
        <w:t>)</w:t>
      </w:r>
      <w:bookmarkEnd w:id="1"/>
      <w:r w:rsidR="00F84E08" w:rsidRPr="00876C25">
        <w:rPr>
          <w:sz w:val="24"/>
          <w:szCs w:val="24"/>
        </w:rPr>
        <w:t xml:space="preserve">. </w:t>
      </w:r>
      <w:r w:rsidR="007775F8">
        <w:rPr>
          <w:sz w:val="24"/>
          <w:szCs w:val="24"/>
        </w:rPr>
        <w:t xml:space="preserve">Because of </w:t>
      </w:r>
      <w:r w:rsidR="006D6E57">
        <w:rPr>
          <w:sz w:val="24"/>
          <w:szCs w:val="24"/>
        </w:rPr>
        <w:t>this</w:t>
      </w:r>
      <w:r w:rsidR="007775F8">
        <w:rPr>
          <w:sz w:val="24"/>
          <w:szCs w:val="24"/>
        </w:rPr>
        <w:t>, the term “ride-hailing”</w:t>
      </w:r>
      <w:r w:rsidR="006D70B5" w:rsidRPr="00876C25">
        <w:rPr>
          <w:sz w:val="24"/>
          <w:szCs w:val="24"/>
        </w:rPr>
        <w:t xml:space="preserve"> </w:t>
      </w:r>
      <w:r w:rsidR="007775F8">
        <w:rPr>
          <w:sz w:val="24"/>
          <w:szCs w:val="24"/>
        </w:rPr>
        <w:t>has become synonymous to “app-based ride-hailing”.</w:t>
      </w:r>
      <w:r w:rsidR="00E37597">
        <w:rPr>
          <w:sz w:val="24"/>
          <w:szCs w:val="24"/>
        </w:rPr>
        <w:t xml:space="preserve"> I</w:t>
      </w:r>
      <w:r w:rsidR="007775F8">
        <w:rPr>
          <w:sz w:val="24"/>
          <w:szCs w:val="24"/>
        </w:rPr>
        <w:t xml:space="preserve">n the rest of this paper, </w:t>
      </w:r>
      <w:r w:rsidR="00B258AC">
        <w:rPr>
          <w:sz w:val="24"/>
          <w:szCs w:val="24"/>
        </w:rPr>
        <w:t>app-based ride-hailing will simply be referred to as “ride-hailing” unless</w:t>
      </w:r>
      <w:r w:rsidR="007775F8">
        <w:rPr>
          <w:sz w:val="24"/>
          <w:szCs w:val="24"/>
        </w:rPr>
        <w:t xml:space="preserve"> explicitly mentioned otherwise.</w:t>
      </w:r>
    </w:p>
    <w:p w14:paraId="4E818C6C" w14:textId="31564181" w:rsidR="00DF63BB" w:rsidRPr="000F27C8" w:rsidRDefault="00875444" w:rsidP="0023618C">
      <w:pPr>
        <w:spacing w:after="0" w:line="240" w:lineRule="auto"/>
        <w:ind w:firstLine="720"/>
        <w:rPr>
          <w:sz w:val="24"/>
          <w:szCs w:val="24"/>
        </w:rPr>
      </w:pPr>
      <w:r w:rsidRPr="00875444">
        <w:rPr>
          <w:sz w:val="24"/>
          <w:szCs w:val="24"/>
        </w:rPr>
        <w:t>Despite the</w:t>
      </w:r>
      <w:r>
        <w:rPr>
          <w:sz w:val="24"/>
          <w:szCs w:val="24"/>
        </w:rPr>
        <w:t xml:space="preserve"> numerous</w:t>
      </w:r>
      <w:r w:rsidRPr="00875444">
        <w:rPr>
          <w:sz w:val="24"/>
          <w:szCs w:val="24"/>
        </w:rPr>
        <w:t xml:space="preserve"> advantages</w:t>
      </w:r>
      <w:r>
        <w:rPr>
          <w:sz w:val="24"/>
          <w:szCs w:val="24"/>
        </w:rPr>
        <w:t xml:space="preserve"> of</w:t>
      </w:r>
      <w:r w:rsidR="00E73522">
        <w:rPr>
          <w:sz w:val="24"/>
          <w:szCs w:val="24"/>
        </w:rPr>
        <w:t xml:space="preserve"> modern</w:t>
      </w:r>
      <w:r>
        <w:rPr>
          <w:sz w:val="24"/>
          <w:szCs w:val="24"/>
        </w:rPr>
        <w:t xml:space="preserve"> ride-hailing</w:t>
      </w:r>
      <w:r w:rsidR="00E73522">
        <w:rPr>
          <w:sz w:val="24"/>
          <w:szCs w:val="24"/>
        </w:rPr>
        <w:t xml:space="preserve"> services</w:t>
      </w:r>
      <w:r w:rsidRPr="00875444">
        <w:rPr>
          <w:sz w:val="24"/>
          <w:szCs w:val="24"/>
        </w:rPr>
        <w:t xml:space="preserve">, there are concerns that arise in the context of the increasing adoption of ride-hailing services. Perhaps the most pressing concern is the increased VMT due to deadheading trips or empty trips. </w:t>
      </w:r>
      <w:r w:rsidR="00147D10">
        <w:rPr>
          <w:sz w:val="24"/>
          <w:szCs w:val="24"/>
        </w:rPr>
        <w:t xml:space="preserve">These are </w:t>
      </w:r>
      <w:r w:rsidR="00D10FC8" w:rsidRPr="000F27C8">
        <w:rPr>
          <w:sz w:val="24"/>
          <w:szCs w:val="24"/>
        </w:rPr>
        <w:t>trips that are made by ride-hailing vehicles when there are no passengers in the vehicle.</w:t>
      </w:r>
      <w:r w:rsidR="00EE09BD" w:rsidRPr="000F27C8">
        <w:rPr>
          <w:sz w:val="24"/>
          <w:szCs w:val="24"/>
        </w:rPr>
        <w:t xml:space="preserve"> </w:t>
      </w:r>
      <w:r w:rsidR="00100F88" w:rsidRPr="000F27C8">
        <w:rPr>
          <w:sz w:val="24"/>
          <w:szCs w:val="24"/>
        </w:rPr>
        <w:t xml:space="preserve">While it behooves </w:t>
      </w:r>
      <w:r w:rsidR="00821856">
        <w:rPr>
          <w:sz w:val="24"/>
          <w:szCs w:val="24"/>
        </w:rPr>
        <w:t>TNCs</w:t>
      </w:r>
      <w:r w:rsidR="00100F88" w:rsidRPr="000F27C8">
        <w:rPr>
          <w:sz w:val="24"/>
          <w:szCs w:val="24"/>
        </w:rPr>
        <w:t xml:space="preserve"> to </w:t>
      </w:r>
      <w:r w:rsidR="005B49B4">
        <w:rPr>
          <w:sz w:val="24"/>
          <w:szCs w:val="24"/>
        </w:rPr>
        <w:t>match</w:t>
      </w:r>
      <w:r w:rsidR="00100F88" w:rsidRPr="000F27C8">
        <w:rPr>
          <w:sz w:val="24"/>
          <w:szCs w:val="24"/>
        </w:rPr>
        <w:t xml:space="preserve"> drivers and riders in ways that reduce deadheading time and distance (to </w:t>
      </w:r>
      <w:r w:rsidR="005B49B4">
        <w:rPr>
          <w:sz w:val="24"/>
          <w:szCs w:val="24"/>
        </w:rPr>
        <w:t>minimize waiting time and maintain cost affordability</w:t>
      </w:r>
      <w:r w:rsidR="00100F88" w:rsidRPr="000F27C8">
        <w:rPr>
          <w:sz w:val="24"/>
          <w:szCs w:val="24"/>
        </w:rPr>
        <w:t>), i</w:t>
      </w:r>
      <w:r w:rsidR="00D10FC8" w:rsidRPr="000F27C8">
        <w:rPr>
          <w:sz w:val="24"/>
          <w:szCs w:val="24"/>
        </w:rPr>
        <w:t>t is estimated that between 35% and 50% of the total distance travel</w:t>
      </w:r>
      <w:r w:rsidR="00915AB9" w:rsidRPr="000F27C8">
        <w:rPr>
          <w:sz w:val="24"/>
          <w:szCs w:val="24"/>
        </w:rPr>
        <w:t xml:space="preserve">ed by ride-hailing vehicles </w:t>
      </w:r>
      <w:r w:rsidR="005B68F9" w:rsidRPr="000F27C8">
        <w:rPr>
          <w:sz w:val="24"/>
          <w:szCs w:val="24"/>
        </w:rPr>
        <w:t>is lost to</w:t>
      </w:r>
      <w:r w:rsidR="00D10FC8" w:rsidRPr="000F27C8">
        <w:rPr>
          <w:sz w:val="24"/>
          <w:szCs w:val="24"/>
        </w:rPr>
        <w:t xml:space="preserve"> deadheading</w:t>
      </w:r>
      <w:r w:rsidR="00895369" w:rsidRPr="000F27C8">
        <w:rPr>
          <w:sz w:val="24"/>
          <w:szCs w:val="24"/>
        </w:rPr>
        <w:t xml:space="preserve"> </w:t>
      </w:r>
      <w:r w:rsidR="00895369" w:rsidRPr="000F27C8">
        <w:rPr>
          <w:sz w:val="24"/>
          <w:szCs w:val="24"/>
        </w:rPr>
        <w:fldChar w:fldCharType="begin"/>
      </w:r>
      <w:r w:rsidR="00B46899">
        <w:rPr>
          <w:sz w:val="24"/>
          <w:szCs w:val="24"/>
        </w:rPr>
        <w:instrText xml:space="preserve"> ADDIN ZOTERO_ITEM CSL_CITATION {"citationID":"pZQQQrgp","properties":{"formattedCitation":"(Cramer and Krueger, 2016; Henao and Marshall, 2018; Komanduri et al., 2018)","plainCitation":"(Cramer and Krueger, 2016; Henao and Marshall, 2018; Komanduri et al., 2018)","dontUpdate":true,"noteIndex":0},"citationItems":[{"id":"pYE2dMDV/0opN9tNV","uris":["http://zotero.org/users/local/CJ2Dv405/items/5XCQUVNC"],"uri":["http://zotero.org/users/local/CJ2Dv405/items/5XCQUVNC"],"itemData":{"id":155,"type":"report","abstract":"In most cities, the taxi industry is highly regulated and utilizes technology developed in the 1940s. Ride sharing services such as Uber and Lyft, which use modern internet-based mobile technology to connect passengers and drivers, have begun to compete with traditional taxis. This paper examines the efficiency of ride sharing services vis-à-vis taxis by comparing the capacity utilization rate of UberX drivers with that of traditional taxi drivers in five cities. The capacity utilization rate is measured by the fraction of time a driver has a fare-paying passenger in the car while he or she is working, and by the share of total miles that drivers log in which a passenger is in their car. The main conclusion is that, in most cities with data available, UberX drivers spend a significantly higher fraction of their time, and drive a substantially higher share of miles, with a passenger in their car than do taxi drivers. Four factors likely contribute to the higher capacity utilization rate of UberX drivers: 1) Uber’s more efficient driver-passenger matching technology; 2)the larger scale of Uber than taxi companies; 3) inefficient taxi regulations; and 4) Uber’s flexible labor supply model and surge pricing more closely match supply with demand throughout the day.","genre":"Working Paper","note":"DOI: 10.3386/w22083","number":"22083","publisher":"National Bureau of Economic Research","source":"National Bureau of Economic Research","title":"Disruptive Change in the Taxi Business: The Case of Uber","title-short":"Disruptive Change in the Taxi Business","URL":"http://www.nber.org/papers/w22083","author":[{"family":"Cramer","given":"Judd"},{"family":"Krueger","given":"Alan B"}],"accessed":{"date-parts":[["2019",4,5]]},"issued":{"date-parts":[["2016",3]]}}},{"id":"pYE2dMDV/r7cbeA84","uris":["http://zotero.org/users/local/CJ2Dv405/items/QWFPTYXP"],"uri":["http://zotero.org/users/local/CJ2Dv405/items/QWFPTYXP"],"itemData":{"id":130,"type":"article-journal","abstract":"Ride-haling such as Uber and Lyft are changing the ways people travel. Despite widespread claims that these services help reduce driving, there is little research on this topic. This research paper uses a quasi-natural experiment in the Denver, Colorado, region to analyze basic impacts of ride-hailing on transportation efficiency in terms of deadheading, vehicle occupancy, mode replacement, and vehicle miles traveled (VMT). Realizing the difficulty in obtaining data directly from Uber and Lyft, we designed a quasi-natural experiment—by one of the authors driving for both companies—to collect primary data. This experiment uses an ethnographic and survey-based approach that allows the authors to gain access to exclusive data and real-time passenger feedback. The dataset includes actual travel attributes from 416 ride-hailing rides—Lyft, UberX, LyftLine, and UberPool—and travel behavior and socio-demographics from 311 passenger surveys. For this study, the conservative (lower end) percentage of deadheading miles from ride-hailing is 40.8%. The average vehicle occupancy is 1.4 passengers per ride, while the distance weighted vehicle occupancy is 1.3 without accounting for deadheading and 0.8 when accounting deadheading. When accounting for mode replacement and issues such as driver deadheading, we estimate that ride-hailing leads to approximately 83.5% more VMT than would have been driven had ride-hailing not existed. Although our data collection focused on the Denver region, these results provide insight into the impacts of ride-hailing.","container-title":"Transportation","DOI":"10.1007/s11116-018-9923-2","ISSN":"0049-4488, 1572-9435","language":"en","source":"Crossref","title":"The impact of ride-hailing on vehicle miles traveled","URL":"http://link.springer.com/10.1007/s11116-018-9923-2","author":[{"family":"Henao","given":"Alejandro"},{"family":"Marshall","given":"Wesley E."}],"accessed":{"date-parts":[["2019",1,13]]},"issued":{"date-parts":[["2018",9,20]]}}},{"id":"pYE2dMDV/ewcNIEnm","uris":["http://zotero.org/users/local/CJ2Dv405/items/UY89PBNF"],"uri":["http://zotero.org/users/local/CJ2Dv405/items/UY89PBNF"],"itemData":{"id":131,"type":"article-journal","abstract":"App-driven ridesharing platforms are gaining popularity and are transforming urban movement patterns in cities throughout the world. Because of privacy and business considerations, their owners have released little information about riders’ tripmaking characteristics. This lack of data prevents planners and modelers from understanding and quantifying the impact of these new modes on regional travel patterns. In 2016, RideAustin, a not-for-profit company, was established to provide mobility-on-demand services in the Austin region. RideAustin released its dataset of over one million trips to researchers to support transportation planning through a better understanding of urban travel flows. This paper presents findings from an in-depth analysis of this dataset and summarizes key aspects of interest to the transportation research community such as the number of riders, drivers, and trips; total vehicle miles including deadhead miles; and terminal times. The paper also presents findings from two case studies that show the competitiveness of RideAustin versus transit and the utilization of the RideAustin system during the South by Southwest festival. While some of the metrics cannot be readily transferred to other regions, several findings can be used by planners and modelers as they integrate rideshare systems within their planning and modeling frameworks. We also believe that some of the research findings may provide insights into a future system of autonomous and shared vehicles.","container-title":"Transportation Research Record: Journal of the Transportation Research Board","DOI":"10.1177/0361198118796025","ISSN":"0361-1981, 2169-4052","language":"en","page":"036119811879602","source":"Crossref","title":"Assessing the Impact of App-Based Ride Share Systems in an Urban Context: Findings from Austin","title-short":"Assessing the Impact of App-Based Ride Share Systems in an Urban Context","author":[{"family":"Komanduri","given":"Anurag"},{"family":"Wafa","given":"Zeina"},{"family":"Proussaloglou","given":"Kimon"},{"family":"Jacobs","given":"Simon"}],"issued":{"date-parts":[["2018",9,11]]}}}],"schema":"https://github.com/citation-style-language/schema/raw/master/csl-citation.json"} </w:instrText>
      </w:r>
      <w:r w:rsidR="00895369" w:rsidRPr="000F27C8">
        <w:rPr>
          <w:sz w:val="24"/>
          <w:szCs w:val="24"/>
        </w:rPr>
        <w:fldChar w:fldCharType="separate"/>
      </w:r>
      <w:r w:rsidR="00895369" w:rsidRPr="000F27C8">
        <w:rPr>
          <w:rFonts w:cs="Times New Roman"/>
          <w:sz w:val="24"/>
          <w:szCs w:val="24"/>
        </w:rPr>
        <w:t>(Cramer and Krueger, 2016; Henao and Marshall, 201</w:t>
      </w:r>
      <w:r w:rsidR="00400BB0">
        <w:rPr>
          <w:rFonts w:cs="Times New Roman"/>
          <w:sz w:val="24"/>
          <w:szCs w:val="24"/>
        </w:rPr>
        <w:t>9</w:t>
      </w:r>
      <w:r w:rsidR="00895369" w:rsidRPr="000F27C8">
        <w:rPr>
          <w:rFonts w:cs="Times New Roman"/>
          <w:sz w:val="24"/>
          <w:szCs w:val="24"/>
        </w:rPr>
        <w:t xml:space="preserve">; Komanduri </w:t>
      </w:r>
      <w:r w:rsidR="00895369" w:rsidRPr="00BF7326">
        <w:rPr>
          <w:rFonts w:cs="Times New Roman"/>
          <w:i/>
          <w:sz w:val="24"/>
          <w:szCs w:val="24"/>
        </w:rPr>
        <w:t>et al</w:t>
      </w:r>
      <w:r w:rsidR="00895369" w:rsidRPr="000F27C8">
        <w:rPr>
          <w:rFonts w:cs="Times New Roman"/>
          <w:sz w:val="24"/>
          <w:szCs w:val="24"/>
        </w:rPr>
        <w:t>., 2018)</w:t>
      </w:r>
      <w:r w:rsidR="00895369" w:rsidRPr="000F27C8">
        <w:rPr>
          <w:sz w:val="24"/>
          <w:szCs w:val="24"/>
        </w:rPr>
        <w:fldChar w:fldCharType="end"/>
      </w:r>
      <w:r w:rsidR="00D10FC8" w:rsidRPr="000F27C8">
        <w:rPr>
          <w:sz w:val="24"/>
          <w:szCs w:val="24"/>
        </w:rPr>
        <w:t xml:space="preserve">. </w:t>
      </w:r>
      <w:r w:rsidR="00C0343E" w:rsidRPr="000F27C8">
        <w:rPr>
          <w:sz w:val="24"/>
          <w:szCs w:val="24"/>
        </w:rPr>
        <w:t xml:space="preserve">This has led </w:t>
      </w:r>
      <w:r w:rsidR="005B49B4">
        <w:rPr>
          <w:sz w:val="24"/>
          <w:szCs w:val="24"/>
        </w:rPr>
        <w:t>some</w:t>
      </w:r>
      <w:r w:rsidR="00C0343E" w:rsidRPr="000F27C8">
        <w:rPr>
          <w:sz w:val="24"/>
          <w:szCs w:val="24"/>
        </w:rPr>
        <w:t xml:space="preserve"> to argue that</w:t>
      </w:r>
      <w:r w:rsidR="00BB414B">
        <w:rPr>
          <w:sz w:val="24"/>
          <w:szCs w:val="24"/>
        </w:rPr>
        <w:t xml:space="preserve"> </w:t>
      </w:r>
      <w:r w:rsidR="00C0343E" w:rsidRPr="000F27C8">
        <w:rPr>
          <w:sz w:val="24"/>
          <w:szCs w:val="24"/>
        </w:rPr>
        <w:t xml:space="preserve">ride-hailing </w:t>
      </w:r>
      <w:r w:rsidR="005B49B4">
        <w:rPr>
          <w:sz w:val="24"/>
          <w:szCs w:val="24"/>
        </w:rPr>
        <w:t>is</w:t>
      </w:r>
      <w:r w:rsidR="00C0343E" w:rsidRPr="000F27C8">
        <w:rPr>
          <w:sz w:val="24"/>
          <w:szCs w:val="24"/>
        </w:rPr>
        <w:t xml:space="preserve"> at least partially responsible for </w:t>
      </w:r>
      <w:r w:rsidR="005B49B4">
        <w:rPr>
          <w:sz w:val="24"/>
          <w:szCs w:val="24"/>
        </w:rPr>
        <w:t>worsening traffic congestion in a number of cities</w:t>
      </w:r>
      <w:r w:rsidR="00B258AC">
        <w:rPr>
          <w:sz w:val="24"/>
          <w:szCs w:val="24"/>
        </w:rPr>
        <w:t xml:space="preserve"> </w:t>
      </w:r>
      <w:r w:rsidR="00B258AC" w:rsidRPr="00B258AC">
        <w:rPr>
          <w:sz w:val="24"/>
          <w:szCs w:val="24"/>
        </w:rPr>
        <w:t xml:space="preserve">(LeBlanc, 2018; Erhardt </w:t>
      </w:r>
      <w:r w:rsidR="00B258AC" w:rsidRPr="006E6152">
        <w:rPr>
          <w:i/>
          <w:sz w:val="24"/>
          <w:szCs w:val="24"/>
        </w:rPr>
        <w:t>et al</w:t>
      </w:r>
      <w:r w:rsidR="00B258AC" w:rsidRPr="00B258AC">
        <w:rPr>
          <w:sz w:val="24"/>
          <w:szCs w:val="24"/>
        </w:rPr>
        <w:t>., 2019)</w:t>
      </w:r>
      <w:r w:rsidR="00B258AC">
        <w:rPr>
          <w:sz w:val="24"/>
          <w:szCs w:val="24"/>
        </w:rPr>
        <w:t>.</w:t>
      </w:r>
    </w:p>
    <w:p w14:paraId="66D86091" w14:textId="714F265B" w:rsidR="00B46DD1" w:rsidRDefault="00DF63BB" w:rsidP="00C61CB8">
      <w:pPr>
        <w:spacing w:after="0" w:line="240" w:lineRule="auto"/>
        <w:ind w:firstLine="720"/>
        <w:rPr>
          <w:sz w:val="24"/>
          <w:szCs w:val="24"/>
        </w:rPr>
      </w:pPr>
      <w:r w:rsidRPr="000F27C8">
        <w:rPr>
          <w:sz w:val="24"/>
          <w:szCs w:val="24"/>
        </w:rPr>
        <w:t xml:space="preserve">Even though deadheading trips constitute a significant share of the distance traveled by ride-hailing vehicles, </w:t>
      </w:r>
      <w:r w:rsidR="00AA73A2">
        <w:rPr>
          <w:sz w:val="24"/>
          <w:szCs w:val="24"/>
        </w:rPr>
        <w:t xml:space="preserve">until recently, </w:t>
      </w:r>
      <w:r w:rsidR="000249B6" w:rsidRPr="000F27C8">
        <w:rPr>
          <w:sz w:val="24"/>
          <w:szCs w:val="24"/>
        </w:rPr>
        <w:t>most of the research on ride</w:t>
      </w:r>
      <w:r w:rsidR="0098135E">
        <w:rPr>
          <w:sz w:val="24"/>
          <w:szCs w:val="24"/>
        </w:rPr>
        <w:t>-</w:t>
      </w:r>
      <w:r w:rsidR="000249B6" w:rsidRPr="000F27C8">
        <w:rPr>
          <w:sz w:val="24"/>
          <w:szCs w:val="24"/>
        </w:rPr>
        <w:t>hailing has focused on passenger trips</w:t>
      </w:r>
      <w:r w:rsidR="00EE09BD" w:rsidRPr="000F27C8">
        <w:rPr>
          <w:sz w:val="24"/>
          <w:szCs w:val="24"/>
        </w:rPr>
        <w:t xml:space="preserve"> (</w:t>
      </w:r>
      <w:r w:rsidR="00BB1ED1" w:rsidRPr="00BF7326">
        <w:rPr>
          <w:i/>
          <w:sz w:val="24"/>
          <w:szCs w:val="24"/>
        </w:rPr>
        <w:t>i.e.</w:t>
      </w:r>
      <w:r w:rsidR="00BB1ED1">
        <w:rPr>
          <w:sz w:val="24"/>
          <w:szCs w:val="24"/>
        </w:rPr>
        <w:t>,</w:t>
      </w:r>
      <w:r w:rsidR="00EE09BD" w:rsidRPr="000F27C8">
        <w:rPr>
          <w:sz w:val="24"/>
          <w:szCs w:val="24"/>
        </w:rPr>
        <w:t xml:space="preserve"> trips </w:t>
      </w:r>
      <w:r w:rsidR="00BB1ED1">
        <w:rPr>
          <w:sz w:val="24"/>
          <w:szCs w:val="24"/>
        </w:rPr>
        <w:t>involving</w:t>
      </w:r>
      <w:r w:rsidR="00EE09BD" w:rsidRPr="000F27C8">
        <w:rPr>
          <w:sz w:val="24"/>
          <w:szCs w:val="24"/>
        </w:rPr>
        <w:t xml:space="preserve"> transportation of passengers from pick-up location</w:t>
      </w:r>
      <w:r w:rsidR="00BB1ED1">
        <w:rPr>
          <w:sz w:val="24"/>
          <w:szCs w:val="24"/>
        </w:rPr>
        <w:t>s</w:t>
      </w:r>
      <w:r w:rsidR="00EE09BD" w:rsidRPr="000F27C8">
        <w:rPr>
          <w:sz w:val="24"/>
          <w:szCs w:val="24"/>
        </w:rPr>
        <w:t xml:space="preserve"> to drop-off location</w:t>
      </w:r>
      <w:r w:rsidR="00BB1ED1">
        <w:rPr>
          <w:sz w:val="24"/>
          <w:szCs w:val="24"/>
        </w:rPr>
        <w:t>s</w:t>
      </w:r>
      <w:r w:rsidR="00EE09BD" w:rsidRPr="000F27C8">
        <w:rPr>
          <w:sz w:val="24"/>
          <w:szCs w:val="24"/>
        </w:rPr>
        <w:t>)</w:t>
      </w:r>
      <w:r w:rsidR="000249B6" w:rsidRPr="000F27C8">
        <w:rPr>
          <w:sz w:val="24"/>
          <w:szCs w:val="24"/>
        </w:rPr>
        <w:t xml:space="preserve">. </w:t>
      </w:r>
      <w:r w:rsidR="0066741C">
        <w:rPr>
          <w:sz w:val="24"/>
          <w:szCs w:val="24"/>
        </w:rPr>
        <w:t xml:space="preserve">Information on such passenger trips are easy to obtain by conducting surveys of individuals and eliciting responses to questions regarding ride-hailing use, purpose of ride-hailing trip, and spatial-temporal characteristics of the trips (see, for example, </w:t>
      </w:r>
      <w:proofErr w:type="spellStart"/>
      <w:r w:rsidR="0066741C">
        <w:rPr>
          <w:sz w:val="24"/>
          <w:szCs w:val="24"/>
        </w:rPr>
        <w:t>Clewlow</w:t>
      </w:r>
      <w:proofErr w:type="spellEnd"/>
      <w:r w:rsidR="0066741C">
        <w:rPr>
          <w:sz w:val="24"/>
          <w:szCs w:val="24"/>
        </w:rPr>
        <w:t xml:space="preserve"> and Mishra, 2017 and Lavieri and Bhat, 2019). However, </w:t>
      </w:r>
      <w:r w:rsidR="00BB52C2">
        <w:rPr>
          <w:sz w:val="24"/>
          <w:szCs w:val="24"/>
        </w:rPr>
        <w:t xml:space="preserve">it is more difficult to obtain survey-based diaries of deadheading trips from ride-hailing drivers, because ride-hailing drivers are a smaller segment of the population than those who request ride-hailing services. Another approach to obtain information on deadheading is through </w:t>
      </w:r>
      <w:r w:rsidR="00BB1ED1">
        <w:rPr>
          <w:sz w:val="24"/>
          <w:szCs w:val="24"/>
        </w:rPr>
        <w:t xml:space="preserve">disaggregate trip-level </w:t>
      </w:r>
      <w:r w:rsidR="00491791" w:rsidRPr="000F27C8">
        <w:rPr>
          <w:sz w:val="24"/>
          <w:szCs w:val="24"/>
        </w:rPr>
        <w:t xml:space="preserve">data </w:t>
      </w:r>
      <w:r w:rsidR="00BB52C2">
        <w:rPr>
          <w:sz w:val="24"/>
          <w:szCs w:val="24"/>
        </w:rPr>
        <w:t>from</w:t>
      </w:r>
      <w:r w:rsidR="00AA73A2">
        <w:rPr>
          <w:sz w:val="24"/>
          <w:szCs w:val="24"/>
        </w:rPr>
        <w:t xml:space="preserve"> ride-hailing vehicles</w:t>
      </w:r>
      <w:r w:rsidR="00491791" w:rsidRPr="000F27C8">
        <w:rPr>
          <w:sz w:val="24"/>
          <w:szCs w:val="24"/>
        </w:rPr>
        <w:t>.</w:t>
      </w:r>
      <w:r w:rsidR="00AA73A2">
        <w:rPr>
          <w:sz w:val="24"/>
          <w:szCs w:val="24"/>
        </w:rPr>
        <w:t xml:space="preserve"> </w:t>
      </w:r>
      <w:r w:rsidR="00BB52C2">
        <w:rPr>
          <w:sz w:val="24"/>
          <w:szCs w:val="24"/>
        </w:rPr>
        <w:t xml:space="preserve">But such data were not easily available until </w:t>
      </w:r>
      <w:r w:rsidR="00AA73A2">
        <w:rPr>
          <w:sz w:val="24"/>
          <w:szCs w:val="24"/>
        </w:rPr>
        <w:t xml:space="preserve">2017, </w:t>
      </w:r>
      <w:r w:rsidR="00BB52C2">
        <w:rPr>
          <w:sz w:val="24"/>
          <w:szCs w:val="24"/>
        </w:rPr>
        <w:t xml:space="preserve">when </w:t>
      </w:r>
      <w:r w:rsidR="00AA73A2">
        <w:rPr>
          <w:sz w:val="24"/>
          <w:szCs w:val="24"/>
        </w:rPr>
        <w:t>a</w:t>
      </w:r>
      <w:r w:rsidR="00DA3885">
        <w:rPr>
          <w:sz w:val="24"/>
          <w:szCs w:val="24"/>
        </w:rPr>
        <w:t>n app-based</w:t>
      </w:r>
      <w:r w:rsidR="00AA73A2">
        <w:rPr>
          <w:sz w:val="24"/>
          <w:szCs w:val="24"/>
        </w:rPr>
        <w:t xml:space="preserve"> ride-hailing company “Ride Austin” </w:t>
      </w:r>
      <w:r w:rsidR="00B46DD1">
        <w:rPr>
          <w:sz w:val="24"/>
          <w:szCs w:val="24"/>
        </w:rPr>
        <w:t xml:space="preserve">released </w:t>
      </w:r>
      <w:r w:rsidR="00F047CC" w:rsidRPr="000F27C8">
        <w:rPr>
          <w:sz w:val="24"/>
          <w:szCs w:val="24"/>
        </w:rPr>
        <w:t xml:space="preserve">anonymized data on all </w:t>
      </w:r>
      <w:r w:rsidR="00512729" w:rsidRPr="000F27C8">
        <w:rPr>
          <w:sz w:val="24"/>
          <w:szCs w:val="24"/>
        </w:rPr>
        <w:t>ride-hailing</w:t>
      </w:r>
      <w:r w:rsidR="000C4D6A" w:rsidRPr="000F27C8">
        <w:rPr>
          <w:sz w:val="24"/>
          <w:szCs w:val="24"/>
        </w:rPr>
        <w:t xml:space="preserve"> passenger</w:t>
      </w:r>
      <w:r w:rsidR="00512729" w:rsidRPr="000F27C8">
        <w:rPr>
          <w:sz w:val="24"/>
          <w:szCs w:val="24"/>
        </w:rPr>
        <w:t xml:space="preserve"> trips </w:t>
      </w:r>
      <w:r w:rsidR="00F047CC" w:rsidRPr="000F27C8">
        <w:rPr>
          <w:sz w:val="24"/>
          <w:szCs w:val="24"/>
        </w:rPr>
        <w:t xml:space="preserve">that </w:t>
      </w:r>
      <w:r w:rsidR="00B46DD1">
        <w:rPr>
          <w:sz w:val="24"/>
          <w:szCs w:val="24"/>
        </w:rPr>
        <w:t>were served</w:t>
      </w:r>
      <w:r w:rsidR="00DA3885">
        <w:rPr>
          <w:sz w:val="24"/>
          <w:szCs w:val="24"/>
        </w:rPr>
        <w:t xml:space="preserve"> on their platform</w:t>
      </w:r>
      <w:r w:rsidR="00F047CC" w:rsidRPr="000F27C8">
        <w:rPr>
          <w:sz w:val="24"/>
          <w:szCs w:val="24"/>
        </w:rPr>
        <w:t xml:space="preserve"> </w:t>
      </w:r>
      <w:r w:rsidR="00512729" w:rsidRPr="000F27C8">
        <w:rPr>
          <w:sz w:val="24"/>
          <w:szCs w:val="24"/>
        </w:rPr>
        <w:t xml:space="preserve">over a </w:t>
      </w:r>
      <w:r w:rsidR="001D1C3F" w:rsidRPr="000F27C8">
        <w:rPr>
          <w:sz w:val="24"/>
          <w:szCs w:val="24"/>
        </w:rPr>
        <w:t>ten</w:t>
      </w:r>
      <w:r w:rsidR="00512729" w:rsidRPr="000F27C8">
        <w:rPr>
          <w:sz w:val="24"/>
          <w:szCs w:val="24"/>
        </w:rPr>
        <w:t xml:space="preserve"> month period</w:t>
      </w:r>
      <w:r w:rsidR="00917EBD" w:rsidRPr="000F27C8">
        <w:rPr>
          <w:sz w:val="24"/>
          <w:szCs w:val="24"/>
        </w:rPr>
        <w:t xml:space="preserve"> </w:t>
      </w:r>
      <w:r w:rsidR="00F047CC" w:rsidRPr="000F27C8">
        <w:rPr>
          <w:sz w:val="24"/>
          <w:szCs w:val="24"/>
        </w:rPr>
        <w:t xml:space="preserve">between 2016 and 2017 </w:t>
      </w:r>
      <w:r w:rsidR="00917EBD" w:rsidRPr="000F27C8">
        <w:rPr>
          <w:sz w:val="24"/>
          <w:szCs w:val="24"/>
        </w:rPr>
        <w:fldChar w:fldCharType="begin"/>
      </w:r>
      <w:r w:rsidR="00B46899">
        <w:rPr>
          <w:sz w:val="24"/>
          <w:szCs w:val="24"/>
        </w:rPr>
        <w:instrText xml:space="preserve"> ADDIN ZOTERO_ITEM CSL_CITATION {"citationID":"Sw56ccY7","properties":{"formattedCitation":"(Ride Austin, 2017)","plainCitation":"(Ride Austin, 2017)","noteIndex":0},"citationItems":[{"id":"pYE2dMDV/sKfroBWV","uris":["http://zotero.org/users/local/CJ2Dv405/items/BEK3SD2D"],"uri":["http://zotero.org/users/local/CJ2Dv405/items/BEK3SD2D"],"itemData":{"id":144,"type":"webpage","title":"Data file and code book","URL":"https://data.world/ride-austin/ride-austin-june-6-april-13","author":[{"literal":"Ride Austin"}],"accessed":{"date-parts":[["2019",1,3]]},"issued":{"date-parts":[["2017"]]}}}],"schema":"https://github.com/citation-style-language/schema/raw/master/csl-citation.json"} </w:instrText>
      </w:r>
      <w:r w:rsidR="00917EBD" w:rsidRPr="000F27C8">
        <w:rPr>
          <w:sz w:val="24"/>
          <w:szCs w:val="24"/>
        </w:rPr>
        <w:fldChar w:fldCharType="separate"/>
      </w:r>
      <w:r w:rsidR="00917EBD" w:rsidRPr="000F27C8">
        <w:rPr>
          <w:rFonts w:cs="Times New Roman"/>
          <w:sz w:val="24"/>
          <w:szCs w:val="24"/>
        </w:rPr>
        <w:t>(Ride Austin, 2017)</w:t>
      </w:r>
      <w:r w:rsidR="00917EBD" w:rsidRPr="000F27C8">
        <w:rPr>
          <w:sz w:val="24"/>
          <w:szCs w:val="24"/>
        </w:rPr>
        <w:fldChar w:fldCharType="end"/>
      </w:r>
      <w:r w:rsidR="00512729" w:rsidRPr="000F27C8">
        <w:rPr>
          <w:sz w:val="24"/>
          <w:szCs w:val="24"/>
        </w:rPr>
        <w:t>.</w:t>
      </w:r>
      <w:r w:rsidR="00B46DD1">
        <w:rPr>
          <w:sz w:val="24"/>
          <w:szCs w:val="24"/>
        </w:rPr>
        <w:t xml:space="preserve"> The availability of this data presents an opportunity to impute and analyze deadheading trips at a disaggregate trip-level. </w:t>
      </w:r>
      <w:r w:rsidR="006F5C60">
        <w:rPr>
          <w:sz w:val="24"/>
          <w:szCs w:val="24"/>
        </w:rPr>
        <w:t>Specifically, in this paper, w</w:t>
      </w:r>
      <w:r w:rsidR="009C2578">
        <w:rPr>
          <w:sz w:val="24"/>
          <w:szCs w:val="24"/>
        </w:rPr>
        <w:t xml:space="preserve">e focus on the deadheading trips </w:t>
      </w:r>
      <w:r w:rsidR="005D191A">
        <w:rPr>
          <w:sz w:val="24"/>
          <w:szCs w:val="24"/>
        </w:rPr>
        <w:t>that</w:t>
      </w:r>
      <w:r w:rsidR="009C2578">
        <w:rPr>
          <w:sz w:val="24"/>
          <w:szCs w:val="24"/>
        </w:rPr>
        <w:t xml:space="preserve"> are</w:t>
      </w:r>
      <w:r w:rsidR="005D191A">
        <w:rPr>
          <w:sz w:val="24"/>
          <w:szCs w:val="24"/>
        </w:rPr>
        <w:t xml:space="preserve"> </w:t>
      </w:r>
      <w:r w:rsidR="00E666AC">
        <w:rPr>
          <w:sz w:val="24"/>
          <w:szCs w:val="24"/>
        </w:rPr>
        <w:t>made</w:t>
      </w:r>
      <w:r w:rsidR="001C0931" w:rsidRPr="000F27C8">
        <w:rPr>
          <w:sz w:val="24"/>
          <w:szCs w:val="24"/>
        </w:rPr>
        <w:t xml:space="preserve"> in search of a </w:t>
      </w:r>
      <w:r w:rsidR="001C0931" w:rsidRPr="000F27C8">
        <w:rPr>
          <w:sz w:val="24"/>
          <w:szCs w:val="24"/>
        </w:rPr>
        <w:lastRenderedPageBreak/>
        <w:t xml:space="preserve">new passenger after dropping off </w:t>
      </w:r>
      <w:r w:rsidR="00100F88" w:rsidRPr="000F27C8">
        <w:rPr>
          <w:sz w:val="24"/>
          <w:szCs w:val="24"/>
        </w:rPr>
        <w:t>any</w:t>
      </w:r>
      <w:r w:rsidR="001C0931" w:rsidRPr="000F27C8">
        <w:rPr>
          <w:sz w:val="24"/>
          <w:szCs w:val="24"/>
        </w:rPr>
        <w:t xml:space="preserve"> previous passenger</w:t>
      </w:r>
      <w:r w:rsidR="00B46DD1">
        <w:rPr>
          <w:sz w:val="24"/>
          <w:szCs w:val="24"/>
        </w:rPr>
        <w:t>(</w:t>
      </w:r>
      <w:r w:rsidR="00100F88" w:rsidRPr="000F27C8">
        <w:rPr>
          <w:sz w:val="24"/>
          <w:szCs w:val="24"/>
        </w:rPr>
        <w:t>s</w:t>
      </w:r>
      <w:r w:rsidR="00B46DD1">
        <w:rPr>
          <w:sz w:val="24"/>
          <w:szCs w:val="24"/>
        </w:rPr>
        <w:t>)</w:t>
      </w:r>
      <w:r w:rsidR="001C0931" w:rsidRPr="000F27C8">
        <w:rPr>
          <w:sz w:val="24"/>
          <w:szCs w:val="24"/>
        </w:rPr>
        <w:t>.</w:t>
      </w:r>
      <w:r w:rsidR="003F680F" w:rsidRPr="000F27C8">
        <w:rPr>
          <w:sz w:val="24"/>
          <w:szCs w:val="24"/>
        </w:rPr>
        <w:t xml:space="preserve"> </w:t>
      </w:r>
      <w:r w:rsidR="00463E6D" w:rsidRPr="00463E6D">
        <w:rPr>
          <w:sz w:val="24"/>
          <w:szCs w:val="24"/>
        </w:rPr>
        <w:t xml:space="preserve">One </w:t>
      </w:r>
      <w:r w:rsidR="00463E6D">
        <w:rPr>
          <w:sz w:val="24"/>
          <w:szCs w:val="24"/>
        </w:rPr>
        <w:t>could</w:t>
      </w:r>
      <w:r w:rsidR="00463E6D" w:rsidRPr="00463E6D">
        <w:rPr>
          <w:sz w:val="24"/>
          <w:szCs w:val="24"/>
        </w:rPr>
        <w:t xml:space="preserve"> also examine deadheading portions of trips in which there may be some passengers already in the ride-hailing vehicle, </w:t>
      </w:r>
      <w:r w:rsidR="00463E6D">
        <w:rPr>
          <w:sz w:val="24"/>
          <w:szCs w:val="24"/>
        </w:rPr>
        <w:t>where</w:t>
      </w:r>
      <w:r w:rsidR="00463E6D" w:rsidRPr="00463E6D">
        <w:rPr>
          <w:sz w:val="24"/>
          <w:szCs w:val="24"/>
        </w:rPr>
        <w:t xml:space="preserve"> the ride-hailing vehicle travels (with no benefit to existing passengers in terms of time or movement toward destinations) to pick-up an additional new passenger in a pooled/shared-ride mode of operation. However, given the very low use of ride-hailing in a pooled mode, at least in the U.S.</w:t>
      </w:r>
      <w:r w:rsidR="00A12A9F">
        <w:rPr>
          <w:sz w:val="24"/>
          <w:szCs w:val="24"/>
        </w:rPr>
        <w:t xml:space="preserve"> (</w:t>
      </w:r>
      <w:r w:rsidR="00A12A9F" w:rsidRPr="00A12A9F">
        <w:rPr>
          <w:sz w:val="24"/>
          <w:szCs w:val="24"/>
        </w:rPr>
        <w:t>Lavieri and Bhat, 2019)</w:t>
      </w:r>
      <w:r w:rsidR="00463E6D" w:rsidRPr="00463E6D">
        <w:rPr>
          <w:sz w:val="24"/>
          <w:szCs w:val="24"/>
        </w:rPr>
        <w:t>, and the inherent complexity in identifying deadheading portions of non-empty ride-hailing trips, the analysis (or inclusion) of this component of deadheading is left to a future research effort. Besides, as discussed later, the data used in this study precludes any shared/pooled ride-hailing, thus rendering the examination of deadheading portions of non-empty trips impractical.</w:t>
      </w:r>
    </w:p>
    <w:p w14:paraId="583D979E" w14:textId="579AA77D" w:rsidR="003F680F" w:rsidRPr="000F27C8" w:rsidRDefault="006F5C60" w:rsidP="00876C25">
      <w:pPr>
        <w:autoSpaceDE w:val="0"/>
        <w:autoSpaceDN w:val="0"/>
        <w:adjustRightInd w:val="0"/>
        <w:spacing w:after="0" w:line="240" w:lineRule="auto"/>
        <w:ind w:firstLine="720"/>
        <w:rPr>
          <w:sz w:val="24"/>
          <w:szCs w:val="24"/>
        </w:rPr>
      </w:pPr>
      <w:r>
        <w:rPr>
          <w:sz w:val="24"/>
          <w:szCs w:val="24"/>
        </w:rPr>
        <w:t>In summary, in this paper, we develop a</w:t>
      </w:r>
      <w:r w:rsidRPr="000F27C8">
        <w:rPr>
          <w:sz w:val="24"/>
          <w:szCs w:val="24"/>
        </w:rPr>
        <w:t xml:space="preserve"> model</w:t>
      </w:r>
      <w:r>
        <w:rPr>
          <w:sz w:val="24"/>
          <w:szCs w:val="24"/>
        </w:rPr>
        <w:t xml:space="preserve"> to predict</w:t>
      </w:r>
      <w:r w:rsidRPr="000F27C8">
        <w:rPr>
          <w:sz w:val="24"/>
          <w:szCs w:val="24"/>
        </w:rPr>
        <w:t xml:space="preserve"> the location </w:t>
      </w:r>
      <w:r>
        <w:rPr>
          <w:sz w:val="24"/>
          <w:szCs w:val="24"/>
        </w:rPr>
        <w:t xml:space="preserve">of the next passenger pick-up </w:t>
      </w:r>
      <w:r w:rsidRPr="000F27C8">
        <w:rPr>
          <w:sz w:val="24"/>
          <w:szCs w:val="24"/>
        </w:rPr>
        <w:t xml:space="preserve">when the origin of the deadheading trip (or the drop-off location of the previous passenger) is known. </w:t>
      </w:r>
      <w:r>
        <w:rPr>
          <w:sz w:val="24"/>
          <w:szCs w:val="24"/>
        </w:rPr>
        <w:t xml:space="preserve">An immediate reaction may be that such deadheading trips are simply a derivative of where passengers are picked up and dropped off. But this is not true, because deadheading trips, at a micro-level, are about which ride-hailing vehicle is assigned to a specific passenger pick-up. So, just knowing passenger pick-up locations and passenger drop-off locations do not provide information about deadheading. Of course, ride-hailing companies have a specific dynamic matching algorithm that matches ride-hailing vehicles to </w:t>
      </w:r>
      <w:r w:rsidR="003A155E">
        <w:rPr>
          <w:sz w:val="24"/>
          <w:szCs w:val="24"/>
        </w:rPr>
        <w:t>passenger pick-up requests</w:t>
      </w:r>
      <w:r>
        <w:rPr>
          <w:sz w:val="24"/>
          <w:szCs w:val="24"/>
        </w:rPr>
        <w:t xml:space="preserve">, but TNCs consider the algorithm as being proprietary. </w:t>
      </w:r>
      <w:r w:rsidR="00892528">
        <w:rPr>
          <w:sz w:val="24"/>
          <w:szCs w:val="24"/>
        </w:rPr>
        <w:t xml:space="preserve">Also, </w:t>
      </w:r>
      <w:r w:rsidR="0098135E">
        <w:rPr>
          <w:sz w:val="24"/>
          <w:szCs w:val="24"/>
        </w:rPr>
        <w:t>TNCs</w:t>
      </w:r>
      <w:r w:rsidR="00A33C1B">
        <w:rPr>
          <w:sz w:val="24"/>
          <w:szCs w:val="24"/>
        </w:rPr>
        <w:t xml:space="preserve"> </w:t>
      </w:r>
      <w:r w:rsidR="00892528">
        <w:rPr>
          <w:sz w:val="24"/>
          <w:szCs w:val="24"/>
        </w:rPr>
        <w:t xml:space="preserve">use such an algorithm </w:t>
      </w:r>
      <w:r w:rsidR="00A33C1B">
        <w:rPr>
          <w:sz w:val="24"/>
          <w:szCs w:val="24"/>
        </w:rPr>
        <w:t xml:space="preserve">to optimize business operations and revenue, </w:t>
      </w:r>
      <w:r w:rsidR="00892528">
        <w:rPr>
          <w:sz w:val="24"/>
          <w:szCs w:val="24"/>
        </w:rPr>
        <w:t>while the emphasis in this research</w:t>
      </w:r>
      <w:r w:rsidR="00B46DD1">
        <w:rPr>
          <w:sz w:val="24"/>
          <w:szCs w:val="24"/>
        </w:rPr>
        <w:t xml:space="preserve"> is </w:t>
      </w:r>
      <w:r w:rsidR="00E04894" w:rsidRPr="000F27C8">
        <w:rPr>
          <w:sz w:val="24"/>
          <w:szCs w:val="24"/>
        </w:rPr>
        <w:t xml:space="preserve">to </w:t>
      </w:r>
      <w:r w:rsidR="00892528">
        <w:rPr>
          <w:sz w:val="24"/>
          <w:szCs w:val="24"/>
        </w:rPr>
        <w:t xml:space="preserve">allow planners to account for the spatial-temporal patterns of deadheading trips in their urban and regional travel models to predict overall spatial-temporal patterns of traffic flow. </w:t>
      </w:r>
      <w:r w:rsidR="00BA2DAC">
        <w:rPr>
          <w:sz w:val="24"/>
          <w:szCs w:val="24"/>
        </w:rPr>
        <w:t xml:space="preserve">In other words, while the goal of the models developed by TNCs would be to </w:t>
      </w:r>
      <w:r w:rsidR="00E90CD0">
        <w:rPr>
          <w:sz w:val="24"/>
          <w:szCs w:val="24"/>
        </w:rPr>
        <w:t>identify</w:t>
      </w:r>
      <w:r w:rsidR="00BA2DAC">
        <w:rPr>
          <w:sz w:val="24"/>
          <w:szCs w:val="24"/>
        </w:rPr>
        <w:t xml:space="preserve"> strategies for controlling ride-hailing demand and supply in a way that maximizes their revenue</w:t>
      </w:r>
      <w:r w:rsidR="00A00F1E">
        <w:rPr>
          <w:sz w:val="24"/>
          <w:szCs w:val="24"/>
        </w:rPr>
        <w:t xml:space="preserve"> and profits</w:t>
      </w:r>
      <w:r w:rsidR="00BA2DAC">
        <w:rPr>
          <w:sz w:val="24"/>
          <w:szCs w:val="24"/>
        </w:rPr>
        <w:t xml:space="preserve">, the goal of our model is to </w:t>
      </w:r>
      <w:r w:rsidR="00A00F1E">
        <w:rPr>
          <w:sz w:val="24"/>
          <w:szCs w:val="24"/>
        </w:rPr>
        <w:t>predict</w:t>
      </w:r>
      <w:r w:rsidR="00BA2DAC">
        <w:rPr>
          <w:sz w:val="24"/>
          <w:szCs w:val="24"/>
        </w:rPr>
        <w:t xml:space="preserve"> passenger pick-up patterns for </w:t>
      </w:r>
      <w:r w:rsidR="007C3D79">
        <w:rPr>
          <w:sz w:val="24"/>
          <w:szCs w:val="24"/>
        </w:rPr>
        <w:t>ride-hailing vehicles</w:t>
      </w:r>
      <w:r w:rsidR="00BA2DAC">
        <w:rPr>
          <w:sz w:val="24"/>
          <w:szCs w:val="24"/>
        </w:rPr>
        <w:t xml:space="preserve"> based on historic data so that it can be simulated in travel demand forecasting frameworks. </w:t>
      </w:r>
      <w:r w:rsidR="000C6C9F">
        <w:rPr>
          <w:sz w:val="24"/>
          <w:szCs w:val="24"/>
        </w:rPr>
        <w:t xml:space="preserve">Two additional points along these lines. There is no doubt that fleet characteristics of the TNC, pricing considerations such as surge pricing, and related service characteristics, as well as driver attributes, can affect deadheading trips. But such characteristics are not available in the context of </w:t>
      </w:r>
      <w:r w:rsidR="00544DE9">
        <w:rPr>
          <w:sz w:val="24"/>
          <w:szCs w:val="24"/>
        </w:rPr>
        <w:t xml:space="preserve">survey data used for </w:t>
      </w:r>
      <w:r w:rsidR="000C6C9F">
        <w:rPr>
          <w:sz w:val="24"/>
          <w:szCs w:val="24"/>
        </w:rPr>
        <w:t xml:space="preserve">traditional urban and regional travel demand models, and certainly </w:t>
      </w:r>
      <w:r w:rsidR="00544DE9">
        <w:rPr>
          <w:sz w:val="24"/>
          <w:szCs w:val="24"/>
        </w:rPr>
        <w:t>are not available for use in forecasting with travel demand models. A second issue is that, in the</w:t>
      </w:r>
      <w:r w:rsidR="00310266">
        <w:rPr>
          <w:sz w:val="24"/>
          <w:szCs w:val="24"/>
        </w:rPr>
        <w:t xml:space="preserve"> U</w:t>
      </w:r>
      <w:r w:rsidR="00DE2B44">
        <w:rPr>
          <w:sz w:val="24"/>
          <w:szCs w:val="24"/>
        </w:rPr>
        <w:t>.</w:t>
      </w:r>
      <w:r w:rsidR="00310266">
        <w:rPr>
          <w:sz w:val="24"/>
          <w:szCs w:val="24"/>
        </w:rPr>
        <w:t>S</w:t>
      </w:r>
      <w:r w:rsidR="00DE2B44">
        <w:rPr>
          <w:sz w:val="24"/>
          <w:szCs w:val="24"/>
        </w:rPr>
        <w:t>.</w:t>
      </w:r>
      <w:r w:rsidR="00310266">
        <w:rPr>
          <w:sz w:val="24"/>
          <w:szCs w:val="24"/>
        </w:rPr>
        <w:t xml:space="preserve">, TNCs </w:t>
      </w:r>
      <w:r w:rsidR="00544DE9">
        <w:rPr>
          <w:sz w:val="24"/>
          <w:szCs w:val="24"/>
        </w:rPr>
        <w:t>assign pick-ups to a specific driver based on location proximity at non-airport locations or based on a digital queuing system (with the driver with the longest wait time in the queue) at airports</w:t>
      </w:r>
      <w:r w:rsidR="00AC335F">
        <w:rPr>
          <w:sz w:val="24"/>
          <w:szCs w:val="24"/>
        </w:rPr>
        <w:t xml:space="preserve"> (Griswold, 2018)</w:t>
      </w:r>
      <w:r w:rsidR="00544DE9">
        <w:rPr>
          <w:sz w:val="24"/>
          <w:szCs w:val="24"/>
        </w:rPr>
        <w:t xml:space="preserve">. Drivers are not provided information on where the assigned pick-up’s drop-off point is until the driver gets to the pick-up point. This is done deliberately to avoid a situation where drivers do not accept a pick-up assignment based on where the pick-up is to be dropped. </w:t>
      </w:r>
      <w:r w:rsidR="00AC335F">
        <w:rPr>
          <w:sz w:val="24"/>
          <w:szCs w:val="24"/>
        </w:rPr>
        <w:t>And drivers get steeply penalized if they do not accept, on a routine basis, assigned rides. In effect, driver attributes play a relatively small role in acceptance or not of pick-up rides assigned, which implies that driver attributes do not play a substantial role in deadheadin</w:t>
      </w:r>
      <w:r w:rsidR="000F48D6">
        <w:rPr>
          <w:sz w:val="24"/>
          <w:szCs w:val="24"/>
        </w:rPr>
        <w:t>g trip patterns</w:t>
      </w:r>
      <w:r w:rsidR="00AC335F">
        <w:rPr>
          <w:sz w:val="24"/>
          <w:szCs w:val="24"/>
        </w:rPr>
        <w:t>.</w:t>
      </w:r>
      <w:r w:rsidR="000D0F54" w:rsidRPr="00A8552E">
        <w:rPr>
          <w:rStyle w:val="FootnoteReference"/>
        </w:rPr>
        <w:footnoteReference w:id="1"/>
      </w:r>
      <w:r w:rsidR="00AC335F">
        <w:rPr>
          <w:sz w:val="24"/>
          <w:szCs w:val="24"/>
        </w:rPr>
        <w:t xml:space="preserve"> In recognition of these two issues, o</w:t>
      </w:r>
      <w:r w:rsidR="00BA2DAC">
        <w:rPr>
          <w:sz w:val="24"/>
          <w:szCs w:val="24"/>
        </w:rPr>
        <w:t>ur</w:t>
      </w:r>
      <w:r w:rsidR="00BA2DAC" w:rsidRPr="000F27C8">
        <w:rPr>
          <w:sz w:val="24"/>
          <w:szCs w:val="24"/>
        </w:rPr>
        <w:t xml:space="preserve"> </w:t>
      </w:r>
      <w:r w:rsidR="004B6DE1" w:rsidRPr="000F27C8">
        <w:rPr>
          <w:sz w:val="24"/>
          <w:szCs w:val="24"/>
        </w:rPr>
        <w:t xml:space="preserve">model uses location specific attributes of the deadheading trip’s origin as well as </w:t>
      </w:r>
      <w:r w:rsidR="00A33C1B">
        <w:rPr>
          <w:sz w:val="24"/>
          <w:szCs w:val="24"/>
        </w:rPr>
        <w:t>attributes</w:t>
      </w:r>
      <w:r w:rsidR="004B6DE1" w:rsidRPr="000F27C8">
        <w:rPr>
          <w:sz w:val="24"/>
          <w:szCs w:val="24"/>
        </w:rPr>
        <w:t xml:space="preserve"> of the potential destinations</w:t>
      </w:r>
      <w:r w:rsidR="00A33C1B">
        <w:rPr>
          <w:sz w:val="24"/>
          <w:szCs w:val="24"/>
        </w:rPr>
        <w:t xml:space="preserve"> to predict the subsequent passenger pick-up location</w:t>
      </w:r>
      <w:r w:rsidR="000D0F54">
        <w:rPr>
          <w:sz w:val="24"/>
          <w:szCs w:val="24"/>
        </w:rPr>
        <w:t xml:space="preserve"> </w:t>
      </w:r>
      <w:r w:rsidR="002204D8">
        <w:rPr>
          <w:sz w:val="24"/>
          <w:szCs w:val="24"/>
        </w:rPr>
        <w:t xml:space="preserve">after a passenger drop-off </w:t>
      </w:r>
      <w:r w:rsidR="000D0F54">
        <w:rPr>
          <w:sz w:val="24"/>
          <w:szCs w:val="24"/>
        </w:rPr>
        <w:t xml:space="preserve">within </w:t>
      </w:r>
      <w:r w:rsidR="000D0F54">
        <w:rPr>
          <w:sz w:val="24"/>
          <w:szCs w:val="24"/>
        </w:rPr>
        <w:lastRenderedPageBreak/>
        <w:t xml:space="preserve">the context of </w:t>
      </w:r>
      <w:r w:rsidR="002204D8">
        <w:rPr>
          <w:sz w:val="24"/>
          <w:szCs w:val="24"/>
        </w:rPr>
        <w:t>a</w:t>
      </w:r>
      <w:r w:rsidR="000F48D6">
        <w:rPr>
          <w:sz w:val="24"/>
          <w:szCs w:val="24"/>
        </w:rPr>
        <w:t xml:space="preserve"> regional travel demand model</w:t>
      </w:r>
      <w:r w:rsidR="002204D8">
        <w:rPr>
          <w:sz w:val="24"/>
          <w:szCs w:val="24"/>
        </w:rPr>
        <w:t xml:space="preserve"> setting (as opposed to a micro-level profit-maximizing supply-demand matching setting)</w:t>
      </w:r>
      <w:r w:rsidR="004B6DE1" w:rsidRPr="000F27C8">
        <w:rPr>
          <w:sz w:val="24"/>
          <w:szCs w:val="24"/>
        </w:rPr>
        <w:t xml:space="preserve">. </w:t>
      </w:r>
      <w:r w:rsidR="00A17E4D" w:rsidRPr="000F27C8">
        <w:rPr>
          <w:sz w:val="24"/>
          <w:szCs w:val="24"/>
        </w:rPr>
        <w:t xml:space="preserve">The location specific attributes </w:t>
      </w:r>
      <w:r w:rsidR="002204D8">
        <w:rPr>
          <w:sz w:val="24"/>
          <w:szCs w:val="24"/>
        </w:rPr>
        <w:t xml:space="preserve">used here </w:t>
      </w:r>
      <w:r w:rsidR="00A17E4D" w:rsidRPr="000F27C8">
        <w:rPr>
          <w:sz w:val="24"/>
          <w:szCs w:val="24"/>
        </w:rPr>
        <w:t>include employment opportunities</w:t>
      </w:r>
      <w:r w:rsidR="004B6DE1" w:rsidRPr="000F27C8">
        <w:rPr>
          <w:sz w:val="24"/>
          <w:szCs w:val="24"/>
        </w:rPr>
        <w:t xml:space="preserve">, built environment </w:t>
      </w:r>
      <w:r w:rsidR="00E04894" w:rsidRPr="000F27C8">
        <w:rPr>
          <w:sz w:val="24"/>
          <w:szCs w:val="24"/>
        </w:rPr>
        <w:t xml:space="preserve">attributes, </w:t>
      </w:r>
      <w:r w:rsidR="004B6DE1" w:rsidRPr="000F27C8">
        <w:rPr>
          <w:sz w:val="24"/>
          <w:szCs w:val="24"/>
        </w:rPr>
        <w:t xml:space="preserve">and </w:t>
      </w:r>
      <w:r w:rsidR="003958B7" w:rsidRPr="000F27C8">
        <w:rPr>
          <w:sz w:val="24"/>
          <w:szCs w:val="24"/>
        </w:rPr>
        <w:t>soc</w:t>
      </w:r>
      <w:r w:rsidR="00A33C1B">
        <w:rPr>
          <w:sz w:val="24"/>
          <w:szCs w:val="24"/>
        </w:rPr>
        <w:t>io-</w:t>
      </w:r>
      <w:r w:rsidR="003958B7" w:rsidRPr="000F27C8">
        <w:rPr>
          <w:sz w:val="24"/>
          <w:szCs w:val="24"/>
        </w:rPr>
        <w:t>demograph</w:t>
      </w:r>
      <w:r w:rsidR="00A33C1B">
        <w:rPr>
          <w:sz w:val="24"/>
          <w:szCs w:val="24"/>
        </w:rPr>
        <w:t>ic characteristics</w:t>
      </w:r>
      <w:r w:rsidR="004B6DE1" w:rsidRPr="000F27C8">
        <w:rPr>
          <w:sz w:val="24"/>
          <w:szCs w:val="24"/>
        </w:rPr>
        <w:t>.</w:t>
      </w:r>
      <w:r w:rsidR="00D5067B" w:rsidRPr="000F27C8">
        <w:rPr>
          <w:sz w:val="24"/>
          <w:szCs w:val="24"/>
        </w:rPr>
        <w:t xml:space="preserve"> </w:t>
      </w:r>
      <w:r w:rsidR="00AC335F">
        <w:rPr>
          <w:sz w:val="24"/>
          <w:szCs w:val="24"/>
        </w:rPr>
        <w:t xml:space="preserve">Such location-related variables are routinely used (typically at a traffic analysis zone </w:t>
      </w:r>
      <w:r w:rsidR="000D0F54">
        <w:rPr>
          <w:sz w:val="24"/>
          <w:szCs w:val="24"/>
        </w:rPr>
        <w:t xml:space="preserve">or TAZ </w:t>
      </w:r>
      <w:r w:rsidR="00AC335F">
        <w:rPr>
          <w:sz w:val="24"/>
          <w:szCs w:val="24"/>
        </w:rPr>
        <w:t xml:space="preserve">level) </w:t>
      </w:r>
      <w:r w:rsidR="000D0F54">
        <w:rPr>
          <w:sz w:val="24"/>
          <w:szCs w:val="24"/>
        </w:rPr>
        <w:t xml:space="preserve">in travel demand model estimation and forecasting.  </w:t>
      </w:r>
      <w:r w:rsidR="00A33C1B">
        <w:rPr>
          <w:sz w:val="24"/>
          <w:szCs w:val="24"/>
        </w:rPr>
        <w:t>A nonlinear-in-parameters multinomial logit model of pick-up location</w:t>
      </w:r>
      <w:r w:rsidR="000F48D6">
        <w:rPr>
          <w:sz w:val="24"/>
          <w:szCs w:val="24"/>
        </w:rPr>
        <w:t>, given an earlier drop-off location,</w:t>
      </w:r>
      <w:r w:rsidR="00A33C1B">
        <w:rPr>
          <w:sz w:val="24"/>
          <w:szCs w:val="24"/>
        </w:rPr>
        <w:t xml:space="preserve"> is estimated and the model </w:t>
      </w:r>
      <w:r w:rsidR="00AA5319" w:rsidRPr="000F27C8">
        <w:rPr>
          <w:sz w:val="24"/>
          <w:szCs w:val="24"/>
        </w:rPr>
        <w:t>results are used to gain insights</w:t>
      </w:r>
      <w:r w:rsidR="004E7C19" w:rsidRPr="000F27C8">
        <w:rPr>
          <w:sz w:val="24"/>
          <w:szCs w:val="24"/>
        </w:rPr>
        <w:t xml:space="preserve"> on</w:t>
      </w:r>
      <w:r w:rsidR="00B43EDA" w:rsidRPr="000F27C8">
        <w:rPr>
          <w:sz w:val="24"/>
          <w:szCs w:val="24"/>
        </w:rPr>
        <w:t xml:space="preserve"> the</w:t>
      </w:r>
      <w:r w:rsidR="004E7C19" w:rsidRPr="000F27C8">
        <w:rPr>
          <w:sz w:val="24"/>
          <w:szCs w:val="24"/>
        </w:rPr>
        <w:t xml:space="preserve"> factor</w:t>
      </w:r>
      <w:r w:rsidR="00A17E4D" w:rsidRPr="000F27C8">
        <w:rPr>
          <w:sz w:val="24"/>
          <w:szCs w:val="24"/>
        </w:rPr>
        <w:t>s that affect the propensity of passenger pick-ups at different locations</w:t>
      </w:r>
      <w:r w:rsidR="00A33C1B">
        <w:rPr>
          <w:sz w:val="24"/>
          <w:szCs w:val="24"/>
        </w:rPr>
        <w:t xml:space="preserve"> and the </w:t>
      </w:r>
      <w:r w:rsidR="004E7C19" w:rsidRPr="000F27C8">
        <w:rPr>
          <w:sz w:val="24"/>
          <w:szCs w:val="24"/>
        </w:rPr>
        <w:t xml:space="preserve">distance </w:t>
      </w:r>
      <w:r w:rsidR="00A33C1B">
        <w:rPr>
          <w:sz w:val="24"/>
          <w:szCs w:val="24"/>
        </w:rPr>
        <w:t xml:space="preserve">that </w:t>
      </w:r>
      <w:r w:rsidR="004E7C19" w:rsidRPr="000F27C8">
        <w:rPr>
          <w:sz w:val="24"/>
          <w:szCs w:val="24"/>
        </w:rPr>
        <w:t xml:space="preserve">a ride-hailing driver </w:t>
      </w:r>
      <w:r w:rsidR="00FF10E3" w:rsidRPr="000F27C8">
        <w:rPr>
          <w:sz w:val="24"/>
          <w:szCs w:val="24"/>
        </w:rPr>
        <w:t>travel</w:t>
      </w:r>
      <w:r w:rsidR="00A33C1B">
        <w:rPr>
          <w:sz w:val="24"/>
          <w:szCs w:val="24"/>
        </w:rPr>
        <w:t>s</w:t>
      </w:r>
      <w:r w:rsidR="00D35B59" w:rsidRPr="000F27C8">
        <w:rPr>
          <w:sz w:val="24"/>
          <w:szCs w:val="24"/>
        </w:rPr>
        <w:t xml:space="preserve"> in order</w:t>
      </w:r>
      <w:r w:rsidR="00FF10E3" w:rsidRPr="000F27C8">
        <w:rPr>
          <w:sz w:val="24"/>
          <w:szCs w:val="24"/>
        </w:rPr>
        <w:t xml:space="preserve"> to find a new passenger</w:t>
      </w:r>
      <w:r w:rsidR="00AE33B5" w:rsidRPr="000F27C8">
        <w:rPr>
          <w:sz w:val="24"/>
          <w:szCs w:val="24"/>
        </w:rPr>
        <w:t xml:space="preserve">. </w:t>
      </w:r>
      <w:r w:rsidR="000F48D6">
        <w:rPr>
          <w:sz w:val="24"/>
          <w:szCs w:val="24"/>
        </w:rPr>
        <w:t xml:space="preserve">When combined with a ride-hailing passenger drop-off model (essentially these would be determined within the context of the trip distribution model in traditional demand models), the current model provides the complete spatial-temporal pattern of predicted ride-haling deadhead trips (as discussed later in Section 6.3). </w:t>
      </w:r>
    </w:p>
    <w:p w14:paraId="4F8A661E" w14:textId="53BC3ACE" w:rsidR="00C26EF4" w:rsidRPr="000F27C8" w:rsidRDefault="00A26AC9" w:rsidP="00F7439A">
      <w:pPr>
        <w:spacing w:after="0" w:line="240" w:lineRule="auto"/>
        <w:ind w:firstLine="720"/>
        <w:rPr>
          <w:sz w:val="24"/>
          <w:szCs w:val="24"/>
        </w:rPr>
      </w:pPr>
      <w:r w:rsidRPr="000F27C8">
        <w:rPr>
          <w:sz w:val="24"/>
          <w:szCs w:val="24"/>
        </w:rPr>
        <w:t xml:space="preserve">The remainder of this paper is organized as follows. </w:t>
      </w:r>
      <w:r w:rsidR="00D8652B" w:rsidRPr="000F27C8">
        <w:rPr>
          <w:sz w:val="24"/>
          <w:szCs w:val="24"/>
        </w:rPr>
        <w:t>Section</w:t>
      </w:r>
      <w:r w:rsidR="00BF7326">
        <w:rPr>
          <w:sz w:val="24"/>
          <w:szCs w:val="24"/>
        </w:rPr>
        <w:t xml:space="preserve"> 2</w:t>
      </w:r>
      <w:r w:rsidR="00D8652B" w:rsidRPr="000F27C8">
        <w:rPr>
          <w:sz w:val="24"/>
          <w:szCs w:val="24"/>
        </w:rPr>
        <w:t xml:space="preserve"> gives a brief </w:t>
      </w:r>
      <w:r w:rsidR="00221E3E" w:rsidRPr="000F27C8">
        <w:rPr>
          <w:sz w:val="24"/>
          <w:szCs w:val="24"/>
        </w:rPr>
        <w:t>overview</w:t>
      </w:r>
      <w:r w:rsidR="00D8652B" w:rsidRPr="000F27C8">
        <w:rPr>
          <w:sz w:val="24"/>
          <w:szCs w:val="24"/>
        </w:rPr>
        <w:t xml:space="preserve"> o</w:t>
      </w:r>
      <w:r w:rsidR="00A33C1B">
        <w:rPr>
          <w:sz w:val="24"/>
          <w:szCs w:val="24"/>
        </w:rPr>
        <w:t>f</w:t>
      </w:r>
      <w:r w:rsidR="00B93B7C" w:rsidRPr="000F27C8">
        <w:rPr>
          <w:sz w:val="24"/>
          <w:szCs w:val="24"/>
        </w:rPr>
        <w:t xml:space="preserve"> the</w:t>
      </w:r>
      <w:r w:rsidR="00D8652B" w:rsidRPr="000F27C8">
        <w:rPr>
          <w:sz w:val="24"/>
          <w:szCs w:val="24"/>
        </w:rPr>
        <w:t xml:space="preserve"> past studies on ride-hailing. Section</w:t>
      </w:r>
      <w:r w:rsidR="00BF7326">
        <w:rPr>
          <w:sz w:val="24"/>
          <w:szCs w:val="24"/>
        </w:rPr>
        <w:t xml:space="preserve"> 3</w:t>
      </w:r>
      <w:r w:rsidR="00D8652B" w:rsidRPr="000F27C8">
        <w:rPr>
          <w:sz w:val="24"/>
          <w:szCs w:val="24"/>
        </w:rPr>
        <w:t xml:space="preserve"> </w:t>
      </w:r>
      <w:r w:rsidR="00A33C1B">
        <w:rPr>
          <w:sz w:val="24"/>
          <w:szCs w:val="24"/>
        </w:rPr>
        <w:t>presents a description of the data used in this study, while Section</w:t>
      </w:r>
      <w:r w:rsidR="00BF7326">
        <w:rPr>
          <w:sz w:val="24"/>
          <w:szCs w:val="24"/>
        </w:rPr>
        <w:t xml:space="preserve"> 4</w:t>
      </w:r>
      <w:r w:rsidR="00A33C1B">
        <w:rPr>
          <w:sz w:val="24"/>
          <w:szCs w:val="24"/>
        </w:rPr>
        <w:t xml:space="preserve"> explains the modeling methodology. </w:t>
      </w:r>
      <w:r w:rsidR="00D8652B" w:rsidRPr="000F27C8">
        <w:rPr>
          <w:sz w:val="24"/>
          <w:szCs w:val="24"/>
        </w:rPr>
        <w:t>Section</w:t>
      </w:r>
      <w:r w:rsidR="00BF7326">
        <w:rPr>
          <w:sz w:val="24"/>
          <w:szCs w:val="24"/>
        </w:rPr>
        <w:t xml:space="preserve"> 5</w:t>
      </w:r>
      <w:r w:rsidR="00D8652B" w:rsidRPr="000F27C8">
        <w:rPr>
          <w:sz w:val="24"/>
          <w:szCs w:val="24"/>
        </w:rPr>
        <w:t xml:space="preserve"> </w:t>
      </w:r>
      <w:r w:rsidR="00A33C1B">
        <w:rPr>
          <w:sz w:val="24"/>
          <w:szCs w:val="24"/>
        </w:rPr>
        <w:t>presents model estimation results</w:t>
      </w:r>
      <w:r w:rsidR="00D8652B" w:rsidRPr="000F27C8">
        <w:rPr>
          <w:sz w:val="24"/>
          <w:szCs w:val="24"/>
        </w:rPr>
        <w:t>.</w:t>
      </w:r>
      <w:r w:rsidR="00B93B7C" w:rsidRPr="000F27C8">
        <w:rPr>
          <w:sz w:val="24"/>
          <w:szCs w:val="24"/>
        </w:rPr>
        <w:t xml:space="preserve"> Section</w:t>
      </w:r>
      <w:r w:rsidR="00BF7326">
        <w:rPr>
          <w:sz w:val="24"/>
          <w:szCs w:val="24"/>
        </w:rPr>
        <w:t xml:space="preserve"> 6</w:t>
      </w:r>
      <w:r w:rsidR="00363198" w:rsidRPr="000F27C8">
        <w:rPr>
          <w:sz w:val="24"/>
          <w:szCs w:val="24"/>
        </w:rPr>
        <w:t xml:space="preserve"> </w:t>
      </w:r>
      <w:r w:rsidR="004851FC">
        <w:rPr>
          <w:sz w:val="24"/>
          <w:szCs w:val="24"/>
        </w:rPr>
        <w:t>presents</w:t>
      </w:r>
      <w:r w:rsidR="00A33C1B">
        <w:rPr>
          <w:sz w:val="24"/>
          <w:szCs w:val="24"/>
        </w:rPr>
        <w:t xml:space="preserve"> a</w:t>
      </w:r>
      <w:r w:rsidR="00B93B7C" w:rsidRPr="000F27C8">
        <w:rPr>
          <w:sz w:val="24"/>
          <w:szCs w:val="24"/>
        </w:rPr>
        <w:t xml:space="preserve"> discuss</w:t>
      </w:r>
      <w:r w:rsidR="00A33C1B">
        <w:rPr>
          <w:sz w:val="24"/>
          <w:szCs w:val="24"/>
        </w:rPr>
        <w:t>ion</w:t>
      </w:r>
      <w:r w:rsidR="00B93B7C" w:rsidRPr="000F27C8">
        <w:rPr>
          <w:sz w:val="24"/>
          <w:szCs w:val="24"/>
        </w:rPr>
        <w:t xml:space="preserve"> </w:t>
      </w:r>
      <w:r w:rsidR="00A33C1B">
        <w:rPr>
          <w:sz w:val="24"/>
          <w:szCs w:val="24"/>
        </w:rPr>
        <w:t xml:space="preserve">of </w:t>
      </w:r>
      <w:r w:rsidR="00363198" w:rsidRPr="000F27C8">
        <w:rPr>
          <w:sz w:val="24"/>
          <w:szCs w:val="24"/>
        </w:rPr>
        <w:t xml:space="preserve">the potential </w:t>
      </w:r>
      <w:r w:rsidR="004851FC">
        <w:rPr>
          <w:sz w:val="24"/>
          <w:szCs w:val="24"/>
        </w:rPr>
        <w:t xml:space="preserve">planning and forecasting </w:t>
      </w:r>
      <w:r w:rsidR="00363198" w:rsidRPr="000F27C8">
        <w:rPr>
          <w:sz w:val="24"/>
          <w:szCs w:val="24"/>
        </w:rPr>
        <w:t xml:space="preserve">applications of the models </w:t>
      </w:r>
      <w:r w:rsidR="00FD4D95" w:rsidRPr="000F27C8">
        <w:rPr>
          <w:sz w:val="24"/>
          <w:szCs w:val="24"/>
        </w:rPr>
        <w:t>developed in this</w:t>
      </w:r>
      <w:r w:rsidR="00A33C1B">
        <w:rPr>
          <w:sz w:val="24"/>
          <w:szCs w:val="24"/>
        </w:rPr>
        <w:t xml:space="preserve"> study</w:t>
      </w:r>
      <w:r w:rsidR="004851FC">
        <w:rPr>
          <w:sz w:val="24"/>
          <w:szCs w:val="24"/>
        </w:rPr>
        <w:t xml:space="preserve">. </w:t>
      </w:r>
      <w:r w:rsidR="00D8652B" w:rsidRPr="000F27C8">
        <w:rPr>
          <w:sz w:val="24"/>
          <w:szCs w:val="24"/>
        </w:rPr>
        <w:t>Finally, Section</w:t>
      </w:r>
      <w:r w:rsidR="00BF7326">
        <w:rPr>
          <w:sz w:val="24"/>
          <w:szCs w:val="24"/>
        </w:rPr>
        <w:t xml:space="preserve"> 7</w:t>
      </w:r>
      <w:r w:rsidR="00D8652B" w:rsidRPr="000F27C8">
        <w:rPr>
          <w:sz w:val="24"/>
          <w:szCs w:val="24"/>
        </w:rPr>
        <w:t xml:space="preserve"> </w:t>
      </w:r>
      <w:r w:rsidR="004851FC">
        <w:rPr>
          <w:sz w:val="24"/>
          <w:szCs w:val="24"/>
        </w:rPr>
        <w:t>offers concluding thoughts</w:t>
      </w:r>
      <w:r w:rsidR="00D8652B" w:rsidRPr="000F27C8">
        <w:rPr>
          <w:sz w:val="24"/>
          <w:szCs w:val="24"/>
        </w:rPr>
        <w:t>.</w:t>
      </w:r>
    </w:p>
    <w:p w14:paraId="7A38C124" w14:textId="77777777" w:rsidR="00152FCD" w:rsidRPr="00F534E2" w:rsidRDefault="00152FCD" w:rsidP="00F7439A">
      <w:pPr>
        <w:spacing w:after="0" w:line="240" w:lineRule="auto"/>
        <w:ind w:firstLine="720"/>
        <w:rPr>
          <w:sz w:val="24"/>
          <w:szCs w:val="24"/>
        </w:rPr>
      </w:pPr>
    </w:p>
    <w:p w14:paraId="0624C756" w14:textId="1377089E" w:rsidR="004676DA" w:rsidRPr="00F534E2" w:rsidRDefault="00383C44" w:rsidP="00F7439A">
      <w:pPr>
        <w:pStyle w:val="Heading1"/>
        <w:spacing w:before="0" w:after="0" w:line="240" w:lineRule="auto"/>
        <w:rPr>
          <w:szCs w:val="24"/>
        </w:rPr>
      </w:pPr>
      <w:bookmarkStart w:id="3" w:name="_Ref6166769"/>
      <w:r w:rsidRPr="00F534E2">
        <w:rPr>
          <w:szCs w:val="24"/>
        </w:rPr>
        <w:t>Literature Review</w:t>
      </w:r>
      <w:bookmarkEnd w:id="3"/>
    </w:p>
    <w:p w14:paraId="7FCE95D3" w14:textId="7CF9E9BD" w:rsidR="00E12A96" w:rsidRDefault="002E5E5C" w:rsidP="00E12A96">
      <w:pPr>
        <w:spacing w:after="0" w:line="240" w:lineRule="auto"/>
        <w:rPr>
          <w:sz w:val="24"/>
          <w:szCs w:val="24"/>
        </w:rPr>
      </w:pPr>
      <w:r w:rsidRPr="00F534E2">
        <w:rPr>
          <w:sz w:val="24"/>
          <w:szCs w:val="24"/>
        </w:rPr>
        <w:t>Deadheading trips may be viewed as a corollary of passenger trips.  After a passenger is served, a deadheading trip is very likely to take place as the ride-hailing driver proceeds to the next pick-up location.  As such, deadheading trip</w:t>
      </w:r>
      <w:r w:rsidR="00BB414B">
        <w:rPr>
          <w:sz w:val="24"/>
          <w:szCs w:val="24"/>
        </w:rPr>
        <w:t xml:space="preserve"> destinations correspond to locations of ride-hailing passenger pick-up locations. </w:t>
      </w:r>
      <w:r w:rsidR="00E12A96" w:rsidRPr="00E12A96">
        <w:rPr>
          <w:sz w:val="24"/>
          <w:szCs w:val="24"/>
        </w:rPr>
        <w:t>In this section, we briefly introduce some of the studies on ride-hailing passenger trip</w:t>
      </w:r>
      <w:r w:rsidR="00BB414B">
        <w:rPr>
          <w:sz w:val="24"/>
          <w:szCs w:val="24"/>
        </w:rPr>
        <w:t xml:space="preserve"> pick-up locations</w:t>
      </w:r>
      <w:r w:rsidR="00E12A96" w:rsidRPr="00E12A96">
        <w:rPr>
          <w:sz w:val="24"/>
          <w:szCs w:val="24"/>
        </w:rPr>
        <w:t xml:space="preserve"> and refer to them later in Section </w:t>
      </w:r>
      <w:r w:rsidR="0019781D">
        <w:rPr>
          <w:sz w:val="24"/>
          <w:szCs w:val="24"/>
        </w:rPr>
        <w:t>5</w:t>
      </w:r>
      <w:r w:rsidR="00E12A96" w:rsidRPr="00E12A96">
        <w:rPr>
          <w:sz w:val="24"/>
          <w:szCs w:val="24"/>
        </w:rPr>
        <w:t xml:space="preserve"> to contextualize the results. Further, we explain in more detail other studies that use the Ride Austin dataset and study deadheading trips.</w:t>
      </w:r>
    </w:p>
    <w:p w14:paraId="7A8FC644" w14:textId="1F6FB1C6" w:rsidR="00EB162F" w:rsidRDefault="00D755CA" w:rsidP="0038723E">
      <w:pPr>
        <w:spacing w:after="0" w:line="240" w:lineRule="auto"/>
        <w:ind w:firstLine="720"/>
        <w:rPr>
          <w:sz w:val="24"/>
          <w:szCs w:val="24"/>
        </w:rPr>
      </w:pPr>
      <w:r w:rsidRPr="00F534E2">
        <w:rPr>
          <w:sz w:val="24"/>
          <w:szCs w:val="24"/>
        </w:rPr>
        <w:t>Many studies in the literature document the characteristics of ride-hailing service users</w:t>
      </w:r>
      <w:r w:rsidR="00C07542">
        <w:rPr>
          <w:sz w:val="24"/>
          <w:szCs w:val="24"/>
        </w:rPr>
        <w:t xml:space="preserve"> and trip characteristics</w:t>
      </w:r>
      <w:r w:rsidRPr="00F534E2">
        <w:rPr>
          <w:sz w:val="24"/>
          <w:szCs w:val="24"/>
        </w:rPr>
        <w:t xml:space="preserve"> through a variety of surveys and secondary data collection efforts. </w:t>
      </w:r>
      <w:r w:rsidR="006A493C" w:rsidRPr="00F534E2">
        <w:rPr>
          <w:sz w:val="24"/>
          <w:szCs w:val="24"/>
        </w:rPr>
        <w:t>One of the most comprehensive surveys on ride-hailing usage</w:t>
      </w:r>
      <w:r w:rsidR="00BB414B">
        <w:rPr>
          <w:sz w:val="24"/>
          <w:szCs w:val="24"/>
        </w:rPr>
        <w:t xml:space="preserve"> </w:t>
      </w:r>
      <w:r w:rsidR="006A493C" w:rsidRPr="00F534E2">
        <w:rPr>
          <w:sz w:val="24"/>
          <w:szCs w:val="24"/>
        </w:rPr>
        <w:t xml:space="preserve">in the </w:t>
      </w:r>
      <w:r w:rsidRPr="00F534E2">
        <w:rPr>
          <w:sz w:val="24"/>
          <w:szCs w:val="24"/>
        </w:rPr>
        <w:t>United States</w:t>
      </w:r>
      <w:r w:rsidR="006A493C" w:rsidRPr="00F534E2">
        <w:rPr>
          <w:sz w:val="24"/>
          <w:szCs w:val="24"/>
        </w:rPr>
        <w:t xml:space="preserve"> was conducted by </w:t>
      </w:r>
      <w:r w:rsidR="006A493C" w:rsidRPr="00F534E2">
        <w:rPr>
          <w:sz w:val="24"/>
          <w:szCs w:val="24"/>
        </w:rPr>
        <w:fldChar w:fldCharType="begin"/>
      </w:r>
      <w:r w:rsidR="00B46899">
        <w:rPr>
          <w:sz w:val="24"/>
          <w:szCs w:val="24"/>
        </w:rPr>
        <w:instrText xml:space="preserve"> ADDIN ZOTERO_ITEM CSL_CITATION {"citationID":"4j9mJIcC","properties":{"formattedCitation":"(Clewlow and Mishra, 2017)","plainCitation":"(Clewlow and Mishra, 2017)","dontUpdate":true,"noteIndex":0},"citationItems":[{"id":"pYE2dMDV/5HvSxGtz","uris":["http://zotero.org/users/local/CJ2Dv405/items/IPLTNX4Q"],"uri":["http://zotero.org/users/local/CJ2Dv405/items/IPLTNX4Q"],"itemData":{"id":160,"type":"article-journal","language":"en","page":"38","source":"Zotero","title":"Disruptive Transportation: The Adoption, Utilization, and Impacts of Ride-Hailing in the United States","author":[{"family":"Clewlow","given":"Regina R"},{"family":"Mishra","given":"Gouri Shankar"}],"issued":{"date-parts":[["2017"]]}}}],"schema":"https://github.com/citation-style-language/schema/raw/master/csl-citation.json"} </w:instrText>
      </w:r>
      <w:r w:rsidR="006A493C" w:rsidRPr="00F534E2">
        <w:rPr>
          <w:sz w:val="24"/>
          <w:szCs w:val="24"/>
        </w:rPr>
        <w:fldChar w:fldCharType="separate"/>
      </w:r>
      <w:r w:rsidR="006A493C" w:rsidRPr="00F534E2">
        <w:rPr>
          <w:rFonts w:cs="Times New Roman"/>
          <w:sz w:val="24"/>
          <w:szCs w:val="24"/>
        </w:rPr>
        <w:t>Clewlow and Mishra (2017)</w:t>
      </w:r>
      <w:r w:rsidR="006A493C" w:rsidRPr="00F534E2">
        <w:rPr>
          <w:sz w:val="24"/>
          <w:szCs w:val="24"/>
        </w:rPr>
        <w:fldChar w:fldCharType="end"/>
      </w:r>
      <w:r w:rsidR="006A493C" w:rsidRPr="00F534E2">
        <w:rPr>
          <w:sz w:val="24"/>
          <w:szCs w:val="24"/>
        </w:rPr>
        <w:t xml:space="preserve">. They </w:t>
      </w:r>
      <w:r w:rsidRPr="00F534E2">
        <w:rPr>
          <w:sz w:val="24"/>
          <w:szCs w:val="24"/>
        </w:rPr>
        <w:t>conducted a survey of</w:t>
      </w:r>
      <w:r w:rsidR="006A493C" w:rsidRPr="00F534E2">
        <w:rPr>
          <w:sz w:val="24"/>
          <w:szCs w:val="24"/>
        </w:rPr>
        <w:t xml:space="preserve"> ride-hailing users across seven major cities – Boston, Chicago, Los Angeles, New York, San Francisco, Seattle</w:t>
      </w:r>
      <w:r w:rsidRPr="00F534E2">
        <w:rPr>
          <w:sz w:val="24"/>
          <w:szCs w:val="24"/>
        </w:rPr>
        <w:t>,</w:t>
      </w:r>
      <w:r w:rsidR="006A493C" w:rsidRPr="00F534E2">
        <w:rPr>
          <w:sz w:val="24"/>
          <w:szCs w:val="24"/>
        </w:rPr>
        <w:t xml:space="preserve"> and Washington D.C. Other studies that involved surveys o</w:t>
      </w:r>
      <w:r w:rsidRPr="00F534E2">
        <w:rPr>
          <w:sz w:val="24"/>
          <w:szCs w:val="24"/>
        </w:rPr>
        <w:t>f</w:t>
      </w:r>
      <w:r w:rsidR="006A493C" w:rsidRPr="00F534E2">
        <w:rPr>
          <w:sz w:val="24"/>
          <w:szCs w:val="24"/>
        </w:rPr>
        <w:t xml:space="preserve"> ride-hailing usage include </w:t>
      </w:r>
      <w:r w:rsidR="006A493C" w:rsidRPr="00F534E2">
        <w:rPr>
          <w:sz w:val="24"/>
          <w:szCs w:val="24"/>
        </w:rPr>
        <w:fldChar w:fldCharType="begin"/>
      </w:r>
      <w:r w:rsidR="00B46899">
        <w:rPr>
          <w:sz w:val="24"/>
          <w:szCs w:val="24"/>
        </w:rPr>
        <w:instrText xml:space="preserve"> ADDIN ZOTERO_ITEM CSL_CITATION {"citationID":"3NXe5FqP","properties":{"formattedCitation":"(Henao and Marshall, 2018; Lavieri and Bhat, 2019; Rayle et al., 2016)","plainCitation":"(Henao and Marshall, 2018; Lavieri and Bhat, 2019; Rayle et al., 2016)","dontUpdate":true,"noteIndex":0},"citationItems":[{"id":"pYE2dMDV/r7cbeA84","uris":["http://zotero.org/users/local/CJ2Dv405/items/QWFPTYXP"],"uri":["http://zotero.org/users/local/CJ2Dv405/items/QWFPTYXP"],"itemData":{"id":130,"type":"article-journal","abstract":"Ride-haling such as Uber and Lyft are changing the ways people travel. Despite widespread claims that these services help reduce driving, there is little research on this topic. This research paper uses a quasi-natural experiment in the Denver, Colorado, region to analyze basic impacts of ride-hailing on transportation efficiency in terms of deadheading, vehicle occupancy, mode replacement, and vehicle miles traveled (VMT). Realizing the difficulty in obtaining data directly from Uber and Lyft, we designed a quasi-natural experiment—by one of the authors driving for both companies—to collect primary data. This experiment uses an ethnographic and survey-based approach that allows the authors to gain access to exclusive data and real-time passenger feedback. The dataset includes actual travel attributes from 416 ride-hailing rides—Lyft, UberX, LyftLine, and UberPool—and travel behavior and socio-demographics from 311 passenger surveys. For this study, the conservative (lower end) percentage of deadheading miles from ride-hailing is 40.8%. The average vehicle occupancy is 1.4 passengers per ride, while the distance weighted vehicle occupancy is 1.3 without accounting for deadheading and 0.8 when accounting deadheading. When accounting for mode replacement and issues such as driver deadheading, we estimate that ride-hailing leads to approximately 83.5% more VMT than would have been driven had ride-hailing not existed. Although our data collection focused on the Denver region, these results provide insight into the impacts of ride-hailing.","container-title":"Transportation","DOI":"10.1007/s11116-018-9923-2","ISSN":"0049-4488, 1572-9435","language":"en","source":"Crossref","title":"The impact of ride-hailing on vehicle miles traveled","URL":"http://link.springer.com/10.1007/s11116-018-9923-2","author":[{"family":"Henao","given":"Alejandro"},{"family":"Marshall","given":"Wesley E."}],"accessed":{"date-parts":[["2019",1,13]]},"issued":{"date-parts":[["2018",9,20]]}}},{"id":"pYE2dMDV/Ap1aPA80","uris":["http://zotero.org/users/local/CJ2Dv405/items/85PQGNQU"],"uri":["http://zotero.org/users/local/CJ2Dv405/items/85PQGNQU"],"itemData":{"id":206,"type":"webpage","title":"Investigating the objective and subjective factors influencing the adoption, frequency, and characteristics of ride-hailing trips","URL":"http://www.caee.utexas.edu/prof/bhat/ABSTRACTS/RideHailing.pdf","author":[{"family":"Lavieri","given":"Patricia S"},{"family":"Bhat","given":"Chandra R."}],"accessed":{"date-parts":[["2019",4,28]]},"issued":{"date-parts":[["2019"]]}}},{"id":"pYE2dMDV/YOPRRMFE","uris":["http://zotero.org/users/local/CJ2Dv405/items/U74J6Y27"],"uri":["http://zotero.org/users/local/CJ2Dv405/items/U74J6Y27"],"itemData":{"id":203,"type":"article-journal","abstract":"In this study, we present exploratory evidence of how “ridesourcing” services (app-based, on-demand ride services like Uber and Lyft) are used in San Francisco. We explore who uses ridesourcing and for what reasons, how the ridesourcing market compares to that of traditional taxis, and how ridesourcing impacts the use of public transit and overall vehicle travel. In spring 2014, 380 completed intercept surveys were collected from three ridesourcing “hot spots” in San Francisco. We compare survey results with matched-pair taxi trip data and results of a previous taxi user survey. We also compare travel times for ridesourcing and taxis with those for public transit. The ﬁndings indicate that, despite many similarities, taxis and ridesourcing differ in user characteristics, wait times, and trips served. While ridesourcing replaces taxi trips, at least half of ridesourcing trips replaced modes other than taxi, including public transit and driving. Impacts on overall vehicle travel are unclear. We conclude with suggestions for future research.","container-title":"Transport Policy","DOI":"10.1016/j.tranpol.2015.10.004","ISSN":"0967070X","journalAbbreviation":"Transport Policy","language":"en","page":"168-178","source":"DOI.org (Crossref)","title":"Just a better taxi? A survey-based comparison of taxis, transit, and ridesourcing services in San Francisco","title-short":"Just a better taxi?","volume":"45","author":[{"family":"Rayle","given":"Lisa"},{"family":"Dai","given":"Danielle"},{"family":"Chan","given":"Nelson"},{"family":"Cervero","given":"Robert"},{"family":"Shaheen","given":"Susan"}],"issued":{"date-parts":[["2016",1]]}}}],"schema":"https://github.com/citation-style-language/schema/raw/master/csl-citation.json"} </w:instrText>
      </w:r>
      <w:r w:rsidR="006A493C" w:rsidRPr="00F534E2">
        <w:rPr>
          <w:sz w:val="24"/>
          <w:szCs w:val="24"/>
        </w:rPr>
        <w:fldChar w:fldCharType="separate"/>
      </w:r>
      <w:r w:rsidR="006A493C" w:rsidRPr="00F534E2">
        <w:rPr>
          <w:rFonts w:cs="Times New Roman"/>
          <w:sz w:val="24"/>
          <w:szCs w:val="24"/>
        </w:rPr>
        <w:t>Henao and Marshall (201</w:t>
      </w:r>
      <w:r w:rsidR="00400BB0">
        <w:rPr>
          <w:rFonts w:cs="Times New Roman"/>
          <w:sz w:val="24"/>
          <w:szCs w:val="24"/>
        </w:rPr>
        <w:t>9</w:t>
      </w:r>
      <w:r w:rsidR="006A493C" w:rsidRPr="00F534E2">
        <w:rPr>
          <w:rFonts w:cs="Times New Roman"/>
          <w:sz w:val="24"/>
          <w:szCs w:val="24"/>
        </w:rPr>
        <w:t xml:space="preserve">), Lavieri and Bhat (2019), and Rayle </w:t>
      </w:r>
      <w:r w:rsidR="006A493C" w:rsidRPr="00BF7326">
        <w:rPr>
          <w:rFonts w:cs="Times New Roman"/>
          <w:i/>
          <w:sz w:val="24"/>
          <w:szCs w:val="24"/>
        </w:rPr>
        <w:t>et al</w:t>
      </w:r>
      <w:r w:rsidR="006A493C" w:rsidRPr="00F534E2">
        <w:rPr>
          <w:rFonts w:cs="Times New Roman"/>
          <w:sz w:val="24"/>
          <w:szCs w:val="24"/>
        </w:rPr>
        <w:t>. (2016)</w:t>
      </w:r>
      <w:r w:rsidR="006A493C" w:rsidRPr="00F534E2">
        <w:rPr>
          <w:sz w:val="24"/>
          <w:szCs w:val="24"/>
        </w:rPr>
        <w:fldChar w:fldCharType="end"/>
      </w:r>
      <w:r w:rsidR="006A493C" w:rsidRPr="00F534E2">
        <w:rPr>
          <w:sz w:val="24"/>
          <w:szCs w:val="24"/>
        </w:rPr>
        <w:t xml:space="preserve">. </w:t>
      </w:r>
      <w:r w:rsidR="006A493C" w:rsidRPr="00F534E2">
        <w:rPr>
          <w:sz w:val="24"/>
          <w:szCs w:val="24"/>
        </w:rPr>
        <w:fldChar w:fldCharType="begin"/>
      </w:r>
      <w:r w:rsidR="00B46899">
        <w:rPr>
          <w:sz w:val="24"/>
          <w:szCs w:val="24"/>
        </w:rPr>
        <w:instrText xml:space="preserve"> ADDIN ZOTERO_ITEM CSL_CITATION {"citationID":"8H0lnM7S","properties":{"formattedCitation":"(Rayle et al., 2016)","plainCitation":"(Rayle et al., 2016)","dontUpdate":true,"noteIndex":0},"citationItems":[{"id":"pYE2dMDV/YOPRRMFE","uris":["http://zotero.org/users/local/CJ2Dv405/items/U74J6Y27"],"uri":["http://zotero.org/users/local/CJ2Dv405/items/U74J6Y27"],"itemData":{"id":203,"type":"article-journal","abstract":"In this study, we present exploratory evidence of how “ridesourcing” services (app-based, on-demand ride services like Uber and Lyft) are used in San Francisco. We explore who uses ridesourcing and for what reasons, how the ridesourcing market compares to that of traditional taxis, and how ridesourcing impacts the use of public transit and overall vehicle travel. In spring 2014, 380 completed intercept surveys were collected from three ridesourcing “hot spots” in San Francisco. We compare survey results with matched-pair taxi trip data and results of a previous taxi user survey. We also compare travel times for ridesourcing and taxis with those for public transit. The ﬁndings indicate that, despite many similarities, taxis and ridesourcing differ in user characteristics, wait times, and trips served. While ridesourcing replaces taxi trips, at least half of ridesourcing trips replaced modes other than taxi, including public transit and driving. Impacts on overall vehicle travel are unclear. We conclude with suggestions for future research.","container-title":"Transport Policy","DOI":"10.1016/j.tranpol.2015.10.004","ISSN":"0967070X","journalAbbreviation":"Transport Policy","language":"en","page":"168-178","source":"DOI.org (Crossref)","title":"Just a better taxi? A survey-based comparison of taxis, transit, and ridesourcing services in San Francisco","title-short":"Just a better taxi?","volume":"45","author":[{"family":"Rayle","given":"Lisa"},{"family":"Dai","given":"Danielle"},{"family":"Chan","given":"Nelson"},{"family":"Cervero","given":"Robert"},{"family":"Shaheen","given":"Susan"}],"issued":{"date-parts":[["2016",1]]}}}],"schema":"https://github.com/citation-style-language/schema/raw/master/csl-citation.json"} </w:instrText>
      </w:r>
      <w:r w:rsidR="006A493C" w:rsidRPr="00F534E2">
        <w:rPr>
          <w:sz w:val="24"/>
          <w:szCs w:val="24"/>
        </w:rPr>
        <w:fldChar w:fldCharType="separate"/>
      </w:r>
      <w:r w:rsidR="006A493C" w:rsidRPr="00F534E2">
        <w:rPr>
          <w:rFonts w:cs="Times New Roman"/>
          <w:sz w:val="24"/>
          <w:szCs w:val="24"/>
        </w:rPr>
        <w:t xml:space="preserve">Rayle </w:t>
      </w:r>
      <w:r w:rsidR="006A493C" w:rsidRPr="00BF7326">
        <w:rPr>
          <w:rFonts w:cs="Times New Roman"/>
          <w:i/>
          <w:sz w:val="24"/>
          <w:szCs w:val="24"/>
        </w:rPr>
        <w:t>et al</w:t>
      </w:r>
      <w:r w:rsidR="006A493C" w:rsidRPr="00F534E2">
        <w:rPr>
          <w:rFonts w:cs="Times New Roman"/>
          <w:sz w:val="24"/>
          <w:szCs w:val="24"/>
        </w:rPr>
        <w:t>. (2016)</w:t>
      </w:r>
      <w:r w:rsidR="006A493C" w:rsidRPr="00F534E2">
        <w:rPr>
          <w:sz w:val="24"/>
          <w:szCs w:val="24"/>
        </w:rPr>
        <w:fldChar w:fldCharType="end"/>
      </w:r>
      <w:r w:rsidR="006A493C" w:rsidRPr="00F534E2">
        <w:rPr>
          <w:sz w:val="24"/>
          <w:szCs w:val="24"/>
        </w:rPr>
        <w:t xml:space="preserve"> </w:t>
      </w:r>
      <w:r w:rsidRPr="00F534E2">
        <w:rPr>
          <w:sz w:val="24"/>
          <w:szCs w:val="24"/>
        </w:rPr>
        <w:t>surveyed</w:t>
      </w:r>
      <w:r w:rsidR="006A493C" w:rsidRPr="00F534E2">
        <w:rPr>
          <w:sz w:val="24"/>
          <w:szCs w:val="24"/>
        </w:rPr>
        <w:t xml:space="preserve"> ride-hailing users in San Francisco</w:t>
      </w:r>
      <w:r w:rsidRPr="00F534E2">
        <w:rPr>
          <w:sz w:val="24"/>
          <w:szCs w:val="24"/>
        </w:rPr>
        <w:t>, while</w:t>
      </w:r>
      <w:r w:rsidR="006A493C" w:rsidRPr="00F534E2">
        <w:rPr>
          <w:sz w:val="24"/>
          <w:szCs w:val="24"/>
        </w:rPr>
        <w:t xml:space="preserve"> </w:t>
      </w:r>
      <w:r w:rsidR="006A493C" w:rsidRPr="00F534E2">
        <w:rPr>
          <w:sz w:val="24"/>
          <w:szCs w:val="24"/>
        </w:rPr>
        <w:fldChar w:fldCharType="begin"/>
      </w:r>
      <w:r w:rsidR="00B46899">
        <w:rPr>
          <w:sz w:val="24"/>
          <w:szCs w:val="24"/>
        </w:rPr>
        <w:instrText xml:space="preserve"> ADDIN ZOTERO_ITEM CSL_CITATION {"citationID":"XbDnMLxf","properties":{"formattedCitation":"(Lavieri and Bhat, 2019)","plainCitation":"(Lavieri and Bhat, 2019)","dontUpdate":true,"noteIndex":0},"citationItems":[{"id":"pYE2dMDV/Ap1aPA80","uris":["http://zotero.org/users/local/CJ2Dv405/items/85PQGNQU"],"uri":["http://zotero.org/users/local/CJ2Dv405/items/85PQGNQU"],"itemData":{"id":206,"type":"webpage","title":"Investigating the objective and subjective factors influencing the adoption, frequency, and characteristics of ride-hailing trips","URL":"http://www.caee.utexas.edu/prof/bhat/ABSTRACTS/RideHailing.pdf","author":[{"family":"Lavieri","given":"Patricia S"},{"family":"Bhat","given":"Chandra R."}],"accessed":{"date-parts":[["2019",4,28]]},"issued":{"date-parts":[["2019"]]}}}],"schema":"https://github.com/citation-style-language/schema/raw/master/csl-citation.json"} </w:instrText>
      </w:r>
      <w:r w:rsidR="006A493C" w:rsidRPr="00F534E2">
        <w:rPr>
          <w:sz w:val="24"/>
          <w:szCs w:val="24"/>
        </w:rPr>
        <w:fldChar w:fldCharType="separate"/>
      </w:r>
      <w:r w:rsidR="006A493C" w:rsidRPr="00F534E2">
        <w:rPr>
          <w:rFonts w:cs="Times New Roman"/>
          <w:sz w:val="24"/>
          <w:szCs w:val="24"/>
        </w:rPr>
        <w:t>Lavieri and Bhat (2019)</w:t>
      </w:r>
      <w:r w:rsidR="006A493C" w:rsidRPr="00F534E2">
        <w:rPr>
          <w:sz w:val="24"/>
          <w:szCs w:val="24"/>
        </w:rPr>
        <w:fldChar w:fldCharType="end"/>
      </w:r>
      <w:r w:rsidR="006A493C" w:rsidRPr="00F534E2">
        <w:rPr>
          <w:sz w:val="24"/>
          <w:szCs w:val="24"/>
        </w:rPr>
        <w:t xml:space="preserve"> surveyed commuters who used ride-hailing in the Dallas-Fort Worth metropolitan area. </w:t>
      </w:r>
      <w:r w:rsidR="006A493C" w:rsidRPr="00F534E2">
        <w:rPr>
          <w:sz w:val="24"/>
          <w:szCs w:val="24"/>
        </w:rPr>
        <w:fldChar w:fldCharType="begin"/>
      </w:r>
      <w:r w:rsidR="00B46899">
        <w:rPr>
          <w:sz w:val="24"/>
          <w:szCs w:val="24"/>
        </w:rPr>
        <w:instrText xml:space="preserve"> ADDIN ZOTERO_ITEM CSL_CITATION {"citationID":"jvhK7b4H","properties":{"formattedCitation":"(Henao and Marshall, 2018)","plainCitation":"(Henao and Marshall, 2018)","dontUpdate":true,"noteIndex":0},"citationItems":[{"id":"pYE2dMDV/r7cbeA84","uris":["http://zotero.org/users/local/CJ2Dv405/items/QWFPTYXP"],"uri":["http://zotero.org/users/local/CJ2Dv405/items/QWFPTYXP"],"itemData":{"id":130,"type":"article-journal","abstract":"Ride-haling such as Uber and Lyft are changing the ways people travel. Despite widespread claims that these services help reduce driving, there is little research on this topic. This research paper uses a quasi-natural experiment in the Denver, Colorado, region to analyze basic impacts of ride-hailing on transportation efficiency in terms of deadheading, vehicle occupancy, mode replacement, and vehicle miles traveled (VMT). Realizing the difficulty in obtaining data directly from Uber and Lyft, we designed a quasi-natural experiment—by one of the authors driving for both companies—to collect primary data. This experiment uses an ethnographic and survey-based approach that allows the authors to gain access to exclusive data and real-time passenger feedback. The dataset includes actual travel attributes from 416 ride-hailing rides—Lyft, UberX, LyftLine, and UberPool—and travel behavior and socio-demographics from 311 passenger surveys. For this study, the conservative (lower end) percentage of deadheading miles from ride-hailing is 40.8%. The average vehicle occupancy is 1.4 passengers per ride, while the distance weighted vehicle occupancy is 1.3 without accounting for deadheading and 0.8 when accounting deadheading. When accounting for mode replacement and issues such as driver deadheading, we estimate that ride-hailing leads to approximately 83.5% more VMT than would have been driven had ride-hailing not existed. Although our data collection focused on the Denver region, these results provide insight into the impacts of ride-hailing.","container-title":"Transportation","DOI":"10.1007/s11116-018-9923-2","ISSN":"0049-4488, 1572-9435","language":"en","source":"Crossref","title":"The impact of ride-hailing on vehicle miles traveled","URL":"http://link.springer.com/10.1007/s11116-018-9923-2","author":[{"family":"Henao","given":"Alejandro"},{"family":"Marshall","given":"Wesley E."}],"accessed":{"date-parts":[["2019",1,13]]},"issued":{"date-parts":[["2018",9,20]]}}}],"schema":"https://github.com/citation-style-language/schema/raw/master/csl-citation.json"} </w:instrText>
      </w:r>
      <w:r w:rsidR="006A493C" w:rsidRPr="00F534E2">
        <w:rPr>
          <w:sz w:val="24"/>
          <w:szCs w:val="24"/>
        </w:rPr>
        <w:fldChar w:fldCharType="separate"/>
      </w:r>
      <w:r w:rsidR="006A493C" w:rsidRPr="00F534E2">
        <w:rPr>
          <w:rFonts w:cs="Times New Roman"/>
          <w:sz w:val="24"/>
          <w:szCs w:val="24"/>
        </w:rPr>
        <w:t>Henao and Marshall (201</w:t>
      </w:r>
      <w:r w:rsidR="00400BB0">
        <w:rPr>
          <w:rFonts w:cs="Times New Roman"/>
          <w:sz w:val="24"/>
          <w:szCs w:val="24"/>
        </w:rPr>
        <w:t>9</w:t>
      </w:r>
      <w:r w:rsidR="006A493C" w:rsidRPr="00F534E2">
        <w:rPr>
          <w:rFonts w:cs="Times New Roman"/>
          <w:sz w:val="24"/>
          <w:szCs w:val="24"/>
        </w:rPr>
        <w:t>)</w:t>
      </w:r>
      <w:r w:rsidR="006A493C" w:rsidRPr="00F534E2">
        <w:rPr>
          <w:sz w:val="24"/>
          <w:szCs w:val="24"/>
        </w:rPr>
        <w:fldChar w:fldCharType="end"/>
      </w:r>
      <w:r w:rsidR="006A493C" w:rsidRPr="00F534E2">
        <w:rPr>
          <w:sz w:val="24"/>
          <w:szCs w:val="24"/>
        </w:rPr>
        <w:t xml:space="preserve"> signed up </w:t>
      </w:r>
      <w:r w:rsidR="00A057EE" w:rsidRPr="00F534E2">
        <w:rPr>
          <w:sz w:val="24"/>
          <w:szCs w:val="24"/>
        </w:rPr>
        <w:t>to drive</w:t>
      </w:r>
      <w:r w:rsidR="006A493C" w:rsidRPr="00F534E2">
        <w:rPr>
          <w:sz w:val="24"/>
          <w:szCs w:val="24"/>
        </w:rPr>
        <w:t xml:space="preserve"> for </w:t>
      </w:r>
      <w:r w:rsidRPr="00F534E2">
        <w:rPr>
          <w:sz w:val="24"/>
          <w:szCs w:val="24"/>
        </w:rPr>
        <w:t xml:space="preserve">ride-hailing companies, </w:t>
      </w:r>
      <w:r w:rsidR="006A493C" w:rsidRPr="00F534E2">
        <w:rPr>
          <w:sz w:val="24"/>
          <w:szCs w:val="24"/>
        </w:rPr>
        <w:t>Uber and Lyft</w:t>
      </w:r>
      <w:r w:rsidRPr="00F534E2">
        <w:rPr>
          <w:sz w:val="24"/>
          <w:szCs w:val="24"/>
        </w:rPr>
        <w:t>,</w:t>
      </w:r>
      <w:r w:rsidR="006A493C" w:rsidRPr="00F534E2">
        <w:rPr>
          <w:sz w:val="24"/>
          <w:szCs w:val="24"/>
        </w:rPr>
        <w:t xml:space="preserve"> in</w:t>
      </w:r>
      <w:r w:rsidRPr="00F534E2">
        <w:rPr>
          <w:sz w:val="24"/>
          <w:szCs w:val="24"/>
        </w:rPr>
        <w:t xml:space="preserve"> the</w:t>
      </w:r>
      <w:r w:rsidR="006A493C" w:rsidRPr="00F534E2">
        <w:rPr>
          <w:sz w:val="24"/>
          <w:szCs w:val="24"/>
        </w:rPr>
        <w:t xml:space="preserve"> Denver </w:t>
      </w:r>
      <w:r w:rsidRPr="00F534E2">
        <w:rPr>
          <w:sz w:val="24"/>
          <w:szCs w:val="24"/>
        </w:rPr>
        <w:t xml:space="preserve">area </w:t>
      </w:r>
      <w:r w:rsidR="006A493C" w:rsidRPr="00F534E2">
        <w:rPr>
          <w:sz w:val="24"/>
          <w:szCs w:val="24"/>
        </w:rPr>
        <w:t xml:space="preserve">and surveyed the passengers that </w:t>
      </w:r>
      <w:r w:rsidRPr="00F534E2">
        <w:rPr>
          <w:sz w:val="24"/>
          <w:szCs w:val="24"/>
        </w:rPr>
        <w:t>rode in their vehicles</w:t>
      </w:r>
      <w:r w:rsidR="006A493C" w:rsidRPr="00F534E2">
        <w:rPr>
          <w:sz w:val="24"/>
          <w:szCs w:val="24"/>
        </w:rPr>
        <w:t xml:space="preserve">. </w:t>
      </w:r>
      <w:r w:rsidRPr="00F534E2">
        <w:rPr>
          <w:sz w:val="24"/>
          <w:szCs w:val="24"/>
        </w:rPr>
        <w:t xml:space="preserve">By serving as drivers, </w:t>
      </w:r>
      <w:r w:rsidR="007B7394">
        <w:rPr>
          <w:sz w:val="24"/>
          <w:szCs w:val="24"/>
        </w:rPr>
        <w:t xml:space="preserve">they </w:t>
      </w:r>
      <w:r w:rsidR="006A493C" w:rsidRPr="00F534E2">
        <w:rPr>
          <w:sz w:val="24"/>
          <w:szCs w:val="24"/>
        </w:rPr>
        <w:t xml:space="preserve">were also able to estimate the distance traveled while deadheading. Some </w:t>
      </w:r>
      <w:r w:rsidRPr="00F534E2">
        <w:rPr>
          <w:sz w:val="24"/>
          <w:szCs w:val="24"/>
        </w:rPr>
        <w:t>studies have attempted to</w:t>
      </w:r>
      <w:r w:rsidR="006A493C" w:rsidRPr="00F534E2">
        <w:rPr>
          <w:sz w:val="24"/>
          <w:szCs w:val="24"/>
        </w:rPr>
        <w:t xml:space="preserve"> derive insights on ride-hailing behavior from large</w:t>
      </w:r>
      <w:r w:rsidRPr="00F534E2">
        <w:rPr>
          <w:sz w:val="24"/>
          <w:szCs w:val="24"/>
        </w:rPr>
        <w:t>r</w:t>
      </w:r>
      <w:r w:rsidR="006A493C" w:rsidRPr="00F534E2">
        <w:rPr>
          <w:sz w:val="24"/>
          <w:szCs w:val="24"/>
        </w:rPr>
        <w:t xml:space="preserve"> scale </w:t>
      </w:r>
      <w:r w:rsidRPr="00F534E2">
        <w:rPr>
          <w:sz w:val="24"/>
          <w:szCs w:val="24"/>
        </w:rPr>
        <w:t xml:space="preserve">travel </w:t>
      </w:r>
      <w:r w:rsidR="006A493C" w:rsidRPr="00F534E2">
        <w:rPr>
          <w:sz w:val="24"/>
          <w:szCs w:val="24"/>
        </w:rPr>
        <w:t>surveys</w:t>
      </w:r>
      <w:r w:rsidRPr="00F534E2">
        <w:rPr>
          <w:sz w:val="24"/>
          <w:szCs w:val="24"/>
        </w:rPr>
        <w:t xml:space="preserve"> (as opposed to targeted ride-hailing user surveys)</w:t>
      </w:r>
      <w:r w:rsidR="006A493C" w:rsidRPr="00F534E2">
        <w:rPr>
          <w:sz w:val="24"/>
          <w:szCs w:val="24"/>
        </w:rPr>
        <w:t xml:space="preserve">. </w:t>
      </w:r>
      <w:r w:rsidRPr="00F534E2">
        <w:rPr>
          <w:sz w:val="24"/>
          <w:szCs w:val="24"/>
        </w:rPr>
        <w:t>Examples of such studies include</w:t>
      </w:r>
      <w:r w:rsidR="0065105B">
        <w:rPr>
          <w:sz w:val="24"/>
          <w:szCs w:val="24"/>
        </w:rPr>
        <w:t>:</w:t>
      </w:r>
      <w:r w:rsidRPr="00F534E2">
        <w:rPr>
          <w:sz w:val="24"/>
          <w:szCs w:val="24"/>
        </w:rPr>
        <w:t xml:space="preserve"> </w:t>
      </w:r>
      <w:r w:rsidR="006A493C" w:rsidRPr="00F534E2">
        <w:rPr>
          <w:sz w:val="24"/>
          <w:szCs w:val="24"/>
        </w:rPr>
        <w:fldChar w:fldCharType="begin"/>
      </w:r>
      <w:r w:rsidR="00B46899">
        <w:rPr>
          <w:sz w:val="24"/>
          <w:szCs w:val="24"/>
        </w:rPr>
        <w:instrText xml:space="preserve"> ADDIN ZOTERO_ITEM CSL_CITATION {"citationID":"kmQ15JM6","properties":{"formattedCitation":"(Dias et al., 2017)","plainCitation":"(Dias et al., 2017)","dontUpdate":true,"noteIndex":0},"citationItems":[{"id":"pYE2dMDV/plcEl03m","uris":["http://zotero.org/users/local/CJ2Dv405/items/5WY5VX8H"],"uri":["http://zotero.org/users/local/CJ2Dv405/items/5WY5VX8H"],"itemData":{"id":201,"type":"article-journal","abstract":"There are a number of disruptive mobility services that are increasingly finding their way into the marketplace. Two key examples of such services are car-sharing services and ride-sourcing services. In an effort to better understand the influence of various exogenous socio-economic and demographic variables on the frequency of use of ride-sourcing and car-sharing services, this paper presents a bivariate ordered probit model estimated on a survey data set derived from the 2014-2015 Puget Sound Regional Travel Study. Model estimation results show that users of these services tend to be young, well-educated, higher-income, working individuals residing in higher-density areas. There are significant interaction effects reflecting the influence of children and the built environment on disruptive mobility service usage. The model developed in this paper provides key insights into factors affecting market penetration of these services, and can be integrated in larger travel forecasting model systems to better predict the adoption and use of mobility-on-demand services.","container-title":"Transportation","DOI":"10.1007/s11116-017-9797-8","ISSN":"0049-4488, 1572-9435","issue":"6","journalAbbreviation":"Transportation","language":"en","page":"1307-1323","source":"DOI.org (Crossref)","title":"A behavioral choice model of the use of car-sharing and ride-sourcing services","volume":"44","author":[{"family":"Dias","given":"Felipe F."},{"family":"Lavieri","given":"Patrícia S."},{"family":"Garikapati","given":"Venu M."},{"family":"Astroza","given":"Sebastian"},{"family":"Pendyala","given":"Ram M."},{"family":"Bhat","given":"Chandra R."}],"issued":{"date-parts":[["2017",11]]}}}],"schema":"https://github.com/citation-style-language/schema/raw/master/csl-citation.json"} </w:instrText>
      </w:r>
      <w:r w:rsidR="006A493C" w:rsidRPr="00F534E2">
        <w:rPr>
          <w:sz w:val="24"/>
          <w:szCs w:val="24"/>
        </w:rPr>
        <w:fldChar w:fldCharType="separate"/>
      </w:r>
      <w:r w:rsidR="006A493C" w:rsidRPr="00F534E2">
        <w:rPr>
          <w:rFonts w:cs="Times New Roman"/>
          <w:sz w:val="24"/>
          <w:szCs w:val="24"/>
        </w:rPr>
        <w:t xml:space="preserve">Dias </w:t>
      </w:r>
      <w:r w:rsidR="006A493C" w:rsidRPr="00BF7326">
        <w:rPr>
          <w:rFonts w:cs="Times New Roman"/>
          <w:i/>
          <w:sz w:val="24"/>
          <w:szCs w:val="24"/>
        </w:rPr>
        <w:t>et al</w:t>
      </w:r>
      <w:r w:rsidR="006A493C" w:rsidRPr="00F534E2">
        <w:rPr>
          <w:rFonts w:cs="Times New Roman"/>
          <w:sz w:val="24"/>
          <w:szCs w:val="24"/>
        </w:rPr>
        <w:t>. (2017)</w:t>
      </w:r>
      <w:r w:rsidR="006A493C" w:rsidRPr="00F534E2">
        <w:rPr>
          <w:sz w:val="24"/>
          <w:szCs w:val="24"/>
        </w:rPr>
        <w:fldChar w:fldCharType="end"/>
      </w:r>
      <w:r w:rsidRPr="00F534E2">
        <w:rPr>
          <w:sz w:val="24"/>
          <w:szCs w:val="24"/>
        </w:rPr>
        <w:t xml:space="preserve">, who </w:t>
      </w:r>
      <w:r w:rsidR="006A493C" w:rsidRPr="00F534E2">
        <w:rPr>
          <w:sz w:val="24"/>
          <w:szCs w:val="24"/>
        </w:rPr>
        <w:t xml:space="preserve">studied ride-hailing usage </w:t>
      </w:r>
      <w:r w:rsidRPr="00F534E2">
        <w:rPr>
          <w:sz w:val="24"/>
          <w:szCs w:val="24"/>
        </w:rPr>
        <w:t>using the 2017 Puget Sound</w:t>
      </w:r>
      <w:r w:rsidR="006A493C" w:rsidRPr="00F534E2">
        <w:rPr>
          <w:sz w:val="24"/>
          <w:szCs w:val="24"/>
        </w:rPr>
        <w:t xml:space="preserve"> regional household travel surve</w:t>
      </w:r>
      <w:r w:rsidRPr="00F534E2">
        <w:rPr>
          <w:sz w:val="24"/>
          <w:szCs w:val="24"/>
        </w:rPr>
        <w:t>y</w:t>
      </w:r>
      <w:r w:rsidR="0065105B">
        <w:rPr>
          <w:sz w:val="24"/>
          <w:szCs w:val="24"/>
        </w:rPr>
        <w:t>;</w:t>
      </w:r>
      <w:r w:rsidR="006A493C" w:rsidRPr="00F534E2">
        <w:rPr>
          <w:sz w:val="24"/>
          <w:szCs w:val="24"/>
        </w:rPr>
        <w:t xml:space="preserve"> </w:t>
      </w:r>
      <w:r w:rsidR="006A493C" w:rsidRPr="00F534E2">
        <w:rPr>
          <w:sz w:val="24"/>
          <w:szCs w:val="24"/>
        </w:rPr>
        <w:fldChar w:fldCharType="begin"/>
      </w:r>
      <w:r w:rsidR="00B46899">
        <w:rPr>
          <w:sz w:val="24"/>
          <w:szCs w:val="24"/>
        </w:rPr>
        <w:instrText xml:space="preserve"> ADDIN ZOTERO_ITEM CSL_CITATION {"citationID":"tJnm93vp","properties":{"formattedCitation":"(Alemi et al., 2018)","plainCitation":"(Alemi et al., 2018)","dontUpdate":true,"noteIndex":0},"citationItems":[{"id":"pYE2dMDV/BrJV0Wls","uris":["http://zotero.org/users/local/CJ2Dv405/items/RCR9HWJQ"],"uri":["http://zotero.org/users/local/CJ2Dv405/items/RCR9HWJQ"],"itemData":{"id":304,"type":"paper-conference","event":"Transportation Research Board 97th Annual MeetingTransportation Research Board","source":"trid.trb.org","title":"On-Demand Ride Services in California: Investigating the Factors Affecting the Frequency of Use of Uber/Lyft","title-short":"On-Demand Ride Services in California","URL":"https://trid.trb.org/view/1496834","author":[{"family":"Alemi","given":"Farzad"},{"family":"Circella","given":"Giovanni"},{"family":"Mokhtarian","given":"Patricia"},{"family":"Handy","given":"Susan"}],"accessed":{"date-parts":[["2019",5,28]]},"issued":{"date-parts":[["2018"]]}}}],"schema":"https://github.com/citation-style-language/schema/raw/master/csl-citation.json"} </w:instrText>
      </w:r>
      <w:r w:rsidR="006A493C" w:rsidRPr="00F534E2">
        <w:rPr>
          <w:sz w:val="24"/>
          <w:szCs w:val="24"/>
        </w:rPr>
        <w:fldChar w:fldCharType="separate"/>
      </w:r>
      <w:r w:rsidR="006A493C" w:rsidRPr="00F534E2">
        <w:rPr>
          <w:rFonts w:cs="Times New Roman"/>
          <w:sz w:val="24"/>
          <w:szCs w:val="24"/>
        </w:rPr>
        <w:t xml:space="preserve">Alemi </w:t>
      </w:r>
      <w:r w:rsidR="006A493C" w:rsidRPr="00BF7326">
        <w:rPr>
          <w:rFonts w:cs="Times New Roman"/>
          <w:i/>
          <w:sz w:val="24"/>
          <w:szCs w:val="24"/>
        </w:rPr>
        <w:t>et al</w:t>
      </w:r>
      <w:r w:rsidR="006A493C" w:rsidRPr="00F534E2">
        <w:rPr>
          <w:rFonts w:cs="Times New Roman"/>
          <w:sz w:val="24"/>
          <w:szCs w:val="24"/>
        </w:rPr>
        <w:t>. (2018)</w:t>
      </w:r>
      <w:r w:rsidR="006A493C" w:rsidRPr="00F534E2">
        <w:rPr>
          <w:sz w:val="24"/>
          <w:szCs w:val="24"/>
        </w:rPr>
        <w:fldChar w:fldCharType="end"/>
      </w:r>
      <w:r w:rsidRPr="00F534E2">
        <w:rPr>
          <w:sz w:val="24"/>
          <w:szCs w:val="24"/>
        </w:rPr>
        <w:t>, who</w:t>
      </w:r>
      <w:r w:rsidR="006A493C" w:rsidRPr="00F534E2">
        <w:rPr>
          <w:sz w:val="24"/>
          <w:szCs w:val="24"/>
        </w:rPr>
        <w:t xml:space="preserve"> used the 2015 California millennials </w:t>
      </w:r>
      <w:r w:rsidRPr="00F534E2">
        <w:rPr>
          <w:sz w:val="24"/>
          <w:szCs w:val="24"/>
        </w:rPr>
        <w:t>survey</w:t>
      </w:r>
      <w:r w:rsidR="0065105B">
        <w:rPr>
          <w:sz w:val="24"/>
          <w:szCs w:val="24"/>
        </w:rPr>
        <w:t xml:space="preserve">; and </w:t>
      </w:r>
      <w:r w:rsidR="0065105B">
        <w:rPr>
          <w:sz w:val="24"/>
          <w:szCs w:val="24"/>
        </w:rPr>
        <w:fldChar w:fldCharType="begin"/>
      </w:r>
      <w:r w:rsidR="00B46899">
        <w:rPr>
          <w:sz w:val="24"/>
          <w:szCs w:val="24"/>
        </w:rPr>
        <w:instrText xml:space="preserve"> ADDIN ZOTERO_ITEM CSL_CITATION {"citationID":"aFwcC3tg","properties":{"formattedCitation":"(Young and Farber, 2019)","plainCitation":"(Young and Farber, 2019)","dontUpdate":true,"noteIndex":0},"citationItems":[{"id":"pYE2dMDV/wFrXzHGm","uris":["http://zotero.org/users/local/CJ2Dv405/items/4IM582KB"],"uri":["http://zotero.org/users/local/CJ2Dv405/items/4IM582KB"],"itemData":{"id":357,"type":"article-journal","abstract":"Convenience and low prices have enabled ride-hailing companies, such as Uber and Lyft, to position themselves amongst the most valuable companies within the transportation sector. They now account for the lion share of activities in the platform economy and play an increasing role within our cities. Despite this, very little is known about the type of people that use them, nor the purpose and timing of trips. In addition to this, their effect on other modes, such as taxis and public transit, remains, for the most part, widely unexplored. By comparing the socioeconomic and trip characteristics of ride-hailing users to that of other mode users, we find ride-hailing to be a wealthy younger generation phenomenon. While our results show that ride-hailing is too minute and inconsequential to influence the ridership level of other more substantial modes of travel overall, when considering specific market segments, the rise of ride-hailing corresponds to a significant decrease in taxi ridership and a rise in active modes of travel. Moreover, due to the specific age, timing, and purpose of our subsample, we believe that ride-hailing may effectively reduce drunk-driving, and are convinced that as this mode increases in importance in the future, it will have a much more pronounced effect on the level of ridership of other modes as well.","container-title":"Transportation Research Part A: Policy and Practice","DOI":"10.1016/j.tra.2018.11.018","ISSN":"0965-8564","journalAbbreviation":"Transportation Research Part A: Policy and Practice","page":"383-392","source":"ScienceDirect","title":"The who, why, and when of Uber and other ride-hailing trips: An examination of a large sample household travel survey","title-short":"The who, why, and when of Uber and other ride-hailing trips","volume":"119","author":[{"family":"Young","given":"Mischa"},{"family":"Farber","given":"Steven"}],"issued":{"date-parts":[["2019",1,1]]}}}],"schema":"https://github.com/citation-style-language/schema/raw/master/csl-citation.json"} </w:instrText>
      </w:r>
      <w:r w:rsidR="0065105B">
        <w:rPr>
          <w:sz w:val="24"/>
          <w:szCs w:val="24"/>
        </w:rPr>
        <w:fldChar w:fldCharType="separate"/>
      </w:r>
      <w:r w:rsidR="0065105B" w:rsidRPr="0065105B">
        <w:rPr>
          <w:rFonts w:cs="Times New Roman"/>
          <w:sz w:val="24"/>
        </w:rPr>
        <w:t>Young and Farber</w:t>
      </w:r>
      <w:r w:rsidR="0065105B" w:rsidRPr="00D30FA8">
        <w:rPr>
          <w:rFonts w:cs="Times New Roman"/>
          <w:sz w:val="24"/>
        </w:rPr>
        <w:t xml:space="preserve"> </w:t>
      </w:r>
      <w:r w:rsidR="0065105B">
        <w:rPr>
          <w:rFonts w:cs="Times New Roman"/>
          <w:sz w:val="24"/>
        </w:rPr>
        <w:t>(</w:t>
      </w:r>
      <w:r w:rsidR="0065105B" w:rsidRPr="00D30FA8">
        <w:rPr>
          <w:rFonts w:cs="Times New Roman"/>
          <w:sz w:val="24"/>
        </w:rPr>
        <w:t>2019)</w:t>
      </w:r>
      <w:r w:rsidR="0065105B">
        <w:rPr>
          <w:sz w:val="24"/>
          <w:szCs w:val="24"/>
        </w:rPr>
        <w:fldChar w:fldCharType="end"/>
      </w:r>
      <w:r w:rsidR="00816BB2">
        <w:rPr>
          <w:sz w:val="24"/>
          <w:szCs w:val="24"/>
        </w:rPr>
        <w:t>,</w:t>
      </w:r>
      <w:r w:rsidR="0065105B">
        <w:rPr>
          <w:sz w:val="24"/>
          <w:szCs w:val="24"/>
        </w:rPr>
        <w:t xml:space="preserve"> who studied ride-hailing usage in Toronto</w:t>
      </w:r>
      <w:r w:rsidR="006A493C" w:rsidRPr="00F534E2">
        <w:rPr>
          <w:sz w:val="24"/>
          <w:szCs w:val="24"/>
        </w:rPr>
        <w:t xml:space="preserve">. </w:t>
      </w:r>
    </w:p>
    <w:p w14:paraId="53E4E2D5" w14:textId="2933EE18" w:rsidR="006A493C" w:rsidRDefault="00EB162F" w:rsidP="00020841">
      <w:pPr>
        <w:spacing w:after="0" w:line="240" w:lineRule="auto"/>
        <w:ind w:firstLine="720"/>
        <w:rPr>
          <w:sz w:val="24"/>
          <w:szCs w:val="24"/>
        </w:rPr>
      </w:pPr>
      <w:r>
        <w:rPr>
          <w:sz w:val="24"/>
          <w:szCs w:val="24"/>
        </w:rPr>
        <w:t>Since TNCs</w:t>
      </w:r>
      <w:r w:rsidR="00460105" w:rsidRPr="00F534E2">
        <w:rPr>
          <w:sz w:val="24"/>
          <w:szCs w:val="24"/>
        </w:rPr>
        <w:t xml:space="preserve"> </w:t>
      </w:r>
      <w:r>
        <w:rPr>
          <w:sz w:val="24"/>
          <w:szCs w:val="24"/>
        </w:rPr>
        <w:t xml:space="preserve">were reluctant </w:t>
      </w:r>
      <w:r w:rsidR="00CD28C9">
        <w:rPr>
          <w:sz w:val="24"/>
          <w:szCs w:val="24"/>
        </w:rPr>
        <w:t xml:space="preserve">to release </w:t>
      </w:r>
      <w:r w:rsidR="00460105" w:rsidRPr="00F534E2">
        <w:rPr>
          <w:sz w:val="24"/>
          <w:szCs w:val="24"/>
        </w:rPr>
        <w:t xml:space="preserve">trip-level ride-hailing </w:t>
      </w:r>
      <w:r w:rsidR="006A493C" w:rsidRPr="00F534E2">
        <w:rPr>
          <w:sz w:val="24"/>
          <w:szCs w:val="24"/>
        </w:rPr>
        <w:t>data</w:t>
      </w:r>
      <w:r w:rsidR="00CD28C9">
        <w:rPr>
          <w:sz w:val="24"/>
          <w:szCs w:val="24"/>
        </w:rPr>
        <w:t xml:space="preserve"> until recently</w:t>
      </w:r>
      <w:r w:rsidR="006A493C" w:rsidRPr="00F534E2">
        <w:rPr>
          <w:sz w:val="24"/>
          <w:szCs w:val="24"/>
        </w:rPr>
        <w:t xml:space="preserve">, </w:t>
      </w:r>
      <w:r w:rsidR="00460105" w:rsidRPr="00F534E2">
        <w:rPr>
          <w:sz w:val="24"/>
          <w:szCs w:val="24"/>
        </w:rPr>
        <w:t xml:space="preserve">a </w:t>
      </w:r>
      <w:r w:rsidR="006A493C" w:rsidRPr="00F534E2">
        <w:rPr>
          <w:sz w:val="24"/>
          <w:szCs w:val="24"/>
        </w:rPr>
        <w:t xml:space="preserve">few </w:t>
      </w:r>
      <w:r w:rsidR="00460105" w:rsidRPr="00F534E2">
        <w:rPr>
          <w:sz w:val="24"/>
          <w:szCs w:val="24"/>
        </w:rPr>
        <w:t>studies,</w:t>
      </w:r>
      <w:r w:rsidR="006A493C" w:rsidRPr="00F534E2">
        <w:rPr>
          <w:sz w:val="24"/>
          <w:szCs w:val="24"/>
        </w:rPr>
        <w:t xml:space="preserve"> such as </w:t>
      </w:r>
      <w:r w:rsidR="00460105" w:rsidRPr="00F534E2">
        <w:rPr>
          <w:sz w:val="24"/>
          <w:szCs w:val="24"/>
        </w:rPr>
        <w:t xml:space="preserve">those by </w:t>
      </w:r>
      <w:r w:rsidR="006A493C" w:rsidRPr="00F534E2">
        <w:rPr>
          <w:sz w:val="24"/>
          <w:szCs w:val="24"/>
        </w:rPr>
        <w:fldChar w:fldCharType="begin"/>
      </w:r>
      <w:r w:rsidR="00B46899">
        <w:rPr>
          <w:sz w:val="24"/>
          <w:szCs w:val="24"/>
        </w:rPr>
        <w:instrText xml:space="preserve"> ADDIN ZOTERO_ITEM CSL_CITATION {"citationID":"bEhmH6df","properties":{"formattedCitation":"(Cooper et al., 2018; Kooti et al., 2017)","plainCitation":"(Cooper et al., 2018; Kooti et al., 2017)","dontUpdate":true,"noteIndex":0},"citationItems":[{"id":"pYE2dMDV/xD1cXaxV","uris":["http://zotero.org/users/local/CJ2Dv405/items/N8EXTTIA"],"uri":["http://zotero.org/users/local/CJ2Dv405/items/N8EXTTIA"],"itemData":{"id":124,"type":"article-journal","abstract":"Transportation network companies (TNCs) provide vehicle-for-hire services. They are distinguished from taxis primarily by the presumption that vehicles are privately owned by drivers. Unlike taxis, which must hold one of approximately 1,800 medallions licensed by the San Francisco Municipal Transportation Agency (SFMTA) to operate in San Francisco, there is no regulatory limit on the supply of TNCs. TNCs have an increasingly visible presence in San Francisco. However, there has been little or no objective data available on TNCs to allow planners to understand the number of trips they provide, the amount of vehicle miles traveled they generate, or their effects on congestion, transit ridership, transit operations, or safety. Without this type of data it is difficult to make informed planning and policy decisions. Discussions with Uber, Lyft, and the California Public Utilities Commission, which collects trip-level data from TNCs in California, requesting information on TNC trips have not resulted in any data being shared. Under increasing pressure from policymakers for objective data to inform policy decisions, the San Francisco County Transportation Authority (SFCTA) partnered with researchers from Northeastern University who developed a methodology for collecting data through Uber’s and Lyft’s application programming interfaces (APIs) with high spatial and temporal resolution. This paper provides a brief literature review on transport network company (TNC) data, and goes one to describe the methodology used to collect data, summarizes the process for converting the raw data into estimated TNC trips, and presents an analysis of the results of the TNC trip estimates. This study determined that TNCs serve a substantial number of trips in San Francisco, over 170,000 on a typical weekday, that these trips follow traditional time of day distributions, and that they tend to take place in the busiest parts of the City.","container-title":"Transportation Research Record: Journal of the Transportation Research Board","DOI":"10.1177/0361198118798459","ISSN":"0361-1981, 2169-4052","issue":"42","language":"en","page":"192-202","source":"Crossref","title":"Profiling Transport Network Company Activity using Big Data","volume":"2672","author":[{"family":"Cooper","given":"Drew"},{"family":"Castiglione","given":"Joe"},{"family":"Mislove","given":"Alan"},{"family":"Wilson","given":"Christo"}],"issued":{"date-parts":[["2018",12]]}}},{"id":"pYE2dMDV/CBgHZSPm","uris":["http://zotero.org/users/local/CJ2Dv405/items/6CWNTIN4"],"uri":["http://zotero.org/users/local/CJ2Dv405/items/6CWNTIN4"],"itemData":{"id":208,"type":"paper-conference","abstract":"Uber is a popular ride-sharing application that matches people who need a ride (or riders) with drivers who are willing to provide it using their personal vehicles. Despite its growing popularity, there exist few studies that examine large-scale Uber data, or in general the factors affecting user participation in the sharing economy. We address this gap through a study of the Uber market that analyzes large-scale data covering 59 million rides which spans a period of 7 months. The data were extracted from email receipts sent by Uber collected on Yahoo servers, allowing us to examine the role of demographics (e.g., age and gender) on participation in the ride-sharing economy. In addition, we evaluate the impact of dynamic pricing (i.e., surge pricing) and income on both rider and driver behavior. We ﬁnd that the surge pricing does not bias Uber use towards higher income riders. Moreover, we show that more homophilous matches (e.g., riders to drivers of a similar age) can result in higher driver ratings. Finally, we focus on factors that affect retention and use information from earlier rides to accurately predict which riders or drivers will become active Uber users.","container-title":"Proceedings of the 26th International Conference on World Wide Web Companion  - WWW '17 Companion","DOI":"10.1145/3041021.3054194","event":"the 26th International Conference","event-place":"Perth, Australia","ISBN":"978-1-4503-4914-7","language":"en","page":"574-582","publisher":"ACM Press","publisher-place":"Perth, Australia","source":"DOI.org (Crossref)","title":"Analyzing Uber's Ride-sharing Economy","URL":"http://dl.acm.org/citation.cfm?doid=3041021.3054194","author":[{"family":"Kooti","given":"Farshad"},{"family":"Grbovic","given":"Mihajlo"},{"family":"Aiello","given":"Luca Maria"},{"family":"Djuric","given":"Nemanja"},{"family":"Radosavljevic","given":"Vladan"},{"family":"Lerman","given":"Kristina"}],"accessed":{"date-parts":[["2019",4,28]]},"issued":{"date-parts":[["2017"]]}}}],"schema":"https://github.com/citation-style-language/schema/raw/master/csl-citation.json"} </w:instrText>
      </w:r>
      <w:r w:rsidR="006A493C" w:rsidRPr="00F534E2">
        <w:rPr>
          <w:sz w:val="24"/>
          <w:szCs w:val="24"/>
        </w:rPr>
        <w:fldChar w:fldCharType="separate"/>
      </w:r>
      <w:r w:rsidR="006A493C" w:rsidRPr="00F534E2">
        <w:rPr>
          <w:rFonts w:cs="Times New Roman"/>
          <w:sz w:val="24"/>
          <w:szCs w:val="24"/>
        </w:rPr>
        <w:t xml:space="preserve">Cooper </w:t>
      </w:r>
      <w:r w:rsidR="006A493C" w:rsidRPr="00BF7326">
        <w:rPr>
          <w:rFonts w:cs="Times New Roman"/>
          <w:i/>
          <w:sz w:val="24"/>
          <w:szCs w:val="24"/>
        </w:rPr>
        <w:t>et al</w:t>
      </w:r>
      <w:r w:rsidR="006A493C" w:rsidRPr="00F534E2">
        <w:rPr>
          <w:rFonts w:cs="Times New Roman"/>
          <w:sz w:val="24"/>
          <w:szCs w:val="24"/>
        </w:rPr>
        <w:t xml:space="preserve">. (2018) and Kooti </w:t>
      </w:r>
      <w:r w:rsidR="006A493C" w:rsidRPr="00BF7326">
        <w:rPr>
          <w:rFonts w:cs="Times New Roman"/>
          <w:i/>
          <w:sz w:val="24"/>
          <w:szCs w:val="24"/>
        </w:rPr>
        <w:t>et al</w:t>
      </w:r>
      <w:r w:rsidR="006A493C" w:rsidRPr="00F534E2">
        <w:rPr>
          <w:rFonts w:cs="Times New Roman"/>
          <w:sz w:val="24"/>
          <w:szCs w:val="24"/>
        </w:rPr>
        <w:t>. (2017)</w:t>
      </w:r>
      <w:r w:rsidR="006A493C" w:rsidRPr="00F534E2">
        <w:rPr>
          <w:sz w:val="24"/>
          <w:szCs w:val="24"/>
        </w:rPr>
        <w:fldChar w:fldCharType="end"/>
      </w:r>
      <w:r w:rsidR="00460105" w:rsidRPr="00F534E2">
        <w:rPr>
          <w:sz w:val="24"/>
          <w:szCs w:val="24"/>
        </w:rPr>
        <w:t>,</w:t>
      </w:r>
      <w:r w:rsidR="006A493C" w:rsidRPr="00F534E2">
        <w:rPr>
          <w:sz w:val="24"/>
          <w:szCs w:val="24"/>
        </w:rPr>
        <w:t xml:space="preserve"> </w:t>
      </w:r>
      <w:r w:rsidR="00460105" w:rsidRPr="00F534E2">
        <w:rPr>
          <w:sz w:val="24"/>
          <w:szCs w:val="24"/>
        </w:rPr>
        <w:t xml:space="preserve">have </w:t>
      </w:r>
      <w:r w:rsidR="006A493C" w:rsidRPr="00F534E2">
        <w:rPr>
          <w:sz w:val="24"/>
          <w:szCs w:val="24"/>
        </w:rPr>
        <w:t xml:space="preserve">attempted </w:t>
      </w:r>
      <w:r w:rsidR="00A057EE" w:rsidRPr="00F534E2">
        <w:rPr>
          <w:sz w:val="24"/>
          <w:szCs w:val="24"/>
        </w:rPr>
        <w:t xml:space="preserve">to collect this data </w:t>
      </w:r>
      <w:r w:rsidR="006A493C" w:rsidRPr="00F534E2">
        <w:rPr>
          <w:sz w:val="24"/>
          <w:szCs w:val="24"/>
        </w:rPr>
        <w:t xml:space="preserve">using novel data collection techniques. </w:t>
      </w:r>
      <w:r w:rsidR="006A493C" w:rsidRPr="00F534E2">
        <w:rPr>
          <w:sz w:val="24"/>
          <w:szCs w:val="24"/>
        </w:rPr>
        <w:fldChar w:fldCharType="begin"/>
      </w:r>
      <w:r w:rsidR="00B46899">
        <w:rPr>
          <w:sz w:val="24"/>
          <w:szCs w:val="24"/>
        </w:rPr>
        <w:instrText xml:space="preserve"> ADDIN ZOTERO_ITEM CSL_CITATION {"citationID":"6s8R4IKC","properties":{"formattedCitation":"(Cooper et al., 2018)","plainCitation":"(Cooper et al., 2018)","dontUpdate":true,"noteIndex":0},"citationItems":[{"id":"pYE2dMDV/xD1cXaxV","uris":["http://zotero.org/users/local/CJ2Dv405/items/N8EXTTIA"],"uri":["http://zotero.org/users/local/CJ2Dv405/items/N8EXTTIA"],"itemData":{"id":124,"type":"article-journal","abstract":"Transportation network companies (TNCs) provide vehicle-for-hire services. They are distinguished from taxis primarily by the presumption that vehicles are privately owned by drivers. Unlike taxis, which must hold one of approximately 1,800 medallions licensed by the San Francisco Municipal Transportation Agency (SFMTA) to operate in San Francisco, there is no regulatory limit on the supply of TNCs. TNCs have an increasingly visible presence in San Francisco. However, there has been little or no objective data available on TNCs to allow planners to understand the number of trips they provide, the amount of vehicle miles traveled they generate, or their effects on congestion, transit ridership, transit operations, or safety. Without this type of data it is difficult to make informed planning and policy decisions. Discussions with Uber, Lyft, and the California Public Utilities Commission, which collects trip-level data from TNCs in California, requesting information on TNC trips have not resulted in any data being shared. Under increasing pressure from policymakers for objective data to inform policy decisions, the San Francisco County Transportation Authority (SFCTA) partnered with researchers from Northeastern University who developed a methodology for collecting data through Uber’s and Lyft’s application programming interfaces (APIs) with high spatial and temporal resolution. This paper provides a brief literature review on transport network company (TNC) data, and goes one to describe the methodology used to collect data, summarizes the process for converting the raw data into estimated TNC trips, and presents an analysis of the results of the TNC trip estimates. This study determined that TNCs serve a substantial number of trips in San Francisco, over 170,000 on a typical weekday, that these trips follow traditional time of day distributions, and that they tend to take place in the busiest parts of the City.","container-title":"Transportation Research Record: Journal of the Transportation Research Board","DOI":"10.1177/0361198118798459","ISSN":"0361-1981, 2169-4052","issue":"42","language":"en","page":"192-202","source":"Crossref","title":"Profiling Transport Network Company Activity using Big Data","volume":"2672","author":[{"family":"Cooper","given":"Drew"},{"family":"Castiglione","given":"Joe"},{"family":"Mislove","given":"Alan"},{"family":"Wilson","given":"Christo"}],"issued":{"date-parts":[["2018",12]]}}}],"schema":"https://github.com/citation-style-language/schema/raw/master/csl-citation.json"} </w:instrText>
      </w:r>
      <w:r w:rsidR="006A493C" w:rsidRPr="00F534E2">
        <w:rPr>
          <w:sz w:val="24"/>
          <w:szCs w:val="24"/>
        </w:rPr>
        <w:fldChar w:fldCharType="separate"/>
      </w:r>
      <w:r w:rsidR="006A493C" w:rsidRPr="00F534E2">
        <w:rPr>
          <w:rFonts w:cs="Times New Roman"/>
          <w:sz w:val="24"/>
          <w:szCs w:val="24"/>
        </w:rPr>
        <w:t xml:space="preserve">Cooper </w:t>
      </w:r>
      <w:r w:rsidR="006A493C" w:rsidRPr="00BF7326">
        <w:rPr>
          <w:rFonts w:cs="Times New Roman"/>
          <w:i/>
          <w:sz w:val="24"/>
          <w:szCs w:val="24"/>
        </w:rPr>
        <w:t>et al</w:t>
      </w:r>
      <w:r w:rsidR="006A493C" w:rsidRPr="00F534E2">
        <w:rPr>
          <w:rFonts w:cs="Times New Roman"/>
          <w:sz w:val="24"/>
          <w:szCs w:val="24"/>
        </w:rPr>
        <w:t>. (2018)</w:t>
      </w:r>
      <w:r w:rsidR="006A493C" w:rsidRPr="00F534E2">
        <w:rPr>
          <w:sz w:val="24"/>
          <w:szCs w:val="24"/>
        </w:rPr>
        <w:fldChar w:fldCharType="end"/>
      </w:r>
      <w:r w:rsidR="006A493C" w:rsidRPr="00F534E2">
        <w:rPr>
          <w:sz w:val="24"/>
          <w:szCs w:val="24"/>
        </w:rPr>
        <w:t xml:space="preserve"> obtained</w:t>
      </w:r>
      <w:r w:rsidR="00460105" w:rsidRPr="00F534E2">
        <w:rPr>
          <w:sz w:val="24"/>
          <w:szCs w:val="24"/>
        </w:rPr>
        <w:t xml:space="preserve"> data</w:t>
      </w:r>
      <w:r w:rsidR="006A493C" w:rsidRPr="00F534E2">
        <w:rPr>
          <w:sz w:val="24"/>
          <w:szCs w:val="24"/>
        </w:rPr>
        <w:t xml:space="preserve"> on the movement of deadheading ride-hailing vehicles in the city of San Francisco directly through the</w:t>
      </w:r>
      <w:r w:rsidR="00460105" w:rsidRPr="00F534E2">
        <w:rPr>
          <w:sz w:val="24"/>
          <w:szCs w:val="24"/>
        </w:rPr>
        <w:t xml:space="preserve"> </w:t>
      </w:r>
      <w:r w:rsidR="00460105" w:rsidRPr="00F534E2">
        <w:rPr>
          <w:sz w:val="24"/>
          <w:szCs w:val="24"/>
        </w:rPr>
        <w:lastRenderedPageBreak/>
        <w:t>Application Programming Interfaces (API) of</w:t>
      </w:r>
      <w:r w:rsidR="006A493C" w:rsidRPr="00F534E2">
        <w:rPr>
          <w:sz w:val="24"/>
          <w:szCs w:val="24"/>
        </w:rPr>
        <w:t xml:space="preserve"> Uber and Lyft</w:t>
      </w:r>
      <w:r w:rsidR="00F54F2F" w:rsidRPr="00F534E2">
        <w:rPr>
          <w:sz w:val="24"/>
          <w:szCs w:val="24"/>
        </w:rPr>
        <w:t>. They repeatedly queried</w:t>
      </w:r>
      <w:r w:rsidR="006A493C" w:rsidRPr="00F534E2">
        <w:rPr>
          <w:sz w:val="24"/>
          <w:szCs w:val="24"/>
        </w:rPr>
        <w:t xml:space="preserve"> the Uber and Lyft servers for the locations of vehicles that are available for hire around 200 synthetically generated clients spread around the city. Using this approach, they obtained the coordinate traces of deadheading Uber and Lyft vehicles in the city for a duration of 40 days. </w:t>
      </w:r>
      <w:r w:rsidR="006A493C" w:rsidRPr="00F534E2">
        <w:rPr>
          <w:sz w:val="24"/>
          <w:szCs w:val="24"/>
        </w:rPr>
        <w:fldChar w:fldCharType="begin"/>
      </w:r>
      <w:r w:rsidR="00B46899">
        <w:rPr>
          <w:sz w:val="24"/>
          <w:szCs w:val="24"/>
        </w:rPr>
        <w:instrText xml:space="preserve"> ADDIN ZOTERO_ITEM CSL_CITATION {"citationID":"GijBnF7n","properties":{"formattedCitation":"(Kooti et al., 2017)","plainCitation":"(Kooti et al., 2017)","dontUpdate":true,"noteIndex":0},"citationItems":[{"id":"pYE2dMDV/CBgHZSPm","uris":["http://zotero.org/users/local/CJ2Dv405/items/6CWNTIN4"],"uri":["http://zotero.org/users/local/CJ2Dv405/items/6CWNTIN4"],"itemData":{"id":208,"type":"paper-conference","abstract":"Uber is a popular ride-sharing application that matches people who need a ride (or riders) with drivers who are willing to provide it using their personal vehicles. Despite its growing popularity, there exist few studies that examine large-scale Uber data, or in general the factors affecting user participation in the sharing economy. We address this gap through a study of the Uber market that analyzes large-scale data covering 59 million rides which spans a period of 7 months. The data were extracted from email receipts sent by Uber collected on Yahoo servers, allowing us to examine the role of demographics (e.g., age and gender) on participation in the ride-sharing economy. In addition, we evaluate the impact of dynamic pricing (i.e., surge pricing) and income on both rider and driver behavior. We ﬁnd that the surge pricing does not bias Uber use towards higher income riders. Moreover, we show that more homophilous matches (e.g., riders to drivers of a similar age) can result in higher driver ratings. Finally, we focus on factors that affect retention and use information from earlier rides to accurately predict which riders or drivers will become active Uber users.","container-title":"Proceedings of the 26th International Conference on World Wide Web Companion  - WWW '17 Companion","DOI":"10.1145/3041021.3054194","event":"the 26th International Conference","event-place":"Perth, Australia","ISBN":"978-1-4503-4914-7","language":"en","page":"574-582","publisher":"ACM Press","publisher-place":"Perth, Australia","source":"DOI.org (Crossref)","title":"Analyzing Uber's Ride-sharing Economy","URL":"http://dl.acm.org/citation.cfm?doid=3041021.3054194","author":[{"family":"Kooti","given":"Farshad"},{"family":"Grbovic","given":"Mihajlo"},{"family":"Aiello","given":"Luca Maria"},{"family":"Djuric","given":"Nemanja"},{"family":"Radosavljevic","given":"Vladan"},{"family":"Lerman","given":"Kristina"}],"accessed":{"date-parts":[["2019",4,28]]},"issued":{"date-parts":[["2017"]]}}}],"schema":"https://github.com/citation-style-language/schema/raw/master/csl-citation.json"} </w:instrText>
      </w:r>
      <w:r w:rsidR="006A493C" w:rsidRPr="00F534E2">
        <w:rPr>
          <w:sz w:val="24"/>
          <w:szCs w:val="24"/>
        </w:rPr>
        <w:fldChar w:fldCharType="separate"/>
      </w:r>
      <w:r w:rsidR="006A493C" w:rsidRPr="00F534E2">
        <w:rPr>
          <w:rFonts w:cs="Times New Roman"/>
          <w:sz w:val="24"/>
          <w:szCs w:val="24"/>
        </w:rPr>
        <w:t xml:space="preserve">Kooti </w:t>
      </w:r>
      <w:r w:rsidR="006A493C" w:rsidRPr="00BF7326">
        <w:rPr>
          <w:rFonts w:cs="Times New Roman"/>
          <w:i/>
          <w:sz w:val="24"/>
          <w:szCs w:val="24"/>
        </w:rPr>
        <w:t>et al</w:t>
      </w:r>
      <w:r w:rsidR="006A493C" w:rsidRPr="00F534E2">
        <w:rPr>
          <w:rFonts w:cs="Times New Roman"/>
          <w:sz w:val="24"/>
          <w:szCs w:val="24"/>
        </w:rPr>
        <w:t>. (2017)</w:t>
      </w:r>
      <w:r w:rsidR="006A493C" w:rsidRPr="00F534E2">
        <w:rPr>
          <w:sz w:val="24"/>
          <w:szCs w:val="24"/>
        </w:rPr>
        <w:fldChar w:fldCharType="end"/>
      </w:r>
      <w:r w:rsidR="006A493C" w:rsidRPr="00F534E2">
        <w:rPr>
          <w:sz w:val="24"/>
          <w:szCs w:val="24"/>
        </w:rPr>
        <w:t xml:space="preserve"> extracted data on Uber’s ride-hailing trips from Yahoo’s email servers. They access the receipts sent by Uber to passengers as well as the reports sent by Uber to drivers and combine </w:t>
      </w:r>
      <w:r w:rsidR="00460105" w:rsidRPr="00F534E2">
        <w:rPr>
          <w:sz w:val="24"/>
          <w:szCs w:val="24"/>
        </w:rPr>
        <w:t>these reports</w:t>
      </w:r>
      <w:r w:rsidR="006A493C" w:rsidRPr="00F534E2">
        <w:rPr>
          <w:sz w:val="24"/>
          <w:szCs w:val="24"/>
        </w:rPr>
        <w:t xml:space="preserve"> with data on the owners of the email accounts to understand the socio-demographic profile of Uber passengers and drivers.</w:t>
      </w:r>
    </w:p>
    <w:p w14:paraId="23FD4C0B" w14:textId="2381C036" w:rsidR="0038723E" w:rsidRPr="00F534E2" w:rsidRDefault="0038723E" w:rsidP="00020841">
      <w:pPr>
        <w:spacing w:after="0" w:line="240" w:lineRule="auto"/>
        <w:ind w:firstLine="720"/>
        <w:rPr>
          <w:sz w:val="24"/>
          <w:szCs w:val="24"/>
        </w:rPr>
      </w:pPr>
      <w:r w:rsidRPr="00F534E2">
        <w:rPr>
          <w:rFonts w:cs="Times New Roman"/>
          <w:sz w:val="24"/>
          <w:szCs w:val="24"/>
        </w:rPr>
        <w:t xml:space="preserve">A few studies have attempted to address the issue of measuring and quantifying deadheading directly. </w:t>
      </w:r>
      <w:r w:rsidRPr="00F534E2">
        <w:rPr>
          <w:rFonts w:cs="Times New Roman"/>
          <w:sz w:val="24"/>
          <w:szCs w:val="24"/>
        </w:rPr>
        <w:fldChar w:fldCharType="begin"/>
      </w:r>
      <w:r w:rsidR="00B46899">
        <w:rPr>
          <w:rFonts w:cs="Times New Roman"/>
          <w:sz w:val="24"/>
          <w:szCs w:val="24"/>
        </w:rPr>
        <w:instrText xml:space="preserve"> ADDIN ZOTERO_ITEM CSL_CITATION {"citationID":"jepq2jL5","properties":{"formattedCitation":"(Cramer and Krueger, 2016)","plainCitation":"(Cramer and Krueger, 2016)","dontUpdate":true,"noteIndex":0},"citationItems":[{"id":"pYE2dMDV/0opN9tNV","uris":["http://zotero.org/users/local/CJ2Dv405/items/5XCQUVNC"],"uri":["http://zotero.org/users/local/CJ2Dv405/items/5XCQUVNC"],"itemData":{"id":155,"type":"report","abstract":"In most cities, the taxi industry is highly regulated and utilizes technology developed in the 1940s. Ride sharing services such as Uber and Lyft, which use modern internet-based mobile technology to connect passengers and drivers, have begun to compete with traditional taxis. This paper examines the efficiency of ride sharing services vis-à-vis taxis by comparing the capacity utilization rate of UberX drivers with that of traditional taxi drivers in five cities. The capacity utilization rate is measured by the fraction of time a driver has a fare-paying passenger in the car while he or she is working, and by the share of total miles that drivers log in which a passenger is in their car. The main conclusion is that, in most cities with data available, UberX drivers spend a significantly higher fraction of their time, and drive a substantially higher share of miles, with a passenger in their car than do taxi drivers. Four factors likely contribute to the higher capacity utilization rate of UberX drivers: 1) Uber’s more efficient driver-passenger matching technology; 2)the larger scale of Uber than taxi companies; 3) inefficient taxi regulations; and 4) Uber’s flexible labor supply model and surge pricing more closely match supply with demand throughout the day.","genre":"Working Paper","note":"DOI: 10.3386/w22083","number":"22083","publisher":"National Bureau of Economic Research","source":"National Bureau of Economic Research","title":"Disruptive Change in the Taxi Business: The Case of Uber","title-short":"Disruptive Change in the Taxi Business","URL":"http://www.nber.org/papers/w22083","author":[{"family":"Cramer","given":"Judd"},{"family":"Krueger","given":"Alan B"}],"accessed":{"date-parts":[["2019",4,5]]},"issued":{"date-parts":[["2016",3]]}}}],"schema":"https://github.com/citation-style-language/schema/raw/master/csl-citation.json"} </w:instrText>
      </w:r>
      <w:r w:rsidRPr="00F534E2">
        <w:rPr>
          <w:rFonts w:cs="Times New Roman"/>
          <w:sz w:val="24"/>
          <w:szCs w:val="24"/>
        </w:rPr>
        <w:fldChar w:fldCharType="separate"/>
      </w:r>
      <w:r w:rsidRPr="00F534E2">
        <w:rPr>
          <w:rFonts w:cs="Times New Roman"/>
          <w:sz w:val="24"/>
          <w:szCs w:val="24"/>
        </w:rPr>
        <w:t>Cramer and Krueger (2016)</w:t>
      </w:r>
      <w:r w:rsidRPr="00F534E2">
        <w:rPr>
          <w:rFonts w:cs="Times New Roman"/>
          <w:sz w:val="24"/>
          <w:szCs w:val="24"/>
        </w:rPr>
        <w:fldChar w:fldCharType="end"/>
      </w:r>
      <w:r w:rsidRPr="00F534E2">
        <w:rPr>
          <w:rFonts w:cs="Times New Roman"/>
          <w:sz w:val="24"/>
          <w:szCs w:val="24"/>
        </w:rPr>
        <w:t xml:space="preserve"> compared the deadheading durations of </w:t>
      </w:r>
      <w:r w:rsidR="00EF122C">
        <w:rPr>
          <w:rFonts w:cs="Times New Roman"/>
          <w:sz w:val="24"/>
          <w:szCs w:val="24"/>
        </w:rPr>
        <w:t xml:space="preserve">app-based </w:t>
      </w:r>
      <w:r w:rsidRPr="00F534E2">
        <w:rPr>
          <w:rFonts w:cs="Times New Roman"/>
          <w:sz w:val="24"/>
          <w:szCs w:val="24"/>
        </w:rPr>
        <w:t>ride-hailing and traditional taxis in the cities of Boston, Los Angeles, New York, San Francisco and Seattle. They measured the capacity utilization as the proportion of time for which there is a passenger in the ride-hailing vehicle to the total duration of operation of the vehicle. Th</w:t>
      </w:r>
      <w:r w:rsidR="00147D10">
        <w:rPr>
          <w:rFonts w:cs="Times New Roman"/>
          <w:sz w:val="24"/>
          <w:szCs w:val="24"/>
        </w:rPr>
        <w:t>ey were able to obtain the city</w:t>
      </w:r>
      <w:r w:rsidRPr="00F534E2">
        <w:rPr>
          <w:rFonts w:cs="Times New Roman"/>
          <w:sz w:val="24"/>
          <w:szCs w:val="24"/>
        </w:rPr>
        <w:t xml:space="preserve">wide percentages for capacity utilization directly from Uber. The same metric was computed for regular taxis using data from a wide range of sources. In virtually all cities, the capacity utilization for ride-hailing was higher than that for traditional taxis, with the difference being the smallest in New York. The capacity utilization for ride-hailing ranged from 43.6% in Seattle to 54.3% in San Francisco. They estimated the percentage of distance traveled while deadheading to be 35.8% in Los Angeles and 44.8% in Seattle. </w:t>
      </w:r>
      <w:r w:rsidRPr="00F534E2">
        <w:rPr>
          <w:rFonts w:cs="Times New Roman"/>
          <w:sz w:val="24"/>
          <w:szCs w:val="24"/>
        </w:rPr>
        <w:fldChar w:fldCharType="begin"/>
      </w:r>
      <w:r w:rsidR="00B46899">
        <w:rPr>
          <w:rFonts w:cs="Times New Roman"/>
          <w:sz w:val="24"/>
          <w:szCs w:val="24"/>
        </w:rPr>
        <w:instrText xml:space="preserve"> ADDIN ZOTERO_ITEM CSL_CITATION {"citationID":"t1yOFepY","properties":{"formattedCitation":"(Henao and Marshall, 2018)","plainCitation":"(Henao and Marshall, 2018)","dontUpdate":true,"noteIndex":0},"citationItems":[{"id":"pYE2dMDV/r7cbeA84","uris":["http://zotero.org/users/local/CJ2Dv405/items/QWFPTYXP"],"uri":["http://zotero.org/users/local/CJ2Dv405/items/QWFPTYXP"],"itemData":{"id":130,"type":"article-journal","abstract":"Ride-haling such as Uber and Lyft are changing the ways people travel. Despite widespread claims that these services help reduce driving, there is little research on this topic. This research paper uses a quasi-natural experiment in the Denver, Colorado, region to analyze basic impacts of ride-hailing on transportation efficiency in terms of deadheading, vehicle occupancy, mode replacement, and vehicle miles traveled (VMT). Realizing the difficulty in obtaining data directly from Uber and Lyft, we designed a quasi-natural experiment—by one of the authors driving for both companies—to collect primary data. This experiment uses an ethnographic and survey-based approach that allows the authors to gain access to exclusive data and real-time passenger feedback. The dataset includes actual travel attributes from 416 ride-hailing rides—Lyft, UberX, LyftLine, and UberPool—and travel behavior and socio-demographics from 311 passenger surveys. For this study, the conservative (lower end) percentage of deadheading miles from ride-hailing is 40.8%. The average vehicle occupancy is 1.4 passengers per ride, while the distance weighted vehicle occupancy is 1.3 without accounting for deadheading and 0.8 when accounting deadheading. When accounting for mode replacement and issues such as driver deadheading, we estimate that ride-hailing leads to approximately 83.5% more VMT than would have been driven had ride-hailing not existed. Although our data collection focused on the Denver region, these results provide insight into the impacts of ride-hailing.","container-title":"Transportation","DOI":"10.1007/s11116-018-9923-2","ISSN":"0049-4488, 1572-9435","language":"en","source":"Crossref","title":"The impact of ride-hailing on vehicle miles traveled","URL":"http://link.springer.com/10.1007/s11116-018-9923-2","author":[{"family":"Henao","given":"Alejandro"},{"family":"Marshall","given":"Wesley E."}],"accessed":{"date-parts":[["2019",1,13]]},"issued":{"date-parts":[["2018",9,20]]}}}],"schema":"https://github.com/citation-style-language/schema/raw/master/csl-citation.json"} </w:instrText>
      </w:r>
      <w:r w:rsidRPr="00F534E2">
        <w:rPr>
          <w:rFonts w:cs="Times New Roman"/>
          <w:sz w:val="24"/>
          <w:szCs w:val="24"/>
        </w:rPr>
        <w:fldChar w:fldCharType="separate"/>
      </w:r>
      <w:r w:rsidRPr="00F534E2">
        <w:rPr>
          <w:rFonts w:cs="Times New Roman"/>
          <w:sz w:val="24"/>
          <w:szCs w:val="24"/>
        </w:rPr>
        <w:t>Henao and Marshall (201</w:t>
      </w:r>
      <w:r w:rsidR="00400BB0">
        <w:rPr>
          <w:rFonts w:cs="Times New Roman"/>
          <w:sz w:val="24"/>
          <w:szCs w:val="24"/>
        </w:rPr>
        <w:t>9</w:t>
      </w:r>
      <w:r w:rsidRPr="00F534E2">
        <w:rPr>
          <w:rFonts w:cs="Times New Roman"/>
          <w:sz w:val="24"/>
          <w:szCs w:val="24"/>
        </w:rPr>
        <w:t>)</w:t>
      </w:r>
      <w:r w:rsidRPr="00F534E2">
        <w:rPr>
          <w:rFonts w:cs="Times New Roman"/>
          <w:sz w:val="24"/>
          <w:szCs w:val="24"/>
        </w:rPr>
        <w:fldChar w:fldCharType="end"/>
      </w:r>
      <w:r w:rsidRPr="00F534E2">
        <w:rPr>
          <w:rFonts w:cs="Times New Roman"/>
          <w:sz w:val="24"/>
          <w:szCs w:val="24"/>
        </w:rPr>
        <w:t xml:space="preserve"> estimate</w:t>
      </w:r>
      <w:r>
        <w:rPr>
          <w:rFonts w:cs="Times New Roman"/>
          <w:sz w:val="24"/>
          <w:szCs w:val="24"/>
        </w:rPr>
        <w:t>d</w:t>
      </w:r>
      <w:r w:rsidRPr="00F534E2">
        <w:rPr>
          <w:rFonts w:cs="Times New Roman"/>
          <w:sz w:val="24"/>
          <w:szCs w:val="24"/>
        </w:rPr>
        <w:t xml:space="preserve"> the share of deadheading distance based on their own driving data when serving as drivers for Uber and Lyft. They report 40.8% of their total distance traveled (VMT) being lost to deadheading.</w:t>
      </w:r>
    </w:p>
    <w:p w14:paraId="1F453AF1" w14:textId="585694C6" w:rsidR="006A493C" w:rsidRPr="00F534E2" w:rsidRDefault="006A493C" w:rsidP="00F7439A">
      <w:pPr>
        <w:spacing w:after="0" w:line="240" w:lineRule="auto"/>
        <w:rPr>
          <w:rFonts w:cs="Times New Roman"/>
          <w:sz w:val="24"/>
          <w:szCs w:val="24"/>
        </w:rPr>
      </w:pPr>
      <w:r w:rsidRPr="00F534E2">
        <w:rPr>
          <w:sz w:val="24"/>
          <w:szCs w:val="24"/>
        </w:rPr>
        <w:tab/>
        <w:t xml:space="preserve">Ride Austin </w:t>
      </w:r>
      <w:r w:rsidR="007B7394">
        <w:rPr>
          <w:sz w:val="24"/>
          <w:szCs w:val="24"/>
        </w:rPr>
        <w:t>wa</w:t>
      </w:r>
      <w:r w:rsidR="00F54F2F" w:rsidRPr="00F534E2">
        <w:rPr>
          <w:sz w:val="24"/>
          <w:szCs w:val="24"/>
        </w:rPr>
        <w:t>s</w:t>
      </w:r>
      <w:r w:rsidRPr="00F534E2">
        <w:rPr>
          <w:sz w:val="24"/>
          <w:szCs w:val="24"/>
        </w:rPr>
        <w:t xml:space="preserve"> </w:t>
      </w:r>
      <w:r w:rsidR="00607BB9">
        <w:rPr>
          <w:sz w:val="24"/>
          <w:szCs w:val="24"/>
        </w:rPr>
        <w:t xml:space="preserve">one of </w:t>
      </w:r>
      <w:r w:rsidRPr="00F534E2">
        <w:rPr>
          <w:sz w:val="24"/>
          <w:szCs w:val="24"/>
        </w:rPr>
        <w:t xml:space="preserve">the first </w:t>
      </w:r>
      <w:r w:rsidR="00CD28C9">
        <w:rPr>
          <w:sz w:val="24"/>
          <w:szCs w:val="24"/>
        </w:rPr>
        <w:t>TNC</w:t>
      </w:r>
      <w:r w:rsidR="00607BB9">
        <w:rPr>
          <w:sz w:val="24"/>
          <w:szCs w:val="24"/>
        </w:rPr>
        <w:t>s</w:t>
      </w:r>
      <w:r w:rsidR="00460105" w:rsidRPr="00F534E2">
        <w:rPr>
          <w:sz w:val="24"/>
          <w:szCs w:val="24"/>
        </w:rPr>
        <w:t xml:space="preserve"> </w:t>
      </w:r>
      <w:r w:rsidRPr="00F534E2">
        <w:rPr>
          <w:sz w:val="24"/>
          <w:szCs w:val="24"/>
        </w:rPr>
        <w:t xml:space="preserve">to </w:t>
      </w:r>
      <w:r w:rsidR="00607BB9">
        <w:rPr>
          <w:sz w:val="24"/>
          <w:szCs w:val="24"/>
        </w:rPr>
        <w:t>make</w:t>
      </w:r>
      <w:r w:rsidR="00607BB9" w:rsidRPr="00F534E2">
        <w:rPr>
          <w:sz w:val="24"/>
          <w:szCs w:val="24"/>
        </w:rPr>
        <w:t xml:space="preserve"> </w:t>
      </w:r>
      <w:r w:rsidRPr="00F534E2">
        <w:rPr>
          <w:sz w:val="24"/>
          <w:szCs w:val="24"/>
        </w:rPr>
        <w:t>data on individual passenger trips</w:t>
      </w:r>
      <w:r w:rsidR="00607BB9">
        <w:rPr>
          <w:sz w:val="24"/>
          <w:szCs w:val="24"/>
        </w:rPr>
        <w:t xml:space="preserve"> publicly available</w:t>
      </w:r>
      <w:r w:rsidRPr="00F534E2">
        <w:rPr>
          <w:sz w:val="24"/>
          <w:szCs w:val="24"/>
        </w:rPr>
        <w:t xml:space="preserve">. Ride Austin is a non-profit that </w:t>
      </w:r>
      <w:r w:rsidR="00460105" w:rsidRPr="00F534E2">
        <w:rPr>
          <w:sz w:val="24"/>
          <w:szCs w:val="24"/>
        </w:rPr>
        <w:t>beg</w:t>
      </w:r>
      <w:r w:rsidR="00816BB2">
        <w:rPr>
          <w:sz w:val="24"/>
          <w:szCs w:val="24"/>
        </w:rPr>
        <w:t>a</w:t>
      </w:r>
      <w:r w:rsidR="00460105" w:rsidRPr="00F534E2">
        <w:rPr>
          <w:sz w:val="24"/>
          <w:szCs w:val="24"/>
        </w:rPr>
        <w:t xml:space="preserve">n operating </w:t>
      </w:r>
      <w:r w:rsidRPr="00F534E2">
        <w:rPr>
          <w:sz w:val="24"/>
          <w:szCs w:val="24"/>
        </w:rPr>
        <w:t>in the city of Austin, Texas on June 16, 2016</w:t>
      </w:r>
      <w:r w:rsidR="00460105" w:rsidRPr="00F534E2">
        <w:rPr>
          <w:sz w:val="24"/>
          <w:szCs w:val="24"/>
        </w:rPr>
        <w:t xml:space="preserve"> when other companies, notably </w:t>
      </w:r>
      <w:r w:rsidRPr="00F534E2">
        <w:rPr>
          <w:sz w:val="24"/>
          <w:szCs w:val="24"/>
        </w:rPr>
        <w:t>Uber and Lyft</w:t>
      </w:r>
      <w:r w:rsidR="00460105" w:rsidRPr="00F534E2">
        <w:rPr>
          <w:sz w:val="24"/>
          <w:szCs w:val="24"/>
        </w:rPr>
        <w:t>,</w:t>
      </w:r>
      <w:r w:rsidRPr="00F534E2">
        <w:rPr>
          <w:sz w:val="24"/>
          <w:szCs w:val="24"/>
        </w:rPr>
        <w:t xml:space="preserve"> were forced to </w:t>
      </w:r>
      <w:r w:rsidR="00460105" w:rsidRPr="00F534E2">
        <w:rPr>
          <w:sz w:val="24"/>
          <w:szCs w:val="24"/>
        </w:rPr>
        <w:t>cease</w:t>
      </w:r>
      <w:r w:rsidRPr="00F534E2">
        <w:rPr>
          <w:sz w:val="24"/>
          <w:szCs w:val="24"/>
        </w:rPr>
        <w:t xml:space="preserve"> operations </w:t>
      </w:r>
      <w:r w:rsidR="00460105" w:rsidRPr="00F534E2">
        <w:rPr>
          <w:sz w:val="24"/>
          <w:szCs w:val="24"/>
        </w:rPr>
        <w:t xml:space="preserve">because they </w:t>
      </w:r>
      <w:r w:rsidRPr="00F534E2">
        <w:rPr>
          <w:sz w:val="24"/>
          <w:szCs w:val="24"/>
        </w:rPr>
        <w:t xml:space="preserve">were unable to abide by the city’s regulations </w:t>
      </w:r>
      <w:r w:rsidRPr="00F534E2">
        <w:rPr>
          <w:sz w:val="24"/>
          <w:szCs w:val="24"/>
        </w:rPr>
        <w:fldChar w:fldCharType="begin"/>
      </w:r>
      <w:r w:rsidR="00B46899">
        <w:rPr>
          <w:sz w:val="24"/>
          <w:szCs w:val="24"/>
        </w:rPr>
        <w:instrText xml:space="preserve"> ADDIN ZOTERO_ITEM CSL_CITATION {"citationID":"pAB52WrC","properties":{"formattedCitation":"(Heather, 2016)","plainCitation":"(Heather, 2016)","dontUpdate":true,"noteIndex":0},"citationItems":[{"id":"pYE2dMDV/Gxu1Qey5","uris":["http://zotero.org/users/local/CJ2Dv405/items/R2X9BGYU"],"uri":["http://zotero.org/users/local/CJ2Dv405/items/R2X9BGYU"],"itemData":{"id":195,"type":"webpage","title":"Uber and Lyft to leave Austin after losing fingerprinting vote","URL":"https://money.cnn.com/2016/05/08/technology/uber-lyft-austin-vote-fingerprinting/","author":[{"family":"Kelly","given":"Heather"}],"accessed":{"date-parts":[["2019",4,25]]},"issued":{"date-parts":[["2016",5,8]]}}}],"schema":"https://github.com/citation-style-language/schema/raw/master/csl-citation.json"} </w:instrText>
      </w:r>
      <w:r w:rsidRPr="00F534E2">
        <w:rPr>
          <w:sz w:val="24"/>
          <w:szCs w:val="24"/>
        </w:rPr>
        <w:fldChar w:fldCharType="separate"/>
      </w:r>
      <w:r w:rsidR="007F3935" w:rsidRPr="007F3935">
        <w:rPr>
          <w:rFonts w:cs="Times New Roman"/>
          <w:sz w:val="24"/>
        </w:rPr>
        <w:t>(</w:t>
      </w:r>
      <w:r w:rsidR="0038191A">
        <w:rPr>
          <w:rFonts w:cs="Times New Roman"/>
          <w:sz w:val="24"/>
        </w:rPr>
        <w:t>K</w:t>
      </w:r>
      <w:r w:rsidR="000F5558">
        <w:rPr>
          <w:rFonts w:cs="Times New Roman"/>
          <w:sz w:val="24"/>
        </w:rPr>
        <w:t>elly</w:t>
      </w:r>
      <w:r w:rsidR="007F3935" w:rsidRPr="007F3935">
        <w:rPr>
          <w:rFonts w:cs="Times New Roman"/>
          <w:sz w:val="24"/>
        </w:rPr>
        <w:t>, 2016)</w:t>
      </w:r>
      <w:r w:rsidRPr="00F534E2">
        <w:rPr>
          <w:sz w:val="24"/>
          <w:szCs w:val="24"/>
        </w:rPr>
        <w:fldChar w:fldCharType="end"/>
      </w:r>
      <w:r w:rsidRPr="00F534E2">
        <w:rPr>
          <w:sz w:val="24"/>
          <w:szCs w:val="24"/>
        </w:rPr>
        <w:t xml:space="preserve">. </w:t>
      </w:r>
      <w:r w:rsidR="00460105" w:rsidRPr="00F534E2">
        <w:rPr>
          <w:sz w:val="24"/>
          <w:szCs w:val="24"/>
        </w:rPr>
        <w:t>By</w:t>
      </w:r>
      <w:r w:rsidRPr="00F534E2">
        <w:rPr>
          <w:sz w:val="24"/>
          <w:szCs w:val="24"/>
        </w:rPr>
        <w:t xml:space="preserve"> the beginning of 2017, Ride Austin held around one-third of the ride-hailing market share in the city. Since the</w:t>
      </w:r>
      <w:r w:rsidR="00460105" w:rsidRPr="00F534E2">
        <w:rPr>
          <w:sz w:val="24"/>
          <w:szCs w:val="24"/>
        </w:rPr>
        <w:t xml:space="preserve"> release of the trip-level data,</w:t>
      </w:r>
      <w:r w:rsidRPr="00F534E2">
        <w:rPr>
          <w:sz w:val="24"/>
          <w:szCs w:val="24"/>
        </w:rPr>
        <w:t xml:space="preserve"> </w:t>
      </w:r>
      <w:r w:rsidR="00460105" w:rsidRPr="00F534E2">
        <w:rPr>
          <w:sz w:val="24"/>
          <w:szCs w:val="24"/>
        </w:rPr>
        <w:t>a number of studies utilizing this data have been conducted</w:t>
      </w:r>
      <w:r w:rsidR="00607BB9">
        <w:rPr>
          <w:sz w:val="24"/>
          <w:szCs w:val="24"/>
        </w:rPr>
        <w:t xml:space="preserve"> </w:t>
      </w:r>
      <w:r w:rsidR="00607BB9" w:rsidRPr="00797D96">
        <w:rPr>
          <w:sz w:val="24"/>
          <w:szCs w:val="24"/>
        </w:rPr>
        <w:t xml:space="preserve">(see, for example, </w:t>
      </w:r>
      <w:r w:rsidR="00607BB9" w:rsidRPr="00797D96">
        <w:rPr>
          <w:sz w:val="24"/>
          <w:szCs w:val="24"/>
        </w:rPr>
        <w:fldChar w:fldCharType="begin"/>
      </w:r>
      <w:r w:rsidR="00B46899">
        <w:rPr>
          <w:sz w:val="24"/>
          <w:szCs w:val="24"/>
        </w:rPr>
        <w:instrText xml:space="preserve"> ADDIN ZOTERO_ITEM CSL_CITATION {"citationID":"fvDG11Ci","properties":{"formattedCitation":"(Dias et al., 2018; Lavieri et al., 2018)","plainCitation":"(Dias et al., 2018; Lavieri et al., 2018)","dontUpdate":true,"noteIndex":0},"citationItems":[{"id":"pYE2dMDV/55Z8fAFV","uris":["http://zotero.org/users/local/CJ2Dv405/items/QHMLDHQA"],"uri":["http://zotero.org/users/local/CJ2Dv405/items/QHMLDHQA"],"itemData":{"id":126,"type":"article-journal","abstract":"The rise of ride-hailing services has presented a number of challenges and opportunities in the urban mobility sphere. On the one hand, ride-hailing services allow a traveler to summon and pay for a ride through a convenient smartphone app while tracking the location of the vehicle. This helps provide mobility for many who are traditionally transportation disadvantaged and not well served by public transit. Given the convenience and pricing of these mobility-on-demand services, it is not surprising that they have experienced tremendous growth in the past few years. However, this growth comes with the risk of increased vehicular travel and reduced public transit use, increased congestion, and shifts in mobility patterns that are difficult to predict. Unfortunately, data about ride-hailing service usage are hard to come by; service providers typically do not share data and traditional survey data sets include too few trips for these new modes to develop behavioral models. As a result, transport planners have been unable to adequately account for these services in their models and forecasting processes. In an effort to shed light on the use of these services, this study employs a data fusion process so that deeper insights about the characteristics of ride-hailing trips and their users can be derived. Trip data made publicly available by RideAustin is fused with census and parcel data to infer trip type, origin/destination information, and user demographics. The methodology presented in this paper can be adopted by agencies seeking to inform their planning processes.","language":"en","page":"18","source":"Zotero","title":"Fusing multiple sources of data to understand ride-hailing use","author":[{"family":"Dias","given":"Felipe F"},{"family":"Lavieri","given":"Patricia S"},{"family":"Kim","given":"Taehooie"},{"family":"Bhat","given":"Chandra R"},{"family":"Pendyala","given":"Ram M"}],"issued":{"date-parts":[["2018"]]}}},{"id":"pYE2dMDV/mS09sEs6","uris":["http://zotero.org/users/local/CJ2Dv405/items/EPM6FP5Q"],"uri":["http://zotero.org/users/local/CJ2Dv405/items/EPM6FP5Q"],"itemData":{"id":132,"type":"article-journal","abstract":"Ridesourcing has experienced exponential growth in recent years, yet its impact on individual travel are unclear and have not been adequately examined. Recently, an Austin-based ridesourcing company released a large dataset containing disaggregate trip-level information. In this research, we use this new dataset in tandem with several publicly available data sources to estimate two models: a spatially lagged multivariate count model, which is used to describe how many trips are generated in a specific zone on both weekdays and weekend days; and a fractional split model, which helps us identify the characteristics of zones that attract ridesourcing trips. Our results show spatial dependence in ridesourcing trips among proximally located zones, as well as correlation between weekday and weekend day trips originating in a zone. Another interesting finding is the identification of a possible substitution effect between ridesourcing and transit use for weekday trips. Moreover, our results suggest that different income segments in the population may use ridesourcing for different activity purposes. From a travel behavior researcher perspective, the results in this paper identify aggregate area-level variables impacting ridesourcing, which can guide future efforts to better understand the demand for ridesourcing as well as the demand for autonomous and connected vehicles.","container-title":"Transportation Research Record: Journal of the Transportation Research Board","DOI":"10.1177/0361198118756628","ISSN":"0361-1981, 2169-4052","language":"en","page":"036119811875662","source":"Crossref","title":"A Model of Ridesourcing Demand Generation and Distribution","author":[{"family":"Lavieri","given":"Patrícia S."},{"family":"Dias","given":"Felipe F."},{"family":"Juri","given":"Natalia Ruiz"},{"family":"Kuhr","given":"James"},{"family":"Bhat","given":"Chandra R."}],"issued":{"date-parts":[["2018",4,4]]}}}],"schema":"https://github.com/citation-style-language/schema/raw/master/csl-citation.json"} </w:instrText>
      </w:r>
      <w:r w:rsidR="00607BB9" w:rsidRPr="00797D96">
        <w:rPr>
          <w:sz w:val="24"/>
          <w:szCs w:val="24"/>
        </w:rPr>
        <w:fldChar w:fldCharType="separate"/>
      </w:r>
      <w:r w:rsidR="00607BB9" w:rsidRPr="00797D96">
        <w:rPr>
          <w:rFonts w:cs="Times New Roman"/>
          <w:sz w:val="24"/>
          <w:szCs w:val="24"/>
        </w:rPr>
        <w:t xml:space="preserve">Dias </w:t>
      </w:r>
      <w:r w:rsidR="00607BB9" w:rsidRPr="00797D96">
        <w:rPr>
          <w:rFonts w:cs="Times New Roman"/>
          <w:i/>
          <w:iCs/>
          <w:sz w:val="24"/>
          <w:szCs w:val="24"/>
        </w:rPr>
        <w:t>et al.</w:t>
      </w:r>
      <w:r w:rsidR="00607BB9" w:rsidRPr="00797D96">
        <w:rPr>
          <w:rFonts w:cs="Times New Roman"/>
          <w:sz w:val="24"/>
          <w:szCs w:val="24"/>
        </w:rPr>
        <w:t>, 201</w:t>
      </w:r>
      <w:r w:rsidR="007A4BFE">
        <w:rPr>
          <w:rFonts w:cs="Times New Roman"/>
          <w:sz w:val="24"/>
          <w:szCs w:val="24"/>
        </w:rPr>
        <w:t>7</w:t>
      </w:r>
      <w:r w:rsidR="00607BB9" w:rsidRPr="00797D96">
        <w:rPr>
          <w:rFonts w:cs="Times New Roman"/>
          <w:sz w:val="24"/>
          <w:szCs w:val="24"/>
        </w:rPr>
        <w:t xml:space="preserve">, Lavieri </w:t>
      </w:r>
      <w:r w:rsidR="00607BB9" w:rsidRPr="00797D96">
        <w:rPr>
          <w:rFonts w:cs="Times New Roman"/>
          <w:i/>
          <w:iCs/>
          <w:sz w:val="24"/>
          <w:szCs w:val="24"/>
        </w:rPr>
        <w:t>et al.</w:t>
      </w:r>
      <w:r w:rsidR="00607BB9" w:rsidRPr="00797D96">
        <w:rPr>
          <w:rFonts w:cs="Times New Roman"/>
          <w:sz w:val="24"/>
          <w:szCs w:val="24"/>
        </w:rPr>
        <w:t xml:space="preserve">, 2018, Komanduri </w:t>
      </w:r>
      <w:r w:rsidR="00607BB9" w:rsidRPr="00797D96">
        <w:rPr>
          <w:rFonts w:cs="Times New Roman"/>
          <w:i/>
          <w:iCs/>
          <w:sz w:val="24"/>
          <w:szCs w:val="24"/>
        </w:rPr>
        <w:t>et al.</w:t>
      </w:r>
      <w:r w:rsidR="00607BB9" w:rsidRPr="00797D96">
        <w:rPr>
          <w:rFonts w:cs="Times New Roman"/>
          <w:sz w:val="24"/>
          <w:szCs w:val="24"/>
        </w:rPr>
        <w:t>, 2018, and Wenzel</w:t>
      </w:r>
      <w:r w:rsidR="00607BB9">
        <w:rPr>
          <w:rFonts w:cs="Times New Roman"/>
          <w:sz w:val="24"/>
          <w:szCs w:val="24"/>
        </w:rPr>
        <w:t xml:space="preserve"> </w:t>
      </w:r>
      <w:r w:rsidR="00607BB9">
        <w:rPr>
          <w:rFonts w:cs="Times New Roman"/>
          <w:i/>
          <w:iCs/>
          <w:sz w:val="24"/>
          <w:szCs w:val="24"/>
        </w:rPr>
        <w:t>et al.</w:t>
      </w:r>
      <w:r w:rsidR="00607BB9" w:rsidRPr="00797D96">
        <w:rPr>
          <w:rFonts w:cs="Times New Roman"/>
          <w:sz w:val="24"/>
          <w:szCs w:val="24"/>
        </w:rPr>
        <w:t>, 2019)</w:t>
      </w:r>
      <w:r w:rsidR="00607BB9" w:rsidRPr="00797D96">
        <w:rPr>
          <w:sz w:val="24"/>
          <w:szCs w:val="24"/>
        </w:rPr>
        <w:fldChar w:fldCharType="end"/>
      </w:r>
      <w:r w:rsidRPr="00F534E2">
        <w:rPr>
          <w:sz w:val="24"/>
          <w:szCs w:val="24"/>
        </w:rPr>
        <w:t>.</w:t>
      </w:r>
      <w:r w:rsidRPr="0038723E">
        <w:rPr>
          <w:sz w:val="24"/>
          <w:szCs w:val="24"/>
        </w:rPr>
        <w:t xml:space="preserve"> </w:t>
      </w:r>
      <w:r w:rsidR="00607BB9" w:rsidRPr="00797D96">
        <w:rPr>
          <w:sz w:val="24"/>
          <w:szCs w:val="24"/>
        </w:rPr>
        <w:t xml:space="preserve">In the specific context of deadheading, the relevant studies are </w:t>
      </w:r>
      <w:r w:rsidR="00607BB9" w:rsidRPr="00797D96">
        <w:rPr>
          <w:sz w:val="24"/>
          <w:szCs w:val="24"/>
        </w:rPr>
        <w:fldChar w:fldCharType="begin"/>
      </w:r>
      <w:r w:rsidR="00B46899">
        <w:rPr>
          <w:sz w:val="24"/>
          <w:szCs w:val="24"/>
        </w:rPr>
        <w:instrText xml:space="preserve"> ADDIN ZOTERO_ITEM CSL_CITATION {"citationID":"KKYCJ5fF","properties":{"formattedCitation":"(Komanduri et al., 2018)","plainCitation":"(Komanduri et al., 2018)","dontUpdate":true,"noteIndex":0},"citationItems":[{"id":"pYE2dMDV/ewcNIEnm","uris":["http://zotero.org/users/local/CJ2Dv405/items/UY89PBNF"],"uri":["http://zotero.org/users/local/CJ2Dv405/items/UY89PBNF"],"itemData":{"id":131,"type":"article-journal","abstract":"App-driven ridesharing platforms are gaining popularity and are transforming urban movement patterns in cities throughout the world. Because of privacy and business considerations, their owners have released little information about riders’ tripmaking characteristics. This lack of data prevents planners and modelers from understanding and quantifying the impact of these new modes on regional travel patterns. In 2016, RideAustin, a not-for-profit company, was established to provide mobility-on-demand services in the Austin region. RideAustin released its dataset of over one million trips to researchers to support transportation planning through a better understanding of urban travel flows. This paper presents findings from an in-depth analysis of this dataset and summarizes key aspects of interest to the transportation research community such as the number of riders, drivers, and trips; total vehicle miles including deadhead miles; and terminal times. The paper also presents findings from two case studies that show the competitiveness of RideAustin versus transit and the utilization of the RideAustin system during the South by Southwest festival. While some of the metrics cannot be readily transferred to other regions, several findings can be used by planners and modelers as they integrate rideshare systems within their planning and modeling frameworks. We also believe that some of the research findings may provide insights into a future system of autonomous and shared vehicles.","container-title":"Transportation Research Record: Journal of the Transportation Research Board","DOI":"10.1177/0361198118796025","ISSN":"0361-1981, 2169-4052","language":"en","page":"036119811879602","source":"Crossref","title":"Assessing the Impact of App-Based Ride Share Systems in an Urban Context: Findings from Austin","title-short":"Assessing the Impact of App-Based Ride Share Systems in an Urban Context","author":[{"family":"Komanduri","given":"Anurag"},{"family":"Wafa","given":"Zeina"},{"family":"Proussaloglou","given":"Kimon"},{"family":"Jacobs","given":"Simon"}],"issued":{"date-parts":[["2018",9,11]]}}}],"schema":"https://github.com/citation-style-language/schema/raw/master/csl-citation.json"} </w:instrText>
      </w:r>
      <w:r w:rsidR="00607BB9" w:rsidRPr="00797D96">
        <w:rPr>
          <w:sz w:val="24"/>
          <w:szCs w:val="24"/>
        </w:rPr>
        <w:fldChar w:fldCharType="separate"/>
      </w:r>
      <w:r w:rsidR="00607BB9" w:rsidRPr="00797D96">
        <w:rPr>
          <w:rFonts w:cs="Times New Roman"/>
          <w:sz w:val="24"/>
          <w:szCs w:val="24"/>
        </w:rPr>
        <w:t xml:space="preserve">Komanduri </w:t>
      </w:r>
      <w:r w:rsidR="00607BB9" w:rsidRPr="00797D96">
        <w:rPr>
          <w:rFonts w:cs="Times New Roman"/>
          <w:i/>
          <w:iCs/>
          <w:sz w:val="24"/>
          <w:szCs w:val="24"/>
        </w:rPr>
        <w:t>et al.</w:t>
      </w:r>
      <w:r w:rsidR="00607BB9" w:rsidRPr="00797D96">
        <w:rPr>
          <w:rFonts w:cs="Times New Roman"/>
          <w:sz w:val="24"/>
          <w:szCs w:val="24"/>
        </w:rPr>
        <w:t xml:space="preserve"> (2018)</w:t>
      </w:r>
      <w:r w:rsidR="00607BB9" w:rsidRPr="00797D96">
        <w:rPr>
          <w:sz w:val="24"/>
          <w:szCs w:val="24"/>
        </w:rPr>
        <w:fldChar w:fldCharType="end"/>
      </w:r>
      <w:r w:rsidR="00607BB9" w:rsidRPr="00797D96">
        <w:rPr>
          <w:sz w:val="24"/>
          <w:szCs w:val="24"/>
        </w:rPr>
        <w:t xml:space="preserve"> and Wenzel</w:t>
      </w:r>
      <w:r w:rsidR="00EE2218">
        <w:rPr>
          <w:sz w:val="24"/>
          <w:szCs w:val="24"/>
        </w:rPr>
        <w:t xml:space="preserve"> </w:t>
      </w:r>
      <w:r w:rsidR="00EE2218">
        <w:rPr>
          <w:i/>
          <w:iCs/>
          <w:sz w:val="24"/>
          <w:szCs w:val="24"/>
        </w:rPr>
        <w:t>et al.</w:t>
      </w:r>
      <w:r w:rsidR="00607BB9" w:rsidRPr="00797D96">
        <w:rPr>
          <w:sz w:val="24"/>
          <w:szCs w:val="24"/>
        </w:rPr>
        <w:t xml:space="preserve"> (2019).</w:t>
      </w:r>
      <w:r w:rsidR="00607BB9">
        <w:t xml:space="preserve"> </w:t>
      </w:r>
      <w:r w:rsidR="00EE2218" w:rsidRPr="005051AD">
        <w:rPr>
          <w:sz w:val="24"/>
          <w:szCs w:val="24"/>
        </w:rPr>
        <w:fldChar w:fldCharType="begin"/>
      </w:r>
      <w:r w:rsidR="00B46899">
        <w:rPr>
          <w:sz w:val="24"/>
          <w:szCs w:val="24"/>
        </w:rPr>
        <w:instrText xml:space="preserve"> ADDIN ZOTERO_ITEM CSL_CITATION {"citationID":"eM9wg4Uw","properties":{"formattedCitation":"(Komanduri et al., 2018)","plainCitation":"(Komanduri et al., 2018)","dontUpdate":true,"noteIndex":0},"citationItems":[{"id":"pYE2dMDV/ewcNIEnm","uris":["http://zotero.org/users/local/CJ2Dv405/items/UY89PBNF"],"uri":["http://zotero.org/users/local/CJ2Dv405/items/UY89PBNF"],"itemData":{"id":131,"type":"article-journal","abstract":"App-driven ridesharing platforms are gaining popularity and are transforming urban movement patterns in cities throughout the world. Because of privacy and business considerations, their owners have released little information about riders’ tripmaking characteristics. This lack of data prevents planners and modelers from understanding and quantifying the impact of these new modes on regional travel patterns. In 2016, RideAustin, a not-for-profit company, was established to provide mobility-on-demand services in the Austin region. RideAustin released its dataset of over one million trips to researchers to support transportation planning through a better understanding of urban travel flows. This paper presents findings from an in-depth analysis of this dataset and summarizes key aspects of interest to the transportation research community such as the number of riders, drivers, and trips; total vehicle miles including deadhead miles; and terminal times. The paper also presents findings from two case studies that show the competitiveness of RideAustin versus transit and the utilization of the RideAustin system during the South by Southwest festival. While some of the metrics cannot be readily transferred to other regions, several findings can be used by planners and modelers as they integrate rideshare systems within their planning and modeling frameworks. We also believe that some of the research findings may provide insights into a future system of autonomous and shared vehicles.","container-title":"Transportation Research Record: Journal of the Transportation Research Board","DOI":"10.1177/0361198118796025","ISSN":"0361-1981, 2169-4052","language":"en","page":"036119811879602","source":"Crossref","title":"Assessing the Impact of App-Based Ride Share Systems in an Urban Context: Findings from Austin","title-short":"Assessing the Impact of App-Based Ride Share Systems in an Urban Context","author":[{"family":"Komanduri","given":"Anurag"},{"family":"Wafa","given":"Zeina"},{"family":"Proussaloglou","given":"Kimon"},{"family":"Jacobs","given":"Simon"}],"issued":{"date-parts":[["2018",9,11]]}}}],"schema":"https://github.com/citation-style-language/schema/raw/master/csl-citation.json"} </w:instrText>
      </w:r>
      <w:r w:rsidR="00EE2218" w:rsidRPr="005051AD">
        <w:rPr>
          <w:sz w:val="24"/>
          <w:szCs w:val="24"/>
        </w:rPr>
        <w:fldChar w:fldCharType="separate"/>
      </w:r>
      <w:r w:rsidR="00EE2218" w:rsidRPr="005051AD">
        <w:rPr>
          <w:rFonts w:cs="Times New Roman"/>
          <w:sz w:val="24"/>
          <w:szCs w:val="24"/>
        </w:rPr>
        <w:t xml:space="preserve">Komanduri </w:t>
      </w:r>
      <w:r w:rsidR="00EE2218" w:rsidRPr="00797D96">
        <w:rPr>
          <w:rFonts w:cs="Times New Roman"/>
          <w:i/>
          <w:iCs/>
          <w:sz w:val="24"/>
          <w:szCs w:val="24"/>
        </w:rPr>
        <w:t>et al.</w:t>
      </w:r>
      <w:r w:rsidR="00EE2218" w:rsidRPr="005051AD">
        <w:rPr>
          <w:rFonts w:cs="Times New Roman"/>
          <w:sz w:val="24"/>
          <w:szCs w:val="24"/>
        </w:rPr>
        <w:t xml:space="preserve"> (2018)</w:t>
      </w:r>
      <w:r w:rsidR="00EE2218" w:rsidRPr="005051AD">
        <w:rPr>
          <w:sz w:val="24"/>
          <w:szCs w:val="24"/>
        </w:rPr>
        <w:fldChar w:fldCharType="end"/>
      </w:r>
      <w:r w:rsidR="00EE2218">
        <w:rPr>
          <w:sz w:val="24"/>
          <w:szCs w:val="24"/>
        </w:rPr>
        <w:t xml:space="preserve"> </w:t>
      </w:r>
      <w:r w:rsidR="00EE2218" w:rsidRPr="00F534E2">
        <w:rPr>
          <w:rFonts w:cs="Times New Roman"/>
          <w:sz w:val="24"/>
          <w:szCs w:val="24"/>
        </w:rPr>
        <w:t xml:space="preserve">assumed that a deadheading trip occurs whenever the time gap between consecutive passenger trips made by a driver is less than 30 minutes. The deadheading distances were calculated as the straight-line distances between the origins and destinations. If the time gap between passenger trips was more than 30 minutes, it was assumed that drivers would not deadhead for the entire time gap. Instead, they assumed that two deadheading trips with distances of two miles each and durations of five minutes each would have occurred within that interval. The first deadheading trip would occur immediately after the drop-off of one passenger and the next deadheading trip would occur immediately before the subsequent passenger pick-up. Based on these assumptions, they estimated the percentage of deadheading miles traveled by ride-hailing vehicles to be 37%. In a more recent study, </w:t>
      </w:r>
      <w:r w:rsidR="00EE2218" w:rsidRPr="00F534E2">
        <w:rPr>
          <w:rFonts w:cs="Times New Roman"/>
          <w:sz w:val="24"/>
          <w:szCs w:val="24"/>
        </w:rPr>
        <w:fldChar w:fldCharType="begin"/>
      </w:r>
      <w:r w:rsidR="00B46899">
        <w:rPr>
          <w:rFonts w:cs="Times New Roman"/>
          <w:sz w:val="24"/>
          <w:szCs w:val="24"/>
        </w:rPr>
        <w:instrText xml:space="preserve"> ADDIN ZOTERO_ITEM CSL_CITATION {"citationID":"GZ4oBqHC","properties":{"formattedCitation":"(Wenzel et al., 2019)","plainCitation":"(Wenzel et al., 2019)","dontUpdate":true,"noteIndex":0},"citationItems":[{"id":"pYE2dMDV/syEWEtjW","uris":["http://zotero.org/users/local/CJ2Dv405/items/C2MIAMC3"],"uri":["http://zotero.org/users/local/CJ2Dv405/items/C2MIAMC3"],"itemData":{"id":341,"type":"article-journal","abstract":"This paper identiﬁes major aspects of ridesourcing services provided by Transportation Network Companies (TNCs) which inﬂuence vehicles miles traveled (VMT) and energy use. Using detailed data on approximately 1.5 million individual rides provided by RideAustin in Austin Texas, we quantify the additional miles TNC drivers travel: before beginning and after ending their shifts, to reach a passenger once a ride has been requested, and between consecutive rides (all of which is referred to as deadheading); and the relative fuel eﬃciency of the vehicles that RideAustin drivers use compared to the average vehicle registered in Austin. We conservatively estimate that TNC drivers commute to and from their service areas accounts for 19% of the total ridesourcing VMT. In addition, we estimate that TNC drivers drove 55% more miles between ride requests within 60 min of each other, accounting for 26% of total ridesourcing VMT. Vehicles used for ridesourcing are on average two miles per gallon more fuel eﬃcient than comparable light-duty vehicles registered in Austin, with twice as many are hybrid-electric vehicles. New generation battery electric vehicles with 200 miles of range would be able to fulﬁll 90% of full-time drivers’ shifts on a single charge. We estimate that the net eﬀect of ridesourcing on energy use is a 41–90% increase compared to baseline, pre-TNC, personal travel.","container-title":"Transportation Research Part D: Transport and Environment","DOI":"10.1016/j.trd.2019.03.005","ISSN":"13619209","journalAbbreviation":"Transportation Research Part D: Transport and Environment","language":"en","page":"18-34","source":"DOI.org (Crossref)","title":"Travel and energy implications of ridesourcing service in Austin, Texas","volume":"70","author":[{"family":"Wenzel","given":"Tom"},{"family":"Rames","given":"Clement"},{"family":"Kontou","given":"Eleftheria"},{"family":"Henao","given":"Alejandro"}],"issued":{"date-parts":[["2019",5]]}}}],"schema":"https://github.com/citation-style-language/schema/raw/master/csl-citation.json"} </w:instrText>
      </w:r>
      <w:r w:rsidR="00EE2218" w:rsidRPr="00F534E2">
        <w:rPr>
          <w:rFonts w:cs="Times New Roman"/>
          <w:sz w:val="24"/>
          <w:szCs w:val="24"/>
        </w:rPr>
        <w:fldChar w:fldCharType="separate"/>
      </w:r>
      <w:r w:rsidR="00EE2218" w:rsidRPr="00F534E2">
        <w:rPr>
          <w:rFonts w:cs="Times New Roman"/>
          <w:sz w:val="24"/>
          <w:szCs w:val="24"/>
        </w:rPr>
        <w:t xml:space="preserve">Wenzel </w:t>
      </w:r>
      <w:r w:rsidR="00EE2218" w:rsidRPr="00BF7326">
        <w:rPr>
          <w:rFonts w:cs="Times New Roman"/>
          <w:i/>
          <w:sz w:val="24"/>
          <w:szCs w:val="24"/>
        </w:rPr>
        <w:t>et al</w:t>
      </w:r>
      <w:r w:rsidR="00EE2218" w:rsidRPr="00F534E2">
        <w:rPr>
          <w:rFonts w:cs="Times New Roman"/>
          <w:sz w:val="24"/>
          <w:szCs w:val="24"/>
        </w:rPr>
        <w:t>. (2019)</w:t>
      </w:r>
      <w:r w:rsidR="00EE2218" w:rsidRPr="00F534E2">
        <w:rPr>
          <w:rFonts w:cs="Times New Roman"/>
          <w:sz w:val="24"/>
          <w:szCs w:val="24"/>
        </w:rPr>
        <w:fldChar w:fldCharType="end"/>
      </w:r>
      <w:r w:rsidR="00EE2218" w:rsidRPr="00F534E2">
        <w:rPr>
          <w:rFonts w:cs="Times New Roman"/>
          <w:sz w:val="24"/>
          <w:szCs w:val="24"/>
        </w:rPr>
        <w:t xml:space="preserve"> also used a similar approach to identify deadheading trips. Unlike </w:t>
      </w:r>
      <w:r w:rsidR="00EE2218" w:rsidRPr="00F534E2">
        <w:rPr>
          <w:rFonts w:cs="Times New Roman"/>
          <w:sz w:val="24"/>
          <w:szCs w:val="24"/>
        </w:rPr>
        <w:fldChar w:fldCharType="begin"/>
      </w:r>
      <w:r w:rsidR="00B46899">
        <w:rPr>
          <w:rFonts w:cs="Times New Roman"/>
          <w:sz w:val="24"/>
          <w:szCs w:val="24"/>
        </w:rPr>
        <w:instrText xml:space="preserve"> ADDIN ZOTERO_ITEM CSL_CITATION {"citationID":"zCmScEj3","properties":{"formattedCitation":"(Komanduri et al., 2018)","plainCitation":"(Komanduri et al., 2018)","dontUpdate":true,"noteIndex":0},"citationItems":[{"id":"pYE2dMDV/ewcNIEnm","uris":["http://zotero.org/users/local/CJ2Dv405/items/UY89PBNF"],"uri":["http://zotero.org/users/local/CJ2Dv405/items/UY89PBNF"],"itemData":{"id":131,"type":"article-journal","abstract":"App-driven ridesharing platforms are gaining popularity and are transforming urban movement patterns in cities throughout the world. Because of privacy and business considerations, their owners have released little information about riders’ tripmaking characteristics. This lack of data prevents planners and modelers from understanding and quantifying the impact of these new modes on regional travel patterns. In 2016, RideAustin, a not-for-profit company, was established to provide mobility-on-demand services in the Austin region. RideAustin released its dataset of over one million trips to researchers to support transportation planning through a better understanding of urban travel flows. This paper presents findings from an in-depth analysis of this dataset and summarizes key aspects of interest to the transportation research community such as the number of riders, drivers, and trips; total vehicle miles including deadhead miles; and terminal times. The paper also presents findings from two case studies that show the competitiveness of RideAustin versus transit and the utilization of the RideAustin system during the South by Southwest festival. While some of the metrics cannot be readily transferred to other regions, several findings can be used by planners and modelers as they integrate rideshare systems within their planning and modeling frameworks. We also believe that some of the research findings may provide insights into a future system of autonomous and shared vehicles.","container-title":"Transportation Research Record: Journal of the Transportation Research Board","DOI":"10.1177/0361198118796025","ISSN":"0361-1981, 2169-4052","language":"en","page":"036119811879602","source":"Crossref","title":"Assessing the Impact of App-Based Ride Share Systems in an Urban Context: Findings from Austin","title-short":"Assessing the Impact of App-Based Ride Share Systems in an Urban Context","author":[{"family":"Komanduri","given":"Anurag"},{"family":"Wafa","given":"Zeina"},{"family":"Proussaloglou","given":"Kimon"},{"family":"Jacobs","given":"Simon"}],"issued":{"date-parts":[["2018",9,11]]}}}],"schema":"https://github.com/citation-style-language/schema/raw/master/csl-citation.json"} </w:instrText>
      </w:r>
      <w:r w:rsidR="00EE2218" w:rsidRPr="00F534E2">
        <w:rPr>
          <w:rFonts w:cs="Times New Roman"/>
          <w:sz w:val="24"/>
          <w:szCs w:val="24"/>
        </w:rPr>
        <w:fldChar w:fldCharType="separate"/>
      </w:r>
      <w:r w:rsidR="00EE2218" w:rsidRPr="00F534E2">
        <w:rPr>
          <w:rFonts w:cs="Times New Roman"/>
          <w:sz w:val="24"/>
          <w:szCs w:val="24"/>
        </w:rPr>
        <w:t xml:space="preserve">Komanduri </w:t>
      </w:r>
      <w:r w:rsidR="00EE2218" w:rsidRPr="00BF7326">
        <w:rPr>
          <w:rFonts w:cs="Times New Roman"/>
          <w:i/>
          <w:sz w:val="24"/>
          <w:szCs w:val="24"/>
        </w:rPr>
        <w:t>et al</w:t>
      </w:r>
      <w:r w:rsidR="00EE2218" w:rsidRPr="00F534E2">
        <w:rPr>
          <w:rFonts w:cs="Times New Roman"/>
          <w:sz w:val="24"/>
          <w:szCs w:val="24"/>
        </w:rPr>
        <w:t>. (2018)</w:t>
      </w:r>
      <w:r w:rsidR="00EE2218" w:rsidRPr="00F534E2">
        <w:rPr>
          <w:rFonts w:cs="Times New Roman"/>
          <w:sz w:val="24"/>
          <w:szCs w:val="24"/>
        </w:rPr>
        <w:fldChar w:fldCharType="end"/>
      </w:r>
      <w:r w:rsidR="00EE2218" w:rsidRPr="00F534E2">
        <w:rPr>
          <w:rFonts w:cs="Times New Roman"/>
          <w:sz w:val="24"/>
          <w:szCs w:val="24"/>
        </w:rPr>
        <w:t xml:space="preserve">, </w:t>
      </w:r>
      <w:r w:rsidR="00EE2218" w:rsidRPr="00F534E2">
        <w:rPr>
          <w:rFonts w:cs="Times New Roman"/>
          <w:sz w:val="24"/>
          <w:szCs w:val="24"/>
        </w:rPr>
        <w:fldChar w:fldCharType="begin"/>
      </w:r>
      <w:r w:rsidR="00B46899">
        <w:rPr>
          <w:rFonts w:cs="Times New Roman"/>
          <w:sz w:val="24"/>
          <w:szCs w:val="24"/>
        </w:rPr>
        <w:instrText xml:space="preserve"> ADDIN ZOTERO_ITEM CSL_CITATION {"citationID":"yN0Gpate","properties":{"formattedCitation":"(Wenzel et al., 2019)","plainCitation":"(Wenzel et al., 2019)","dontUpdate":true,"noteIndex":0},"citationItems":[{"id":"pYE2dMDV/syEWEtjW","uris":["http://zotero.org/users/local/CJ2Dv405/items/C2MIAMC3"],"uri":["http://zotero.org/users/local/CJ2Dv405/items/C2MIAMC3"],"itemData":{"id":341,"type":"article-journal","abstract":"This paper identiﬁes major aspects of ridesourcing services provided by Transportation Network Companies (TNCs) which inﬂuence vehicles miles traveled (VMT) and energy use. Using detailed data on approximately 1.5 million individual rides provided by RideAustin in Austin Texas, we quantify the additional miles TNC drivers travel: before beginning and after ending their shifts, to reach a passenger once a ride has been requested, and between consecutive rides (all of which is referred to as deadheading); and the relative fuel eﬃciency of the vehicles that RideAustin drivers use compared to the average vehicle registered in Austin. We conservatively estimate that TNC drivers commute to and from their service areas accounts for 19% of the total ridesourcing VMT. In addition, we estimate that TNC drivers drove 55% more miles between ride requests within 60 min of each other, accounting for 26% of total ridesourcing VMT. Vehicles used for ridesourcing are on average two miles per gallon more fuel eﬃcient than comparable light-duty vehicles registered in Austin, with twice as many are hybrid-electric vehicles. New generation battery electric vehicles with 200 miles of range would be able to fulﬁll 90% of full-time drivers’ shifts on a single charge. We estimate that the net eﬀect of ridesourcing on energy use is a 41–90% increase compared to baseline, pre-TNC, personal travel.","container-title":"Transportation Research Part D: Transport and Environment","DOI":"10.1016/j.trd.2019.03.005","ISSN":"13619209","journalAbbreviation":"Transportation Research Part D: Transport and Environment","language":"en","page":"18-34","source":"DOI.org (Crossref)","title":"Travel and energy implications of ridesourcing service in Austin, Texas","volume":"70","author":[{"family":"Wenzel","given":"Tom"},{"family":"Rames","given":"Clement"},{"family":"Kontou","given":"Eleftheria"},{"family":"Henao","given":"Alejandro"}],"issued":{"date-parts":[["2019",5]]}}}],"schema":"https://github.com/citation-style-language/schema/raw/master/csl-citation.json"} </w:instrText>
      </w:r>
      <w:r w:rsidR="00EE2218" w:rsidRPr="00F534E2">
        <w:rPr>
          <w:rFonts w:cs="Times New Roman"/>
          <w:sz w:val="24"/>
          <w:szCs w:val="24"/>
        </w:rPr>
        <w:fldChar w:fldCharType="separate"/>
      </w:r>
      <w:r w:rsidR="00EE2218" w:rsidRPr="00F534E2">
        <w:rPr>
          <w:rFonts w:cs="Times New Roman"/>
          <w:sz w:val="24"/>
          <w:szCs w:val="24"/>
        </w:rPr>
        <w:t xml:space="preserve">Wenzel </w:t>
      </w:r>
      <w:r w:rsidR="00EE2218" w:rsidRPr="00BF7326">
        <w:rPr>
          <w:rFonts w:cs="Times New Roman"/>
          <w:i/>
          <w:sz w:val="24"/>
          <w:szCs w:val="24"/>
        </w:rPr>
        <w:t>et al</w:t>
      </w:r>
      <w:r w:rsidR="00EE2218" w:rsidRPr="00F534E2">
        <w:rPr>
          <w:rFonts w:cs="Times New Roman"/>
          <w:sz w:val="24"/>
          <w:szCs w:val="24"/>
        </w:rPr>
        <w:t>. (2019)</w:t>
      </w:r>
      <w:r w:rsidR="00EE2218" w:rsidRPr="00F534E2">
        <w:rPr>
          <w:rFonts w:cs="Times New Roman"/>
          <w:sz w:val="24"/>
          <w:szCs w:val="24"/>
        </w:rPr>
        <w:fldChar w:fldCharType="end"/>
      </w:r>
      <w:r w:rsidR="00EE2218" w:rsidRPr="00F534E2">
        <w:rPr>
          <w:rFonts w:cs="Times New Roman"/>
          <w:sz w:val="24"/>
          <w:szCs w:val="24"/>
        </w:rPr>
        <w:t xml:space="preserve"> assumed that continuous deadheading occurs between consecutive passenger trips that are less than 60 minutes apart. They also used a correction factor for converting straight</w:t>
      </w:r>
      <w:r w:rsidR="00EE2218">
        <w:rPr>
          <w:rFonts w:cs="Times New Roman"/>
          <w:sz w:val="24"/>
          <w:szCs w:val="24"/>
        </w:rPr>
        <w:t>-</w:t>
      </w:r>
      <w:r w:rsidR="00EE2218" w:rsidRPr="00F534E2">
        <w:rPr>
          <w:rFonts w:cs="Times New Roman"/>
          <w:sz w:val="24"/>
          <w:szCs w:val="24"/>
        </w:rPr>
        <w:t xml:space="preserve">line distances to network distances. They estimated the length of an average deadheading trip that occurs between consecutive passenger trips to be 55% of the average passenger trip length. Additionally, they imputed the location of residences of drivers based on the spatial median of their first pick-up and last drop-off </w:t>
      </w:r>
      <w:r w:rsidR="00EE2218" w:rsidRPr="00F534E2">
        <w:rPr>
          <w:rFonts w:cs="Times New Roman"/>
          <w:sz w:val="24"/>
          <w:szCs w:val="24"/>
        </w:rPr>
        <w:lastRenderedPageBreak/>
        <w:t>locations from every shift. A new ride-hailing shift is assumed to have begun if a passenger is picked up eight hours after the previous passenger is dropped off. Using the imputed locations of driver residences, the deadheading distances at the beginning and ending of shifts were also computed. Using these assumptions, the overall percentage of deadheading distance was estimated to be 45%.</w:t>
      </w:r>
      <w:r w:rsidR="004B4460" w:rsidRPr="00F534E2">
        <w:rPr>
          <w:sz w:val="24"/>
          <w:szCs w:val="24"/>
        </w:rPr>
        <w:tab/>
      </w:r>
      <w:r w:rsidRPr="00F534E2">
        <w:rPr>
          <w:rFonts w:cs="Times New Roman"/>
          <w:sz w:val="24"/>
          <w:szCs w:val="24"/>
        </w:rPr>
        <w:t xml:space="preserve"> </w:t>
      </w:r>
    </w:p>
    <w:p w14:paraId="341379D7" w14:textId="12E93492" w:rsidR="00EA1F08" w:rsidRPr="00F534E2" w:rsidRDefault="00EA1F08" w:rsidP="00345A05">
      <w:pPr>
        <w:spacing w:after="0" w:line="240" w:lineRule="auto"/>
        <w:ind w:firstLine="720"/>
        <w:rPr>
          <w:sz w:val="24"/>
          <w:szCs w:val="24"/>
        </w:rPr>
      </w:pPr>
      <w:r w:rsidRPr="00F534E2">
        <w:rPr>
          <w:sz w:val="24"/>
          <w:szCs w:val="24"/>
        </w:rPr>
        <w:t xml:space="preserve">The </w:t>
      </w:r>
      <w:r w:rsidR="006A493C" w:rsidRPr="00F534E2">
        <w:rPr>
          <w:sz w:val="24"/>
          <w:szCs w:val="24"/>
        </w:rPr>
        <w:t xml:space="preserve">approach </w:t>
      </w:r>
      <w:r w:rsidRPr="00F534E2">
        <w:rPr>
          <w:sz w:val="24"/>
          <w:szCs w:val="24"/>
        </w:rPr>
        <w:t xml:space="preserve">adopted in this paper to identify deadheading trips is </w:t>
      </w:r>
      <w:r w:rsidR="006A493C" w:rsidRPr="00F534E2">
        <w:rPr>
          <w:sz w:val="24"/>
          <w:szCs w:val="24"/>
        </w:rPr>
        <w:t xml:space="preserve">similar to that </w:t>
      </w:r>
      <w:r w:rsidRPr="00F534E2">
        <w:rPr>
          <w:sz w:val="24"/>
          <w:szCs w:val="24"/>
        </w:rPr>
        <w:t xml:space="preserve">used </w:t>
      </w:r>
      <w:r w:rsidR="006A493C" w:rsidRPr="00F534E2">
        <w:rPr>
          <w:sz w:val="24"/>
          <w:szCs w:val="24"/>
        </w:rPr>
        <w:t xml:space="preserve">by </w:t>
      </w:r>
      <w:r w:rsidR="006A493C" w:rsidRPr="00F534E2">
        <w:rPr>
          <w:sz w:val="24"/>
          <w:szCs w:val="24"/>
        </w:rPr>
        <w:fldChar w:fldCharType="begin"/>
      </w:r>
      <w:r w:rsidR="00B46899">
        <w:rPr>
          <w:sz w:val="24"/>
          <w:szCs w:val="24"/>
        </w:rPr>
        <w:instrText xml:space="preserve"> ADDIN ZOTERO_ITEM CSL_CITATION {"citationID":"UDDAi2il","properties":{"formattedCitation":"(Komanduri et al., 2018)","plainCitation":"(Komanduri et al., 2018)","dontUpdate":true,"noteIndex":0},"citationItems":[{"id":"pYE2dMDV/ewcNIEnm","uris":["http://zotero.org/users/local/CJ2Dv405/items/UY89PBNF"],"uri":["http://zotero.org/users/local/CJ2Dv405/items/UY89PBNF"],"itemData":{"id":131,"type":"article-journal","abstract":"App-driven ridesharing platforms are gaining popularity and are transforming urban movement patterns in cities throughout the world. Because of privacy and business considerations, their owners have released little information about riders’ tripmaking characteristics. This lack of data prevents planners and modelers from understanding and quantifying the impact of these new modes on regional travel patterns. In 2016, RideAustin, a not-for-profit company, was established to provide mobility-on-demand services in the Austin region. RideAustin released its dataset of over one million trips to researchers to support transportation planning through a better understanding of urban travel flows. This paper presents findings from an in-depth analysis of this dataset and summarizes key aspects of interest to the transportation research community such as the number of riders, drivers, and trips; total vehicle miles including deadhead miles; and terminal times. The paper also presents findings from two case studies that show the competitiveness of RideAustin versus transit and the utilization of the RideAustin system during the South by Southwest festival. While some of the metrics cannot be readily transferred to other regions, several findings can be used by planners and modelers as they integrate rideshare systems within their planning and modeling frameworks. We also believe that some of the research findings may provide insights into a future system of autonomous and shared vehicles.","container-title":"Transportation Research Record: Journal of the Transportation Research Board","DOI":"10.1177/0361198118796025","ISSN":"0361-1981, 2169-4052","language":"en","page":"036119811879602","source":"Crossref","title":"Assessing the Impact of App-Based Ride Share Systems in an Urban Context: Findings from Austin","title-short":"Assessing the Impact of App-Based Ride Share Systems in an Urban Context","author":[{"family":"Komanduri","given":"Anurag"},{"family":"Wafa","given":"Zeina"},{"family":"Proussaloglou","given":"Kimon"},{"family":"Jacobs","given":"Simon"}],"issued":{"date-parts":[["2018",9,11]]}}}],"schema":"https://github.com/citation-style-language/schema/raw/master/csl-citation.json"} </w:instrText>
      </w:r>
      <w:r w:rsidR="006A493C" w:rsidRPr="00F534E2">
        <w:rPr>
          <w:sz w:val="24"/>
          <w:szCs w:val="24"/>
        </w:rPr>
        <w:fldChar w:fldCharType="separate"/>
      </w:r>
      <w:r w:rsidR="006A493C" w:rsidRPr="00F534E2">
        <w:rPr>
          <w:rFonts w:cs="Times New Roman"/>
          <w:sz w:val="24"/>
          <w:szCs w:val="24"/>
        </w:rPr>
        <w:t xml:space="preserve">Komanduri </w:t>
      </w:r>
      <w:r w:rsidR="006A493C" w:rsidRPr="00BF7326">
        <w:rPr>
          <w:rFonts w:cs="Times New Roman"/>
          <w:i/>
          <w:sz w:val="24"/>
          <w:szCs w:val="24"/>
        </w:rPr>
        <w:t>et al</w:t>
      </w:r>
      <w:r w:rsidR="006A493C" w:rsidRPr="00F534E2">
        <w:rPr>
          <w:rFonts w:cs="Times New Roman"/>
          <w:sz w:val="24"/>
          <w:szCs w:val="24"/>
        </w:rPr>
        <w:t>. (2018)</w:t>
      </w:r>
      <w:r w:rsidR="006A493C" w:rsidRPr="00F534E2">
        <w:rPr>
          <w:sz w:val="24"/>
          <w:szCs w:val="24"/>
        </w:rPr>
        <w:fldChar w:fldCharType="end"/>
      </w:r>
      <w:r w:rsidR="000F5A9B" w:rsidRPr="00F534E2">
        <w:rPr>
          <w:sz w:val="24"/>
          <w:szCs w:val="24"/>
        </w:rPr>
        <w:t xml:space="preserve"> and </w:t>
      </w:r>
      <w:r w:rsidR="000F5A9B" w:rsidRPr="00F534E2">
        <w:rPr>
          <w:sz w:val="24"/>
          <w:szCs w:val="24"/>
        </w:rPr>
        <w:fldChar w:fldCharType="begin"/>
      </w:r>
      <w:r w:rsidR="00B46899">
        <w:rPr>
          <w:sz w:val="24"/>
          <w:szCs w:val="24"/>
        </w:rPr>
        <w:instrText xml:space="preserve"> ADDIN ZOTERO_ITEM CSL_CITATION {"citationID":"KteqsYUr","properties":{"formattedCitation":"(Wenzel et al., 2019)","plainCitation":"(Wenzel et al., 2019)","dontUpdate":true,"noteIndex":0},"citationItems":[{"id":"pYE2dMDV/syEWEtjW","uris":["http://zotero.org/users/local/CJ2Dv405/items/C2MIAMC3"],"uri":["http://zotero.org/users/local/CJ2Dv405/items/C2MIAMC3"],"itemData":{"id":341,"type":"article-journal","abstract":"This paper identiﬁes major aspects of ridesourcing services provided by Transportation Network Companies (TNCs) which inﬂuence vehicles miles traveled (VMT) and energy use. Using detailed data on approximately 1.5 million individual rides provided by RideAustin in Austin Texas, we quantify the additional miles TNC drivers travel: before beginning and after ending their shifts, to reach a passenger once a ride has been requested, and between consecutive rides (all of which is referred to as deadheading); and the relative fuel eﬃciency of the vehicles that RideAustin drivers use compared to the average vehicle registered in Austin. We conservatively estimate that TNC drivers commute to and from their service areas accounts for 19% of the total ridesourcing VMT. In addition, we estimate that TNC drivers drove 55% more miles between ride requests within 60 min of each other, accounting for 26% of total ridesourcing VMT. Vehicles used for ridesourcing are on average two miles per gallon more fuel eﬃcient than comparable light-duty vehicles registered in Austin, with twice as many are hybrid-electric vehicles. New generation battery electric vehicles with 200 miles of range would be able to fulﬁll 90% of full-time drivers’ shifts on a single charge. We estimate that the net eﬀect of ridesourcing on energy use is a 41–90% increase compared to baseline, pre-TNC, personal travel.","container-title":"Transportation Research Part D: Transport and Environment","DOI":"10.1016/j.trd.2019.03.005","ISSN":"13619209","journalAbbreviation":"Transportation Research Part D: Transport and Environment","language":"en","page":"18-34","source":"DOI.org (Crossref)","title":"Travel and energy implications of ridesourcing service in Austin, Texas","volume":"70","author":[{"family":"Wenzel","given":"Tom"},{"family":"Rames","given":"Clement"},{"family":"Kontou","given":"Eleftheria"},{"family":"Henao","given":"Alejandro"}],"issued":{"date-parts":[["2019",5]]}}}],"schema":"https://github.com/citation-style-language/schema/raw/master/csl-citation.json"} </w:instrText>
      </w:r>
      <w:r w:rsidR="000F5A9B" w:rsidRPr="00F534E2">
        <w:rPr>
          <w:sz w:val="24"/>
          <w:szCs w:val="24"/>
        </w:rPr>
        <w:fldChar w:fldCharType="separate"/>
      </w:r>
      <w:r w:rsidR="000F5A9B" w:rsidRPr="00F534E2">
        <w:rPr>
          <w:rFonts w:cs="Times New Roman"/>
          <w:sz w:val="24"/>
          <w:szCs w:val="24"/>
        </w:rPr>
        <w:t xml:space="preserve">Wenzel </w:t>
      </w:r>
      <w:r w:rsidR="000F5A9B" w:rsidRPr="00BF7326">
        <w:rPr>
          <w:rFonts w:cs="Times New Roman"/>
          <w:i/>
          <w:sz w:val="24"/>
          <w:szCs w:val="24"/>
        </w:rPr>
        <w:t>et al</w:t>
      </w:r>
      <w:r w:rsidR="000F5A9B" w:rsidRPr="00F534E2">
        <w:rPr>
          <w:rFonts w:cs="Times New Roman"/>
          <w:sz w:val="24"/>
          <w:szCs w:val="24"/>
        </w:rPr>
        <w:t>. (2019)</w:t>
      </w:r>
      <w:r w:rsidR="000F5A9B" w:rsidRPr="00F534E2">
        <w:rPr>
          <w:sz w:val="24"/>
          <w:szCs w:val="24"/>
        </w:rPr>
        <w:fldChar w:fldCharType="end"/>
      </w:r>
      <w:r w:rsidR="006A493C" w:rsidRPr="00F534E2">
        <w:rPr>
          <w:sz w:val="24"/>
          <w:szCs w:val="24"/>
        </w:rPr>
        <w:t xml:space="preserve">. </w:t>
      </w:r>
      <w:r w:rsidRPr="00F534E2">
        <w:rPr>
          <w:sz w:val="24"/>
          <w:szCs w:val="24"/>
        </w:rPr>
        <w:t xml:space="preserve"> In this paper, o</w:t>
      </w:r>
      <w:r w:rsidR="006A493C" w:rsidRPr="00F534E2">
        <w:rPr>
          <w:sz w:val="24"/>
          <w:szCs w:val="24"/>
        </w:rPr>
        <w:t xml:space="preserve">nly the deadheading trips made for repositioning </w:t>
      </w:r>
      <w:r w:rsidRPr="00F534E2">
        <w:rPr>
          <w:sz w:val="24"/>
          <w:szCs w:val="24"/>
        </w:rPr>
        <w:t xml:space="preserve">vehicles </w:t>
      </w:r>
      <w:r w:rsidR="006A493C" w:rsidRPr="00F534E2">
        <w:rPr>
          <w:sz w:val="24"/>
          <w:szCs w:val="24"/>
        </w:rPr>
        <w:t>between drop-off and pick-up locations of consecutive passengers</w:t>
      </w:r>
      <w:r w:rsidRPr="00F534E2">
        <w:rPr>
          <w:sz w:val="24"/>
          <w:szCs w:val="24"/>
        </w:rPr>
        <w:t xml:space="preserve"> are considered</w:t>
      </w:r>
      <w:r w:rsidR="006A493C" w:rsidRPr="00F534E2">
        <w:rPr>
          <w:sz w:val="24"/>
          <w:szCs w:val="24"/>
        </w:rPr>
        <w:t xml:space="preserve">. </w:t>
      </w:r>
      <w:r w:rsidRPr="00F534E2">
        <w:rPr>
          <w:sz w:val="24"/>
          <w:szCs w:val="24"/>
        </w:rPr>
        <w:t xml:space="preserve">While other studies have largely estimated </w:t>
      </w:r>
      <w:r w:rsidR="006A493C" w:rsidRPr="00F534E2">
        <w:rPr>
          <w:sz w:val="24"/>
          <w:szCs w:val="24"/>
        </w:rPr>
        <w:t xml:space="preserve">deadheading miles at an aggregate </w:t>
      </w:r>
      <w:r w:rsidRPr="00F534E2">
        <w:rPr>
          <w:sz w:val="24"/>
          <w:szCs w:val="24"/>
        </w:rPr>
        <w:t xml:space="preserve">scale as </w:t>
      </w:r>
      <w:r w:rsidR="006A493C" w:rsidRPr="00F534E2">
        <w:rPr>
          <w:sz w:val="24"/>
          <w:szCs w:val="24"/>
        </w:rPr>
        <w:t>a percentage of the total distance traveled</w:t>
      </w:r>
      <w:r w:rsidRPr="00F534E2">
        <w:rPr>
          <w:sz w:val="24"/>
          <w:szCs w:val="24"/>
        </w:rPr>
        <w:t xml:space="preserve"> (by ride-hailing vehicles), this paper</w:t>
      </w:r>
      <w:r w:rsidR="006A493C" w:rsidRPr="00F534E2">
        <w:rPr>
          <w:sz w:val="24"/>
          <w:szCs w:val="24"/>
        </w:rPr>
        <w:t xml:space="preserve"> </w:t>
      </w:r>
      <w:r w:rsidRPr="00F534E2">
        <w:rPr>
          <w:sz w:val="24"/>
          <w:szCs w:val="24"/>
        </w:rPr>
        <w:t>makes an important contribution by modeling</w:t>
      </w:r>
      <w:r w:rsidR="006A493C" w:rsidRPr="00F534E2">
        <w:rPr>
          <w:sz w:val="24"/>
          <w:szCs w:val="24"/>
        </w:rPr>
        <w:t xml:space="preserve"> deadheading at the disaggregate level of individual trips. This provides </w:t>
      </w:r>
      <w:r w:rsidRPr="00F534E2">
        <w:rPr>
          <w:sz w:val="24"/>
          <w:szCs w:val="24"/>
        </w:rPr>
        <w:t xml:space="preserve">a deeper understanding of the </w:t>
      </w:r>
      <w:r w:rsidR="006A493C" w:rsidRPr="00F534E2">
        <w:rPr>
          <w:sz w:val="24"/>
          <w:szCs w:val="24"/>
        </w:rPr>
        <w:t>variations in deadheading patterns across time and space</w:t>
      </w:r>
      <w:r w:rsidRPr="00F534E2">
        <w:rPr>
          <w:sz w:val="24"/>
          <w:szCs w:val="24"/>
        </w:rPr>
        <w:t>, while also identifying the key factors that contribute to deadheading variations.</w:t>
      </w:r>
      <w:r w:rsidR="00703105">
        <w:rPr>
          <w:sz w:val="24"/>
          <w:szCs w:val="24"/>
        </w:rPr>
        <w:t xml:space="preserve"> </w:t>
      </w:r>
      <w:r w:rsidRPr="00F534E2">
        <w:rPr>
          <w:sz w:val="24"/>
          <w:szCs w:val="24"/>
        </w:rPr>
        <w:t>To build a model of deadheading (</w:t>
      </w:r>
      <w:r w:rsidRPr="00BF7326">
        <w:rPr>
          <w:i/>
          <w:sz w:val="24"/>
          <w:szCs w:val="24"/>
        </w:rPr>
        <w:t>i.e.</w:t>
      </w:r>
      <w:r w:rsidRPr="00F534E2">
        <w:rPr>
          <w:sz w:val="24"/>
          <w:szCs w:val="24"/>
        </w:rPr>
        <w:t>, pick-up location for next passenger) with a rich specification</w:t>
      </w:r>
      <w:r w:rsidR="00BB414B">
        <w:rPr>
          <w:sz w:val="24"/>
          <w:szCs w:val="24"/>
        </w:rPr>
        <w:t xml:space="preserve"> for use in travel demand models</w:t>
      </w:r>
      <w:r w:rsidRPr="00F534E2">
        <w:rPr>
          <w:sz w:val="24"/>
          <w:szCs w:val="24"/>
        </w:rPr>
        <w:t xml:space="preserve">, the ride-hailing trip data needs to be fused with secondary data sources including socio-demographic data, </w:t>
      </w:r>
      <w:r w:rsidR="00D43EE3" w:rsidRPr="00F534E2">
        <w:rPr>
          <w:sz w:val="24"/>
          <w:szCs w:val="24"/>
        </w:rPr>
        <w:t xml:space="preserve">network travel times and distances, </w:t>
      </w:r>
      <w:r w:rsidRPr="00F534E2">
        <w:rPr>
          <w:sz w:val="24"/>
          <w:szCs w:val="24"/>
        </w:rPr>
        <w:t xml:space="preserve">built environment data, and employment data. </w:t>
      </w:r>
      <w:r w:rsidR="00AC0459">
        <w:rPr>
          <w:sz w:val="24"/>
          <w:szCs w:val="24"/>
        </w:rPr>
        <w:t xml:space="preserve">The explanatory variables used in the model are variables that are regularly used in the context of travel demand forecasting. </w:t>
      </w:r>
      <w:r w:rsidR="00D43EE3" w:rsidRPr="00F534E2">
        <w:rPr>
          <w:sz w:val="24"/>
          <w:szCs w:val="24"/>
        </w:rPr>
        <w:t>The insights from such a model would prove invaluable in predicting locations with high potential for deadheading (hotspots) and devising countermeasures to alleviate the adverse effects of deadheading mileage.</w:t>
      </w:r>
      <w:r w:rsidR="00345A05">
        <w:rPr>
          <w:sz w:val="24"/>
          <w:szCs w:val="24"/>
        </w:rPr>
        <w:t xml:space="preserve"> </w:t>
      </w:r>
      <w:r w:rsidR="00E20591">
        <w:rPr>
          <w:sz w:val="24"/>
          <w:szCs w:val="24"/>
        </w:rPr>
        <w:t xml:space="preserve">Further, the modeling framework is such that it can easily be introduced into commonly used travel demand modeling frameworks such as the four-step model. </w:t>
      </w:r>
      <w:r w:rsidR="006A493C" w:rsidRPr="00F534E2">
        <w:rPr>
          <w:sz w:val="24"/>
          <w:szCs w:val="24"/>
        </w:rPr>
        <w:t>To capture the variety of purposes for which ride-hailing trips are made at different times in a day, variables that measure employment opportunit</w:t>
      </w:r>
      <w:r w:rsidR="00D43EE3" w:rsidRPr="00F534E2">
        <w:rPr>
          <w:sz w:val="24"/>
          <w:szCs w:val="24"/>
        </w:rPr>
        <w:t>ies</w:t>
      </w:r>
      <w:r w:rsidR="006A493C" w:rsidRPr="00F534E2">
        <w:rPr>
          <w:sz w:val="24"/>
          <w:szCs w:val="24"/>
        </w:rPr>
        <w:t xml:space="preserve"> at the potential destinations and identifiers for </w:t>
      </w:r>
      <w:r w:rsidR="00D43EE3" w:rsidRPr="00F534E2">
        <w:rPr>
          <w:sz w:val="24"/>
          <w:szCs w:val="24"/>
        </w:rPr>
        <w:t>special generators</w:t>
      </w:r>
      <w:r w:rsidR="00147D10">
        <w:rPr>
          <w:sz w:val="24"/>
          <w:szCs w:val="24"/>
        </w:rPr>
        <w:t>,</w:t>
      </w:r>
      <w:r w:rsidR="006A493C" w:rsidRPr="00F534E2">
        <w:rPr>
          <w:sz w:val="24"/>
          <w:szCs w:val="24"/>
        </w:rPr>
        <w:t xml:space="preserve"> such as the Austin Bergstrom International Airport (ABIA) </w:t>
      </w:r>
      <w:r w:rsidR="00D43EE3" w:rsidRPr="00F534E2">
        <w:rPr>
          <w:sz w:val="24"/>
          <w:szCs w:val="24"/>
        </w:rPr>
        <w:t>and</w:t>
      </w:r>
      <w:r w:rsidR="006A493C" w:rsidRPr="00F534E2">
        <w:rPr>
          <w:sz w:val="24"/>
          <w:szCs w:val="24"/>
        </w:rPr>
        <w:t xml:space="preserve"> the main campus of the University of Texas at Austin</w:t>
      </w:r>
      <w:r w:rsidR="00D43EE3" w:rsidRPr="00F534E2">
        <w:rPr>
          <w:sz w:val="24"/>
          <w:szCs w:val="24"/>
        </w:rPr>
        <w:t>, are included in the model</w:t>
      </w:r>
      <w:r w:rsidR="006A493C" w:rsidRPr="00F534E2">
        <w:rPr>
          <w:sz w:val="24"/>
          <w:szCs w:val="24"/>
        </w:rPr>
        <w:t>. Separate models are then estimated for different time periods of a day</w:t>
      </w:r>
      <w:r w:rsidR="00D43EE3" w:rsidRPr="00F534E2">
        <w:rPr>
          <w:sz w:val="24"/>
          <w:szCs w:val="24"/>
        </w:rPr>
        <w:t xml:space="preserve">, thus providing an understanding of temporal variation in deadheading across the region. </w:t>
      </w:r>
    </w:p>
    <w:p w14:paraId="527ADA90" w14:textId="0BEA6632" w:rsidR="00897344" w:rsidRPr="00F534E2" w:rsidRDefault="00897344" w:rsidP="00F7439A">
      <w:pPr>
        <w:spacing w:after="0" w:line="240" w:lineRule="auto"/>
        <w:rPr>
          <w:b/>
          <w:sz w:val="24"/>
          <w:szCs w:val="24"/>
        </w:rPr>
      </w:pPr>
    </w:p>
    <w:p w14:paraId="74E97679" w14:textId="70D312B0" w:rsidR="00720EEF" w:rsidRPr="00F534E2" w:rsidRDefault="00DC3E28" w:rsidP="00F7439A">
      <w:pPr>
        <w:pStyle w:val="Heading1"/>
        <w:spacing w:before="0" w:after="0" w:line="240" w:lineRule="auto"/>
        <w:rPr>
          <w:szCs w:val="24"/>
        </w:rPr>
      </w:pPr>
      <w:bookmarkStart w:id="4" w:name="_Ref6166811"/>
      <w:r w:rsidRPr="00F534E2">
        <w:rPr>
          <w:szCs w:val="24"/>
        </w:rPr>
        <w:t>Data</w:t>
      </w:r>
      <w:bookmarkEnd w:id="4"/>
      <w:r w:rsidR="00F534E2" w:rsidRPr="00F534E2">
        <w:rPr>
          <w:szCs w:val="24"/>
        </w:rPr>
        <w:t xml:space="preserve"> description</w:t>
      </w:r>
    </w:p>
    <w:p w14:paraId="26B49E70" w14:textId="40722DE3" w:rsidR="00D43EE3" w:rsidRPr="00EA2C01" w:rsidRDefault="00720EEF" w:rsidP="00F7439A">
      <w:pPr>
        <w:spacing w:after="0" w:line="240" w:lineRule="auto"/>
        <w:rPr>
          <w:sz w:val="24"/>
          <w:szCs w:val="24"/>
        </w:rPr>
      </w:pPr>
      <w:r w:rsidRPr="00EA2C01">
        <w:rPr>
          <w:sz w:val="24"/>
          <w:szCs w:val="24"/>
        </w:rPr>
        <w:t xml:space="preserve">The primary dataset used </w:t>
      </w:r>
      <w:r w:rsidR="00EA2C01" w:rsidRPr="00EA2C01">
        <w:rPr>
          <w:sz w:val="24"/>
          <w:szCs w:val="24"/>
        </w:rPr>
        <w:t>in this</w:t>
      </w:r>
      <w:r w:rsidRPr="00EA2C01">
        <w:rPr>
          <w:sz w:val="24"/>
          <w:szCs w:val="24"/>
        </w:rPr>
        <w:t xml:space="preserve"> study is the data</w:t>
      </w:r>
      <w:r w:rsidR="00366BEF" w:rsidRPr="00EA2C01">
        <w:rPr>
          <w:sz w:val="24"/>
          <w:szCs w:val="24"/>
        </w:rPr>
        <w:t>set</w:t>
      </w:r>
      <w:r w:rsidRPr="00EA2C01">
        <w:rPr>
          <w:sz w:val="24"/>
          <w:szCs w:val="24"/>
        </w:rPr>
        <w:t xml:space="preserve"> on ride-hailing passenger trips released by Ride Austin</w:t>
      </w:r>
      <w:r w:rsidR="00461BEB">
        <w:rPr>
          <w:sz w:val="24"/>
          <w:szCs w:val="24"/>
        </w:rPr>
        <w:t xml:space="preserve"> (2017)</w:t>
      </w:r>
      <w:r w:rsidRPr="00EA2C01">
        <w:rPr>
          <w:sz w:val="24"/>
          <w:szCs w:val="24"/>
        </w:rPr>
        <w:t xml:space="preserve">. </w:t>
      </w:r>
      <w:r w:rsidR="00EA2C01" w:rsidRPr="00EA2C01">
        <w:rPr>
          <w:sz w:val="24"/>
          <w:szCs w:val="24"/>
        </w:rPr>
        <w:t>Deadheading</w:t>
      </w:r>
      <w:r w:rsidR="007D2235" w:rsidRPr="00EA2C01">
        <w:rPr>
          <w:sz w:val="24"/>
          <w:szCs w:val="24"/>
        </w:rPr>
        <w:t xml:space="preserve"> trips were </w:t>
      </w:r>
      <w:r w:rsidR="00EA2C01" w:rsidRPr="00EA2C01">
        <w:rPr>
          <w:sz w:val="24"/>
          <w:szCs w:val="24"/>
        </w:rPr>
        <w:t xml:space="preserve">inferred and </w:t>
      </w:r>
      <w:r w:rsidR="007D2235" w:rsidRPr="00EA2C01">
        <w:rPr>
          <w:sz w:val="24"/>
          <w:szCs w:val="24"/>
        </w:rPr>
        <w:t xml:space="preserve">imputed </w:t>
      </w:r>
      <w:r w:rsidR="00EA2C01" w:rsidRPr="00EA2C01">
        <w:rPr>
          <w:sz w:val="24"/>
          <w:szCs w:val="24"/>
        </w:rPr>
        <w:t>based on the passenger trips in this</w:t>
      </w:r>
      <w:r w:rsidR="007D2235" w:rsidRPr="00EA2C01">
        <w:rPr>
          <w:sz w:val="24"/>
          <w:szCs w:val="24"/>
        </w:rPr>
        <w:t xml:space="preserve"> dataset. </w:t>
      </w:r>
      <w:r w:rsidR="00EA2C01" w:rsidRPr="00EA2C01">
        <w:rPr>
          <w:sz w:val="24"/>
          <w:szCs w:val="24"/>
        </w:rPr>
        <w:t xml:space="preserve">The ride-hailing data was </w:t>
      </w:r>
      <w:r w:rsidR="00366BEF" w:rsidRPr="00EA2C01">
        <w:rPr>
          <w:sz w:val="24"/>
          <w:szCs w:val="24"/>
        </w:rPr>
        <w:t xml:space="preserve">supplemented with data from several other sources. </w:t>
      </w:r>
      <w:r w:rsidR="00FE029B" w:rsidRPr="00EA2C01">
        <w:rPr>
          <w:sz w:val="24"/>
          <w:szCs w:val="24"/>
        </w:rPr>
        <w:t xml:space="preserve">The </w:t>
      </w:r>
      <w:r w:rsidR="00B10B7E" w:rsidRPr="00EA2C01">
        <w:rPr>
          <w:sz w:val="24"/>
          <w:szCs w:val="24"/>
        </w:rPr>
        <w:t>S</w:t>
      </w:r>
      <w:r w:rsidR="00FE029B" w:rsidRPr="00EA2C01">
        <w:rPr>
          <w:sz w:val="24"/>
          <w:szCs w:val="24"/>
        </w:rPr>
        <w:t xml:space="preserve">mart </w:t>
      </w:r>
      <w:r w:rsidR="00B10B7E" w:rsidRPr="00EA2C01">
        <w:rPr>
          <w:sz w:val="24"/>
          <w:szCs w:val="24"/>
        </w:rPr>
        <w:t>L</w:t>
      </w:r>
      <w:r w:rsidR="00FE029B" w:rsidRPr="00EA2C01">
        <w:rPr>
          <w:sz w:val="24"/>
          <w:szCs w:val="24"/>
        </w:rPr>
        <w:t xml:space="preserve">ocation </w:t>
      </w:r>
      <w:r w:rsidR="00B10B7E" w:rsidRPr="00EA2C01">
        <w:rPr>
          <w:sz w:val="24"/>
          <w:szCs w:val="24"/>
        </w:rPr>
        <w:t>D</w:t>
      </w:r>
      <w:r w:rsidR="00FE029B" w:rsidRPr="00EA2C01">
        <w:rPr>
          <w:sz w:val="24"/>
          <w:szCs w:val="24"/>
        </w:rPr>
        <w:t xml:space="preserve">atabase </w:t>
      </w:r>
      <w:r w:rsidR="00B10B7E" w:rsidRPr="00EA2C01">
        <w:rPr>
          <w:sz w:val="24"/>
          <w:szCs w:val="24"/>
        </w:rPr>
        <w:t>(SLD)</w:t>
      </w:r>
      <w:r w:rsidR="00BB011B" w:rsidRPr="00EA2C01">
        <w:rPr>
          <w:sz w:val="24"/>
          <w:szCs w:val="24"/>
        </w:rPr>
        <w:t xml:space="preserve"> </w:t>
      </w:r>
      <w:r w:rsidR="00EA2C01" w:rsidRPr="00EA2C01">
        <w:rPr>
          <w:sz w:val="24"/>
          <w:szCs w:val="24"/>
        </w:rPr>
        <w:t xml:space="preserve">was used to obtain data on </w:t>
      </w:r>
      <w:r w:rsidR="00B93CEB" w:rsidRPr="00EA2C01">
        <w:rPr>
          <w:sz w:val="24"/>
          <w:szCs w:val="24"/>
        </w:rPr>
        <w:t>soci</w:t>
      </w:r>
      <w:r w:rsidR="00EA2C01" w:rsidRPr="00EA2C01">
        <w:rPr>
          <w:sz w:val="24"/>
          <w:szCs w:val="24"/>
        </w:rPr>
        <w:t>o-demographic</w:t>
      </w:r>
      <w:r w:rsidR="00B93CEB" w:rsidRPr="00EA2C01">
        <w:rPr>
          <w:sz w:val="24"/>
          <w:szCs w:val="24"/>
        </w:rPr>
        <w:t xml:space="preserve">, built </w:t>
      </w:r>
      <w:r w:rsidR="00FE029B" w:rsidRPr="00EA2C01">
        <w:rPr>
          <w:sz w:val="24"/>
          <w:szCs w:val="24"/>
        </w:rPr>
        <w:t>environment</w:t>
      </w:r>
      <w:r w:rsidR="00EA2C01" w:rsidRPr="00EA2C01">
        <w:rPr>
          <w:sz w:val="24"/>
          <w:szCs w:val="24"/>
        </w:rPr>
        <w:t>,</w:t>
      </w:r>
      <w:r w:rsidR="00FE029B" w:rsidRPr="00EA2C01">
        <w:rPr>
          <w:sz w:val="24"/>
          <w:szCs w:val="24"/>
        </w:rPr>
        <w:t xml:space="preserve"> and other </w:t>
      </w:r>
      <w:r w:rsidR="001D63D7" w:rsidRPr="00EA2C01">
        <w:rPr>
          <w:sz w:val="24"/>
          <w:szCs w:val="24"/>
        </w:rPr>
        <w:t>characteristics of</w:t>
      </w:r>
      <w:r w:rsidR="00366BEF" w:rsidRPr="00EA2C01">
        <w:rPr>
          <w:sz w:val="24"/>
          <w:szCs w:val="24"/>
        </w:rPr>
        <w:t xml:space="preserve"> </w:t>
      </w:r>
      <w:r w:rsidR="001D63D7" w:rsidRPr="00EA2C01">
        <w:rPr>
          <w:sz w:val="24"/>
          <w:szCs w:val="24"/>
        </w:rPr>
        <w:t>census block</w:t>
      </w:r>
      <w:r w:rsidR="00F04444">
        <w:rPr>
          <w:sz w:val="24"/>
          <w:szCs w:val="24"/>
        </w:rPr>
        <w:t xml:space="preserve"> groups</w:t>
      </w:r>
      <w:r w:rsidR="00366BEF" w:rsidRPr="00EA2C01">
        <w:rPr>
          <w:sz w:val="24"/>
          <w:szCs w:val="24"/>
        </w:rPr>
        <w:t xml:space="preserve"> in the study area</w:t>
      </w:r>
      <w:r w:rsidR="00EA2C01" w:rsidRPr="00EA2C01">
        <w:rPr>
          <w:sz w:val="24"/>
          <w:szCs w:val="24"/>
        </w:rPr>
        <w:t xml:space="preserve"> </w:t>
      </w:r>
      <w:r w:rsidR="00EA2C01" w:rsidRPr="00EA2C01">
        <w:rPr>
          <w:sz w:val="24"/>
          <w:szCs w:val="24"/>
        </w:rPr>
        <w:fldChar w:fldCharType="begin"/>
      </w:r>
      <w:r w:rsidR="00B46899">
        <w:rPr>
          <w:sz w:val="24"/>
          <w:szCs w:val="24"/>
        </w:rPr>
        <w:instrText xml:space="preserve"> ADDIN ZOTERO_ITEM CSL_CITATION {"citationID":"HoRqJ1dY","properties":{"formattedCitation":"(US EPA, 2014)","plainCitation":"(US EPA, 2014)","dontUpdate":true,"noteIndex":0},"citationItems":[{"id":"pYE2dMDV/jK9xL7zz","uris":["http://zotero.org/users/local/CJ2Dv405/items/9SL6TKW5"],"uri":["http://zotero.org/users/local/CJ2Dv405/items/9SL6TKW5"],"itemData":{"id":176,"type":"webpage","abstract":"The Smart Location Database, Access to Jobs and Workers via Transit, and National Walkability Index tools can help assess indicators related to the built environment, transit accessibility, and walkability.","container-title":"US EPA","genre":"Data and Tools","language":"en","title":"Smart Location Mapping","URL":"https://www.epa.gov/smartgrowth/smart-location-mapping","author":[{"family":"US EPA","given":"OA"}],"accessed":{"date-parts":[["2019",4,13]]},"issued":{"date-parts":[["2014",2,27]]}}}],"schema":"https://github.com/citation-style-language/schema/raw/master/csl-citation.json"} </w:instrText>
      </w:r>
      <w:r w:rsidR="00EA2C01" w:rsidRPr="00EA2C01">
        <w:rPr>
          <w:sz w:val="24"/>
          <w:szCs w:val="24"/>
        </w:rPr>
        <w:fldChar w:fldCharType="separate"/>
      </w:r>
      <w:r w:rsidR="00EA2C01" w:rsidRPr="00EA2C01">
        <w:rPr>
          <w:rFonts w:cs="Times New Roman"/>
          <w:sz w:val="24"/>
          <w:szCs w:val="24"/>
        </w:rPr>
        <w:t>(U</w:t>
      </w:r>
      <w:r w:rsidR="00DE2B44">
        <w:rPr>
          <w:rFonts w:cs="Times New Roman"/>
          <w:sz w:val="24"/>
          <w:szCs w:val="24"/>
        </w:rPr>
        <w:t>.</w:t>
      </w:r>
      <w:r w:rsidR="00EA2C01" w:rsidRPr="00EA2C01">
        <w:rPr>
          <w:rFonts w:cs="Times New Roman"/>
          <w:sz w:val="24"/>
          <w:szCs w:val="24"/>
        </w:rPr>
        <w:t>S</w:t>
      </w:r>
      <w:r w:rsidR="00DE2B44">
        <w:rPr>
          <w:rFonts w:cs="Times New Roman"/>
          <w:sz w:val="24"/>
          <w:szCs w:val="24"/>
        </w:rPr>
        <w:t>.</w:t>
      </w:r>
      <w:r w:rsidR="00EA2C01" w:rsidRPr="00EA2C01">
        <w:rPr>
          <w:rFonts w:cs="Times New Roman"/>
          <w:sz w:val="24"/>
          <w:szCs w:val="24"/>
        </w:rPr>
        <w:t xml:space="preserve"> EPA, 2014)</w:t>
      </w:r>
      <w:r w:rsidR="00EA2C01" w:rsidRPr="00EA2C01">
        <w:rPr>
          <w:sz w:val="24"/>
          <w:szCs w:val="24"/>
        </w:rPr>
        <w:fldChar w:fldCharType="end"/>
      </w:r>
      <w:r w:rsidR="00E32C52" w:rsidRPr="00EA2C01">
        <w:rPr>
          <w:sz w:val="24"/>
          <w:szCs w:val="24"/>
        </w:rPr>
        <w:t>.</w:t>
      </w:r>
      <w:r w:rsidR="00BB011B" w:rsidRPr="00EA2C01">
        <w:rPr>
          <w:sz w:val="24"/>
          <w:szCs w:val="24"/>
        </w:rPr>
        <w:t xml:space="preserve"> Some of the variables in the </w:t>
      </w:r>
      <w:r w:rsidR="00885EA2" w:rsidRPr="00EA2C01">
        <w:rPr>
          <w:sz w:val="24"/>
          <w:szCs w:val="24"/>
        </w:rPr>
        <w:t>SLD</w:t>
      </w:r>
      <w:r w:rsidR="00BB011B" w:rsidRPr="00EA2C01">
        <w:rPr>
          <w:sz w:val="24"/>
          <w:szCs w:val="24"/>
        </w:rPr>
        <w:t xml:space="preserve"> were updated using more recent figures obtained from the</w:t>
      </w:r>
      <w:r w:rsidR="00867DB1" w:rsidRPr="00EA2C01">
        <w:rPr>
          <w:sz w:val="24"/>
          <w:szCs w:val="24"/>
        </w:rPr>
        <w:t xml:space="preserve"> 2016</w:t>
      </w:r>
      <w:r w:rsidR="00BB011B" w:rsidRPr="00EA2C01">
        <w:rPr>
          <w:sz w:val="24"/>
          <w:szCs w:val="24"/>
        </w:rPr>
        <w:t xml:space="preserve"> American Community Survey </w:t>
      </w:r>
      <w:r w:rsidR="00867DB1" w:rsidRPr="00EA2C01">
        <w:rPr>
          <w:sz w:val="24"/>
          <w:szCs w:val="24"/>
        </w:rPr>
        <w:t>(ACS) dataset.</w:t>
      </w:r>
      <w:r w:rsidR="00366BEF" w:rsidRPr="00EA2C01">
        <w:rPr>
          <w:sz w:val="24"/>
          <w:szCs w:val="24"/>
        </w:rPr>
        <w:t xml:space="preserve"> </w:t>
      </w:r>
      <w:r w:rsidR="00816BB2">
        <w:rPr>
          <w:sz w:val="24"/>
          <w:szCs w:val="24"/>
        </w:rPr>
        <w:t>The network</w:t>
      </w:r>
      <w:r w:rsidR="00EA2C01" w:rsidRPr="00EA2C01">
        <w:rPr>
          <w:sz w:val="24"/>
          <w:szCs w:val="24"/>
        </w:rPr>
        <w:t xml:space="preserve"> distances (skims) used in this study are based on the</w:t>
      </w:r>
      <w:r w:rsidR="00156240" w:rsidRPr="00EA2C01">
        <w:rPr>
          <w:sz w:val="24"/>
          <w:szCs w:val="24"/>
        </w:rPr>
        <w:t xml:space="preserve"> zoning and network information of the study area as used by the Capital Area Metropolitan Planning Organization (CAMPO) in their travel demand forecasting models</w:t>
      </w:r>
      <w:r w:rsidR="008D2A78" w:rsidRPr="00EA2C01">
        <w:rPr>
          <w:sz w:val="24"/>
          <w:szCs w:val="24"/>
        </w:rPr>
        <w:t>.</w:t>
      </w:r>
      <w:r w:rsidR="000E441A" w:rsidRPr="00EA2C01">
        <w:rPr>
          <w:sz w:val="24"/>
          <w:szCs w:val="24"/>
        </w:rPr>
        <w:t xml:space="preserve"> </w:t>
      </w:r>
      <w:r w:rsidR="00156240" w:rsidRPr="00EA2C01">
        <w:rPr>
          <w:sz w:val="24"/>
          <w:szCs w:val="24"/>
        </w:rPr>
        <w:t xml:space="preserve">CAMPO is responsible for transportation planning in the city of Austin. The zoning and network information were </w:t>
      </w:r>
      <w:r w:rsidR="00DE3146" w:rsidRPr="00EA2C01">
        <w:rPr>
          <w:sz w:val="24"/>
          <w:szCs w:val="24"/>
        </w:rPr>
        <w:t>acquired</w:t>
      </w:r>
      <w:r w:rsidR="00FA19B9" w:rsidRPr="00EA2C01">
        <w:rPr>
          <w:sz w:val="24"/>
          <w:szCs w:val="24"/>
        </w:rPr>
        <w:t xml:space="preserve"> for the counties </w:t>
      </w:r>
      <w:r w:rsidR="00332F2E" w:rsidRPr="00EA2C01">
        <w:rPr>
          <w:sz w:val="24"/>
          <w:szCs w:val="24"/>
        </w:rPr>
        <w:t xml:space="preserve">of </w:t>
      </w:r>
      <w:r w:rsidR="00FA19B9" w:rsidRPr="00EA2C01">
        <w:rPr>
          <w:sz w:val="24"/>
          <w:szCs w:val="24"/>
        </w:rPr>
        <w:t>Burnet, Bastrop, Caldwe</w:t>
      </w:r>
      <w:r w:rsidR="00332F2E" w:rsidRPr="00EA2C01">
        <w:rPr>
          <w:sz w:val="24"/>
          <w:szCs w:val="24"/>
        </w:rPr>
        <w:t>ll, Hays, Travis and Williamson</w:t>
      </w:r>
      <w:r w:rsidR="00BB011B" w:rsidRPr="00EA2C01">
        <w:rPr>
          <w:sz w:val="24"/>
          <w:szCs w:val="24"/>
        </w:rPr>
        <w:t>.</w:t>
      </w:r>
      <w:r w:rsidR="00332F2E" w:rsidRPr="00EA2C01">
        <w:rPr>
          <w:sz w:val="24"/>
          <w:szCs w:val="24"/>
        </w:rPr>
        <w:t xml:space="preserve"> The six counties </w:t>
      </w:r>
      <w:r w:rsidR="00CA05BC" w:rsidRPr="00EA2C01">
        <w:rPr>
          <w:sz w:val="24"/>
          <w:szCs w:val="24"/>
        </w:rPr>
        <w:t>comprise</w:t>
      </w:r>
      <w:r w:rsidR="00F04444">
        <w:rPr>
          <w:sz w:val="24"/>
          <w:szCs w:val="24"/>
        </w:rPr>
        <w:t xml:space="preserve"> </w:t>
      </w:r>
      <w:r w:rsidR="00FA19B9" w:rsidRPr="00EA2C01">
        <w:rPr>
          <w:sz w:val="24"/>
          <w:szCs w:val="24"/>
        </w:rPr>
        <w:t>a total of 2102 traffic analysis zones (TAZs).</w:t>
      </w:r>
    </w:p>
    <w:p w14:paraId="43038E5E" w14:textId="7AF867D7" w:rsidR="00DB1DD5" w:rsidRPr="002F335D" w:rsidRDefault="00BB011B" w:rsidP="00F7439A">
      <w:pPr>
        <w:spacing w:after="0" w:line="240" w:lineRule="auto"/>
        <w:rPr>
          <w:sz w:val="24"/>
          <w:szCs w:val="24"/>
        </w:rPr>
      </w:pPr>
      <w:r w:rsidRPr="002F335D">
        <w:rPr>
          <w:sz w:val="24"/>
          <w:szCs w:val="24"/>
        </w:rPr>
        <w:t xml:space="preserve"> </w:t>
      </w:r>
    </w:p>
    <w:p w14:paraId="2A19B0E6" w14:textId="11984D3E" w:rsidR="00A8790A" w:rsidRPr="002F335D" w:rsidRDefault="00A8790A" w:rsidP="00F7439A">
      <w:pPr>
        <w:pStyle w:val="Heading2"/>
        <w:spacing w:before="0" w:line="240" w:lineRule="auto"/>
        <w:rPr>
          <w:szCs w:val="24"/>
        </w:rPr>
      </w:pPr>
      <w:bookmarkStart w:id="5" w:name="_Ref6119045"/>
      <w:r w:rsidRPr="002F335D">
        <w:rPr>
          <w:szCs w:val="24"/>
        </w:rPr>
        <w:t xml:space="preserve">Ride Austin </w:t>
      </w:r>
      <w:r w:rsidR="00EA2C01" w:rsidRPr="002F335D">
        <w:rPr>
          <w:szCs w:val="24"/>
        </w:rPr>
        <w:t>P</w:t>
      </w:r>
      <w:r w:rsidRPr="002F335D">
        <w:rPr>
          <w:szCs w:val="24"/>
        </w:rPr>
        <w:t xml:space="preserve">assenger </w:t>
      </w:r>
      <w:r w:rsidR="00EA2C01" w:rsidRPr="002F335D">
        <w:rPr>
          <w:szCs w:val="24"/>
        </w:rPr>
        <w:t>T</w:t>
      </w:r>
      <w:r w:rsidRPr="002F335D">
        <w:rPr>
          <w:szCs w:val="24"/>
        </w:rPr>
        <w:t xml:space="preserve">rips </w:t>
      </w:r>
      <w:r w:rsidR="00EA2C01" w:rsidRPr="002F335D">
        <w:rPr>
          <w:szCs w:val="24"/>
        </w:rPr>
        <w:t>D</w:t>
      </w:r>
      <w:r w:rsidRPr="002F335D">
        <w:rPr>
          <w:szCs w:val="24"/>
        </w:rPr>
        <w:t>ataset</w:t>
      </w:r>
      <w:bookmarkEnd w:id="5"/>
    </w:p>
    <w:p w14:paraId="5F70D0FC" w14:textId="6A996C7A" w:rsidR="005852D4" w:rsidRPr="002F335D" w:rsidRDefault="009A417A" w:rsidP="00F7439A">
      <w:pPr>
        <w:spacing w:after="0" w:line="240" w:lineRule="auto"/>
        <w:rPr>
          <w:sz w:val="24"/>
          <w:szCs w:val="24"/>
        </w:rPr>
      </w:pPr>
      <w:r w:rsidRPr="002F335D">
        <w:rPr>
          <w:sz w:val="24"/>
          <w:szCs w:val="24"/>
        </w:rPr>
        <w:t>The Ride Austin dataset</w:t>
      </w:r>
      <w:r w:rsidR="00E25813" w:rsidRPr="002F335D">
        <w:rPr>
          <w:sz w:val="24"/>
          <w:szCs w:val="24"/>
        </w:rPr>
        <w:t xml:space="preserve"> contains the anonymized records of every passenger trip </w:t>
      </w:r>
      <w:r w:rsidR="00AE5705" w:rsidRPr="002F335D">
        <w:rPr>
          <w:sz w:val="24"/>
          <w:szCs w:val="24"/>
        </w:rPr>
        <w:t>made</w:t>
      </w:r>
      <w:r w:rsidR="00E25813" w:rsidRPr="002F335D">
        <w:rPr>
          <w:sz w:val="24"/>
          <w:szCs w:val="24"/>
        </w:rPr>
        <w:t xml:space="preserve"> using the Ride Austin application </w:t>
      </w:r>
      <w:r w:rsidR="0030385F" w:rsidRPr="002F335D">
        <w:rPr>
          <w:sz w:val="24"/>
          <w:szCs w:val="24"/>
        </w:rPr>
        <w:t xml:space="preserve">between </w:t>
      </w:r>
      <w:r w:rsidR="000C1968" w:rsidRPr="002F335D">
        <w:rPr>
          <w:sz w:val="24"/>
          <w:szCs w:val="24"/>
        </w:rPr>
        <w:t>early</w:t>
      </w:r>
      <w:r w:rsidR="00AE5705" w:rsidRPr="002F335D">
        <w:rPr>
          <w:sz w:val="24"/>
          <w:szCs w:val="24"/>
        </w:rPr>
        <w:t>-</w:t>
      </w:r>
      <w:r w:rsidR="000C1968" w:rsidRPr="002F335D">
        <w:rPr>
          <w:sz w:val="24"/>
          <w:szCs w:val="24"/>
        </w:rPr>
        <w:t>June 2016 and mid-April 2017</w:t>
      </w:r>
      <w:r w:rsidR="00E25813" w:rsidRPr="002F335D">
        <w:rPr>
          <w:sz w:val="24"/>
          <w:szCs w:val="24"/>
        </w:rPr>
        <w:t xml:space="preserve">. There are </w:t>
      </w:r>
      <w:r w:rsidR="0030385F" w:rsidRPr="002F335D">
        <w:rPr>
          <w:sz w:val="24"/>
          <w:szCs w:val="24"/>
        </w:rPr>
        <w:t>1,494,125</w:t>
      </w:r>
      <w:r w:rsidR="00E25813" w:rsidRPr="002F335D">
        <w:rPr>
          <w:sz w:val="24"/>
          <w:szCs w:val="24"/>
        </w:rPr>
        <w:t xml:space="preserve"> </w:t>
      </w:r>
      <w:r w:rsidR="00AE5705" w:rsidRPr="002F335D">
        <w:rPr>
          <w:sz w:val="24"/>
          <w:szCs w:val="24"/>
        </w:rPr>
        <w:t xml:space="preserve">trip </w:t>
      </w:r>
      <w:r w:rsidR="00E25813" w:rsidRPr="002F335D">
        <w:rPr>
          <w:sz w:val="24"/>
          <w:szCs w:val="24"/>
        </w:rPr>
        <w:t xml:space="preserve">records in this dataset. </w:t>
      </w:r>
      <w:r w:rsidR="00310266">
        <w:rPr>
          <w:sz w:val="24"/>
          <w:szCs w:val="24"/>
        </w:rPr>
        <w:t xml:space="preserve">Very few trips were recorded </w:t>
      </w:r>
      <w:r w:rsidR="00E01DED" w:rsidRPr="002F335D">
        <w:rPr>
          <w:sz w:val="24"/>
          <w:szCs w:val="24"/>
        </w:rPr>
        <w:t xml:space="preserve">in the initial months of the operation of Ride </w:t>
      </w:r>
      <w:r w:rsidR="00E01DED" w:rsidRPr="002F335D">
        <w:rPr>
          <w:sz w:val="24"/>
          <w:szCs w:val="24"/>
        </w:rPr>
        <w:lastRenderedPageBreak/>
        <w:t>Austin</w:t>
      </w:r>
      <w:r w:rsidR="00E01DED">
        <w:rPr>
          <w:sz w:val="24"/>
          <w:szCs w:val="24"/>
        </w:rPr>
        <w:t xml:space="preserve">. </w:t>
      </w:r>
      <w:r w:rsidR="00E01DED" w:rsidRPr="002F335D">
        <w:rPr>
          <w:sz w:val="24"/>
          <w:szCs w:val="24"/>
        </w:rPr>
        <w:t xml:space="preserve">To better capture ride-hailing usage patterns in steady state, only data for the period of October 2016 to mid-April 2017 (corresponding to 195 days of data) </w:t>
      </w:r>
      <w:r w:rsidR="00310266">
        <w:rPr>
          <w:sz w:val="24"/>
          <w:szCs w:val="24"/>
        </w:rPr>
        <w:t>are</w:t>
      </w:r>
      <w:r w:rsidR="00E01DED" w:rsidRPr="002F335D">
        <w:rPr>
          <w:sz w:val="24"/>
          <w:szCs w:val="24"/>
        </w:rPr>
        <w:t xml:space="preserve"> used in this study. </w:t>
      </w:r>
      <w:r w:rsidR="00E25813" w:rsidRPr="002F335D">
        <w:rPr>
          <w:sz w:val="24"/>
          <w:szCs w:val="24"/>
        </w:rPr>
        <w:t xml:space="preserve">Each record in the dataset </w:t>
      </w:r>
      <w:r w:rsidR="00DE3146" w:rsidRPr="002F335D">
        <w:rPr>
          <w:sz w:val="24"/>
          <w:szCs w:val="24"/>
        </w:rPr>
        <w:t>includes</w:t>
      </w:r>
      <w:r w:rsidR="00E25813" w:rsidRPr="002F335D">
        <w:rPr>
          <w:sz w:val="24"/>
          <w:szCs w:val="24"/>
        </w:rPr>
        <w:t xml:space="preserve"> the coordinates o</w:t>
      </w:r>
      <w:r w:rsidR="00B163D7" w:rsidRPr="002F335D">
        <w:rPr>
          <w:sz w:val="24"/>
          <w:szCs w:val="24"/>
        </w:rPr>
        <w:t xml:space="preserve">f the origin and destination, </w:t>
      </w:r>
      <w:r w:rsidR="00DE3146" w:rsidRPr="002F335D">
        <w:rPr>
          <w:sz w:val="24"/>
          <w:szCs w:val="24"/>
        </w:rPr>
        <w:t>the</w:t>
      </w:r>
      <w:r w:rsidR="00AE5705" w:rsidRPr="002F335D">
        <w:rPr>
          <w:sz w:val="24"/>
          <w:szCs w:val="24"/>
        </w:rPr>
        <w:t xml:space="preserve"> trip</w:t>
      </w:r>
      <w:r w:rsidR="00DE3146" w:rsidRPr="002F335D">
        <w:rPr>
          <w:sz w:val="24"/>
          <w:szCs w:val="24"/>
        </w:rPr>
        <w:t xml:space="preserve"> </w:t>
      </w:r>
      <w:proofErr w:type="gramStart"/>
      <w:r w:rsidR="00DE3146" w:rsidRPr="002F335D">
        <w:rPr>
          <w:sz w:val="24"/>
          <w:szCs w:val="24"/>
        </w:rPr>
        <w:t>start</w:t>
      </w:r>
      <w:proofErr w:type="gramEnd"/>
      <w:r w:rsidR="00DE3146" w:rsidRPr="002F335D">
        <w:rPr>
          <w:sz w:val="24"/>
          <w:szCs w:val="24"/>
        </w:rPr>
        <w:t xml:space="preserve"> and end times, </w:t>
      </w:r>
      <w:r w:rsidR="00B163D7" w:rsidRPr="002F335D">
        <w:rPr>
          <w:sz w:val="24"/>
          <w:szCs w:val="24"/>
        </w:rPr>
        <w:t>an</w:t>
      </w:r>
      <w:r w:rsidR="00AE5705" w:rsidRPr="002F335D">
        <w:rPr>
          <w:sz w:val="24"/>
          <w:szCs w:val="24"/>
        </w:rPr>
        <w:t>d</w:t>
      </w:r>
      <w:r w:rsidR="00B163D7" w:rsidRPr="002F335D">
        <w:rPr>
          <w:sz w:val="24"/>
          <w:szCs w:val="24"/>
        </w:rPr>
        <w:t xml:space="preserve"> identifier</w:t>
      </w:r>
      <w:r w:rsidR="00AE5705" w:rsidRPr="002F335D">
        <w:rPr>
          <w:sz w:val="24"/>
          <w:szCs w:val="24"/>
        </w:rPr>
        <w:t>s</w:t>
      </w:r>
      <w:r w:rsidR="00B163D7" w:rsidRPr="002F335D">
        <w:rPr>
          <w:sz w:val="24"/>
          <w:szCs w:val="24"/>
        </w:rPr>
        <w:t xml:space="preserve"> for the driver</w:t>
      </w:r>
      <w:r w:rsidR="00AE5705" w:rsidRPr="002F335D">
        <w:rPr>
          <w:sz w:val="24"/>
          <w:szCs w:val="24"/>
        </w:rPr>
        <w:t xml:space="preserve"> and passenger</w:t>
      </w:r>
      <w:r w:rsidR="00B163D7" w:rsidRPr="002F335D">
        <w:rPr>
          <w:sz w:val="24"/>
          <w:szCs w:val="24"/>
        </w:rPr>
        <w:t xml:space="preserve">. </w:t>
      </w:r>
      <w:r w:rsidR="005852D4" w:rsidRPr="002F335D">
        <w:rPr>
          <w:sz w:val="24"/>
          <w:szCs w:val="24"/>
        </w:rPr>
        <w:t xml:space="preserve">The service did not allow for the sharing of rides between strangers. In other words, drivers would receive new ride requests only </w:t>
      </w:r>
      <w:r w:rsidR="00FF06C9" w:rsidRPr="002F335D">
        <w:rPr>
          <w:sz w:val="24"/>
          <w:szCs w:val="24"/>
        </w:rPr>
        <w:t>when</w:t>
      </w:r>
      <w:r w:rsidR="005852D4" w:rsidRPr="002F335D">
        <w:rPr>
          <w:sz w:val="24"/>
          <w:szCs w:val="24"/>
        </w:rPr>
        <w:t xml:space="preserve"> there </w:t>
      </w:r>
      <w:r w:rsidR="00AE5705" w:rsidRPr="002F335D">
        <w:rPr>
          <w:sz w:val="24"/>
          <w:szCs w:val="24"/>
        </w:rPr>
        <w:t>were</w:t>
      </w:r>
      <w:r w:rsidR="005852D4" w:rsidRPr="002F335D">
        <w:rPr>
          <w:sz w:val="24"/>
          <w:szCs w:val="24"/>
        </w:rPr>
        <w:t xml:space="preserve"> no passengers in the vehicle. This is in contrast to the ride-sharing services provided by some of the competing </w:t>
      </w:r>
      <w:r w:rsidR="00F54F32" w:rsidRPr="002F335D">
        <w:rPr>
          <w:sz w:val="24"/>
          <w:szCs w:val="24"/>
        </w:rPr>
        <w:t>TNCs</w:t>
      </w:r>
      <w:r w:rsidR="005852D4" w:rsidRPr="002F335D">
        <w:rPr>
          <w:sz w:val="24"/>
          <w:szCs w:val="24"/>
        </w:rPr>
        <w:t xml:space="preserve"> (</w:t>
      </w:r>
      <w:r w:rsidR="00AE5705" w:rsidRPr="00BF7326">
        <w:rPr>
          <w:i/>
          <w:sz w:val="24"/>
          <w:szCs w:val="24"/>
        </w:rPr>
        <w:t>e.g.</w:t>
      </w:r>
      <w:r w:rsidR="00AE5705" w:rsidRPr="002F335D">
        <w:rPr>
          <w:sz w:val="24"/>
          <w:szCs w:val="24"/>
        </w:rPr>
        <w:t xml:space="preserve">, </w:t>
      </w:r>
      <w:r w:rsidR="005852D4" w:rsidRPr="002F335D">
        <w:rPr>
          <w:sz w:val="24"/>
          <w:szCs w:val="24"/>
        </w:rPr>
        <w:t xml:space="preserve">Uber Pool and Lyft </w:t>
      </w:r>
      <w:r w:rsidR="00AE5705" w:rsidRPr="002F335D">
        <w:rPr>
          <w:sz w:val="24"/>
          <w:szCs w:val="24"/>
        </w:rPr>
        <w:t>Shared</w:t>
      </w:r>
      <w:r w:rsidR="005852D4" w:rsidRPr="002F335D">
        <w:rPr>
          <w:sz w:val="24"/>
          <w:szCs w:val="24"/>
        </w:rPr>
        <w:t xml:space="preserve">) where new passengers may be picked up </w:t>
      </w:r>
      <w:proofErr w:type="spellStart"/>
      <w:r w:rsidR="005852D4" w:rsidRPr="002F335D">
        <w:rPr>
          <w:sz w:val="24"/>
          <w:szCs w:val="24"/>
        </w:rPr>
        <w:t>enroute</w:t>
      </w:r>
      <w:proofErr w:type="spellEnd"/>
      <w:r w:rsidR="005852D4" w:rsidRPr="002F335D">
        <w:rPr>
          <w:sz w:val="24"/>
          <w:szCs w:val="24"/>
        </w:rPr>
        <w:t xml:space="preserve"> to the destination of </w:t>
      </w:r>
      <w:r w:rsidR="00E41781" w:rsidRPr="002F335D">
        <w:rPr>
          <w:sz w:val="24"/>
          <w:szCs w:val="24"/>
        </w:rPr>
        <w:t xml:space="preserve">a </w:t>
      </w:r>
      <w:r w:rsidR="005852D4" w:rsidRPr="002F335D">
        <w:rPr>
          <w:sz w:val="24"/>
          <w:szCs w:val="24"/>
        </w:rPr>
        <w:t>passenger already in the vehicle. The lack of a ride-sharing option</w:t>
      </w:r>
      <w:r w:rsidR="009A6474" w:rsidRPr="002F335D">
        <w:rPr>
          <w:sz w:val="24"/>
          <w:szCs w:val="24"/>
        </w:rPr>
        <w:t xml:space="preserve"> ensures</w:t>
      </w:r>
      <w:r w:rsidR="005852D4" w:rsidRPr="002F335D">
        <w:rPr>
          <w:sz w:val="24"/>
          <w:szCs w:val="24"/>
        </w:rPr>
        <w:t xml:space="preserve"> that each passenger trip </w:t>
      </w:r>
      <w:r w:rsidR="00AE5705" w:rsidRPr="002F335D">
        <w:rPr>
          <w:sz w:val="24"/>
          <w:szCs w:val="24"/>
        </w:rPr>
        <w:t xml:space="preserve">in the dataset </w:t>
      </w:r>
      <w:r w:rsidR="005852D4" w:rsidRPr="002F335D">
        <w:rPr>
          <w:sz w:val="24"/>
          <w:szCs w:val="24"/>
        </w:rPr>
        <w:t>is associated with only one passenger account.</w:t>
      </w:r>
    </w:p>
    <w:p w14:paraId="38616232" w14:textId="0A3A97BE" w:rsidR="00D33D2C" w:rsidRDefault="00E01DED" w:rsidP="00851BBD">
      <w:pPr>
        <w:spacing w:after="0" w:line="240" w:lineRule="auto"/>
        <w:ind w:firstLine="720"/>
        <w:rPr>
          <w:sz w:val="24"/>
          <w:szCs w:val="24"/>
        </w:rPr>
      </w:pPr>
      <w:r w:rsidRPr="002F335D">
        <w:rPr>
          <w:sz w:val="24"/>
          <w:szCs w:val="24"/>
        </w:rPr>
        <w:t xml:space="preserve">The </w:t>
      </w:r>
      <w:r w:rsidR="00C26653">
        <w:rPr>
          <w:sz w:val="24"/>
          <w:szCs w:val="24"/>
        </w:rPr>
        <w:t xml:space="preserve">location </w:t>
      </w:r>
      <w:r w:rsidRPr="002F335D">
        <w:rPr>
          <w:sz w:val="24"/>
          <w:szCs w:val="24"/>
        </w:rPr>
        <w:t>coordinates in the dataset are censored to three decimal places to protect passenger privacy</w:t>
      </w:r>
      <w:r w:rsidR="006E63B2">
        <w:rPr>
          <w:sz w:val="24"/>
          <w:szCs w:val="24"/>
        </w:rPr>
        <w:t>. I</w:t>
      </w:r>
      <w:r w:rsidRPr="002F335D">
        <w:rPr>
          <w:sz w:val="24"/>
          <w:szCs w:val="24"/>
        </w:rPr>
        <w:t>f the coordinates were truncated to three decimal places and not rounded, this corresponds to a maximum radial error in distance measurement of approximately 147 meters</w:t>
      </w:r>
      <w:r w:rsidR="001F6056">
        <w:rPr>
          <w:sz w:val="24"/>
          <w:szCs w:val="24"/>
        </w:rPr>
        <w:t xml:space="preserve"> (about 500 feet)</w:t>
      </w:r>
      <w:r w:rsidRPr="002F335D">
        <w:rPr>
          <w:sz w:val="24"/>
          <w:szCs w:val="24"/>
        </w:rPr>
        <w:t>.</w:t>
      </w:r>
      <w:r>
        <w:rPr>
          <w:sz w:val="24"/>
          <w:szCs w:val="24"/>
        </w:rPr>
        <w:t xml:space="preserve"> </w:t>
      </w:r>
      <w:r w:rsidR="00D33D2C">
        <w:rPr>
          <w:sz w:val="24"/>
          <w:szCs w:val="24"/>
        </w:rPr>
        <w:t xml:space="preserve">The passengers may also have walked some distance from their original drop-off point to reach their final destination. </w:t>
      </w:r>
      <w:r w:rsidR="00C26653">
        <w:rPr>
          <w:sz w:val="24"/>
          <w:szCs w:val="24"/>
        </w:rPr>
        <w:t xml:space="preserve">The error in </w:t>
      </w:r>
      <w:r w:rsidR="00BD5510">
        <w:rPr>
          <w:sz w:val="24"/>
          <w:szCs w:val="24"/>
        </w:rPr>
        <w:t xml:space="preserve">the </w:t>
      </w:r>
      <w:r w:rsidR="00C26653">
        <w:rPr>
          <w:sz w:val="24"/>
          <w:szCs w:val="24"/>
        </w:rPr>
        <w:t xml:space="preserve">observed location </w:t>
      </w:r>
      <w:r w:rsidR="006E63B2">
        <w:rPr>
          <w:sz w:val="24"/>
          <w:szCs w:val="24"/>
        </w:rPr>
        <w:t>caused by</w:t>
      </w:r>
      <w:r w:rsidR="00C26653">
        <w:rPr>
          <w:sz w:val="24"/>
          <w:szCs w:val="24"/>
        </w:rPr>
        <w:t xml:space="preserve"> these factors</w:t>
      </w:r>
      <w:r w:rsidR="00D33D2C">
        <w:rPr>
          <w:sz w:val="24"/>
          <w:szCs w:val="24"/>
        </w:rPr>
        <w:t xml:space="preserve"> </w:t>
      </w:r>
      <w:r w:rsidR="006E63B2">
        <w:rPr>
          <w:sz w:val="24"/>
          <w:szCs w:val="24"/>
        </w:rPr>
        <w:t>is</w:t>
      </w:r>
      <w:r w:rsidR="00D33D2C">
        <w:rPr>
          <w:sz w:val="24"/>
          <w:szCs w:val="24"/>
        </w:rPr>
        <w:t xml:space="preserve"> unlikely to have a s</w:t>
      </w:r>
      <w:r w:rsidR="00310266">
        <w:rPr>
          <w:sz w:val="24"/>
          <w:szCs w:val="24"/>
        </w:rPr>
        <w:t>ubstantial</w:t>
      </w:r>
      <w:r w:rsidR="00D33D2C">
        <w:rPr>
          <w:sz w:val="24"/>
          <w:szCs w:val="24"/>
        </w:rPr>
        <w:t xml:space="preserve"> impact on our modeling efforts because the attributes of an area </w:t>
      </w:r>
      <w:r w:rsidR="00C26653">
        <w:rPr>
          <w:sz w:val="24"/>
          <w:szCs w:val="24"/>
        </w:rPr>
        <w:t xml:space="preserve">generally </w:t>
      </w:r>
      <w:r w:rsidR="00D33D2C">
        <w:rPr>
          <w:sz w:val="24"/>
          <w:szCs w:val="24"/>
        </w:rPr>
        <w:t xml:space="preserve">would not vary significantly over a distance of </w:t>
      </w:r>
      <w:r w:rsidR="001F6056">
        <w:rPr>
          <w:sz w:val="24"/>
          <w:szCs w:val="24"/>
        </w:rPr>
        <w:t>500 feet</w:t>
      </w:r>
      <w:r w:rsidR="00D33D2C">
        <w:rPr>
          <w:sz w:val="24"/>
          <w:szCs w:val="24"/>
        </w:rPr>
        <w:t xml:space="preserve">. Even if the designated area type changes within this distance, such as from urban to suburban, the variation </w:t>
      </w:r>
      <w:r w:rsidR="006E63B2">
        <w:rPr>
          <w:sz w:val="24"/>
          <w:szCs w:val="24"/>
        </w:rPr>
        <w:t>is likely to be gradual so that it would be reasonable to consider either locations as suburban or urban</w:t>
      </w:r>
      <w:r w:rsidR="00D33D2C">
        <w:rPr>
          <w:sz w:val="24"/>
          <w:szCs w:val="24"/>
        </w:rPr>
        <w:t xml:space="preserve">. </w:t>
      </w:r>
      <w:r w:rsidR="00100D81">
        <w:rPr>
          <w:sz w:val="24"/>
          <w:szCs w:val="24"/>
        </w:rPr>
        <w:t xml:space="preserve">Besides, the average area of a traffic analysis zone (or TAZ) used as the spatial unit of analysis is of the order of 2.5 </w:t>
      </w:r>
      <w:r w:rsidR="002F6960">
        <w:rPr>
          <w:sz w:val="24"/>
          <w:szCs w:val="24"/>
        </w:rPr>
        <w:t xml:space="preserve">square </w:t>
      </w:r>
      <w:r w:rsidR="00100D81">
        <w:rPr>
          <w:sz w:val="24"/>
          <w:szCs w:val="24"/>
        </w:rPr>
        <w:t>miles (as presented later in Table 1). Assuming a square pattern, the size dimension of a TAZ is about 1.6 miles or 8500 feet.</w:t>
      </w:r>
      <w:r w:rsidR="00BB414B">
        <w:rPr>
          <w:sz w:val="24"/>
          <w:szCs w:val="24"/>
        </w:rPr>
        <w:t xml:space="preserve"> Thus,</w:t>
      </w:r>
      <w:r w:rsidR="001F6056">
        <w:rPr>
          <w:sz w:val="24"/>
          <w:szCs w:val="24"/>
        </w:rPr>
        <w:t xml:space="preserve"> misclassifications of a location into a TAZ would be of the order of 10% [</w:t>
      </w:r>
      <w:r w:rsidR="009E2D8C" w:rsidRPr="000246C8">
        <w:rPr>
          <w:position w:val="-10"/>
          <w:sz w:val="24"/>
          <w:szCs w:val="24"/>
        </w:rPr>
        <w:object w:dxaOrig="4140" w:dyaOrig="320" w14:anchorId="61E80D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15pt" o:ole="" o:preferrelative="f">
            <v:imagedata r:id="rId16" o:title=""/>
            <o:lock v:ext="edit" aspectratio="f"/>
          </v:shape>
          <o:OLEObject Type="Embed" ProgID="Equation.DSMT4" ShapeID="_x0000_i1025" DrawAspect="Content" ObjectID="_1646040553" r:id="rId17"/>
        </w:object>
      </w:r>
      <w:r w:rsidR="006D5F57">
        <w:rPr>
          <w:sz w:val="24"/>
          <w:szCs w:val="24"/>
        </w:rPr>
        <w:t xml:space="preserve">] </w:t>
      </w:r>
      <w:r w:rsidR="001F6056">
        <w:rPr>
          <w:sz w:val="24"/>
          <w:szCs w:val="24"/>
        </w:rPr>
        <w:t xml:space="preserve">which should not affect the model results in any substantial way. </w:t>
      </w:r>
    </w:p>
    <w:p w14:paraId="1246B1C6" w14:textId="77777777" w:rsidR="00FC1441" w:rsidRDefault="00FC1441" w:rsidP="00FC1441">
      <w:pPr>
        <w:spacing w:after="0" w:line="240" w:lineRule="auto"/>
        <w:ind w:firstLine="720"/>
        <w:rPr>
          <w:sz w:val="24"/>
          <w:szCs w:val="24"/>
        </w:rPr>
      </w:pPr>
      <w:r w:rsidRPr="002F335D">
        <w:rPr>
          <w:sz w:val="24"/>
          <w:szCs w:val="24"/>
        </w:rPr>
        <w:t>Since it is computationally demanding to model locations as a continuous measure in the context of travel demand forecasting, all locations were mapped to their corresponding TAZs. A map of the average number of daily ride-hailing passenger trips generated by each TAZ (on a per square mile basis to account for differential TAZ sizes) is shown in</w:t>
      </w:r>
      <w:r>
        <w:rPr>
          <w:sz w:val="24"/>
          <w:szCs w:val="24"/>
        </w:rPr>
        <w:t xml:space="preserve"> Figure 1. The figure also shows the classification of the study area into urban, suburban and rural areas. Within the urban area, the central region with relatively high commercial and business activity is designated as the Central Business District (CBD). </w:t>
      </w:r>
      <w:r w:rsidRPr="002F335D">
        <w:rPr>
          <w:sz w:val="24"/>
          <w:szCs w:val="24"/>
        </w:rPr>
        <w:t xml:space="preserve">In terms of density of origin of passenger trips, the zones adjacent to the University of Texas and the </w:t>
      </w:r>
      <w:r>
        <w:rPr>
          <w:sz w:val="24"/>
          <w:szCs w:val="24"/>
        </w:rPr>
        <w:t>CBD</w:t>
      </w:r>
      <w:r w:rsidRPr="002F335D">
        <w:rPr>
          <w:sz w:val="24"/>
          <w:szCs w:val="24"/>
        </w:rPr>
        <w:t xml:space="preserve"> zones had the highest ride-hailing trip originations per square mile, consistent with students availing of ride-hailing services for their trips as well as patrons of bars and other entertainment places in the </w:t>
      </w:r>
      <w:r>
        <w:rPr>
          <w:sz w:val="24"/>
          <w:szCs w:val="24"/>
        </w:rPr>
        <w:t>CBD</w:t>
      </w:r>
      <w:r w:rsidRPr="002F335D">
        <w:rPr>
          <w:sz w:val="24"/>
          <w:szCs w:val="24"/>
        </w:rPr>
        <w:t xml:space="preserve">. In terms of the total number of trip originations, the zone containing the ABIA generated the greatest number of ride-hailing passenger trips. This TAZ was also the destination for the greatest number of ride-hailing trips (this gets a little masked in Figure 1 because the zone containing the airport is a large one, leading to a density of originations that is less than that for the University and Austin downtown areas). In particular, 4.1% of all ride-hailing trips originated in the airport TAZ, and 6% of all ride-hailing trips ended there. </w:t>
      </w:r>
    </w:p>
    <w:p w14:paraId="32964F2E" w14:textId="77E96532" w:rsidR="00160DC8" w:rsidRPr="002F335D" w:rsidRDefault="00FC1441">
      <w:pPr>
        <w:spacing w:after="0" w:line="240" w:lineRule="auto"/>
        <w:ind w:firstLine="720"/>
        <w:rPr>
          <w:sz w:val="24"/>
          <w:szCs w:val="24"/>
        </w:rPr>
      </w:pPr>
      <w:r w:rsidRPr="000E35CE">
        <w:rPr>
          <w:sz w:val="24"/>
          <w:szCs w:val="24"/>
        </w:rPr>
        <w:t>The average number of ride-hailing passenger trips generated by hour of the day and day of the week are shown in</w:t>
      </w:r>
      <w:r>
        <w:rPr>
          <w:sz w:val="24"/>
          <w:szCs w:val="24"/>
        </w:rPr>
        <w:t xml:space="preserve"> Figure 2. </w:t>
      </w:r>
      <w:r w:rsidRPr="000E35CE">
        <w:rPr>
          <w:sz w:val="24"/>
          <w:szCs w:val="24"/>
        </w:rPr>
        <w:t xml:space="preserve">The demand for ride-hailing trips in Austin does not follow the usual time-of-day distributions of travel demand with peaks in the morning and the afternoon, a finding also reported by </w:t>
      </w:r>
      <w:r w:rsidRPr="000E35CE">
        <w:rPr>
          <w:sz w:val="24"/>
          <w:szCs w:val="24"/>
        </w:rPr>
        <w:fldChar w:fldCharType="begin"/>
      </w:r>
      <w:r w:rsidR="00B46899">
        <w:rPr>
          <w:sz w:val="24"/>
          <w:szCs w:val="24"/>
        </w:rPr>
        <w:instrText xml:space="preserve"> ADDIN ZOTERO_ITEM CSL_CITATION {"citationID":"kDifJ09g","properties":{"formattedCitation":"(Komanduri et al., 2018)","plainCitation":"(Komanduri et al., 2018)","dontUpdate":true,"noteIndex":0},"citationItems":[{"id":"pYE2dMDV/ewcNIEnm","uris":["http://zotero.org/users/local/CJ2Dv405/items/UY89PBNF"],"uri":["http://zotero.org/users/local/CJ2Dv405/items/UY89PBNF"],"itemData":{"id":131,"type":"article-journal","abstract":"App-driven ridesharing platforms are gaining popularity and are transforming urban movement patterns in cities throughout the world. Because of privacy and business considerations, their owners have released little information about riders’ tripmaking characteristics. This lack of data prevents planners and modelers from understanding and quantifying the impact of these new modes on regional travel patterns. In 2016, RideAustin, a not-for-profit company, was established to provide mobility-on-demand services in the Austin region. RideAustin released its dataset of over one million trips to researchers to support transportation planning through a better understanding of urban travel flows. This paper presents findings from an in-depth analysis of this dataset and summarizes key aspects of interest to the transportation research community such as the number of riders, drivers, and trips; total vehicle miles including deadhead miles; and terminal times. The paper also presents findings from two case studies that show the competitiveness of RideAustin versus transit and the utilization of the RideAustin system during the South by Southwest festival. While some of the metrics cannot be readily transferred to other regions, several findings can be used by planners and modelers as they integrate rideshare systems within their planning and modeling frameworks. We also believe that some of the research findings may provide insights into a future system of autonomous and shared vehicles.","container-title":"Transportation Research Record: Journal of the Transportation Research Board","DOI":"10.1177/0361198118796025","ISSN":"0361-1981, 2169-4052","language":"en","page":"036119811879602","source":"Crossref","title":"Assessing the Impact of App-Based Ride Share Systems in an Urban Context: Findings from Austin","title-short":"Assessing the Impact of App-Based Ride Share Systems in an Urban Context","author":[{"family":"Komanduri","given":"Anurag"},{"family":"Wafa","given":"Zeina"},{"family":"Proussaloglou","given":"Kimon"},{"family":"Jacobs","given":"Simon"}],"issued":{"date-parts":[["2018",9,11]]}}}],"schema":"https://github.com/citation-style-language/schema/raw/master/csl-citation.json"} </w:instrText>
      </w:r>
      <w:r w:rsidRPr="000E35CE">
        <w:rPr>
          <w:sz w:val="24"/>
          <w:szCs w:val="24"/>
        </w:rPr>
        <w:fldChar w:fldCharType="separate"/>
      </w:r>
      <w:r w:rsidRPr="000E35CE">
        <w:rPr>
          <w:rFonts w:cs="Times New Roman"/>
          <w:sz w:val="24"/>
          <w:szCs w:val="24"/>
        </w:rPr>
        <w:t xml:space="preserve">Komanduri </w:t>
      </w:r>
      <w:r w:rsidRPr="00BF7326">
        <w:rPr>
          <w:rFonts w:cs="Times New Roman"/>
          <w:i/>
          <w:sz w:val="24"/>
          <w:szCs w:val="24"/>
        </w:rPr>
        <w:t>et al</w:t>
      </w:r>
      <w:r w:rsidRPr="000E35CE">
        <w:rPr>
          <w:rFonts w:cs="Times New Roman"/>
          <w:sz w:val="24"/>
          <w:szCs w:val="24"/>
        </w:rPr>
        <w:t>. (2018)</w:t>
      </w:r>
      <w:r w:rsidRPr="000E35CE">
        <w:rPr>
          <w:sz w:val="24"/>
          <w:szCs w:val="24"/>
        </w:rPr>
        <w:fldChar w:fldCharType="end"/>
      </w:r>
      <w:r w:rsidRPr="000E35CE">
        <w:rPr>
          <w:sz w:val="24"/>
          <w:szCs w:val="24"/>
        </w:rPr>
        <w:t>. In Austin, the highest frequency of ride-hailing trips occurs on Friday and Saturday late night periods (and correspondingly Saturday and Sunday early morning periods). Since the purpose and frequency of ride-hailing trips vary by time-of-day,</w:t>
      </w:r>
      <w:r>
        <w:rPr>
          <w:sz w:val="24"/>
          <w:szCs w:val="24"/>
        </w:rPr>
        <w:t xml:space="preserve"> </w:t>
      </w:r>
      <w:r w:rsidRPr="000E35CE">
        <w:rPr>
          <w:sz w:val="24"/>
          <w:szCs w:val="24"/>
        </w:rPr>
        <w:t>four separate models are estimated for the time periods of 7AM to 10AM, 10AM to 4PM and 4PM</w:t>
      </w:r>
    </w:p>
    <w:p w14:paraId="1A26B097" w14:textId="4B4726AC" w:rsidR="00743B72" w:rsidRPr="002F335D" w:rsidRDefault="006E63B2" w:rsidP="00F7439A">
      <w:pPr>
        <w:spacing w:after="0" w:line="240" w:lineRule="auto"/>
        <w:jc w:val="center"/>
        <w:rPr>
          <w:sz w:val="24"/>
          <w:szCs w:val="24"/>
        </w:rPr>
      </w:pPr>
      <w:r>
        <w:rPr>
          <w:noProof/>
          <w:sz w:val="24"/>
          <w:szCs w:val="24"/>
        </w:rPr>
        <w:lastRenderedPageBreak/>
        <w:drawing>
          <wp:inline distT="0" distB="0" distL="0" distR="0" wp14:anchorId="6293A893" wp14:editId="4A8EDF09">
            <wp:extent cx="5935345" cy="7687945"/>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5345" cy="7687945"/>
                    </a:xfrm>
                    <a:prstGeom prst="rect">
                      <a:avLst/>
                    </a:prstGeom>
                    <a:noFill/>
                    <a:ln>
                      <a:noFill/>
                    </a:ln>
                  </pic:spPr>
                </pic:pic>
              </a:graphicData>
            </a:graphic>
          </wp:inline>
        </w:drawing>
      </w:r>
    </w:p>
    <w:p w14:paraId="0DBDB80B" w14:textId="52FB1294" w:rsidR="006B7AE6" w:rsidRDefault="001A50FF" w:rsidP="00E96072">
      <w:pPr>
        <w:pStyle w:val="Caption"/>
        <w:spacing w:after="0" w:line="240" w:lineRule="auto"/>
        <w:jc w:val="center"/>
        <w:rPr>
          <w:sz w:val="24"/>
          <w:szCs w:val="24"/>
        </w:rPr>
      </w:pPr>
      <w:bookmarkStart w:id="6" w:name="_Ref6087930"/>
      <w:bookmarkStart w:id="7" w:name="_Ref6087925"/>
      <w:r w:rsidRPr="006B7AE6">
        <w:rPr>
          <w:sz w:val="24"/>
          <w:szCs w:val="24"/>
        </w:rPr>
        <w:t xml:space="preserve">Figure </w:t>
      </w:r>
      <w:r w:rsidR="001B4142" w:rsidRPr="006B7AE6">
        <w:rPr>
          <w:noProof/>
          <w:sz w:val="24"/>
          <w:szCs w:val="24"/>
        </w:rPr>
        <w:fldChar w:fldCharType="begin"/>
      </w:r>
      <w:r w:rsidR="001B4142" w:rsidRPr="006B7AE6">
        <w:rPr>
          <w:noProof/>
          <w:sz w:val="24"/>
          <w:szCs w:val="24"/>
        </w:rPr>
        <w:instrText xml:space="preserve"> SEQ Figure \* ARABIC </w:instrText>
      </w:r>
      <w:r w:rsidR="001B4142" w:rsidRPr="006B7AE6">
        <w:rPr>
          <w:noProof/>
          <w:sz w:val="24"/>
          <w:szCs w:val="24"/>
        </w:rPr>
        <w:fldChar w:fldCharType="separate"/>
      </w:r>
      <w:r w:rsidR="00740F16">
        <w:rPr>
          <w:noProof/>
          <w:sz w:val="24"/>
          <w:szCs w:val="24"/>
        </w:rPr>
        <w:t>1</w:t>
      </w:r>
      <w:r w:rsidR="001B4142" w:rsidRPr="006B7AE6">
        <w:rPr>
          <w:noProof/>
          <w:sz w:val="24"/>
          <w:szCs w:val="24"/>
        </w:rPr>
        <w:fldChar w:fldCharType="end"/>
      </w:r>
      <w:bookmarkEnd w:id="6"/>
      <w:r w:rsidRPr="006B7AE6">
        <w:rPr>
          <w:sz w:val="24"/>
          <w:szCs w:val="24"/>
        </w:rPr>
        <w:t xml:space="preserve">  Average </w:t>
      </w:r>
      <w:r w:rsidR="005E652D">
        <w:rPr>
          <w:sz w:val="24"/>
          <w:szCs w:val="24"/>
        </w:rPr>
        <w:t>N</w:t>
      </w:r>
      <w:r w:rsidRPr="006B7AE6">
        <w:rPr>
          <w:sz w:val="24"/>
          <w:szCs w:val="24"/>
        </w:rPr>
        <w:t>umber of</w:t>
      </w:r>
      <w:r w:rsidR="00AF7EAC" w:rsidRPr="006B7AE6">
        <w:rPr>
          <w:sz w:val="24"/>
          <w:szCs w:val="24"/>
        </w:rPr>
        <w:t xml:space="preserve"> </w:t>
      </w:r>
      <w:r w:rsidR="005E652D">
        <w:rPr>
          <w:sz w:val="24"/>
          <w:szCs w:val="24"/>
        </w:rPr>
        <w:t>D</w:t>
      </w:r>
      <w:r w:rsidR="00E96072" w:rsidRPr="006B7AE6">
        <w:rPr>
          <w:sz w:val="24"/>
          <w:szCs w:val="24"/>
        </w:rPr>
        <w:t xml:space="preserve">aily </w:t>
      </w:r>
      <w:r w:rsidR="005E652D">
        <w:rPr>
          <w:sz w:val="24"/>
          <w:szCs w:val="24"/>
        </w:rPr>
        <w:t>R</w:t>
      </w:r>
      <w:r w:rsidR="00AF7EAC" w:rsidRPr="006B7AE6">
        <w:rPr>
          <w:sz w:val="24"/>
          <w:szCs w:val="24"/>
        </w:rPr>
        <w:t>ide-</w:t>
      </w:r>
      <w:r w:rsidR="005E652D">
        <w:rPr>
          <w:sz w:val="24"/>
          <w:szCs w:val="24"/>
        </w:rPr>
        <w:t>H</w:t>
      </w:r>
      <w:r w:rsidR="00AF7EAC" w:rsidRPr="006B7AE6">
        <w:rPr>
          <w:sz w:val="24"/>
          <w:szCs w:val="24"/>
        </w:rPr>
        <w:t>ailing</w:t>
      </w:r>
      <w:r w:rsidRPr="006B7AE6">
        <w:rPr>
          <w:sz w:val="24"/>
          <w:szCs w:val="24"/>
        </w:rPr>
        <w:t xml:space="preserve"> </w:t>
      </w:r>
      <w:r w:rsidR="005E652D">
        <w:rPr>
          <w:sz w:val="24"/>
          <w:szCs w:val="24"/>
        </w:rPr>
        <w:t>P</w:t>
      </w:r>
      <w:r w:rsidRPr="006B7AE6">
        <w:rPr>
          <w:sz w:val="24"/>
          <w:szCs w:val="24"/>
        </w:rPr>
        <w:t xml:space="preserve">assenger </w:t>
      </w:r>
      <w:r w:rsidR="005E652D">
        <w:rPr>
          <w:sz w:val="24"/>
          <w:szCs w:val="24"/>
        </w:rPr>
        <w:t>T</w:t>
      </w:r>
      <w:r w:rsidRPr="006B7AE6">
        <w:rPr>
          <w:sz w:val="24"/>
          <w:szCs w:val="24"/>
        </w:rPr>
        <w:t xml:space="preserve">rips </w:t>
      </w:r>
      <w:r w:rsidR="005E652D">
        <w:rPr>
          <w:sz w:val="24"/>
          <w:szCs w:val="24"/>
        </w:rPr>
        <w:t>G</w:t>
      </w:r>
      <w:r w:rsidRPr="006B7AE6">
        <w:rPr>
          <w:sz w:val="24"/>
          <w:szCs w:val="24"/>
        </w:rPr>
        <w:t xml:space="preserve">enerated by </w:t>
      </w:r>
      <w:r w:rsidR="005E652D">
        <w:rPr>
          <w:sz w:val="24"/>
          <w:szCs w:val="24"/>
        </w:rPr>
        <w:t>E</w:t>
      </w:r>
      <w:r w:rsidR="00E96072" w:rsidRPr="006B7AE6">
        <w:rPr>
          <w:sz w:val="24"/>
          <w:szCs w:val="24"/>
        </w:rPr>
        <w:t>ach</w:t>
      </w:r>
      <w:r w:rsidRPr="006B7AE6">
        <w:rPr>
          <w:sz w:val="24"/>
          <w:szCs w:val="24"/>
        </w:rPr>
        <w:t xml:space="preserve"> TAZ </w:t>
      </w:r>
    </w:p>
    <w:p w14:paraId="539A3021" w14:textId="1ABC5739" w:rsidR="001A50FF" w:rsidRPr="006B7AE6" w:rsidRDefault="00E96072" w:rsidP="00E96072">
      <w:pPr>
        <w:pStyle w:val="Caption"/>
        <w:spacing w:after="0" w:line="240" w:lineRule="auto"/>
        <w:jc w:val="center"/>
        <w:rPr>
          <w:sz w:val="24"/>
          <w:szCs w:val="24"/>
        </w:rPr>
      </w:pPr>
      <w:r w:rsidRPr="006B7AE6">
        <w:rPr>
          <w:sz w:val="24"/>
          <w:szCs w:val="24"/>
        </w:rPr>
        <w:t>(</w:t>
      </w:r>
      <w:r w:rsidR="005E652D">
        <w:rPr>
          <w:sz w:val="24"/>
          <w:szCs w:val="24"/>
        </w:rPr>
        <w:t>P</w:t>
      </w:r>
      <w:r w:rsidR="001A50FF" w:rsidRPr="006B7AE6">
        <w:rPr>
          <w:sz w:val="24"/>
          <w:szCs w:val="24"/>
        </w:rPr>
        <w:t xml:space="preserve">er </w:t>
      </w:r>
      <w:r w:rsidR="005E652D">
        <w:rPr>
          <w:sz w:val="24"/>
          <w:szCs w:val="24"/>
        </w:rPr>
        <w:t>S</w:t>
      </w:r>
      <w:r w:rsidR="001A50FF" w:rsidRPr="006B7AE6">
        <w:rPr>
          <w:sz w:val="24"/>
          <w:szCs w:val="24"/>
        </w:rPr>
        <w:t xml:space="preserve">quare </w:t>
      </w:r>
      <w:r w:rsidR="005E652D">
        <w:rPr>
          <w:sz w:val="24"/>
          <w:szCs w:val="24"/>
        </w:rPr>
        <w:t>M</w:t>
      </w:r>
      <w:r w:rsidR="001A50FF" w:rsidRPr="006B7AE6">
        <w:rPr>
          <w:sz w:val="24"/>
          <w:szCs w:val="24"/>
        </w:rPr>
        <w:t>ile</w:t>
      </w:r>
      <w:r w:rsidRPr="006B7AE6">
        <w:rPr>
          <w:sz w:val="24"/>
          <w:szCs w:val="24"/>
        </w:rPr>
        <w:t>)</w:t>
      </w:r>
      <w:bookmarkEnd w:id="7"/>
    </w:p>
    <w:p w14:paraId="3A06839E" w14:textId="77777777" w:rsidR="00E96072" w:rsidRDefault="00E96072" w:rsidP="00F7439A">
      <w:pPr>
        <w:spacing w:after="0" w:line="240" w:lineRule="auto"/>
        <w:ind w:firstLine="720"/>
      </w:pPr>
    </w:p>
    <w:p w14:paraId="7912933F" w14:textId="759B0133" w:rsidR="004842E3" w:rsidRPr="000E35CE" w:rsidRDefault="004842E3" w:rsidP="00993CC7">
      <w:pPr>
        <w:spacing w:after="0" w:line="240" w:lineRule="auto"/>
        <w:rPr>
          <w:sz w:val="24"/>
          <w:szCs w:val="24"/>
        </w:rPr>
      </w:pPr>
      <w:r w:rsidRPr="000E35CE">
        <w:rPr>
          <w:sz w:val="24"/>
          <w:szCs w:val="24"/>
        </w:rPr>
        <w:lastRenderedPageBreak/>
        <w:t>to 7PM on weekdays, and 10PM to 1AM the next day on Friday and Saturday. In the r</w:t>
      </w:r>
      <w:r w:rsidR="00DA06A2" w:rsidRPr="000E35CE">
        <w:rPr>
          <w:sz w:val="24"/>
          <w:szCs w:val="24"/>
        </w:rPr>
        <w:t>emainder</w:t>
      </w:r>
      <w:r w:rsidRPr="000E35CE">
        <w:rPr>
          <w:sz w:val="24"/>
          <w:szCs w:val="24"/>
        </w:rPr>
        <w:t xml:space="preserve"> of the paper, </w:t>
      </w:r>
      <w:r w:rsidR="00DA06A2" w:rsidRPr="000E35CE">
        <w:rPr>
          <w:sz w:val="24"/>
          <w:szCs w:val="24"/>
        </w:rPr>
        <w:t>these time periods are referenced as</w:t>
      </w:r>
      <w:r w:rsidRPr="000E35CE">
        <w:rPr>
          <w:sz w:val="24"/>
          <w:szCs w:val="24"/>
        </w:rPr>
        <w:t xml:space="preserve"> AM Peak, Mid-day, PM Peak and Weekend Night respectively</w:t>
      </w:r>
      <w:r w:rsidR="00B34744">
        <w:rPr>
          <w:sz w:val="24"/>
          <w:szCs w:val="24"/>
        </w:rPr>
        <w:t>.</w:t>
      </w:r>
      <w:r w:rsidRPr="00A8552E">
        <w:rPr>
          <w:rStyle w:val="FootnoteReference"/>
        </w:rPr>
        <w:footnoteReference w:id="2"/>
      </w:r>
      <w:r w:rsidRPr="000E35CE">
        <w:rPr>
          <w:sz w:val="24"/>
          <w:szCs w:val="24"/>
        </w:rPr>
        <w:t xml:space="preserve"> The AM </w:t>
      </w:r>
      <w:r w:rsidR="006E0AF5" w:rsidRPr="000E35CE">
        <w:rPr>
          <w:sz w:val="24"/>
          <w:szCs w:val="24"/>
        </w:rPr>
        <w:t>p</w:t>
      </w:r>
      <w:r w:rsidRPr="000E35CE">
        <w:rPr>
          <w:sz w:val="24"/>
          <w:szCs w:val="24"/>
        </w:rPr>
        <w:t xml:space="preserve">eak, </w:t>
      </w:r>
      <w:r w:rsidR="006E0AF5" w:rsidRPr="000E35CE">
        <w:rPr>
          <w:sz w:val="24"/>
          <w:szCs w:val="24"/>
        </w:rPr>
        <w:t>m</w:t>
      </w:r>
      <w:r w:rsidRPr="000E35CE">
        <w:rPr>
          <w:sz w:val="24"/>
          <w:szCs w:val="24"/>
        </w:rPr>
        <w:t>id</w:t>
      </w:r>
      <w:r w:rsidR="006E0AF5" w:rsidRPr="000E35CE">
        <w:rPr>
          <w:sz w:val="24"/>
          <w:szCs w:val="24"/>
        </w:rPr>
        <w:t>-</w:t>
      </w:r>
      <w:r w:rsidRPr="000E35CE">
        <w:rPr>
          <w:sz w:val="24"/>
          <w:szCs w:val="24"/>
        </w:rPr>
        <w:t xml:space="preserve">day and PM </w:t>
      </w:r>
      <w:r w:rsidR="006E0AF5" w:rsidRPr="000E35CE">
        <w:rPr>
          <w:sz w:val="24"/>
          <w:szCs w:val="24"/>
        </w:rPr>
        <w:t>p</w:t>
      </w:r>
      <w:r w:rsidRPr="000E35CE">
        <w:rPr>
          <w:sz w:val="24"/>
          <w:szCs w:val="24"/>
        </w:rPr>
        <w:t xml:space="preserve">eak periods were selected for modeling because these are the </w:t>
      </w:r>
      <w:r w:rsidR="00310266">
        <w:rPr>
          <w:sz w:val="24"/>
          <w:szCs w:val="24"/>
        </w:rPr>
        <w:t xml:space="preserve">four distinct </w:t>
      </w:r>
      <w:r w:rsidRPr="000E35CE">
        <w:rPr>
          <w:sz w:val="24"/>
          <w:szCs w:val="24"/>
        </w:rPr>
        <w:t xml:space="preserve">time periods </w:t>
      </w:r>
      <w:r w:rsidR="006E0AF5" w:rsidRPr="000E35CE">
        <w:rPr>
          <w:sz w:val="24"/>
          <w:szCs w:val="24"/>
        </w:rPr>
        <w:t>often considered in travel demand forecasting models</w:t>
      </w:r>
      <w:r w:rsidR="000F7910">
        <w:rPr>
          <w:sz w:val="24"/>
          <w:szCs w:val="24"/>
        </w:rPr>
        <w:t xml:space="preserve"> </w:t>
      </w:r>
      <w:r w:rsidR="000F7910">
        <w:rPr>
          <w:sz w:val="24"/>
          <w:szCs w:val="24"/>
        </w:rPr>
        <w:fldChar w:fldCharType="begin"/>
      </w:r>
      <w:r w:rsidR="00B46899">
        <w:rPr>
          <w:sz w:val="24"/>
          <w:szCs w:val="24"/>
        </w:rPr>
        <w:instrText xml:space="preserve"> ADDIN ZOTERO_ITEM CSL_CITATION {"citationID":"geEzjetW","properties":{"formattedCitation":"(Cambridge Systematics et al., 2012)","plainCitation":"(Cambridge Systematics et al., 2012)","dontUpdate":true,"noteIndex":0},"citationItems":[{"id":"pYE2dMDV/sJxc4V6Z","uris":["http://zotero.org/users/local/CJ2Dv405/items/27MEG9B9"],"uri":["http://zotero.org/users/local/CJ2Dv405/items/27MEG9B9"],"itemData":{"id":391,"type":"book","event-place":"Washington, D.C.","ISBN":"978-0-309-28255-0","language":"en","note":"DOI: 10.17226/14665","publisher":"National Academies Press","publisher-place":"Washington, D.C.","source":"DOI.org (Crossref)","title":"Travel demand forecasting: Parameters and techniques","title-short":"Travel Demand Forecasting","URL":"http://www.nap.edu/catalog/14665","author":[{"family":"Cambridge Systematics","given":""},{"family":"Vanasse Hangen Brustlin","given":""},{"family":"Gallop Corporation","given":""},{"family":"Bhat","given":"Chandra R."},{"family":"Shapiro Transportation Consulting","given":""},{"family":"Martin/Alexiou/Bryson","given":""}],"accessed":{"date-parts":[["2019",11,29]]},"issued":{"date-parts":[["2012",5,1]]}}}],"schema":"https://github.com/citation-style-language/schema/raw/master/csl-citation.json"} </w:instrText>
      </w:r>
      <w:r w:rsidR="000F7910">
        <w:rPr>
          <w:sz w:val="24"/>
          <w:szCs w:val="24"/>
        </w:rPr>
        <w:fldChar w:fldCharType="separate"/>
      </w:r>
      <w:r w:rsidR="000F7910" w:rsidRPr="00797D96">
        <w:rPr>
          <w:rFonts w:cs="Times New Roman"/>
          <w:sz w:val="24"/>
        </w:rPr>
        <w:t xml:space="preserve">(Cambridge Systematics </w:t>
      </w:r>
      <w:r w:rsidR="000F7910" w:rsidRPr="00797D96">
        <w:rPr>
          <w:rFonts w:cs="Times New Roman"/>
          <w:i/>
          <w:sz w:val="24"/>
        </w:rPr>
        <w:t>et al.</w:t>
      </w:r>
      <w:r w:rsidR="000F7910" w:rsidRPr="00797D96">
        <w:rPr>
          <w:rFonts w:cs="Times New Roman"/>
          <w:sz w:val="24"/>
        </w:rPr>
        <w:t>, 2012</w:t>
      </w:r>
      <w:r w:rsidR="000F7910">
        <w:rPr>
          <w:rFonts w:cs="Times New Roman"/>
          <w:sz w:val="24"/>
        </w:rPr>
        <w:t>, Chapter 4</w:t>
      </w:r>
      <w:r w:rsidR="000F7910" w:rsidRPr="00797D96">
        <w:rPr>
          <w:rFonts w:cs="Times New Roman"/>
          <w:sz w:val="24"/>
        </w:rPr>
        <w:t>)</w:t>
      </w:r>
      <w:r w:rsidR="000F7910">
        <w:rPr>
          <w:sz w:val="24"/>
          <w:szCs w:val="24"/>
        </w:rPr>
        <w:fldChar w:fldCharType="end"/>
      </w:r>
      <w:r w:rsidRPr="000E35CE">
        <w:rPr>
          <w:sz w:val="24"/>
          <w:szCs w:val="24"/>
        </w:rPr>
        <w:t xml:space="preserve">. Additionally, </w:t>
      </w:r>
      <w:r w:rsidR="006E0AF5" w:rsidRPr="000E35CE">
        <w:rPr>
          <w:sz w:val="24"/>
          <w:szCs w:val="24"/>
        </w:rPr>
        <w:t>the w</w:t>
      </w:r>
      <w:r w:rsidRPr="000E35CE">
        <w:rPr>
          <w:sz w:val="24"/>
          <w:szCs w:val="24"/>
        </w:rPr>
        <w:t xml:space="preserve">eekend </w:t>
      </w:r>
      <w:r w:rsidR="006E0AF5" w:rsidRPr="000E35CE">
        <w:rPr>
          <w:sz w:val="24"/>
          <w:szCs w:val="24"/>
        </w:rPr>
        <w:t>n</w:t>
      </w:r>
      <w:r w:rsidRPr="000E35CE">
        <w:rPr>
          <w:sz w:val="24"/>
          <w:szCs w:val="24"/>
        </w:rPr>
        <w:t xml:space="preserve">ight period </w:t>
      </w:r>
      <w:r w:rsidR="006E0AF5" w:rsidRPr="000E35CE">
        <w:rPr>
          <w:sz w:val="24"/>
          <w:szCs w:val="24"/>
        </w:rPr>
        <w:t xml:space="preserve">is considered separately </w:t>
      </w:r>
      <w:r w:rsidRPr="000E35CE">
        <w:rPr>
          <w:sz w:val="24"/>
          <w:szCs w:val="24"/>
        </w:rPr>
        <w:t>because of the exceptionally high rate of utilization of ride-hailing services in this period.</w:t>
      </w:r>
    </w:p>
    <w:p w14:paraId="0332F2F1" w14:textId="77777777" w:rsidR="006E0AF5" w:rsidRDefault="006E0AF5" w:rsidP="006E0AF5">
      <w:pPr>
        <w:spacing w:after="0" w:line="240" w:lineRule="auto"/>
        <w:rPr>
          <w:sz w:val="24"/>
          <w:szCs w:val="24"/>
        </w:rPr>
      </w:pPr>
    </w:p>
    <w:p w14:paraId="3BC65860" w14:textId="77777777" w:rsidR="000C0EB7" w:rsidRPr="00AF7EAC" w:rsidRDefault="000C0EB7" w:rsidP="000C0EB7">
      <w:pPr>
        <w:spacing w:after="0" w:line="240" w:lineRule="auto"/>
        <w:jc w:val="center"/>
      </w:pPr>
      <w:r>
        <w:rPr>
          <w:noProof/>
        </w:rPr>
        <w:drawing>
          <wp:inline distT="0" distB="0" distL="0" distR="0" wp14:anchorId="0482C3D6" wp14:editId="279FAAFB">
            <wp:extent cx="4572000" cy="4572000"/>
            <wp:effectExtent l="0" t="0" r="0" b="0"/>
            <wp:docPr id="2" name="Picture 2" descr="Hourly Fr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Hourly Freq"/>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433933BD" w14:textId="26F10021" w:rsidR="000C0EB7" w:rsidRPr="006B7AE6" w:rsidRDefault="000C0EB7" w:rsidP="000C0EB7">
      <w:pPr>
        <w:pStyle w:val="Caption"/>
        <w:spacing w:after="0" w:line="240" w:lineRule="auto"/>
        <w:jc w:val="center"/>
        <w:rPr>
          <w:sz w:val="24"/>
          <w:szCs w:val="24"/>
        </w:rPr>
      </w:pPr>
      <w:r w:rsidRPr="006B7AE6">
        <w:rPr>
          <w:sz w:val="24"/>
          <w:szCs w:val="24"/>
        </w:rPr>
        <w:t xml:space="preserve">Figure </w:t>
      </w:r>
      <w:r w:rsidRPr="006B7AE6">
        <w:rPr>
          <w:noProof/>
          <w:sz w:val="24"/>
          <w:szCs w:val="24"/>
        </w:rPr>
        <w:fldChar w:fldCharType="begin"/>
      </w:r>
      <w:r w:rsidRPr="006B7AE6">
        <w:rPr>
          <w:noProof/>
          <w:sz w:val="24"/>
          <w:szCs w:val="24"/>
        </w:rPr>
        <w:instrText xml:space="preserve"> SEQ Figure \* ARABIC </w:instrText>
      </w:r>
      <w:r w:rsidRPr="006B7AE6">
        <w:rPr>
          <w:noProof/>
          <w:sz w:val="24"/>
          <w:szCs w:val="24"/>
        </w:rPr>
        <w:fldChar w:fldCharType="separate"/>
      </w:r>
      <w:r w:rsidR="00740F16">
        <w:rPr>
          <w:noProof/>
          <w:sz w:val="24"/>
          <w:szCs w:val="24"/>
        </w:rPr>
        <w:t>2</w:t>
      </w:r>
      <w:r w:rsidRPr="006B7AE6">
        <w:rPr>
          <w:noProof/>
          <w:sz w:val="24"/>
          <w:szCs w:val="24"/>
        </w:rPr>
        <w:fldChar w:fldCharType="end"/>
      </w:r>
      <w:r w:rsidRPr="006B7AE6">
        <w:rPr>
          <w:sz w:val="24"/>
          <w:szCs w:val="24"/>
        </w:rPr>
        <w:t xml:space="preserve">  Average </w:t>
      </w:r>
      <w:r>
        <w:rPr>
          <w:sz w:val="24"/>
          <w:szCs w:val="24"/>
        </w:rPr>
        <w:t>N</w:t>
      </w:r>
      <w:r w:rsidRPr="006B7AE6">
        <w:rPr>
          <w:sz w:val="24"/>
          <w:szCs w:val="24"/>
        </w:rPr>
        <w:t xml:space="preserve">umber of </w:t>
      </w:r>
      <w:r>
        <w:rPr>
          <w:sz w:val="24"/>
          <w:szCs w:val="24"/>
        </w:rPr>
        <w:t>R</w:t>
      </w:r>
      <w:r w:rsidRPr="006B7AE6">
        <w:rPr>
          <w:sz w:val="24"/>
          <w:szCs w:val="24"/>
        </w:rPr>
        <w:t>ide-</w:t>
      </w:r>
      <w:r>
        <w:rPr>
          <w:sz w:val="24"/>
          <w:szCs w:val="24"/>
        </w:rPr>
        <w:t>H</w:t>
      </w:r>
      <w:r w:rsidRPr="006B7AE6">
        <w:rPr>
          <w:sz w:val="24"/>
          <w:szCs w:val="24"/>
        </w:rPr>
        <w:t xml:space="preserve">ailing </w:t>
      </w:r>
      <w:r>
        <w:rPr>
          <w:sz w:val="24"/>
          <w:szCs w:val="24"/>
        </w:rPr>
        <w:t>P</w:t>
      </w:r>
      <w:r w:rsidRPr="006B7AE6">
        <w:rPr>
          <w:sz w:val="24"/>
          <w:szCs w:val="24"/>
        </w:rPr>
        <w:t xml:space="preserve">assenger </w:t>
      </w:r>
      <w:r>
        <w:rPr>
          <w:sz w:val="24"/>
          <w:szCs w:val="24"/>
        </w:rPr>
        <w:t>T</w:t>
      </w:r>
      <w:r w:rsidRPr="006B7AE6">
        <w:rPr>
          <w:sz w:val="24"/>
          <w:szCs w:val="24"/>
        </w:rPr>
        <w:t xml:space="preserve">rips by </w:t>
      </w:r>
      <w:r>
        <w:rPr>
          <w:sz w:val="24"/>
          <w:szCs w:val="24"/>
        </w:rPr>
        <w:t>T</w:t>
      </w:r>
      <w:r w:rsidRPr="006B7AE6">
        <w:rPr>
          <w:sz w:val="24"/>
          <w:szCs w:val="24"/>
        </w:rPr>
        <w:t>ime-of-</w:t>
      </w:r>
      <w:r>
        <w:rPr>
          <w:sz w:val="24"/>
          <w:szCs w:val="24"/>
        </w:rPr>
        <w:t>D</w:t>
      </w:r>
      <w:r w:rsidRPr="006B7AE6">
        <w:rPr>
          <w:sz w:val="24"/>
          <w:szCs w:val="24"/>
        </w:rPr>
        <w:t xml:space="preserve">ay and </w:t>
      </w:r>
      <w:r>
        <w:rPr>
          <w:sz w:val="24"/>
          <w:szCs w:val="24"/>
        </w:rPr>
        <w:t>D</w:t>
      </w:r>
      <w:r w:rsidRPr="006B7AE6">
        <w:rPr>
          <w:sz w:val="24"/>
          <w:szCs w:val="24"/>
        </w:rPr>
        <w:t>ay-of-</w:t>
      </w:r>
      <w:r>
        <w:rPr>
          <w:sz w:val="24"/>
          <w:szCs w:val="24"/>
        </w:rPr>
        <w:t>W</w:t>
      </w:r>
      <w:r w:rsidRPr="006B7AE6">
        <w:rPr>
          <w:sz w:val="24"/>
          <w:szCs w:val="24"/>
        </w:rPr>
        <w:t>eek</w:t>
      </w:r>
    </w:p>
    <w:p w14:paraId="44E5B7BB" w14:textId="77777777" w:rsidR="000C0EB7" w:rsidRPr="000E35CE" w:rsidRDefault="000C0EB7" w:rsidP="006E0AF5">
      <w:pPr>
        <w:spacing w:after="0" w:line="240" w:lineRule="auto"/>
        <w:rPr>
          <w:sz w:val="24"/>
          <w:szCs w:val="24"/>
        </w:rPr>
      </w:pPr>
    </w:p>
    <w:p w14:paraId="09D49B2D" w14:textId="5D879715" w:rsidR="00A8790A" w:rsidRPr="000E35CE" w:rsidRDefault="00A8790A" w:rsidP="006E0AF5">
      <w:pPr>
        <w:pStyle w:val="Heading2"/>
        <w:spacing w:before="0" w:line="240" w:lineRule="auto"/>
        <w:rPr>
          <w:szCs w:val="24"/>
        </w:rPr>
      </w:pPr>
      <w:r w:rsidRPr="000E35CE">
        <w:rPr>
          <w:szCs w:val="24"/>
        </w:rPr>
        <w:t xml:space="preserve">Location </w:t>
      </w:r>
      <w:r w:rsidR="000E35CE">
        <w:rPr>
          <w:szCs w:val="24"/>
        </w:rPr>
        <w:t>Attribute D</w:t>
      </w:r>
      <w:r w:rsidRPr="000E35CE">
        <w:rPr>
          <w:szCs w:val="24"/>
        </w:rPr>
        <w:t>atabases</w:t>
      </w:r>
    </w:p>
    <w:p w14:paraId="16E2EE41" w14:textId="1AF87272" w:rsidR="00030141" w:rsidRPr="000E35CE" w:rsidRDefault="006E0AF5" w:rsidP="00F7439A">
      <w:pPr>
        <w:spacing w:after="0" w:line="240" w:lineRule="auto"/>
        <w:rPr>
          <w:sz w:val="24"/>
          <w:szCs w:val="24"/>
        </w:rPr>
      </w:pPr>
      <w:r w:rsidRPr="000E35CE">
        <w:rPr>
          <w:sz w:val="24"/>
          <w:szCs w:val="24"/>
        </w:rPr>
        <w:t>Various</w:t>
      </w:r>
      <w:r w:rsidR="00A8790A" w:rsidRPr="000E35CE">
        <w:rPr>
          <w:sz w:val="24"/>
          <w:szCs w:val="24"/>
        </w:rPr>
        <w:t xml:space="preserve"> </w:t>
      </w:r>
      <w:r w:rsidR="004E36C8" w:rsidRPr="000E35CE">
        <w:rPr>
          <w:sz w:val="24"/>
          <w:szCs w:val="24"/>
        </w:rPr>
        <w:t>soci</w:t>
      </w:r>
      <w:r w:rsidRPr="000E35CE">
        <w:rPr>
          <w:sz w:val="24"/>
          <w:szCs w:val="24"/>
        </w:rPr>
        <w:t>o-demographic</w:t>
      </w:r>
      <w:r w:rsidR="00A8790A" w:rsidRPr="000E35CE">
        <w:rPr>
          <w:sz w:val="24"/>
          <w:szCs w:val="24"/>
        </w:rPr>
        <w:t xml:space="preserve">, </w:t>
      </w:r>
      <w:r w:rsidR="00A938ED" w:rsidRPr="000E35CE">
        <w:rPr>
          <w:sz w:val="24"/>
          <w:szCs w:val="24"/>
        </w:rPr>
        <w:t>employment</w:t>
      </w:r>
      <w:r w:rsidR="00633C3A" w:rsidRPr="000E35CE">
        <w:rPr>
          <w:sz w:val="24"/>
          <w:szCs w:val="24"/>
        </w:rPr>
        <w:t>, built environment</w:t>
      </w:r>
      <w:r w:rsidRPr="000E35CE">
        <w:rPr>
          <w:sz w:val="24"/>
          <w:szCs w:val="24"/>
        </w:rPr>
        <w:t>,</w:t>
      </w:r>
      <w:r w:rsidR="00A8790A" w:rsidRPr="000E35CE">
        <w:rPr>
          <w:sz w:val="24"/>
          <w:szCs w:val="24"/>
        </w:rPr>
        <w:t xml:space="preserve"> and transportation network</w:t>
      </w:r>
      <w:r w:rsidRPr="000E35CE">
        <w:rPr>
          <w:sz w:val="24"/>
          <w:szCs w:val="24"/>
        </w:rPr>
        <w:t>-</w:t>
      </w:r>
      <w:r w:rsidR="00DE2509" w:rsidRPr="000E35CE">
        <w:rPr>
          <w:sz w:val="24"/>
          <w:szCs w:val="24"/>
        </w:rPr>
        <w:t xml:space="preserve">related </w:t>
      </w:r>
      <w:r w:rsidR="00A8790A" w:rsidRPr="000E35CE">
        <w:rPr>
          <w:sz w:val="24"/>
          <w:szCs w:val="24"/>
        </w:rPr>
        <w:t xml:space="preserve">attributes of </w:t>
      </w:r>
      <w:r w:rsidR="00480BCF" w:rsidRPr="000E35CE">
        <w:rPr>
          <w:sz w:val="24"/>
          <w:szCs w:val="24"/>
        </w:rPr>
        <w:t>locations in Austin</w:t>
      </w:r>
      <w:r w:rsidR="00A8790A" w:rsidRPr="000E35CE">
        <w:rPr>
          <w:sz w:val="24"/>
          <w:szCs w:val="24"/>
        </w:rPr>
        <w:t xml:space="preserve"> were obtained from the</w:t>
      </w:r>
      <w:r w:rsidR="00B071A5" w:rsidRPr="000E35CE">
        <w:rPr>
          <w:sz w:val="24"/>
          <w:szCs w:val="24"/>
        </w:rPr>
        <w:t xml:space="preserve"> Smart Location </w:t>
      </w:r>
      <w:r w:rsidR="00EF5503" w:rsidRPr="000E35CE">
        <w:rPr>
          <w:sz w:val="24"/>
          <w:szCs w:val="24"/>
        </w:rPr>
        <w:t>Database</w:t>
      </w:r>
      <w:r w:rsidR="00B071A5" w:rsidRPr="000E35CE">
        <w:rPr>
          <w:sz w:val="24"/>
          <w:szCs w:val="24"/>
        </w:rPr>
        <w:t xml:space="preserve"> (</w:t>
      </w:r>
      <w:r w:rsidR="00B10B7E" w:rsidRPr="000E35CE">
        <w:rPr>
          <w:sz w:val="24"/>
          <w:szCs w:val="24"/>
        </w:rPr>
        <w:t>SLD</w:t>
      </w:r>
      <w:r w:rsidR="00B071A5" w:rsidRPr="000E35CE">
        <w:rPr>
          <w:sz w:val="24"/>
          <w:szCs w:val="24"/>
        </w:rPr>
        <w:t>)</w:t>
      </w:r>
      <w:r w:rsidR="00B10B7E" w:rsidRPr="000E35CE">
        <w:rPr>
          <w:sz w:val="24"/>
          <w:szCs w:val="24"/>
        </w:rPr>
        <w:t xml:space="preserve">, </w:t>
      </w:r>
      <w:r w:rsidR="00A8790A" w:rsidRPr="000E35CE">
        <w:rPr>
          <w:sz w:val="24"/>
          <w:szCs w:val="24"/>
        </w:rPr>
        <w:t>CAMPO</w:t>
      </w:r>
      <w:r w:rsidRPr="000E35CE">
        <w:rPr>
          <w:sz w:val="24"/>
          <w:szCs w:val="24"/>
        </w:rPr>
        <w:t xml:space="preserve"> travel model databases</w:t>
      </w:r>
      <w:r w:rsidR="00B071A5" w:rsidRPr="000E35CE">
        <w:rPr>
          <w:sz w:val="24"/>
          <w:szCs w:val="24"/>
        </w:rPr>
        <w:t>,</w:t>
      </w:r>
      <w:r w:rsidR="00B10B7E" w:rsidRPr="000E35CE">
        <w:rPr>
          <w:sz w:val="24"/>
          <w:szCs w:val="24"/>
        </w:rPr>
        <w:t xml:space="preserve"> and the </w:t>
      </w:r>
      <w:r w:rsidR="00B071A5" w:rsidRPr="000E35CE">
        <w:rPr>
          <w:sz w:val="24"/>
          <w:szCs w:val="24"/>
        </w:rPr>
        <w:t>American Community Survey (</w:t>
      </w:r>
      <w:r w:rsidR="00B10B7E" w:rsidRPr="000E35CE">
        <w:rPr>
          <w:sz w:val="24"/>
          <w:szCs w:val="24"/>
        </w:rPr>
        <w:t>ACS</w:t>
      </w:r>
      <w:r w:rsidR="00B071A5" w:rsidRPr="000E35CE">
        <w:rPr>
          <w:sz w:val="24"/>
          <w:szCs w:val="24"/>
        </w:rPr>
        <w:t>)</w:t>
      </w:r>
      <w:r w:rsidR="00222E3D" w:rsidRPr="000E35CE">
        <w:rPr>
          <w:sz w:val="24"/>
          <w:szCs w:val="24"/>
        </w:rPr>
        <w:t xml:space="preserve"> dataset</w:t>
      </w:r>
      <w:r w:rsidR="00A8790A" w:rsidRPr="000E35CE">
        <w:rPr>
          <w:sz w:val="24"/>
          <w:szCs w:val="24"/>
        </w:rPr>
        <w:t xml:space="preserve">. </w:t>
      </w:r>
      <w:r w:rsidR="00807D8F" w:rsidRPr="000E35CE">
        <w:rPr>
          <w:sz w:val="24"/>
          <w:szCs w:val="24"/>
        </w:rPr>
        <w:t>The SLD and the ACS dataset</w:t>
      </w:r>
      <w:r w:rsidR="00B071A5" w:rsidRPr="000E35CE">
        <w:rPr>
          <w:sz w:val="24"/>
          <w:szCs w:val="24"/>
        </w:rPr>
        <w:t>s</w:t>
      </w:r>
      <w:r w:rsidR="00807D8F" w:rsidRPr="000E35CE">
        <w:rPr>
          <w:sz w:val="24"/>
          <w:szCs w:val="24"/>
        </w:rPr>
        <w:t xml:space="preserve"> provide attribute values at the census block</w:t>
      </w:r>
      <w:r w:rsidR="00F04444">
        <w:rPr>
          <w:sz w:val="24"/>
          <w:szCs w:val="24"/>
        </w:rPr>
        <w:t xml:space="preserve"> group</w:t>
      </w:r>
      <w:r w:rsidR="00807D8F" w:rsidRPr="000E35CE">
        <w:rPr>
          <w:sz w:val="24"/>
          <w:szCs w:val="24"/>
        </w:rPr>
        <w:t xml:space="preserve"> level</w:t>
      </w:r>
      <w:r w:rsidRPr="000E35CE">
        <w:rPr>
          <w:sz w:val="24"/>
          <w:szCs w:val="24"/>
        </w:rPr>
        <w:t>, while</w:t>
      </w:r>
      <w:r w:rsidR="00707D05" w:rsidRPr="000E35CE">
        <w:rPr>
          <w:sz w:val="24"/>
          <w:szCs w:val="24"/>
        </w:rPr>
        <w:t xml:space="preserve"> </w:t>
      </w:r>
      <w:r w:rsidRPr="000E35CE">
        <w:rPr>
          <w:sz w:val="24"/>
          <w:szCs w:val="24"/>
        </w:rPr>
        <w:t>t</w:t>
      </w:r>
      <w:r w:rsidR="002A20C7" w:rsidRPr="000E35CE">
        <w:rPr>
          <w:sz w:val="24"/>
          <w:szCs w:val="24"/>
        </w:rPr>
        <w:t xml:space="preserve">he CAMPO dataset </w:t>
      </w:r>
      <w:r w:rsidR="002A20C7" w:rsidRPr="000E35CE">
        <w:rPr>
          <w:sz w:val="24"/>
          <w:szCs w:val="24"/>
        </w:rPr>
        <w:lastRenderedPageBreak/>
        <w:t>provides attribute values at the TAZ level</w:t>
      </w:r>
      <w:r w:rsidR="00FC2F89" w:rsidRPr="000E35CE">
        <w:rPr>
          <w:sz w:val="24"/>
          <w:szCs w:val="24"/>
        </w:rPr>
        <w:t xml:space="preserve">. </w:t>
      </w:r>
      <w:r w:rsidRPr="000E35CE">
        <w:rPr>
          <w:sz w:val="24"/>
          <w:szCs w:val="24"/>
        </w:rPr>
        <w:t>Because the census block</w:t>
      </w:r>
      <w:r w:rsidR="00F04444">
        <w:rPr>
          <w:sz w:val="24"/>
          <w:szCs w:val="24"/>
        </w:rPr>
        <w:t xml:space="preserve"> group</w:t>
      </w:r>
      <w:r w:rsidRPr="000E35CE">
        <w:rPr>
          <w:sz w:val="24"/>
          <w:szCs w:val="24"/>
        </w:rPr>
        <w:t xml:space="preserve"> boundaries did not match the TAZ boundaries exactly, GIS overlay techniques and weighted aggregation and allocation methods were employed to aggregate SLD and ACS data from the census block level to the TAZ level.  </w:t>
      </w:r>
      <w:r w:rsidR="00B071A5" w:rsidRPr="000E35CE">
        <w:rPr>
          <w:sz w:val="24"/>
          <w:szCs w:val="24"/>
        </w:rPr>
        <w:t xml:space="preserve"> </w:t>
      </w:r>
    </w:p>
    <w:p w14:paraId="487DEF36" w14:textId="24314E1D" w:rsidR="007659F5" w:rsidRDefault="006E0AF5" w:rsidP="00E3151A">
      <w:pPr>
        <w:spacing w:after="0" w:line="240" w:lineRule="auto"/>
        <w:ind w:firstLine="720"/>
        <w:rPr>
          <w:sz w:val="24"/>
          <w:szCs w:val="24"/>
        </w:rPr>
      </w:pPr>
      <w:r w:rsidRPr="000E35CE">
        <w:rPr>
          <w:sz w:val="24"/>
          <w:szCs w:val="24"/>
        </w:rPr>
        <w:t>D</w:t>
      </w:r>
      <w:r w:rsidR="00707D05" w:rsidRPr="000E35CE">
        <w:rPr>
          <w:sz w:val="24"/>
          <w:szCs w:val="24"/>
        </w:rPr>
        <w:t xml:space="preserve">escriptive statistics </w:t>
      </w:r>
      <w:r w:rsidRPr="000E35CE">
        <w:rPr>
          <w:sz w:val="24"/>
          <w:szCs w:val="24"/>
        </w:rPr>
        <w:t>for</w:t>
      </w:r>
      <w:r w:rsidR="0011626F" w:rsidRPr="000E35CE">
        <w:rPr>
          <w:sz w:val="24"/>
          <w:szCs w:val="24"/>
        </w:rPr>
        <w:t xml:space="preserve"> </w:t>
      </w:r>
      <w:r w:rsidR="00A02E57" w:rsidRPr="000E35CE">
        <w:rPr>
          <w:sz w:val="24"/>
          <w:szCs w:val="24"/>
        </w:rPr>
        <w:t>TAZ</w:t>
      </w:r>
      <w:r w:rsidR="0011626F" w:rsidRPr="000E35CE">
        <w:rPr>
          <w:sz w:val="24"/>
          <w:szCs w:val="24"/>
        </w:rPr>
        <w:t xml:space="preserve"> </w:t>
      </w:r>
      <w:r w:rsidR="00EF5503" w:rsidRPr="000E35CE">
        <w:rPr>
          <w:sz w:val="24"/>
          <w:szCs w:val="24"/>
        </w:rPr>
        <w:t>attributes</w:t>
      </w:r>
      <w:r w:rsidR="0011626F" w:rsidRPr="000E35CE">
        <w:rPr>
          <w:sz w:val="24"/>
          <w:szCs w:val="24"/>
        </w:rPr>
        <w:t xml:space="preserve"> constructed </w:t>
      </w:r>
      <w:r w:rsidR="00707D05" w:rsidRPr="000E35CE">
        <w:rPr>
          <w:sz w:val="24"/>
          <w:szCs w:val="24"/>
        </w:rPr>
        <w:t>from the</w:t>
      </w:r>
      <w:r w:rsidR="0011626F" w:rsidRPr="000E35CE">
        <w:rPr>
          <w:sz w:val="24"/>
          <w:szCs w:val="24"/>
        </w:rPr>
        <w:t xml:space="preserve"> SLD, ACS, and CAMPO </w:t>
      </w:r>
      <w:r w:rsidR="00707D05" w:rsidRPr="000E35CE">
        <w:rPr>
          <w:sz w:val="24"/>
          <w:szCs w:val="24"/>
        </w:rPr>
        <w:t>datasets</w:t>
      </w:r>
      <w:r w:rsidR="00A02E57" w:rsidRPr="000E35CE">
        <w:rPr>
          <w:sz w:val="24"/>
          <w:szCs w:val="24"/>
        </w:rPr>
        <w:t xml:space="preserve"> </w:t>
      </w:r>
      <w:r w:rsidR="000719B4" w:rsidRPr="000E35CE">
        <w:rPr>
          <w:sz w:val="24"/>
          <w:szCs w:val="24"/>
        </w:rPr>
        <w:t>are</w:t>
      </w:r>
      <w:r w:rsidR="00707D05" w:rsidRPr="000E35CE">
        <w:rPr>
          <w:sz w:val="24"/>
          <w:szCs w:val="24"/>
        </w:rPr>
        <w:t xml:space="preserve"> presented </w:t>
      </w:r>
      <w:r w:rsidR="000719B4" w:rsidRPr="000E35CE">
        <w:rPr>
          <w:sz w:val="24"/>
          <w:szCs w:val="24"/>
        </w:rPr>
        <w:t>in</w:t>
      </w:r>
      <w:r w:rsidR="00020841">
        <w:rPr>
          <w:sz w:val="24"/>
          <w:szCs w:val="24"/>
        </w:rPr>
        <w:t xml:space="preserve"> Table 1</w:t>
      </w:r>
      <w:r w:rsidR="0007365E">
        <w:rPr>
          <w:sz w:val="24"/>
          <w:szCs w:val="24"/>
        </w:rPr>
        <w:t>, by type of TAZ (CBD, urban, suburban, or rural)</w:t>
      </w:r>
      <w:r w:rsidR="00BB414B">
        <w:rPr>
          <w:sz w:val="24"/>
          <w:szCs w:val="24"/>
        </w:rPr>
        <w:t>. The variables in Table 1 ar</w:t>
      </w:r>
      <w:r w:rsidR="0007365E">
        <w:rPr>
          <w:sz w:val="24"/>
          <w:szCs w:val="24"/>
        </w:rPr>
        <w:t>e the ones considered in our model specification, though not all the variables in Table 1 appear in the final model specification.</w:t>
      </w:r>
    </w:p>
    <w:p w14:paraId="143CE8F4" w14:textId="77777777" w:rsidR="009E2D8C" w:rsidRDefault="009E2D8C" w:rsidP="00AA3D68">
      <w:pPr>
        <w:spacing w:after="0" w:line="240" w:lineRule="auto"/>
        <w:ind w:firstLine="720"/>
        <w:rPr>
          <w:sz w:val="24"/>
          <w:szCs w:val="24"/>
        </w:rPr>
      </w:pPr>
    </w:p>
    <w:p w14:paraId="4449356C" w14:textId="417BD37F" w:rsidR="009E2D8C" w:rsidRDefault="009E2D8C" w:rsidP="009E2D8C">
      <w:pPr>
        <w:pStyle w:val="Caption"/>
        <w:keepNext/>
        <w:spacing w:after="0" w:line="240" w:lineRule="auto"/>
        <w:jc w:val="center"/>
        <w:rPr>
          <w:sz w:val="24"/>
          <w:szCs w:val="22"/>
        </w:rPr>
      </w:pPr>
      <w:r w:rsidRPr="00E3151A">
        <w:rPr>
          <w:sz w:val="24"/>
          <w:szCs w:val="22"/>
        </w:rPr>
        <w:t xml:space="preserve">Table </w:t>
      </w:r>
      <w:r w:rsidRPr="00E3151A">
        <w:rPr>
          <w:sz w:val="24"/>
          <w:szCs w:val="22"/>
        </w:rPr>
        <w:fldChar w:fldCharType="begin"/>
      </w:r>
      <w:r w:rsidRPr="00E3151A">
        <w:rPr>
          <w:sz w:val="24"/>
          <w:szCs w:val="22"/>
        </w:rPr>
        <w:instrText xml:space="preserve"> SEQ Table \* ARABIC </w:instrText>
      </w:r>
      <w:r w:rsidRPr="00E3151A">
        <w:rPr>
          <w:sz w:val="24"/>
          <w:szCs w:val="22"/>
        </w:rPr>
        <w:fldChar w:fldCharType="separate"/>
      </w:r>
      <w:r w:rsidR="00740F16">
        <w:rPr>
          <w:noProof/>
          <w:sz w:val="24"/>
          <w:szCs w:val="22"/>
        </w:rPr>
        <w:t>1</w:t>
      </w:r>
      <w:r w:rsidRPr="00E3151A">
        <w:rPr>
          <w:noProof/>
          <w:sz w:val="24"/>
          <w:szCs w:val="22"/>
        </w:rPr>
        <w:fldChar w:fldCharType="end"/>
      </w:r>
      <w:r w:rsidRPr="00E3151A">
        <w:rPr>
          <w:sz w:val="24"/>
          <w:szCs w:val="22"/>
        </w:rPr>
        <w:t xml:space="preserve">  Descriptive Statistics for TAZ Attributes</w:t>
      </w:r>
    </w:p>
    <w:tbl>
      <w:tblPr>
        <w:tblW w:w="9378" w:type="dxa"/>
        <w:tblLayout w:type="fixed"/>
        <w:tblCellMar>
          <w:left w:w="58" w:type="dxa"/>
          <w:right w:w="58" w:type="dxa"/>
        </w:tblCellMar>
        <w:tblLook w:val="04A0" w:firstRow="1" w:lastRow="0" w:firstColumn="1" w:lastColumn="0" w:noHBand="0" w:noVBand="1"/>
      </w:tblPr>
      <w:tblGrid>
        <w:gridCol w:w="3037"/>
        <w:gridCol w:w="900"/>
        <w:gridCol w:w="900"/>
        <w:gridCol w:w="900"/>
        <w:gridCol w:w="1080"/>
        <w:gridCol w:w="936"/>
        <w:gridCol w:w="939"/>
        <w:gridCol w:w="686"/>
      </w:tblGrid>
      <w:tr w:rsidR="009E2D8C" w:rsidRPr="00AC562A" w14:paraId="64A868D9" w14:textId="77777777" w:rsidTr="00253156">
        <w:trPr>
          <w:trHeight w:val="276"/>
        </w:trPr>
        <w:tc>
          <w:tcPr>
            <w:tcW w:w="3037" w:type="dxa"/>
            <w:tcBorders>
              <w:top w:val="double" w:sz="6" w:space="0" w:color="auto"/>
              <w:left w:val="double" w:sz="6" w:space="0" w:color="auto"/>
              <w:bottom w:val="nil"/>
              <w:right w:val="single" w:sz="4" w:space="0" w:color="auto"/>
            </w:tcBorders>
            <w:shd w:val="clear" w:color="auto" w:fill="auto"/>
            <w:noWrap/>
            <w:vAlign w:val="bottom"/>
            <w:hideMark/>
          </w:tcPr>
          <w:p w14:paraId="47933F49" w14:textId="77777777" w:rsidR="009E2D8C" w:rsidRPr="00AC562A" w:rsidRDefault="009E2D8C" w:rsidP="00253156">
            <w:pPr>
              <w:spacing w:after="0" w:line="240" w:lineRule="auto"/>
              <w:jc w:val="left"/>
              <w:rPr>
                <w:rFonts w:ascii="Calibri" w:eastAsia="Times New Roman" w:hAnsi="Calibri" w:cs="Calibri"/>
                <w:color w:val="000000"/>
              </w:rPr>
            </w:pPr>
            <w:r w:rsidRPr="00AC562A">
              <w:rPr>
                <w:rFonts w:ascii="Calibri" w:eastAsia="Times New Roman" w:hAnsi="Calibri" w:cs="Calibri"/>
                <w:color w:val="000000"/>
              </w:rPr>
              <w:t> </w:t>
            </w:r>
          </w:p>
        </w:tc>
        <w:tc>
          <w:tcPr>
            <w:tcW w:w="4716" w:type="dxa"/>
            <w:gridSpan w:val="5"/>
            <w:tcBorders>
              <w:top w:val="double" w:sz="6" w:space="0" w:color="auto"/>
              <w:left w:val="nil"/>
              <w:bottom w:val="single" w:sz="4" w:space="0" w:color="auto"/>
              <w:right w:val="single" w:sz="4" w:space="0" w:color="000000"/>
            </w:tcBorders>
            <w:shd w:val="clear" w:color="auto" w:fill="auto"/>
            <w:noWrap/>
            <w:vAlign w:val="bottom"/>
            <w:hideMark/>
          </w:tcPr>
          <w:p w14:paraId="76EF9F32" w14:textId="77777777" w:rsidR="009E2D8C" w:rsidRPr="00AC562A" w:rsidRDefault="009E2D8C" w:rsidP="00253156">
            <w:pPr>
              <w:spacing w:after="0" w:line="240" w:lineRule="auto"/>
              <w:jc w:val="center"/>
              <w:rPr>
                <w:rFonts w:eastAsia="Times New Roman" w:cs="Times New Roman"/>
                <w:b/>
                <w:bCs/>
                <w:color w:val="000000"/>
              </w:rPr>
            </w:pPr>
            <w:r w:rsidRPr="00AC562A">
              <w:rPr>
                <w:rFonts w:eastAsia="Times New Roman" w:cs="Times New Roman"/>
                <w:b/>
                <w:bCs/>
                <w:color w:val="000000"/>
              </w:rPr>
              <w:t>Average over TAZs in</w:t>
            </w:r>
          </w:p>
        </w:tc>
        <w:tc>
          <w:tcPr>
            <w:tcW w:w="1625" w:type="dxa"/>
            <w:gridSpan w:val="2"/>
            <w:tcBorders>
              <w:top w:val="double" w:sz="6" w:space="0" w:color="auto"/>
              <w:left w:val="nil"/>
              <w:bottom w:val="single" w:sz="4" w:space="0" w:color="auto"/>
              <w:right w:val="double" w:sz="6" w:space="0" w:color="000000"/>
            </w:tcBorders>
            <w:shd w:val="clear" w:color="auto" w:fill="auto"/>
            <w:noWrap/>
            <w:vAlign w:val="center"/>
            <w:hideMark/>
          </w:tcPr>
          <w:p w14:paraId="61BB2C89" w14:textId="77777777" w:rsidR="009E2D8C" w:rsidRPr="00AC562A" w:rsidRDefault="009E2D8C" w:rsidP="00253156">
            <w:pPr>
              <w:spacing w:after="0" w:line="240" w:lineRule="auto"/>
              <w:jc w:val="center"/>
              <w:rPr>
                <w:rFonts w:eastAsia="Times New Roman" w:cs="Times New Roman"/>
                <w:b/>
                <w:bCs/>
                <w:color w:val="000000"/>
              </w:rPr>
            </w:pPr>
            <w:r w:rsidRPr="00AC562A">
              <w:rPr>
                <w:rFonts w:eastAsia="Times New Roman" w:cs="Times New Roman"/>
                <w:b/>
                <w:bCs/>
                <w:color w:val="000000"/>
              </w:rPr>
              <w:t>Data</w:t>
            </w:r>
          </w:p>
        </w:tc>
      </w:tr>
      <w:tr w:rsidR="009E2D8C" w:rsidRPr="00AC562A" w14:paraId="45667929" w14:textId="77777777" w:rsidTr="00253156">
        <w:trPr>
          <w:trHeight w:val="276"/>
        </w:trPr>
        <w:tc>
          <w:tcPr>
            <w:tcW w:w="3037" w:type="dxa"/>
            <w:tcBorders>
              <w:top w:val="nil"/>
              <w:left w:val="double" w:sz="6" w:space="0" w:color="auto"/>
              <w:bottom w:val="double" w:sz="6" w:space="0" w:color="auto"/>
              <w:right w:val="single" w:sz="4" w:space="0" w:color="auto"/>
            </w:tcBorders>
            <w:shd w:val="clear" w:color="auto" w:fill="auto"/>
            <w:noWrap/>
            <w:vAlign w:val="bottom"/>
            <w:hideMark/>
          </w:tcPr>
          <w:p w14:paraId="2BCB27F2" w14:textId="77777777" w:rsidR="009E2D8C" w:rsidRPr="00AC562A" w:rsidRDefault="009E2D8C" w:rsidP="00253156">
            <w:pPr>
              <w:spacing w:after="0" w:line="240" w:lineRule="auto"/>
              <w:jc w:val="left"/>
              <w:rPr>
                <w:rFonts w:eastAsia="Times New Roman" w:cs="Times New Roman"/>
                <w:b/>
                <w:bCs/>
                <w:color w:val="000000"/>
              </w:rPr>
            </w:pPr>
            <w:r w:rsidRPr="00AC562A">
              <w:rPr>
                <w:rFonts w:eastAsia="Times New Roman" w:cs="Times New Roman"/>
                <w:b/>
                <w:bCs/>
                <w:color w:val="000000"/>
              </w:rPr>
              <w:t> </w:t>
            </w:r>
          </w:p>
        </w:tc>
        <w:tc>
          <w:tcPr>
            <w:tcW w:w="900" w:type="dxa"/>
            <w:tcBorders>
              <w:top w:val="nil"/>
              <w:left w:val="nil"/>
              <w:bottom w:val="double" w:sz="6" w:space="0" w:color="auto"/>
              <w:right w:val="single" w:sz="4" w:space="0" w:color="auto"/>
            </w:tcBorders>
            <w:shd w:val="clear" w:color="auto" w:fill="auto"/>
            <w:noWrap/>
            <w:vAlign w:val="bottom"/>
            <w:hideMark/>
          </w:tcPr>
          <w:p w14:paraId="2BC843F6" w14:textId="77777777" w:rsidR="009E2D8C" w:rsidRPr="00AC562A" w:rsidRDefault="009E2D8C" w:rsidP="00253156">
            <w:pPr>
              <w:spacing w:after="0" w:line="240" w:lineRule="auto"/>
              <w:jc w:val="right"/>
              <w:rPr>
                <w:rFonts w:eastAsia="Times New Roman" w:cs="Times New Roman"/>
                <w:b/>
                <w:bCs/>
                <w:color w:val="000000"/>
              </w:rPr>
            </w:pPr>
            <w:r w:rsidRPr="00AC562A">
              <w:rPr>
                <w:rFonts w:eastAsia="Times New Roman" w:cs="Times New Roman"/>
                <w:b/>
                <w:bCs/>
                <w:color w:val="000000"/>
              </w:rPr>
              <w:t>All</w:t>
            </w:r>
          </w:p>
        </w:tc>
        <w:tc>
          <w:tcPr>
            <w:tcW w:w="900" w:type="dxa"/>
            <w:tcBorders>
              <w:top w:val="nil"/>
              <w:left w:val="nil"/>
              <w:bottom w:val="double" w:sz="6" w:space="0" w:color="auto"/>
              <w:right w:val="nil"/>
            </w:tcBorders>
            <w:shd w:val="clear" w:color="auto" w:fill="auto"/>
            <w:noWrap/>
            <w:vAlign w:val="bottom"/>
            <w:hideMark/>
          </w:tcPr>
          <w:p w14:paraId="3CE3EE10" w14:textId="77777777" w:rsidR="009E2D8C" w:rsidRPr="00AC562A" w:rsidRDefault="009E2D8C" w:rsidP="00253156">
            <w:pPr>
              <w:spacing w:after="0" w:line="240" w:lineRule="auto"/>
              <w:jc w:val="right"/>
              <w:rPr>
                <w:rFonts w:eastAsia="Times New Roman" w:cs="Times New Roman"/>
                <w:b/>
                <w:bCs/>
                <w:color w:val="000000"/>
              </w:rPr>
            </w:pPr>
            <w:r w:rsidRPr="00AC562A">
              <w:rPr>
                <w:rFonts w:eastAsia="Times New Roman" w:cs="Times New Roman"/>
                <w:b/>
                <w:bCs/>
                <w:color w:val="000000"/>
              </w:rPr>
              <w:t>CBD</w:t>
            </w:r>
          </w:p>
        </w:tc>
        <w:tc>
          <w:tcPr>
            <w:tcW w:w="900" w:type="dxa"/>
            <w:tcBorders>
              <w:top w:val="nil"/>
              <w:left w:val="nil"/>
              <w:bottom w:val="double" w:sz="6" w:space="0" w:color="auto"/>
              <w:right w:val="nil"/>
            </w:tcBorders>
            <w:shd w:val="clear" w:color="auto" w:fill="auto"/>
            <w:noWrap/>
            <w:vAlign w:val="bottom"/>
            <w:hideMark/>
          </w:tcPr>
          <w:p w14:paraId="0F30B069" w14:textId="77777777" w:rsidR="009E2D8C" w:rsidRPr="00AC562A" w:rsidRDefault="009E2D8C" w:rsidP="00253156">
            <w:pPr>
              <w:spacing w:after="0" w:line="240" w:lineRule="auto"/>
              <w:jc w:val="right"/>
              <w:rPr>
                <w:rFonts w:eastAsia="Times New Roman" w:cs="Times New Roman"/>
                <w:b/>
                <w:bCs/>
                <w:color w:val="000000"/>
              </w:rPr>
            </w:pPr>
            <w:r w:rsidRPr="00AC562A">
              <w:rPr>
                <w:rFonts w:eastAsia="Times New Roman" w:cs="Times New Roman"/>
                <w:b/>
                <w:bCs/>
                <w:color w:val="000000"/>
              </w:rPr>
              <w:t>Urban</w:t>
            </w:r>
          </w:p>
        </w:tc>
        <w:tc>
          <w:tcPr>
            <w:tcW w:w="1080" w:type="dxa"/>
            <w:tcBorders>
              <w:top w:val="nil"/>
              <w:left w:val="nil"/>
              <w:bottom w:val="double" w:sz="6" w:space="0" w:color="auto"/>
              <w:right w:val="nil"/>
            </w:tcBorders>
            <w:shd w:val="clear" w:color="auto" w:fill="auto"/>
            <w:noWrap/>
            <w:vAlign w:val="bottom"/>
            <w:hideMark/>
          </w:tcPr>
          <w:p w14:paraId="59EC6264" w14:textId="77777777" w:rsidR="009E2D8C" w:rsidRPr="00AC562A" w:rsidRDefault="009E2D8C" w:rsidP="00253156">
            <w:pPr>
              <w:spacing w:after="0" w:line="240" w:lineRule="auto"/>
              <w:jc w:val="right"/>
              <w:rPr>
                <w:rFonts w:eastAsia="Times New Roman" w:cs="Times New Roman"/>
                <w:b/>
                <w:bCs/>
                <w:color w:val="000000"/>
              </w:rPr>
            </w:pPr>
            <w:r w:rsidRPr="00AC562A">
              <w:rPr>
                <w:rFonts w:eastAsia="Times New Roman" w:cs="Times New Roman"/>
                <w:b/>
                <w:bCs/>
                <w:color w:val="000000"/>
              </w:rPr>
              <w:t>Suburban</w:t>
            </w:r>
          </w:p>
        </w:tc>
        <w:tc>
          <w:tcPr>
            <w:tcW w:w="936" w:type="dxa"/>
            <w:tcBorders>
              <w:top w:val="nil"/>
              <w:left w:val="nil"/>
              <w:bottom w:val="double" w:sz="6" w:space="0" w:color="auto"/>
              <w:right w:val="single" w:sz="4" w:space="0" w:color="auto"/>
            </w:tcBorders>
            <w:shd w:val="clear" w:color="auto" w:fill="auto"/>
            <w:noWrap/>
            <w:vAlign w:val="bottom"/>
            <w:hideMark/>
          </w:tcPr>
          <w:p w14:paraId="5C8783A6" w14:textId="77777777" w:rsidR="009E2D8C" w:rsidRPr="00AC562A" w:rsidRDefault="009E2D8C" w:rsidP="00253156">
            <w:pPr>
              <w:spacing w:after="0" w:line="240" w:lineRule="auto"/>
              <w:jc w:val="right"/>
              <w:rPr>
                <w:rFonts w:eastAsia="Times New Roman" w:cs="Times New Roman"/>
                <w:b/>
                <w:bCs/>
                <w:color w:val="000000"/>
              </w:rPr>
            </w:pPr>
            <w:r w:rsidRPr="00AC562A">
              <w:rPr>
                <w:rFonts w:eastAsia="Times New Roman" w:cs="Times New Roman"/>
                <w:b/>
                <w:bCs/>
                <w:color w:val="000000"/>
              </w:rPr>
              <w:t>Rural</w:t>
            </w:r>
          </w:p>
        </w:tc>
        <w:tc>
          <w:tcPr>
            <w:tcW w:w="939" w:type="dxa"/>
            <w:tcBorders>
              <w:top w:val="nil"/>
              <w:left w:val="nil"/>
              <w:bottom w:val="double" w:sz="6" w:space="0" w:color="auto"/>
              <w:right w:val="nil"/>
            </w:tcBorders>
            <w:shd w:val="clear" w:color="auto" w:fill="auto"/>
            <w:noWrap/>
            <w:vAlign w:val="center"/>
            <w:hideMark/>
          </w:tcPr>
          <w:p w14:paraId="55D251AB" w14:textId="77777777" w:rsidR="009E2D8C" w:rsidRPr="00AC562A" w:rsidRDefault="009E2D8C" w:rsidP="00253156">
            <w:pPr>
              <w:spacing w:after="0" w:line="240" w:lineRule="auto"/>
              <w:jc w:val="right"/>
              <w:rPr>
                <w:rFonts w:eastAsia="Times New Roman" w:cs="Times New Roman"/>
                <w:b/>
                <w:bCs/>
                <w:color w:val="000000"/>
              </w:rPr>
            </w:pPr>
            <w:r w:rsidRPr="00AC562A">
              <w:rPr>
                <w:rFonts w:eastAsia="Times New Roman" w:cs="Times New Roman"/>
                <w:b/>
                <w:bCs/>
                <w:color w:val="000000"/>
              </w:rPr>
              <w:t>Source</w:t>
            </w:r>
          </w:p>
        </w:tc>
        <w:tc>
          <w:tcPr>
            <w:tcW w:w="686" w:type="dxa"/>
            <w:tcBorders>
              <w:top w:val="nil"/>
              <w:left w:val="nil"/>
              <w:bottom w:val="double" w:sz="6" w:space="0" w:color="auto"/>
              <w:right w:val="double" w:sz="6" w:space="0" w:color="auto"/>
            </w:tcBorders>
            <w:shd w:val="clear" w:color="auto" w:fill="auto"/>
            <w:noWrap/>
            <w:vAlign w:val="center"/>
            <w:hideMark/>
          </w:tcPr>
          <w:p w14:paraId="0093E936" w14:textId="77777777" w:rsidR="009E2D8C" w:rsidRPr="00AC562A" w:rsidRDefault="009E2D8C" w:rsidP="00253156">
            <w:pPr>
              <w:spacing w:after="0" w:line="240" w:lineRule="auto"/>
              <w:jc w:val="right"/>
              <w:rPr>
                <w:rFonts w:eastAsia="Times New Roman" w:cs="Times New Roman"/>
                <w:b/>
                <w:bCs/>
                <w:color w:val="000000"/>
              </w:rPr>
            </w:pPr>
            <w:r w:rsidRPr="00AC562A">
              <w:rPr>
                <w:rFonts w:eastAsia="Times New Roman" w:cs="Times New Roman"/>
                <w:b/>
                <w:bCs/>
                <w:color w:val="000000"/>
              </w:rPr>
              <w:t>Year</w:t>
            </w:r>
          </w:p>
        </w:tc>
      </w:tr>
      <w:tr w:rsidR="009E2D8C" w:rsidRPr="00AC562A" w14:paraId="6DFB4F27" w14:textId="77777777" w:rsidTr="00253156">
        <w:trPr>
          <w:trHeight w:val="276"/>
        </w:trPr>
        <w:tc>
          <w:tcPr>
            <w:tcW w:w="3037" w:type="dxa"/>
            <w:tcBorders>
              <w:top w:val="nil"/>
              <w:left w:val="double" w:sz="6" w:space="0" w:color="auto"/>
              <w:bottom w:val="single" w:sz="4" w:space="0" w:color="BFBFBF"/>
              <w:right w:val="single" w:sz="4" w:space="0" w:color="auto"/>
            </w:tcBorders>
            <w:shd w:val="clear" w:color="auto" w:fill="auto"/>
            <w:vAlign w:val="bottom"/>
            <w:hideMark/>
          </w:tcPr>
          <w:p w14:paraId="0742EABF" w14:textId="77777777" w:rsidR="009E2D8C" w:rsidRPr="00AC562A" w:rsidRDefault="009E2D8C" w:rsidP="00253156">
            <w:pPr>
              <w:spacing w:after="0" w:line="240" w:lineRule="auto"/>
              <w:jc w:val="left"/>
              <w:rPr>
                <w:rFonts w:eastAsia="Times New Roman" w:cs="Times New Roman"/>
                <w:color w:val="000000"/>
              </w:rPr>
            </w:pPr>
            <w:r w:rsidRPr="00AC562A">
              <w:rPr>
                <w:rFonts w:eastAsia="Times New Roman" w:cs="Times New Roman"/>
                <w:color w:val="000000"/>
              </w:rPr>
              <w:t>Population</w:t>
            </w:r>
          </w:p>
        </w:tc>
        <w:tc>
          <w:tcPr>
            <w:tcW w:w="900" w:type="dxa"/>
            <w:tcBorders>
              <w:top w:val="nil"/>
              <w:left w:val="nil"/>
              <w:bottom w:val="single" w:sz="4" w:space="0" w:color="BFBFBF"/>
              <w:right w:val="single" w:sz="4" w:space="0" w:color="auto"/>
            </w:tcBorders>
            <w:shd w:val="clear" w:color="auto" w:fill="auto"/>
            <w:noWrap/>
            <w:vAlign w:val="bottom"/>
            <w:hideMark/>
          </w:tcPr>
          <w:p w14:paraId="2D345FF4"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 </w:t>
            </w:r>
          </w:p>
        </w:tc>
        <w:tc>
          <w:tcPr>
            <w:tcW w:w="900" w:type="dxa"/>
            <w:tcBorders>
              <w:top w:val="nil"/>
              <w:left w:val="nil"/>
              <w:bottom w:val="single" w:sz="4" w:space="0" w:color="BFBFBF"/>
              <w:right w:val="nil"/>
            </w:tcBorders>
            <w:shd w:val="clear" w:color="auto" w:fill="auto"/>
            <w:noWrap/>
            <w:vAlign w:val="bottom"/>
            <w:hideMark/>
          </w:tcPr>
          <w:p w14:paraId="4D51E0D1"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 </w:t>
            </w:r>
          </w:p>
        </w:tc>
        <w:tc>
          <w:tcPr>
            <w:tcW w:w="900" w:type="dxa"/>
            <w:tcBorders>
              <w:top w:val="nil"/>
              <w:left w:val="nil"/>
              <w:bottom w:val="single" w:sz="4" w:space="0" w:color="BFBFBF"/>
              <w:right w:val="nil"/>
            </w:tcBorders>
            <w:shd w:val="clear" w:color="auto" w:fill="auto"/>
            <w:noWrap/>
            <w:vAlign w:val="bottom"/>
            <w:hideMark/>
          </w:tcPr>
          <w:p w14:paraId="592A8F36"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 </w:t>
            </w:r>
          </w:p>
        </w:tc>
        <w:tc>
          <w:tcPr>
            <w:tcW w:w="1080" w:type="dxa"/>
            <w:tcBorders>
              <w:top w:val="nil"/>
              <w:left w:val="nil"/>
              <w:bottom w:val="single" w:sz="4" w:space="0" w:color="BFBFBF"/>
              <w:right w:val="nil"/>
            </w:tcBorders>
            <w:shd w:val="clear" w:color="auto" w:fill="auto"/>
            <w:noWrap/>
            <w:vAlign w:val="bottom"/>
            <w:hideMark/>
          </w:tcPr>
          <w:p w14:paraId="50C4E9ED"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 </w:t>
            </w:r>
          </w:p>
        </w:tc>
        <w:tc>
          <w:tcPr>
            <w:tcW w:w="936" w:type="dxa"/>
            <w:tcBorders>
              <w:top w:val="nil"/>
              <w:left w:val="nil"/>
              <w:bottom w:val="single" w:sz="4" w:space="0" w:color="BFBFBF"/>
              <w:right w:val="single" w:sz="4" w:space="0" w:color="auto"/>
            </w:tcBorders>
            <w:shd w:val="clear" w:color="auto" w:fill="auto"/>
            <w:noWrap/>
            <w:vAlign w:val="bottom"/>
            <w:hideMark/>
          </w:tcPr>
          <w:p w14:paraId="2D4F04BD"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 </w:t>
            </w:r>
          </w:p>
        </w:tc>
        <w:tc>
          <w:tcPr>
            <w:tcW w:w="939" w:type="dxa"/>
            <w:tcBorders>
              <w:top w:val="nil"/>
              <w:left w:val="nil"/>
              <w:bottom w:val="single" w:sz="4" w:space="0" w:color="BFBFBF"/>
              <w:right w:val="nil"/>
            </w:tcBorders>
            <w:shd w:val="clear" w:color="auto" w:fill="auto"/>
            <w:noWrap/>
            <w:vAlign w:val="bottom"/>
            <w:hideMark/>
          </w:tcPr>
          <w:p w14:paraId="4B757FC1"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 </w:t>
            </w:r>
          </w:p>
        </w:tc>
        <w:tc>
          <w:tcPr>
            <w:tcW w:w="686" w:type="dxa"/>
            <w:tcBorders>
              <w:top w:val="nil"/>
              <w:left w:val="nil"/>
              <w:bottom w:val="single" w:sz="4" w:space="0" w:color="BFBFBF"/>
              <w:right w:val="double" w:sz="6" w:space="0" w:color="auto"/>
            </w:tcBorders>
            <w:shd w:val="clear" w:color="auto" w:fill="auto"/>
            <w:noWrap/>
            <w:vAlign w:val="bottom"/>
            <w:hideMark/>
          </w:tcPr>
          <w:p w14:paraId="75B2F8AF"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 </w:t>
            </w:r>
          </w:p>
        </w:tc>
      </w:tr>
      <w:tr w:rsidR="009E2D8C" w:rsidRPr="00AC562A" w14:paraId="14798D05" w14:textId="77777777" w:rsidTr="00253156">
        <w:trPr>
          <w:trHeight w:val="265"/>
        </w:trPr>
        <w:tc>
          <w:tcPr>
            <w:tcW w:w="3037" w:type="dxa"/>
            <w:tcBorders>
              <w:top w:val="nil"/>
              <w:left w:val="double" w:sz="6" w:space="0" w:color="auto"/>
              <w:bottom w:val="nil"/>
              <w:right w:val="single" w:sz="4" w:space="0" w:color="auto"/>
            </w:tcBorders>
            <w:shd w:val="clear" w:color="auto" w:fill="auto"/>
            <w:vAlign w:val="bottom"/>
            <w:hideMark/>
          </w:tcPr>
          <w:p w14:paraId="5D18757D" w14:textId="77777777" w:rsidR="009E2D8C" w:rsidRPr="00AC562A" w:rsidRDefault="009E2D8C" w:rsidP="00253156">
            <w:pPr>
              <w:spacing w:after="0" w:line="240" w:lineRule="auto"/>
              <w:ind w:firstLineChars="63" w:firstLine="139"/>
              <w:jc w:val="left"/>
              <w:rPr>
                <w:rFonts w:eastAsia="Times New Roman" w:cs="Times New Roman"/>
                <w:color w:val="000000"/>
              </w:rPr>
            </w:pPr>
            <w:r w:rsidRPr="00AC562A">
              <w:rPr>
                <w:rFonts w:eastAsia="Times New Roman" w:cs="Times New Roman"/>
                <w:color w:val="000000"/>
              </w:rPr>
              <w:t>Age &lt; 18</w:t>
            </w:r>
          </w:p>
        </w:tc>
        <w:tc>
          <w:tcPr>
            <w:tcW w:w="900" w:type="dxa"/>
            <w:tcBorders>
              <w:top w:val="nil"/>
              <w:left w:val="nil"/>
              <w:bottom w:val="nil"/>
              <w:right w:val="single" w:sz="4" w:space="0" w:color="auto"/>
            </w:tcBorders>
            <w:shd w:val="clear" w:color="auto" w:fill="auto"/>
            <w:noWrap/>
            <w:vAlign w:val="bottom"/>
            <w:hideMark/>
          </w:tcPr>
          <w:p w14:paraId="0E603306"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228.6</w:t>
            </w:r>
          </w:p>
        </w:tc>
        <w:tc>
          <w:tcPr>
            <w:tcW w:w="900" w:type="dxa"/>
            <w:tcBorders>
              <w:top w:val="nil"/>
              <w:left w:val="nil"/>
              <w:bottom w:val="nil"/>
              <w:right w:val="nil"/>
            </w:tcBorders>
            <w:shd w:val="clear" w:color="auto" w:fill="auto"/>
            <w:noWrap/>
            <w:vAlign w:val="bottom"/>
            <w:hideMark/>
          </w:tcPr>
          <w:p w14:paraId="1B923543"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2.4</w:t>
            </w:r>
          </w:p>
        </w:tc>
        <w:tc>
          <w:tcPr>
            <w:tcW w:w="900" w:type="dxa"/>
            <w:tcBorders>
              <w:top w:val="nil"/>
              <w:left w:val="nil"/>
              <w:bottom w:val="nil"/>
              <w:right w:val="nil"/>
            </w:tcBorders>
            <w:shd w:val="clear" w:color="auto" w:fill="auto"/>
            <w:noWrap/>
            <w:vAlign w:val="bottom"/>
            <w:hideMark/>
          </w:tcPr>
          <w:p w14:paraId="53121B23"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225.0</w:t>
            </w:r>
          </w:p>
        </w:tc>
        <w:tc>
          <w:tcPr>
            <w:tcW w:w="1080" w:type="dxa"/>
            <w:tcBorders>
              <w:top w:val="nil"/>
              <w:left w:val="nil"/>
              <w:bottom w:val="nil"/>
              <w:right w:val="nil"/>
            </w:tcBorders>
            <w:shd w:val="clear" w:color="auto" w:fill="auto"/>
            <w:noWrap/>
            <w:vAlign w:val="bottom"/>
            <w:hideMark/>
          </w:tcPr>
          <w:p w14:paraId="78A7F8B6"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348.1</w:t>
            </w:r>
          </w:p>
        </w:tc>
        <w:tc>
          <w:tcPr>
            <w:tcW w:w="936" w:type="dxa"/>
            <w:tcBorders>
              <w:top w:val="nil"/>
              <w:left w:val="nil"/>
              <w:bottom w:val="nil"/>
              <w:right w:val="single" w:sz="4" w:space="0" w:color="auto"/>
            </w:tcBorders>
            <w:shd w:val="clear" w:color="auto" w:fill="auto"/>
            <w:noWrap/>
            <w:vAlign w:val="bottom"/>
            <w:hideMark/>
          </w:tcPr>
          <w:p w14:paraId="5EFD46A4"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129.5</w:t>
            </w:r>
          </w:p>
        </w:tc>
        <w:tc>
          <w:tcPr>
            <w:tcW w:w="939" w:type="dxa"/>
            <w:tcBorders>
              <w:top w:val="nil"/>
              <w:left w:val="nil"/>
              <w:bottom w:val="nil"/>
              <w:right w:val="nil"/>
            </w:tcBorders>
            <w:shd w:val="clear" w:color="auto" w:fill="auto"/>
            <w:noWrap/>
            <w:vAlign w:val="bottom"/>
            <w:hideMark/>
          </w:tcPr>
          <w:p w14:paraId="358BEA67"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ACS</w:t>
            </w:r>
          </w:p>
        </w:tc>
        <w:tc>
          <w:tcPr>
            <w:tcW w:w="686" w:type="dxa"/>
            <w:tcBorders>
              <w:top w:val="nil"/>
              <w:left w:val="nil"/>
              <w:bottom w:val="nil"/>
              <w:right w:val="double" w:sz="6" w:space="0" w:color="auto"/>
            </w:tcBorders>
            <w:shd w:val="clear" w:color="auto" w:fill="auto"/>
            <w:noWrap/>
            <w:vAlign w:val="bottom"/>
            <w:hideMark/>
          </w:tcPr>
          <w:p w14:paraId="53AC4FAD"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2016</w:t>
            </w:r>
          </w:p>
        </w:tc>
      </w:tr>
      <w:tr w:rsidR="009E2D8C" w:rsidRPr="00AC562A" w14:paraId="28605689" w14:textId="77777777" w:rsidTr="00253156">
        <w:trPr>
          <w:trHeight w:val="265"/>
        </w:trPr>
        <w:tc>
          <w:tcPr>
            <w:tcW w:w="3037" w:type="dxa"/>
            <w:tcBorders>
              <w:top w:val="nil"/>
              <w:left w:val="double" w:sz="6" w:space="0" w:color="auto"/>
              <w:bottom w:val="nil"/>
              <w:right w:val="single" w:sz="4" w:space="0" w:color="auto"/>
            </w:tcBorders>
            <w:shd w:val="clear" w:color="auto" w:fill="auto"/>
            <w:vAlign w:val="bottom"/>
            <w:hideMark/>
          </w:tcPr>
          <w:p w14:paraId="1623C53F" w14:textId="77777777" w:rsidR="009E2D8C" w:rsidRPr="00AC562A" w:rsidRDefault="009E2D8C" w:rsidP="00253156">
            <w:pPr>
              <w:spacing w:after="0" w:line="240" w:lineRule="auto"/>
              <w:ind w:firstLineChars="63" w:firstLine="139"/>
              <w:jc w:val="left"/>
              <w:rPr>
                <w:rFonts w:eastAsia="Times New Roman" w:cs="Times New Roman"/>
                <w:color w:val="000000"/>
              </w:rPr>
            </w:pPr>
            <w:r w:rsidRPr="00AC562A">
              <w:rPr>
                <w:rFonts w:eastAsia="Times New Roman" w:cs="Times New Roman"/>
                <w:color w:val="000000"/>
              </w:rPr>
              <w:t xml:space="preserve">18 </w:t>
            </w:r>
            <w:r>
              <w:rPr>
                <w:rFonts w:eastAsia="Times New Roman" w:cs="Times New Roman"/>
                <w:color w:val="000000"/>
              </w:rPr>
              <w:t>≤</w:t>
            </w:r>
            <w:r w:rsidRPr="00AC562A">
              <w:rPr>
                <w:rFonts w:eastAsia="Times New Roman" w:cs="Times New Roman"/>
                <w:color w:val="000000"/>
              </w:rPr>
              <w:t xml:space="preserve"> Age &lt; 35</w:t>
            </w:r>
          </w:p>
        </w:tc>
        <w:tc>
          <w:tcPr>
            <w:tcW w:w="900" w:type="dxa"/>
            <w:tcBorders>
              <w:top w:val="nil"/>
              <w:left w:val="nil"/>
              <w:bottom w:val="nil"/>
              <w:right w:val="single" w:sz="4" w:space="0" w:color="auto"/>
            </w:tcBorders>
            <w:shd w:val="clear" w:color="auto" w:fill="auto"/>
            <w:noWrap/>
            <w:vAlign w:val="bottom"/>
            <w:hideMark/>
          </w:tcPr>
          <w:p w14:paraId="7552BFD9"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258.1</w:t>
            </w:r>
          </w:p>
        </w:tc>
        <w:tc>
          <w:tcPr>
            <w:tcW w:w="900" w:type="dxa"/>
            <w:tcBorders>
              <w:top w:val="nil"/>
              <w:left w:val="nil"/>
              <w:bottom w:val="nil"/>
              <w:right w:val="nil"/>
            </w:tcBorders>
            <w:shd w:val="clear" w:color="auto" w:fill="auto"/>
            <w:noWrap/>
            <w:vAlign w:val="bottom"/>
            <w:hideMark/>
          </w:tcPr>
          <w:p w14:paraId="0296F05B"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22.0</w:t>
            </w:r>
          </w:p>
        </w:tc>
        <w:tc>
          <w:tcPr>
            <w:tcW w:w="900" w:type="dxa"/>
            <w:tcBorders>
              <w:top w:val="nil"/>
              <w:left w:val="nil"/>
              <w:bottom w:val="nil"/>
              <w:right w:val="nil"/>
            </w:tcBorders>
            <w:shd w:val="clear" w:color="auto" w:fill="auto"/>
            <w:noWrap/>
            <w:vAlign w:val="bottom"/>
            <w:hideMark/>
          </w:tcPr>
          <w:p w14:paraId="738F84BC"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377.1</w:t>
            </w:r>
          </w:p>
        </w:tc>
        <w:tc>
          <w:tcPr>
            <w:tcW w:w="1080" w:type="dxa"/>
            <w:tcBorders>
              <w:top w:val="nil"/>
              <w:left w:val="nil"/>
              <w:bottom w:val="nil"/>
              <w:right w:val="nil"/>
            </w:tcBorders>
            <w:shd w:val="clear" w:color="auto" w:fill="auto"/>
            <w:noWrap/>
            <w:vAlign w:val="bottom"/>
            <w:hideMark/>
          </w:tcPr>
          <w:p w14:paraId="63E40A8C"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261.9</w:t>
            </w:r>
          </w:p>
        </w:tc>
        <w:tc>
          <w:tcPr>
            <w:tcW w:w="936" w:type="dxa"/>
            <w:tcBorders>
              <w:top w:val="nil"/>
              <w:left w:val="nil"/>
              <w:bottom w:val="nil"/>
              <w:right w:val="single" w:sz="4" w:space="0" w:color="auto"/>
            </w:tcBorders>
            <w:shd w:val="clear" w:color="auto" w:fill="auto"/>
            <w:noWrap/>
            <w:vAlign w:val="bottom"/>
            <w:hideMark/>
          </w:tcPr>
          <w:p w14:paraId="3E757D25"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106.4</w:t>
            </w:r>
          </w:p>
        </w:tc>
        <w:tc>
          <w:tcPr>
            <w:tcW w:w="939" w:type="dxa"/>
            <w:tcBorders>
              <w:top w:val="nil"/>
              <w:left w:val="nil"/>
              <w:bottom w:val="nil"/>
              <w:right w:val="nil"/>
            </w:tcBorders>
            <w:shd w:val="clear" w:color="auto" w:fill="auto"/>
            <w:noWrap/>
            <w:vAlign w:val="bottom"/>
            <w:hideMark/>
          </w:tcPr>
          <w:p w14:paraId="3C4EB794"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ACS</w:t>
            </w:r>
          </w:p>
        </w:tc>
        <w:tc>
          <w:tcPr>
            <w:tcW w:w="686" w:type="dxa"/>
            <w:tcBorders>
              <w:top w:val="nil"/>
              <w:left w:val="nil"/>
              <w:bottom w:val="nil"/>
              <w:right w:val="double" w:sz="6" w:space="0" w:color="auto"/>
            </w:tcBorders>
            <w:shd w:val="clear" w:color="auto" w:fill="auto"/>
            <w:noWrap/>
            <w:vAlign w:val="bottom"/>
            <w:hideMark/>
          </w:tcPr>
          <w:p w14:paraId="32E57904"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2016</w:t>
            </w:r>
          </w:p>
        </w:tc>
      </w:tr>
      <w:tr w:rsidR="009E2D8C" w:rsidRPr="00AC562A" w14:paraId="48B01697" w14:textId="77777777" w:rsidTr="00253156">
        <w:trPr>
          <w:trHeight w:val="265"/>
        </w:trPr>
        <w:tc>
          <w:tcPr>
            <w:tcW w:w="3037" w:type="dxa"/>
            <w:tcBorders>
              <w:top w:val="nil"/>
              <w:left w:val="double" w:sz="6" w:space="0" w:color="auto"/>
              <w:bottom w:val="nil"/>
              <w:right w:val="single" w:sz="4" w:space="0" w:color="auto"/>
            </w:tcBorders>
            <w:shd w:val="clear" w:color="auto" w:fill="auto"/>
            <w:vAlign w:val="bottom"/>
            <w:hideMark/>
          </w:tcPr>
          <w:p w14:paraId="12E49592" w14:textId="77777777" w:rsidR="009E2D8C" w:rsidRPr="00AC562A" w:rsidRDefault="009E2D8C" w:rsidP="00253156">
            <w:pPr>
              <w:spacing w:after="0" w:line="240" w:lineRule="auto"/>
              <w:ind w:firstLineChars="63" w:firstLine="139"/>
              <w:jc w:val="left"/>
              <w:rPr>
                <w:rFonts w:eastAsia="Times New Roman" w:cs="Times New Roman"/>
                <w:color w:val="000000"/>
              </w:rPr>
            </w:pPr>
            <w:r w:rsidRPr="00AC562A">
              <w:rPr>
                <w:rFonts w:eastAsia="Times New Roman" w:cs="Times New Roman"/>
                <w:color w:val="000000"/>
              </w:rPr>
              <w:t xml:space="preserve">35 </w:t>
            </w:r>
            <w:r>
              <w:rPr>
                <w:rFonts w:eastAsia="Times New Roman" w:cs="Times New Roman"/>
                <w:color w:val="000000"/>
              </w:rPr>
              <w:t>≤</w:t>
            </w:r>
            <w:r w:rsidRPr="00AC562A">
              <w:rPr>
                <w:rFonts w:eastAsia="Times New Roman" w:cs="Times New Roman"/>
                <w:color w:val="000000"/>
              </w:rPr>
              <w:t xml:space="preserve"> Age &lt; 65</w:t>
            </w:r>
          </w:p>
        </w:tc>
        <w:tc>
          <w:tcPr>
            <w:tcW w:w="900" w:type="dxa"/>
            <w:tcBorders>
              <w:top w:val="nil"/>
              <w:left w:val="nil"/>
              <w:bottom w:val="nil"/>
              <w:right w:val="single" w:sz="4" w:space="0" w:color="auto"/>
            </w:tcBorders>
            <w:shd w:val="clear" w:color="auto" w:fill="auto"/>
            <w:noWrap/>
            <w:vAlign w:val="bottom"/>
            <w:hideMark/>
          </w:tcPr>
          <w:p w14:paraId="664AC6AC"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366.1</w:t>
            </w:r>
          </w:p>
        </w:tc>
        <w:tc>
          <w:tcPr>
            <w:tcW w:w="900" w:type="dxa"/>
            <w:tcBorders>
              <w:top w:val="nil"/>
              <w:left w:val="nil"/>
              <w:bottom w:val="nil"/>
              <w:right w:val="nil"/>
            </w:tcBorders>
            <w:shd w:val="clear" w:color="auto" w:fill="auto"/>
            <w:noWrap/>
            <w:vAlign w:val="bottom"/>
            <w:hideMark/>
          </w:tcPr>
          <w:p w14:paraId="5DB49D02"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23.5</w:t>
            </w:r>
          </w:p>
        </w:tc>
        <w:tc>
          <w:tcPr>
            <w:tcW w:w="900" w:type="dxa"/>
            <w:tcBorders>
              <w:top w:val="nil"/>
              <w:left w:val="nil"/>
              <w:bottom w:val="nil"/>
              <w:right w:val="nil"/>
            </w:tcBorders>
            <w:shd w:val="clear" w:color="auto" w:fill="auto"/>
            <w:noWrap/>
            <w:vAlign w:val="bottom"/>
            <w:hideMark/>
          </w:tcPr>
          <w:p w14:paraId="74F83E79"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385.2</w:t>
            </w:r>
          </w:p>
        </w:tc>
        <w:tc>
          <w:tcPr>
            <w:tcW w:w="1080" w:type="dxa"/>
            <w:tcBorders>
              <w:top w:val="nil"/>
              <w:left w:val="nil"/>
              <w:bottom w:val="nil"/>
              <w:right w:val="nil"/>
            </w:tcBorders>
            <w:shd w:val="clear" w:color="auto" w:fill="auto"/>
            <w:noWrap/>
            <w:vAlign w:val="bottom"/>
            <w:hideMark/>
          </w:tcPr>
          <w:p w14:paraId="7281A59C"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513.8</w:t>
            </w:r>
          </w:p>
        </w:tc>
        <w:tc>
          <w:tcPr>
            <w:tcW w:w="936" w:type="dxa"/>
            <w:tcBorders>
              <w:top w:val="nil"/>
              <w:left w:val="nil"/>
              <w:bottom w:val="nil"/>
              <w:right w:val="single" w:sz="4" w:space="0" w:color="auto"/>
            </w:tcBorders>
            <w:shd w:val="clear" w:color="auto" w:fill="auto"/>
            <w:noWrap/>
            <w:vAlign w:val="bottom"/>
            <w:hideMark/>
          </w:tcPr>
          <w:p w14:paraId="72BB4309"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214.1</w:t>
            </w:r>
          </w:p>
        </w:tc>
        <w:tc>
          <w:tcPr>
            <w:tcW w:w="939" w:type="dxa"/>
            <w:tcBorders>
              <w:top w:val="nil"/>
              <w:left w:val="nil"/>
              <w:bottom w:val="nil"/>
              <w:right w:val="nil"/>
            </w:tcBorders>
            <w:shd w:val="clear" w:color="auto" w:fill="auto"/>
            <w:noWrap/>
            <w:vAlign w:val="bottom"/>
            <w:hideMark/>
          </w:tcPr>
          <w:p w14:paraId="1507A9BB"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ACS</w:t>
            </w:r>
          </w:p>
        </w:tc>
        <w:tc>
          <w:tcPr>
            <w:tcW w:w="686" w:type="dxa"/>
            <w:tcBorders>
              <w:top w:val="nil"/>
              <w:left w:val="nil"/>
              <w:bottom w:val="nil"/>
              <w:right w:val="double" w:sz="6" w:space="0" w:color="auto"/>
            </w:tcBorders>
            <w:shd w:val="clear" w:color="auto" w:fill="auto"/>
            <w:noWrap/>
            <w:vAlign w:val="bottom"/>
            <w:hideMark/>
          </w:tcPr>
          <w:p w14:paraId="62072F57"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2016</w:t>
            </w:r>
          </w:p>
        </w:tc>
      </w:tr>
      <w:tr w:rsidR="009E2D8C" w:rsidRPr="00AC562A" w14:paraId="0C19024B" w14:textId="77777777" w:rsidTr="00253156">
        <w:trPr>
          <w:trHeight w:val="265"/>
        </w:trPr>
        <w:tc>
          <w:tcPr>
            <w:tcW w:w="3037" w:type="dxa"/>
            <w:tcBorders>
              <w:top w:val="nil"/>
              <w:left w:val="double" w:sz="6" w:space="0" w:color="auto"/>
              <w:bottom w:val="single" w:sz="4" w:space="0" w:color="BFBFBF"/>
              <w:right w:val="single" w:sz="4" w:space="0" w:color="auto"/>
            </w:tcBorders>
            <w:shd w:val="clear" w:color="auto" w:fill="auto"/>
            <w:vAlign w:val="bottom"/>
            <w:hideMark/>
          </w:tcPr>
          <w:p w14:paraId="265F6D9B" w14:textId="77777777" w:rsidR="009E2D8C" w:rsidRPr="00AC562A" w:rsidRDefault="009E2D8C" w:rsidP="00253156">
            <w:pPr>
              <w:spacing w:after="0" w:line="240" w:lineRule="auto"/>
              <w:ind w:firstLineChars="63" w:firstLine="139"/>
              <w:jc w:val="left"/>
              <w:rPr>
                <w:rFonts w:eastAsia="Times New Roman" w:cs="Times New Roman"/>
                <w:color w:val="000000"/>
              </w:rPr>
            </w:pPr>
            <w:r w:rsidRPr="00AC562A">
              <w:rPr>
                <w:rFonts w:eastAsia="Times New Roman" w:cs="Times New Roman"/>
                <w:color w:val="000000"/>
              </w:rPr>
              <w:t xml:space="preserve">65 </w:t>
            </w:r>
            <w:r>
              <w:rPr>
                <w:rFonts w:eastAsia="Times New Roman" w:cs="Times New Roman"/>
                <w:color w:val="000000"/>
              </w:rPr>
              <w:t>≤</w:t>
            </w:r>
            <w:r w:rsidRPr="00AC562A">
              <w:rPr>
                <w:rFonts w:eastAsia="Times New Roman" w:cs="Times New Roman"/>
                <w:color w:val="000000"/>
              </w:rPr>
              <w:t xml:space="preserve"> Age</w:t>
            </w:r>
          </w:p>
        </w:tc>
        <w:tc>
          <w:tcPr>
            <w:tcW w:w="900" w:type="dxa"/>
            <w:tcBorders>
              <w:top w:val="nil"/>
              <w:left w:val="nil"/>
              <w:bottom w:val="single" w:sz="4" w:space="0" w:color="BFBFBF"/>
              <w:right w:val="single" w:sz="4" w:space="0" w:color="auto"/>
            </w:tcBorders>
            <w:shd w:val="clear" w:color="auto" w:fill="auto"/>
            <w:noWrap/>
            <w:vAlign w:val="bottom"/>
            <w:hideMark/>
          </w:tcPr>
          <w:p w14:paraId="35FCA97A"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92.5</w:t>
            </w:r>
          </w:p>
        </w:tc>
        <w:tc>
          <w:tcPr>
            <w:tcW w:w="900" w:type="dxa"/>
            <w:tcBorders>
              <w:top w:val="nil"/>
              <w:left w:val="nil"/>
              <w:bottom w:val="single" w:sz="4" w:space="0" w:color="BFBFBF"/>
              <w:right w:val="nil"/>
            </w:tcBorders>
            <w:shd w:val="clear" w:color="auto" w:fill="auto"/>
            <w:noWrap/>
            <w:vAlign w:val="bottom"/>
            <w:hideMark/>
          </w:tcPr>
          <w:p w14:paraId="38FE82D0"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5.4</w:t>
            </w:r>
          </w:p>
        </w:tc>
        <w:tc>
          <w:tcPr>
            <w:tcW w:w="900" w:type="dxa"/>
            <w:tcBorders>
              <w:top w:val="nil"/>
              <w:left w:val="nil"/>
              <w:bottom w:val="single" w:sz="4" w:space="0" w:color="BFBFBF"/>
              <w:right w:val="nil"/>
            </w:tcBorders>
            <w:shd w:val="clear" w:color="auto" w:fill="auto"/>
            <w:noWrap/>
            <w:vAlign w:val="bottom"/>
            <w:hideMark/>
          </w:tcPr>
          <w:p w14:paraId="16ED4912"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81.6</w:t>
            </w:r>
          </w:p>
        </w:tc>
        <w:tc>
          <w:tcPr>
            <w:tcW w:w="1080" w:type="dxa"/>
            <w:tcBorders>
              <w:top w:val="nil"/>
              <w:left w:val="nil"/>
              <w:bottom w:val="single" w:sz="4" w:space="0" w:color="BFBFBF"/>
              <w:right w:val="nil"/>
            </w:tcBorders>
            <w:shd w:val="clear" w:color="auto" w:fill="auto"/>
            <w:noWrap/>
            <w:vAlign w:val="bottom"/>
            <w:hideMark/>
          </w:tcPr>
          <w:p w14:paraId="2818F369"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133.1</w:t>
            </w:r>
          </w:p>
        </w:tc>
        <w:tc>
          <w:tcPr>
            <w:tcW w:w="936" w:type="dxa"/>
            <w:tcBorders>
              <w:top w:val="nil"/>
              <w:left w:val="nil"/>
              <w:bottom w:val="single" w:sz="4" w:space="0" w:color="BFBFBF"/>
              <w:right w:val="single" w:sz="4" w:space="0" w:color="auto"/>
            </w:tcBorders>
            <w:shd w:val="clear" w:color="auto" w:fill="auto"/>
            <w:noWrap/>
            <w:vAlign w:val="bottom"/>
            <w:hideMark/>
          </w:tcPr>
          <w:p w14:paraId="603EBBA4"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70.8</w:t>
            </w:r>
          </w:p>
        </w:tc>
        <w:tc>
          <w:tcPr>
            <w:tcW w:w="939" w:type="dxa"/>
            <w:tcBorders>
              <w:top w:val="nil"/>
              <w:left w:val="nil"/>
              <w:bottom w:val="single" w:sz="4" w:space="0" w:color="BFBFBF"/>
              <w:right w:val="nil"/>
            </w:tcBorders>
            <w:shd w:val="clear" w:color="auto" w:fill="auto"/>
            <w:noWrap/>
            <w:vAlign w:val="bottom"/>
            <w:hideMark/>
          </w:tcPr>
          <w:p w14:paraId="61B15AC4"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ACS</w:t>
            </w:r>
          </w:p>
        </w:tc>
        <w:tc>
          <w:tcPr>
            <w:tcW w:w="686" w:type="dxa"/>
            <w:tcBorders>
              <w:top w:val="nil"/>
              <w:left w:val="nil"/>
              <w:bottom w:val="single" w:sz="4" w:space="0" w:color="BFBFBF"/>
              <w:right w:val="double" w:sz="6" w:space="0" w:color="auto"/>
            </w:tcBorders>
            <w:shd w:val="clear" w:color="auto" w:fill="auto"/>
            <w:noWrap/>
            <w:vAlign w:val="bottom"/>
            <w:hideMark/>
          </w:tcPr>
          <w:p w14:paraId="6BF40963"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2016</w:t>
            </w:r>
          </w:p>
        </w:tc>
      </w:tr>
      <w:tr w:rsidR="009E2D8C" w:rsidRPr="00AC562A" w14:paraId="7C511B89" w14:textId="77777777" w:rsidTr="00253156">
        <w:trPr>
          <w:trHeight w:val="265"/>
        </w:trPr>
        <w:tc>
          <w:tcPr>
            <w:tcW w:w="3037" w:type="dxa"/>
            <w:tcBorders>
              <w:top w:val="nil"/>
              <w:left w:val="double" w:sz="6" w:space="0" w:color="auto"/>
              <w:bottom w:val="nil"/>
              <w:right w:val="single" w:sz="4" w:space="0" w:color="auto"/>
            </w:tcBorders>
            <w:shd w:val="clear" w:color="auto" w:fill="auto"/>
            <w:vAlign w:val="bottom"/>
            <w:hideMark/>
          </w:tcPr>
          <w:p w14:paraId="3679BD4E" w14:textId="77777777" w:rsidR="009E2D8C" w:rsidRPr="00AC562A" w:rsidRDefault="009E2D8C" w:rsidP="00253156">
            <w:pPr>
              <w:spacing w:after="0" w:line="240" w:lineRule="auto"/>
              <w:ind w:firstLineChars="63" w:firstLine="139"/>
              <w:jc w:val="left"/>
              <w:rPr>
                <w:rFonts w:eastAsia="Times New Roman" w:cs="Times New Roman"/>
                <w:color w:val="000000"/>
              </w:rPr>
            </w:pPr>
            <w:r w:rsidRPr="00AC562A">
              <w:rPr>
                <w:rFonts w:eastAsia="Times New Roman" w:cs="Times New Roman"/>
                <w:color w:val="000000"/>
              </w:rPr>
              <w:t>Caucasian</w:t>
            </w:r>
          </w:p>
        </w:tc>
        <w:tc>
          <w:tcPr>
            <w:tcW w:w="900" w:type="dxa"/>
            <w:tcBorders>
              <w:top w:val="nil"/>
              <w:left w:val="nil"/>
              <w:bottom w:val="nil"/>
              <w:right w:val="single" w:sz="4" w:space="0" w:color="auto"/>
            </w:tcBorders>
            <w:shd w:val="clear" w:color="auto" w:fill="auto"/>
            <w:noWrap/>
            <w:vAlign w:val="bottom"/>
            <w:hideMark/>
          </w:tcPr>
          <w:p w14:paraId="77602CCE"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746.9</w:t>
            </w:r>
          </w:p>
        </w:tc>
        <w:tc>
          <w:tcPr>
            <w:tcW w:w="900" w:type="dxa"/>
            <w:tcBorders>
              <w:top w:val="nil"/>
              <w:left w:val="nil"/>
              <w:bottom w:val="nil"/>
              <w:right w:val="nil"/>
            </w:tcBorders>
            <w:shd w:val="clear" w:color="auto" w:fill="auto"/>
            <w:noWrap/>
            <w:vAlign w:val="bottom"/>
            <w:hideMark/>
          </w:tcPr>
          <w:p w14:paraId="3FA3C203"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45.8</w:t>
            </w:r>
          </w:p>
        </w:tc>
        <w:tc>
          <w:tcPr>
            <w:tcW w:w="900" w:type="dxa"/>
            <w:tcBorders>
              <w:top w:val="nil"/>
              <w:left w:val="nil"/>
              <w:bottom w:val="nil"/>
              <w:right w:val="nil"/>
            </w:tcBorders>
            <w:shd w:val="clear" w:color="auto" w:fill="auto"/>
            <w:noWrap/>
            <w:vAlign w:val="bottom"/>
            <w:hideMark/>
          </w:tcPr>
          <w:p w14:paraId="0856CB94"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815.5</w:t>
            </w:r>
          </w:p>
        </w:tc>
        <w:tc>
          <w:tcPr>
            <w:tcW w:w="1080" w:type="dxa"/>
            <w:tcBorders>
              <w:top w:val="nil"/>
              <w:left w:val="nil"/>
              <w:bottom w:val="nil"/>
              <w:right w:val="nil"/>
            </w:tcBorders>
            <w:shd w:val="clear" w:color="auto" w:fill="auto"/>
            <w:noWrap/>
            <w:vAlign w:val="bottom"/>
            <w:hideMark/>
          </w:tcPr>
          <w:p w14:paraId="04CCA21E"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999.4</w:t>
            </w:r>
          </w:p>
        </w:tc>
        <w:tc>
          <w:tcPr>
            <w:tcW w:w="936" w:type="dxa"/>
            <w:tcBorders>
              <w:top w:val="nil"/>
              <w:left w:val="nil"/>
              <w:bottom w:val="nil"/>
              <w:right w:val="single" w:sz="4" w:space="0" w:color="auto"/>
            </w:tcBorders>
            <w:shd w:val="clear" w:color="auto" w:fill="auto"/>
            <w:noWrap/>
            <w:vAlign w:val="bottom"/>
            <w:hideMark/>
          </w:tcPr>
          <w:p w14:paraId="397418F6"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442.1</w:t>
            </w:r>
          </w:p>
        </w:tc>
        <w:tc>
          <w:tcPr>
            <w:tcW w:w="939" w:type="dxa"/>
            <w:tcBorders>
              <w:top w:val="nil"/>
              <w:left w:val="nil"/>
              <w:bottom w:val="nil"/>
              <w:right w:val="nil"/>
            </w:tcBorders>
            <w:shd w:val="clear" w:color="auto" w:fill="auto"/>
            <w:noWrap/>
            <w:vAlign w:val="bottom"/>
            <w:hideMark/>
          </w:tcPr>
          <w:p w14:paraId="35EE7AD2"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ACS</w:t>
            </w:r>
          </w:p>
        </w:tc>
        <w:tc>
          <w:tcPr>
            <w:tcW w:w="686" w:type="dxa"/>
            <w:tcBorders>
              <w:top w:val="nil"/>
              <w:left w:val="nil"/>
              <w:bottom w:val="nil"/>
              <w:right w:val="double" w:sz="6" w:space="0" w:color="auto"/>
            </w:tcBorders>
            <w:shd w:val="clear" w:color="auto" w:fill="auto"/>
            <w:noWrap/>
            <w:vAlign w:val="bottom"/>
            <w:hideMark/>
          </w:tcPr>
          <w:p w14:paraId="18EAA1E2"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2016</w:t>
            </w:r>
          </w:p>
        </w:tc>
      </w:tr>
      <w:tr w:rsidR="009E2D8C" w:rsidRPr="00AC562A" w14:paraId="0C4F2E1D" w14:textId="77777777" w:rsidTr="00253156">
        <w:trPr>
          <w:trHeight w:val="265"/>
        </w:trPr>
        <w:tc>
          <w:tcPr>
            <w:tcW w:w="3037" w:type="dxa"/>
            <w:tcBorders>
              <w:top w:val="nil"/>
              <w:left w:val="double" w:sz="6" w:space="0" w:color="auto"/>
              <w:bottom w:val="nil"/>
              <w:right w:val="single" w:sz="4" w:space="0" w:color="auto"/>
            </w:tcBorders>
            <w:shd w:val="clear" w:color="auto" w:fill="auto"/>
            <w:vAlign w:val="bottom"/>
            <w:hideMark/>
          </w:tcPr>
          <w:p w14:paraId="4E9A5F10" w14:textId="77777777" w:rsidR="009E2D8C" w:rsidRPr="00AC562A" w:rsidRDefault="009E2D8C" w:rsidP="00253156">
            <w:pPr>
              <w:spacing w:after="0" w:line="240" w:lineRule="auto"/>
              <w:ind w:firstLineChars="63" w:firstLine="139"/>
              <w:jc w:val="left"/>
              <w:rPr>
                <w:rFonts w:eastAsia="Times New Roman" w:cs="Times New Roman"/>
                <w:color w:val="000000"/>
              </w:rPr>
            </w:pPr>
            <w:r w:rsidRPr="00AC562A">
              <w:rPr>
                <w:rFonts w:eastAsia="Times New Roman" w:cs="Times New Roman"/>
                <w:color w:val="000000"/>
              </w:rPr>
              <w:t>African American</w:t>
            </w:r>
          </w:p>
        </w:tc>
        <w:tc>
          <w:tcPr>
            <w:tcW w:w="900" w:type="dxa"/>
            <w:tcBorders>
              <w:top w:val="nil"/>
              <w:left w:val="nil"/>
              <w:bottom w:val="nil"/>
              <w:right w:val="single" w:sz="4" w:space="0" w:color="auto"/>
            </w:tcBorders>
            <w:shd w:val="clear" w:color="auto" w:fill="auto"/>
            <w:noWrap/>
            <w:vAlign w:val="bottom"/>
            <w:hideMark/>
          </w:tcPr>
          <w:p w14:paraId="133DD23D"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68.0</w:t>
            </w:r>
          </w:p>
        </w:tc>
        <w:tc>
          <w:tcPr>
            <w:tcW w:w="900" w:type="dxa"/>
            <w:tcBorders>
              <w:top w:val="nil"/>
              <w:left w:val="nil"/>
              <w:bottom w:val="nil"/>
              <w:right w:val="nil"/>
            </w:tcBorders>
            <w:shd w:val="clear" w:color="auto" w:fill="auto"/>
            <w:noWrap/>
            <w:vAlign w:val="bottom"/>
            <w:hideMark/>
          </w:tcPr>
          <w:p w14:paraId="45B73771"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1.6</w:t>
            </w:r>
          </w:p>
        </w:tc>
        <w:tc>
          <w:tcPr>
            <w:tcW w:w="900" w:type="dxa"/>
            <w:tcBorders>
              <w:top w:val="nil"/>
              <w:left w:val="nil"/>
              <w:bottom w:val="nil"/>
              <w:right w:val="nil"/>
            </w:tcBorders>
            <w:shd w:val="clear" w:color="auto" w:fill="auto"/>
            <w:noWrap/>
            <w:vAlign w:val="bottom"/>
            <w:hideMark/>
          </w:tcPr>
          <w:p w14:paraId="20D6B641"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87.1</w:t>
            </w:r>
          </w:p>
        </w:tc>
        <w:tc>
          <w:tcPr>
            <w:tcW w:w="1080" w:type="dxa"/>
            <w:tcBorders>
              <w:top w:val="nil"/>
              <w:left w:val="nil"/>
              <w:bottom w:val="nil"/>
              <w:right w:val="nil"/>
            </w:tcBorders>
            <w:shd w:val="clear" w:color="auto" w:fill="auto"/>
            <w:noWrap/>
            <w:vAlign w:val="bottom"/>
            <w:hideMark/>
          </w:tcPr>
          <w:p w14:paraId="681AAB09"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87.4</w:t>
            </w:r>
          </w:p>
        </w:tc>
        <w:tc>
          <w:tcPr>
            <w:tcW w:w="936" w:type="dxa"/>
            <w:tcBorders>
              <w:top w:val="nil"/>
              <w:left w:val="nil"/>
              <w:bottom w:val="nil"/>
              <w:right w:val="single" w:sz="4" w:space="0" w:color="auto"/>
            </w:tcBorders>
            <w:shd w:val="clear" w:color="auto" w:fill="auto"/>
            <w:noWrap/>
            <w:vAlign w:val="bottom"/>
            <w:hideMark/>
          </w:tcPr>
          <w:p w14:paraId="622066C9"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27.3</w:t>
            </w:r>
          </w:p>
        </w:tc>
        <w:tc>
          <w:tcPr>
            <w:tcW w:w="939" w:type="dxa"/>
            <w:tcBorders>
              <w:top w:val="nil"/>
              <w:left w:val="nil"/>
              <w:bottom w:val="nil"/>
              <w:right w:val="nil"/>
            </w:tcBorders>
            <w:shd w:val="clear" w:color="auto" w:fill="auto"/>
            <w:noWrap/>
            <w:vAlign w:val="bottom"/>
            <w:hideMark/>
          </w:tcPr>
          <w:p w14:paraId="10142A27"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ACS</w:t>
            </w:r>
          </w:p>
        </w:tc>
        <w:tc>
          <w:tcPr>
            <w:tcW w:w="686" w:type="dxa"/>
            <w:tcBorders>
              <w:top w:val="nil"/>
              <w:left w:val="nil"/>
              <w:bottom w:val="nil"/>
              <w:right w:val="double" w:sz="6" w:space="0" w:color="auto"/>
            </w:tcBorders>
            <w:shd w:val="clear" w:color="auto" w:fill="auto"/>
            <w:noWrap/>
            <w:vAlign w:val="bottom"/>
            <w:hideMark/>
          </w:tcPr>
          <w:p w14:paraId="70A1DAAE"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2016</w:t>
            </w:r>
          </w:p>
        </w:tc>
      </w:tr>
      <w:tr w:rsidR="009E2D8C" w:rsidRPr="00AC562A" w14:paraId="1F79047D" w14:textId="77777777" w:rsidTr="00253156">
        <w:trPr>
          <w:trHeight w:val="265"/>
        </w:trPr>
        <w:tc>
          <w:tcPr>
            <w:tcW w:w="3037" w:type="dxa"/>
            <w:tcBorders>
              <w:top w:val="nil"/>
              <w:left w:val="double" w:sz="6" w:space="0" w:color="auto"/>
              <w:bottom w:val="single" w:sz="4" w:space="0" w:color="BFBFBF"/>
              <w:right w:val="single" w:sz="4" w:space="0" w:color="auto"/>
            </w:tcBorders>
            <w:shd w:val="clear" w:color="auto" w:fill="auto"/>
            <w:vAlign w:val="bottom"/>
            <w:hideMark/>
          </w:tcPr>
          <w:p w14:paraId="54A8CD66" w14:textId="77777777" w:rsidR="009E2D8C" w:rsidRPr="00AC562A" w:rsidRDefault="009E2D8C" w:rsidP="00253156">
            <w:pPr>
              <w:spacing w:after="0" w:line="240" w:lineRule="auto"/>
              <w:ind w:firstLineChars="63" w:firstLine="139"/>
              <w:jc w:val="left"/>
              <w:rPr>
                <w:rFonts w:eastAsia="Times New Roman" w:cs="Times New Roman"/>
                <w:color w:val="000000"/>
              </w:rPr>
            </w:pPr>
            <w:proofErr w:type="gramStart"/>
            <w:r w:rsidRPr="00AC562A">
              <w:rPr>
                <w:rFonts w:eastAsia="Times New Roman" w:cs="Times New Roman"/>
                <w:color w:val="000000"/>
              </w:rPr>
              <w:t>Other</w:t>
            </w:r>
            <w:proofErr w:type="gramEnd"/>
            <w:r w:rsidRPr="00AC562A">
              <w:rPr>
                <w:rFonts w:eastAsia="Times New Roman" w:cs="Times New Roman"/>
                <w:color w:val="000000"/>
              </w:rPr>
              <w:t xml:space="preserve"> race</w:t>
            </w:r>
          </w:p>
        </w:tc>
        <w:tc>
          <w:tcPr>
            <w:tcW w:w="900" w:type="dxa"/>
            <w:tcBorders>
              <w:top w:val="nil"/>
              <w:left w:val="nil"/>
              <w:bottom w:val="single" w:sz="4" w:space="0" w:color="BFBFBF"/>
              <w:right w:val="single" w:sz="4" w:space="0" w:color="auto"/>
            </w:tcBorders>
            <w:shd w:val="clear" w:color="auto" w:fill="auto"/>
            <w:noWrap/>
            <w:vAlign w:val="bottom"/>
            <w:hideMark/>
          </w:tcPr>
          <w:p w14:paraId="6ADCAB1A"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130.5</w:t>
            </w:r>
          </w:p>
        </w:tc>
        <w:tc>
          <w:tcPr>
            <w:tcW w:w="900" w:type="dxa"/>
            <w:tcBorders>
              <w:top w:val="nil"/>
              <w:left w:val="nil"/>
              <w:bottom w:val="single" w:sz="4" w:space="0" w:color="BFBFBF"/>
              <w:right w:val="nil"/>
            </w:tcBorders>
            <w:shd w:val="clear" w:color="auto" w:fill="auto"/>
            <w:noWrap/>
            <w:vAlign w:val="bottom"/>
            <w:hideMark/>
          </w:tcPr>
          <w:p w14:paraId="2E9CF79D"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5.9</w:t>
            </w:r>
          </w:p>
        </w:tc>
        <w:tc>
          <w:tcPr>
            <w:tcW w:w="900" w:type="dxa"/>
            <w:tcBorders>
              <w:top w:val="nil"/>
              <w:left w:val="nil"/>
              <w:bottom w:val="single" w:sz="4" w:space="0" w:color="BFBFBF"/>
              <w:right w:val="nil"/>
            </w:tcBorders>
            <w:shd w:val="clear" w:color="auto" w:fill="auto"/>
            <w:noWrap/>
            <w:vAlign w:val="bottom"/>
            <w:hideMark/>
          </w:tcPr>
          <w:p w14:paraId="56D3FC8E"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166.3</w:t>
            </w:r>
          </w:p>
        </w:tc>
        <w:tc>
          <w:tcPr>
            <w:tcW w:w="1080" w:type="dxa"/>
            <w:tcBorders>
              <w:top w:val="nil"/>
              <w:left w:val="nil"/>
              <w:bottom w:val="single" w:sz="4" w:space="0" w:color="BFBFBF"/>
              <w:right w:val="nil"/>
            </w:tcBorders>
            <w:shd w:val="clear" w:color="auto" w:fill="auto"/>
            <w:noWrap/>
            <w:vAlign w:val="bottom"/>
            <w:hideMark/>
          </w:tcPr>
          <w:p w14:paraId="1D8CA81C"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170.2</w:t>
            </w:r>
          </w:p>
        </w:tc>
        <w:tc>
          <w:tcPr>
            <w:tcW w:w="936" w:type="dxa"/>
            <w:tcBorders>
              <w:top w:val="nil"/>
              <w:left w:val="nil"/>
              <w:bottom w:val="single" w:sz="4" w:space="0" w:color="BFBFBF"/>
              <w:right w:val="single" w:sz="4" w:space="0" w:color="auto"/>
            </w:tcBorders>
            <w:shd w:val="clear" w:color="auto" w:fill="auto"/>
            <w:noWrap/>
            <w:vAlign w:val="bottom"/>
            <w:hideMark/>
          </w:tcPr>
          <w:p w14:paraId="3819E974"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51.4</w:t>
            </w:r>
          </w:p>
        </w:tc>
        <w:tc>
          <w:tcPr>
            <w:tcW w:w="939" w:type="dxa"/>
            <w:tcBorders>
              <w:top w:val="nil"/>
              <w:left w:val="nil"/>
              <w:bottom w:val="single" w:sz="4" w:space="0" w:color="BFBFBF"/>
              <w:right w:val="nil"/>
            </w:tcBorders>
            <w:shd w:val="clear" w:color="auto" w:fill="auto"/>
            <w:noWrap/>
            <w:vAlign w:val="bottom"/>
            <w:hideMark/>
          </w:tcPr>
          <w:p w14:paraId="551DD238"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ACS</w:t>
            </w:r>
          </w:p>
        </w:tc>
        <w:tc>
          <w:tcPr>
            <w:tcW w:w="686" w:type="dxa"/>
            <w:tcBorders>
              <w:top w:val="nil"/>
              <w:left w:val="nil"/>
              <w:bottom w:val="single" w:sz="4" w:space="0" w:color="BFBFBF"/>
              <w:right w:val="double" w:sz="6" w:space="0" w:color="auto"/>
            </w:tcBorders>
            <w:shd w:val="clear" w:color="auto" w:fill="auto"/>
            <w:noWrap/>
            <w:vAlign w:val="bottom"/>
            <w:hideMark/>
          </w:tcPr>
          <w:p w14:paraId="74168854"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2016</w:t>
            </w:r>
          </w:p>
        </w:tc>
      </w:tr>
      <w:tr w:rsidR="009E2D8C" w:rsidRPr="00AC562A" w14:paraId="3CFE7576" w14:textId="77777777" w:rsidTr="00253156">
        <w:trPr>
          <w:trHeight w:val="265"/>
        </w:trPr>
        <w:tc>
          <w:tcPr>
            <w:tcW w:w="3037" w:type="dxa"/>
            <w:tcBorders>
              <w:top w:val="nil"/>
              <w:left w:val="double" w:sz="6" w:space="0" w:color="auto"/>
              <w:bottom w:val="nil"/>
              <w:right w:val="single" w:sz="4" w:space="0" w:color="auto"/>
            </w:tcBorders>
            <w:shd w:val="clear" w:color="auto" w:fill="auto"/>
            <w:vAlign w:val="bottom"/>
            <w:hideMark/>
          </w:tcPr>
          <w:p w14:paraId="00AE0090" w14:textId="77777777" w:rsidR="009E2D8C" w:rsidRPr="00AC562A" w:rsidRDefault="009E2D8C" w:rsidP="00253156">
            <w:pPr>
              <w:spacing w:after="0" w:line="240" w:lineRule="auto"/>
              <w:ind w:firstLineChars="63" w:firstLine="139"/>
              <w:jc w:val="left"/>
              <w:rPr>
                <w:rFonts w:eastAsia="Times New Roman" w:cs="Times New Roman"/>
                <w:color w:val="000000"/>
              </w:rPr>
            </w:pPr>
            <w:r w:rsidRPr="00AC562A">
              <w:rPr>
                <w:rFonts w:eastAsia="Times New Roman" w:cs="Times New Roman"/>
                <w:color w:val="000000"/>
              </w:rPr>
              <w:t>Employed</w:t>
            </w:r>
          </w:p>
        </w:tc>
        <w:tc>
          <w:tcPr>
            <w:tcW w:w="900" w:type="dxa"/>
            <w:tcBorders>
              <w:top w:val="nil"/>
              <w:left w:val="nil"/>
              <w:bottom w:val="nil"/>
              <w:right w:val="single" w:sz="4" w:space="0" w:color="auto"/>
            </w:tcBorders>
            <w:shd w:val="clear" w:color="auto" w:fill="auto"/>
            <w:noWrap/>
            <w:vAlign w:val="bottom"/>
            <w:hideMark/>
          </w:tcPr>
          <w:p w14:paraId="2E583CED"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481.8</w:t>
            </w:r>
          </w:p>
        </w:tc>
        <w:tc>
          <w:tcPr>
            <w:tcW w:w="900" w:type="dxa"/>
            <w:tcBorders>
              <w:top w:val="nil"/>
              <w:left w:val="nil"/>
              <w:bottom w:val="nil"/>
              <w:right w:val="nil"/>
            </w:tcBorders>
            <w:shd w:val="clear" w:color="auto" w:fill="auto"/>
            <w:noWrap/>
            <w:vAlign w:val="bottom"/>
            <w:hideMark/>
          </w:tcPr>
          <w:p w14:paraId="0A2614D0"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37.1</w:t>
            </w:r>
          </w:p>
        </w:tc>
        <w:tc>
          <w:tcPr>
            <w:tcW w:w="900" w:type="dxa"/>
            <w:tcBorders>
              <w:top w:val="nil"/>
              <w:left w:val="nil"/>
              <w:bottom w:val="nil"/>
              <w:right w:val="nil"/>
            </w:tcBorders>
            <w:shd w:val="clear" w:color="auto" w:fill="auto"/>
            <w:noWrap/>
            <w:vAlign w:val="bottom"/>
            <w:hideMark/>
          </w:tcPr>
          <w:p w14:paraId="71F91DD4"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589.8</w:t>
            </w:r>
          </w:p>
        </w:tc>
        <w:tc>
          <w:tcPr>
            <w:tcW w:w="1080" w:type="dxa"/>
            <w:tcBorders>
              <w:top w:val="nil"/>
              <w:left w:val="nil"/>
              <w:bottom w:val="nil"/>
              <w:right w:val="nil"/>
            </w:tcBorders>
            <w:shd w:val="clear" w:color="auto" w:fill="auto"/>
            <w:noWrap/>
            <w:vAlign w:val="bottom"/>
            <w:hideMark/>
          </w:tcPr>
          <w:p w14:paraId="7CFA414A"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611.5</w:t>
            </w:r>
          </w:p>
        </w:tc>
        <w:tc>
          <w:tcPr>
            <w:tcW w:w="936" w:type="dxa"/>
            <w:tcBorders>
              <w:top w:val="nil"/>
              <w:left w:val="nil"/>
              <w:bottom w:val="nil"/>
              <w:right w:val="single" w:sz="4" w:space="0" w:color="auto"/>
            </w:tcBorders>
            <w:shd w:val="clear" w:color="auto" w:fill="auto"/>
            <w:noWrap/>
            <w:vAlign w:val="bottom"/>
            <w:hideMark/>
          </w:tcPr>
          <w:p w14:paraId="27A7B270"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234.8</w:t>
            </w:r>
          </w:p>
        </w:tc>
        <w:tc>
          <w:tcPr>
            <w:tcW w:w="939" w:type="dxa"/>
            <w:tcBorders>
              <w:top w:val="nil"/>
              <w:left w:val="nil"/>
              <w:bottom w:val="single" w:sz="4" w:space="0" w:color="auto"/>
              <w:right w:val="nil"/>
            </w:tcBorders>
            <w:shd w:val="clear" w:color="auto" w:fill="auto"/>
            <w:noWrap/>
            <w:vAlign w:val="bottom"/>
            <w:hideMark/>
          </w:tcPr>
          <w:p w14:paraId="67754495"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ACS</w:t>
            </w:r>
          </w:p>
        </w:tc>
        <w:tc>
          <w:tcPr>
            <w:tcW w:w="686" w:type="dxa"/>
            <w:tcBorders>
              <w:top w:val="nil"/>
              <w:left w:val="nil"/>
              <w:bottom w:val="nil"/>
              <w:right w:val="double" w:sz="6" w:space="0" w:color="auto"/>
            </w:tcBorders>
            <w:shd w:val="clear" w:color="auto" w:fill="auto"/>
            <w:noWrap/>
            <w:vAlign w:val="bottom"/>
            <w:hideMark/>
          </w:tcPr>
          <w:p w14:paraId="18D4F66D"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2016</w:t>
            </w:r>
          </w:p>
        </w:tc>
      </w:tr>
      <w:tr w:rsidR="009E2D8C" w:rsidRPr="00AC562A" w14:paraId="660CECA3" w14:textId="77777777" w:rsidTr="00253156">
        <w:trPr>
          <w:trHeight w:val="276"/>
        </w:trPr>
        <w:tc>
          <w:tcPr>
            <w:tcW w:w="3037" w:type="dxa"/>
            <w:tcBorders>
              <w:top w:val="single" w:sz="4" w:space="0" w:color="auto"/>
              <w:left w:val="double" w:sz="6" w:space="0" w:color="auto"/>
              <w:bottom w:val="double" w:sz="6" w:space="0" w:color="auto"/>
              <w:right w:val="single" w:sz="4" w:space="0" w:color="auto"/>
            </w:tcBorders>
            <w:shd w:val="clear" w:color="auto" w:fill="auto"/>
            <w:vAlign w:val="bottom"/>
            <w:hideMark/>
          </w:tcPr>
          <w:p w14:paraId="08ECFCBF" w14:textId="77777777" w:rsidR="009E2D8C" w:rsidRPr="00AC562A" w:rsidRDefault="009E2D8C" w:rsidP="00253156">
            <w:pPr>
              <w:spacing w:after="0" w:line="240" w:lineRule="auto"/>
              <w:ind w:firstLineChars="63" w:firstLine="139"/>
              <w:jc w:val="left"/>
              <w:rPr>
                <w:rFonts w:eastAsia="Times New Roman" w:cs="Times New Roman"/>
                <w:color w:val="000000"/>
              </w:rPr>
            </w:pPr>
            <w:r w:rsidRPr="00AC562A">
              <w:rPr>
                <w:rFonts w:eastAsia="Times New Roman" w:cs="Times New Roman"/>
                <w:color w:val="000000"/>
              </w:rPr>
              <w:t>Total</w:t>
            </w:r>
          </w:p>
        </w:tc>
        <w:tc>
          <w:tcPr>
            <w:tcW w:w="900" w:type="dxa"/>
            <w:tcBorders>
              <w:top w:val="single" w:sz="4" w:space="0" w:color="auto"/>
              <w:left w:val="nil"/>
              <w:bottom w:val="double" w:sz="6" w:space="0" w:color="auto"/>
              <w:right w:val="single" w:sz="4" w:space="0" w:color="auto"/>
            </w:tcBorders>
            <w:shd w:val="clear" w:color="auto" w:fill="auto"/>
            <w:noWrap/>
            <w:vAlign w:val="bottom"/>
            <w:hideMark/>
          </w:tcPr>
          <w:p w14:paraId="06A8ECCE"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945.3</w:t>
            </w:r>
          </w:p>
        </w:tc>
        <w:tc>
          <w:tcPr>
            <w:tcW w:w="900" w:type="dxa"/>
            <w:tcBorders>
              <w:top w:val="single" w:sz="4" w:space="0" w:color="auto"/>
              <w:left w:val="nil"/>
              <w:bottom w:val="double" w:sz="6" w:space="0" w:color="auto"/>
              <w:right w:val="nil"/>
            </w:tcBorders>
            <w:shd w:val="clear" w:color="auto" w:fill="auto"/>
            <w:noWrap/>
            <w:vAlign w:val="bottom"/>
            <w:hideMark/>
          </w:tcPr>
          <w:p w14:paraId="19913DE8"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53.4</w:t>
            </w:r>
          </w:p>
        </w:tc>
        <w:tc>
          <w:tcPr>
            <w:tcW w:w="900" w:type="dxa"/>
            <w:tcBorders>
              <w:top w:val="single" w:sz="4" w:space="0" w:color="auto"/>
              <w:left w:val="nil"/>
              <w:bottom w:val="double" w:sz="6" w:space="0" w:color="auto"/>
              <w:right w:val="nil"/>
            </w:tcBorders>
            <w:shd w:val="clear" w:color="auto" w:fill="auto"/>
            <w:noWrap/>
            <w:vAlign w:val="bottom"/>
            <w:hideMark/>
          </w:tcPr>
          <w:p w14:paraId="7400A10E"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1068.9</w:t>
            </w:r>
          </w:p>
        </w:tc>
        <w:tc>
          <w:tcPr>
            <w:tcW w:w="1080" w:type="dxa"/>
            <w:tcBorders>
              <w:top w:val="single" w:sz="4" w:space="0" w:color="auto"/>
              <w:left w:val="nil"/>
              <w:bottom w:val="double" w:sz="6" w:space="0" w:color="auto"/>
              <w:right w:val="nil"/>
            </w:tcBorders>
            <w:shd w:val="clear" w:color="auto" w:fill="auto"/>
            <w:noWrap/>
            <w:vAlign w:val="bottom"/>
            <w:hideMark/>
          </w:tcPr>
          <w:p w14:paraId="572F83A1"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1257.0</w:t>
            </w:r>
          </w:p>
        </w:tc>
        <w:tc>
          <w:tcPr>
            <w:tcW w:w="936" w:type="dxa"/>
            <w:tcBorders>
              <w:top w:val="single" w:sz="4" w:space="0" w:color="auto"/>
              <w:left w:val="nil"/>
              <w:bottom w:val="double" w:sz="6" w:space="0" w:color="auto"/>
              <w:right w:val="single" w:sz="4" w:space="0" w:color="auto"/>
            </w:tcBorders>
            <w:shd w:val="clear" w:color="auto" w:fill="auto"/>
            <w:noWrap/>
            <w:vAlign w:val="bottom"/>
            <w:hideMark/>
          </w:tcPr>
          <w:p w14:paraId="54D9A6E8"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520.8</w:t>
            </w:r>
          </w:p>
        </w:tc>
        <w:tc>
          <w:tcPr>
            <w:tcW w:w="939" w:type="dxa"/>
            <w:tcBorders>
              <w:top w:val="nil"/>
              <w:left w:val="nil"/>
              <w:bottom w:val="double" w:sz="6" w:space="0" w:color="auto"/>
              <w:right w:val="nil"/>
            </w:tcBorders>
            <w:shd w:val="clear" w:color="auto" w:fill="auto"/>
            <w:noWrap/>
            <w:vAlign w:val="bottom"/>
            <w:hideMark/>
          </w:tcPr>
          <w:p w14:paraId="3CE4EFF1"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ACS</w:t>
            </w:r>
          </w:p>
        </w:tc>
        <w:tc>
          <w:tcPr>
            <w:tcW w:w="686" w:type="dxa"/>
            <w:tcBorders>
              <w:top w:val="single" w:sz="4" w:space="0" w:color="auto"/>
              <w:left w:val="nil"/>
              <w:bottom w:val="double" w:sz="6" w:space="0" w:color="auto"/>
              <w:right w:val="double" w:sz="6" w:space="0" w:color="auto"/>
            </w:tcBorders>
            <w:shd w:val="clear" w:color="auto" w:fill="auto"/>
            <w:noWrap/>
            <w:vAlign w:val="bottom"/>
            <w:hideMark/>
          </w:tcPr>
          <w:p w14:paraId="35D5CC57"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2016</w:t>
            </w:r>
          </w:p>
        </w:tc>
      </w:tr>
      <w:tr w:rsidR="009E2D8C" w:rsidRPr="00AC562A" w14:paraId="2FBEAA56" w14:textId="77777777" w:rsidTr="00253156">
        <w:trPr>
          <w:trHeight w:val="276"/>
        </w:trPr>
        <w:tc>
          <w:tcPr>
            <w:tcW w:w="3037" w:type="dxa"/>
            <w:tcBorders>
              <w:top w:val="nil"/>
              <w:left w:val="double" w:sz="6" w:space="0" w:color="auto"/>
              <w:bottom w:val="single" w:sz="4" w:space="0" w:color="BFBFBF"/>
              <w:right w:val="single" w:sz="4" w:space="0" w:color="auto"/>
            </w:tcBorders>
            <w:shd w:val="clear" w:color="auto" w:fill="auto"/>
            <w:vAlign w:val="bottom"/>
            <w:hideMark/>
          </w:tcPr>
          <w:p w14:paraId="18DF0A8D" w14:textId="77777777" w:rsidR="009E2D8C" w:rsidRPr="00AC562A" w:rsidRDefault="009E2D8C" w:rsidP="00253156">
            <w:pPr>
              <w:spacing w:after="0" w:line="240" w:lineRule="auto"/>
              <w:jc w:val="left"/>
              <w:rPr>
                <w:rFonts w:eastAsia="Times New Roman" w:cs="Times New Roman"/>
                <w:color w:val="000000"/>
              </w:rPr>
            </w:pPr>
            <w:r w:rsidRPr="00AC562A">
              <w:rPr>
                <w:rFonts w:eastAsia="Times New Roman" w:cs="Times New Roman"/>
                <w:color w:val="000000"/>
              </w:rPr>
              <w:t>No. of HH</w:t>
            </w:r>
          </w:p>
        </w:tc>
        <w:tc>
          <w:tcPr>
            <w:tcW w:w="900" w:type="dxa"/>
            <w:tcBorders>
              <w:top w:val="nil"/>
              <w:left w:val="nil"/>
              <w:bottom w:val="single" w:sz="4" w:space="0" w:color="BFBFBF"/>
              <w:right w:val="single" w:sz="4" w:space="0" w:color="auto"/>
            </w:tcBorders>
            <w:shd w:val="clear" w:color="auto" w:fill="auto"/>
            <w:noWrap/>
            <w:vAlign w:val="bottom"/>
            <w:hideMark/>
          </w:tcPr>
          <w:p w14:paraId="3FA474D3"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 </w:t>
            </w:r>
          </w:p>
        </w:tc>
        <w:tc>
          <w:tcPr>
            <w:tcW w:w="900" w:type="dxa"/>
            <w:tcBorders>
              <w:top w:val="nil"/>
              <w:left w:val="nil"/>
              <w:bottom w:val="single" w:sz="4" w:space="0" w:color="BFBFBF"/>
              <w:right w:val="nil"/>
            </w:tcBorders>
            <w:shd w:val="clear" w:color="auto" w:fill="auto"/>
            <w:noWrap/>
            <w:vAlign w:val="bottom"/>
            <w:hideMark/>
          </w:tcPr>
          <w:p w14:paraId="2322A5EF"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 </w:t>
            </w:r>
          </w:p>
        </w:tc>
        <w:tc>
          <w:tcPr>
            <w:tcW w:w="900" w:type="dxa"/>
            <w:tcBorders>
              <w:top w:val="nil"/>
              <w:left w:val="nil"/>
              <w:bottom w:val="single" w:sz="4" w:space="0" w:color="BFBFBF"/>
              <w:right w:val="nil"/>
            </w:tcBorders>
            <w:shd w:val="clear" w:color="auto" w:fill="auto"/>
            <w:noWrap/>
            <w:vAlign w:val="bottom"/>
            <w:hideMark/>
          </w:tcPr>
          <w:p w14:paraId="03448F27"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 </w:t>
            </w:r>
          </w:p>
        </w:tc>
        <w:tc>
          <w:tcPr>
            <w:tcW w:w="1080" w:type="dxa"/>
            <w:tcBorders>
              <w:top w:val="nil"/>
              <w:left w:val="nil"/>
              <w:bottom w:val="single" w:sz="4" w:space="0" w:color="BFBFBF"/>
              <w:right w:val="nil"/>
            </w:tcBorders>
            <w:shd w:val="clear" w:color="auto" w:fill="auto"/>
            <w:noWrap/>
            <w:vAlign w:val="bottom"/>
            <w:hideMark/>
          </w:tcPr>
          <w:p w14:paraId="78349006"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 </w:t>
            </w:r>
          </w:p>
        </w:tc>
        <w:tc>
          <w:tcPr>
            <w:tcW w:w="936" w:type="dxa"/>
            <w:tcBorders>
              <w:top w:val="nil"/>
              <w:left w:val="nil"/>
              <w:bottom w:val="single" w:sz="4" w:space="0" w:color="BFBFBF"/>
              <w:right w:val="single" w:sz="4" w:space="0" w:color="auto"/>
            </w:tcBorders>
            <w:shd w:val="clear" w:color="auto" w:fill="auto"/>
            <w:noWrap/>
            <w:vAlign w:val="bottom"/>
            <w:hideMark/>
          </w:tcPr>
          <w:p w14:paraId="1386339D"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 </w:t>
            </w:r>
          </w:p>
        </w:tc>
        <w:tc>
          <w:tcPr>
            <w:tcW w:w="939" w:type="dxa"/>
            <w:tcBorders>
              <w:top w:val="nil"/>
              <w:left w:val="nil"/>
              <w:bottom w:val="single" w:sz="4" w:space="0" w:color="BFBFBF"/>
              <w:right w:val="nil"/>
            </w:tcBorders>
            <w:shd w:val="clear" w:color="auto" w:fill="auto"/>
            <w:noWrap/>
            <w:vAlign w:val="bottom"/>
            <w:hideMark/>
          </w:tcPr>
          <w:p w14:paraId="1E76DB24"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 </w:t>
            </w:r>
          </w:p>
        </w:tc>
        <w:tc>
          <w:tcPr>
            <w:tcW w:w="686" w:type="dxa"/>
            <w:tcBorders>
              <w:top w:val="nil"/>
              <w:left w:val="nil"/>
              <w:bottom w:val="single" w:sz="4" w:space="0" w:color="BFBFBF"/>
              <w:right w:val="double" w:sz="6" w:space="0" w:color="auto"/>
            </w:tcBorders>
            <w:shd w:val="clear" w:color="auto" w:fill="auto"/>
            <w:noWrap/>
            <w:vAlign w:val="bottom"/>
            <w:hideMark/>
          </w:tcPr>
          <w:p w14:paraId="50C1A408"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 </w:t>
            </w:r>
          </w:p>
        </w:tc>
      </w:tr>
      <w:tr w:rsidR="009E2D8C" w:rsidRPr="00AC562A" w14:paraId="240D6F5E" w14:textId="77777777" w:rsidTr="00253156">
        <w:trPr>
          <w:trHeight w:val="265"/>
        </w:trPr>
        <w:tc>
          <w:tcPr>
            <w:tcW w:w="3037" w:type="dxa"/>
            <w:tcBorders>
              <w:top w:val="nil"/>
              <w:left w:val="double" w:sz="6" w:space="0" w:color="auto"/>
              <w:bottom w:val="nil"/>
              <w:right w:val="single" w:sz="4" w:space="0" w:color="auto"/>
            </w:tcBorders>
            <w:shd w:val="clear" w:color="auto" w:fill="auto"/>
            <w:vAlign w:val="bottom"/>
            <w:hideMark/>
          </w:tcPr>
          <w:p w14:paraId="40998081" w14:textId="77777777" w:rsidR="009E2D8C" w:rsidRPr="00AC562A" w:rsidRDefault="009E2D8C" w:rsidP="00253156">
            <w:pPr>
              <w:spacing w:after="0" w:line="240" w:lineRule="auto"/>
              <w:ind w:firstLineChars="63" w:firstLine="139"/>
              <w:jc w:val="left"/>
              <w:rPr>
                <w:rFonts w:eastAsia="Times New Roman" w:cs="Times New Roman"/>
                <w:color w:val="000000"/>
              </w:rPr>
            </w:pPr>
            <w:r w:rsidRPr="00AC562A">
              <w:rPr>
                <w:rFonts w:eastAsia="Times New Roman" w:cs="Times New Roman"/>
                <w:color w:val="000000"/>
              </w:rPr>
              <w:t>0 vehicle</w:t>
            </w:r>
          </w:p>
        </w:tc>
        <w:tc>
          <w:tcPr>
            <w:tcW w:w="900" w:type="dxa"/>
            <w:tcBorders>
              <w:top w:val="nil"/>
              <w:left w:val="nil"/>
              <w:bottom w:val="nil"/>
              <w:right w:val="single" w:sz="4" w:space="0" w:color="auto"/>
            </w:tcBorders>
            <w:shd w:val="clear" w:color="auto" w:fill="auto"/>
            <w:noWrap/>
            <w:vAlign w:val="bottom"/>
            <w:hideMark/>
          </w:tcPr>
          <w:p w14:paraId="5BE3B7D8"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17.5</w:t>
            </w:r>
          </w:p>
        </w:tc>
        <w:tc>
          <w:tcPr>
            <w:tcW w:w="900" w:type="dxa"/>
            <w:tcBorders>
              <w:top w:val="nil"/>
              <w:left w:val="nil"/>
              <w:bottom w:val="nil"/>
              <w:right w:val="nil"/>
            </w:tcBorders>
            <w:shd w:val="clear" w:color="auto" w:fill="auto"/>
            <w:noWrap/>
            <w:vAlign w:val="bottom"/>
            <w:hideMark/>
          </w:tcPr>
          <w:p w14:paraId="4A10B149"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3.3</w:t>
            </w:r>
          </w:p>
        </w:tc>
        <w:tc>
          <w:tcPr>
            <w:tcW w:w="900" w:type="dxa"/>
            <w:tcBorders>
              <w:top w:val="nil"/>
              <w:left w:val="nil"/>
              <w:bottom w:val="nil"/>
              <w:right w:val="nil"/>
            </w:tcBorders>
            <w:shd w:val="clear" w:color="auto" w:fill="auto"/>
            <w:noWrap/>
            <w:vAlign w:val="bottom"/>
            <w:hideMark/>
          </w:tcPr>
          <w:p w14:paraId="7D6E12DC"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32.7</w:t>
            </w:r>
          </w:p>
        </w:tc>
        <w:tc>
          <w:tcPr>
            <w:tcW w:w="1080" w:type="dxa"/>
            <w:tcBorders>
              <w:top w:val="nil"/>
              <w:left w:val="nil"/>
              <w:bottom w:val="nil"/>
              <w:right w:val="nil"/>
            </w:tcBorders>
            <w:shd w:val="clear" w:color="auto" w:fill="auto"/>
            <w:noWrap/>
            <w:vAlign w:val="bottom"/>
            <w:hideMark/>
          </w:tcPr>
          <w:p w14:paraId="02D67DDB"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11.0</w:t>
            </w:r>
          </w:p>
        </w:tc>
        <w:tc>
          <w:tcPr>
            <w:tcW w:w="936" w:type="dxa"/>
            <w:tcBorders>
              <w:top w:val="nil"/>
              <w:left w:val="nil"/>
              <w:bottom w:val="nil"/>
              <w:right w:val="single" w:sz="4" w:space="0" w:color="auto"/>
            </w:tcBorders>
            <w:shd w:val="clear" w:color="auto" w:fill="auto"/>
            <w:noWrap/>
            <w:vAlign w:val="bottom"/>
            <w:hideMark/>
          </w:tcPr>
          <w:p w14:paraId="79A6FED1"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4.2</w:t>
            </w:r>
          </w:p>
        </w:tc>
        <w:tc>
          <w:tcPr>
            <w:tcW w:w="939" w:type="dxa"/>
            <w:tcBorders>
              <w:top w:val="nil"/>
              <w:left w:val="nil"/>
              <w:bottom w:val="nil"/>
              <w:right w:val="nil"/>
            </w:tcBorders>
            <w:shd w:val="clear" w:color="auto" w:fill="auto"/>
            <w:noWrap/>
            <w:vAlign w:val="bottom"/>
            <w:hideMark/>
          </w:tcPr>
          <w:p w14:paraId="168A83FA"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SLD</w:t>
            </w:r>
          </w:p>
        </w:tc>
        <w:tc>
          <w:tcPr>
            <w:tcW w:w="686" w:type="dxa"/>
            <w:tcBorders>
              <w:top w:val="nil"/>
              <w:left w:val="nil"/>
              <w:bottom w:val="nil"/>
              <w:right w:val="double" w:sz="6" w:space="0" w:color="auto"/>
            </w:tcBorders>
            <w:shd w:val="clear" w:color="auto" w:fill="auto"/>
            <w:noWrap/>
            <w:vAlign w:val="bottom"/>
            <w:hideMark/>
          </w:tcPr>
          <w:p w14:paraId="5AF5D586"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2010</w:t>
            </w:r>
          </w:p>
        </w:tc>
      </w:tr>
      <w:tr w:rsidR="009E2D8C" w:rsidRPr="00AC562A" w14:paraId="2B98D993" w14:textId="77777777" w:rsidTr="00253156">
        <w:trPr>
          <w:trHeight w:val="265"/>
        </w:trPr>
        <w:tc>
          <w:tcPr>
            <w:tcW w:w="3037" w:type="dxa"/>
            <w:tcBorders>
              <w:top w:val="nil"/>
              <w:left w:val="double" w:sz="6" w:space="0" w:color="auto"/>
              <w:bottom w:val="nil"/>
              <w:right w:val="single" w:sz="4" w:space="0" w:color="auto"/>
            </w:tcBorders>
            <w:shd w:val="clear" w:color="auto" w:fill="auto"/>
            <w:vAlign w:val="bottom"/>
            <w:hideMark/>
          </w:tcPr>
          <w:p w14:paraId="32761C07" w14:textId="77777777" w:rsidR="009E2D8C" w:rsidRPr="00AC562A" w:rsidRDefault="009E2D8C" w:rsidP="00253156">
            <w:pPr>
              <w:spacing w:after="0" w:line="240" w:lineRule="auto"/>
              <w:ind w:firstLineChars="63" w:firstLine="139"/>
              <w:jc w:val="left"/>
              <w:rPr>
                <w:rFonts w:eastAsia="Times New Roman" w:cs="Times New Roman"/>
                <w:color w:val="000000"/>
              </w:rPr>
            </w:pPr>
            <w:r w:rsidRPr="00AC562A">
              <w:rPr>
                <w:rFonts w:eastAsia="Times New Roman" w:cs="Times New Roman"/>
                <w:color w:val="000000"/>
              </w:rPr>
              <w:t>1 vehicle</w:t>
            </w:r>
          </w:p>
        </w:tc>
        <w:tc>
          <w:tcPr>
            <w:tcW w:w="900" w:type="dxa"/>
            <w:tcBorders>
              <w:top w:val="nil"/>
              <w:left w:val="nil"/>
              <w:bottom w:val="nil"/>
              <w:right w:val="single" w:sz="4" w:space="0" w:color="auto"/>
            </w:tcBorders>
            <w:shd w:val="clear" w:color="auto" w:fill="auto"/>
            <w:noWrap/>
            <w:vAlign w:val="bottom"/>
            <w:hideMark/>
          </w:tcPr>
          <w:p w14:paraId="781DF8D4"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122.2</w:t>
            </w:r>
          </w:p>
        </w:tc>
        <w:tc>
          <w:tcPr>
            <w:tcW w:w="900" w:type="dxa"/>
            <w:tcBorders>
              <w:top w:val="nil"/>
              <w:left w:val="nil"/>
              <w:bottom w:val="nil"/>
              <w:right w:val="nil"/>
            </w:tcBorders>
            <w:shd w:val="clear" w:color="auto" w:fill="auto"/>
            <w:noWrap/>
            <w:vAlign w:val="bottom"/>
            <w:hideMark/>
          </w:tcPr>
          <w:p w14:paraId="30DFD760"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22.4</w:t>
            </w:r>
          </w:p>
        </w:tc>
        <w:tc>
          <w:tcPr>
            <w:tcW w:w="900" w:type="dxa"/>
            <w:tcBorders>
              <w:top w:val="nil"/>
              <w:left w:val="nil"/>
              <w:bottom w:val="nil"/>
              <w:right w:val="nil"/>
            </w:tcBorders>
            <w:shd w:val="clear" w:color="auto" w:fill="auto"/>
            <w:noWrap/>
            <w:vAlign w:val="bottom"/>
            <w:hideMark/>
          </w:tcPr>
          <w:p w14:paraId="1656492E"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187.7</w:t>
            </w:r>
          </w:p>
        </w:tc>
        <w:tc>
          <w:tcPr>
            <w:tcW w:w="1080" w:type="dxa"/>
            <w:tcBorders>
              <w:top w:val="nil"/>
              <w:left w:val="nil"/>
              <w:bottom w:val="nil"/>
              <w:right w:val="nil"/>
            </w:tcBorders>
            <w:shd w:val="clear" w:color="auto" w:fill="auto"/>
            <w:noWrap/>
            <w:vAlign w:val="bottom"/>
            <w:hideMark/>
          </w:tcPr>
          <w:p w14:paraId="0742323F"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113.7</w:t>
            </w:r>
          </w:p>
        </w:tc>
        <w:tc>
          <w:tcPr>
            <w:tcW w:w="936" w:type="dxa"/>
            <w:tcBorders>
              <w:top w:val="nil"/>
              <w:left w:val="nil"/>
              <w:bottom w:val="nil"/>
              <w:right w:val="single" w:sz="4" w:space="0" w:color="auto"/>
            </w:tcBorders>
            <w:shd w:val="clear" w:color="auto" w:fill="auto"/>
            <w:noWrap/>
            <w:vAlign w:val="bottom"/>
            <w:hideMark/>
          </w:tcPr>
          <w:p w14:paraId="118E47C6"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47.9</w:t>
            </w:r>
          </w:p>
        </w:tc>
        <w:tc>
          <w:tcPr>
            <w:tcW w:w="939" w:type="dxa"/>
            <w:tcBorders>
              <w:top w:val="nil"/>
              <w:left w:val="nil"/>
              <w:bottom w:val="nil"/>
              <w:right w:val="nil"/>
            </w:tcBorders>
            <w:shd w:val="clear" w:color="auto" w:fill="auto"/>
            <w:noWrap/>
            <w:vAlign w:val="bottom"/>
            <w:hideMark/>
          </w:tcPr>
          <w:p w14:paraId="1A6422D7"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SLD</w:t>
            </w:r>
          </w:p>
        </w:tc>
        <w:tc>
          <w:tcPr>
            <w:tcW w:w="686" w:type="dxa"/>
            <w:tcBorders>
              <w:top w:val="nil"/>
              <w:left w:val="nil"/>
              <w:bottom w:val="nil"/>
              <w:right w:val="double" w:sz="6" w:space="0" w:color="auto"/>
            </w:tcBorders>
            <w:shd w:val="clear" w:color="auto" w:fill="auto"/>
            <w:noWrap/>
            <w:vAlign w:val="bottom"/>
            <w:hideMark/>
          </w:tcPr>
          <w:p w14:paraId="0E995685"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2010</w:t>
            </w:r>
          </w:p>
        </w:tc>
      </w:tr>
      <w:tr w:rsidR="009E2D8C" w:rsidRPr="00AC562A" w14:paraId="48A6278A" w14:textId="77777777" w:rsidTr="00253156">
        <w:trPr>
          <w:trHeight w:val="265"/>
        </w:trPr>
        <w:tc>
          <w:tcPr>
            <w:tcW w:w="3037" w:type="dxa"/>
            <w:tcBorders>
              <w:top w:val="nil"/>
              <w:left w:val="double" w:sz="6" w:space="0" w:color="auto"/>
              <w:bottom w:val="single" w:sz="4" w:space="0" w:color="BFBFBF"/>
              <w:right w:val="single" w:sz="4" w:space="0" w:color="auto"/>
            </w:tcBorders>
            <w:shd w:val="clear" w:color="auto" w:fill="auto"/>
            <w:vAlign w:val="bottom"/>
            <w:hideMark/>
          </w:tcPr>
          <w:p w14:paraId="21DFAB27" w14:textId="77777777" w:rsidR="009E2D8C" w:rsidRPr="00AC562A" w:rsidRDefault="009E2D8C" w:rsidP="00253156">
            <w:pPr>
              <w:spacing w:after="0" w:line="240" w:lineRule="auto"/>
              <w:ind w:firstLineChars="63" w:firstLine="139"/>
              <w:jc w:val="left"/>
              <w:rPr>
                <w:rFonts w:eastAsia="Times New Roman" w:cs="Times New Roman"/>
                <w:color w:val="000000"/>
              </w:rPr>
            </w:pPr>
            <w:r w:rsidRPr="00AC562A">
              <w:rPr>
                <w:rFonts w:eastAsia="Times New Roman" w:cs="Times New Roman"/>
                <w:color w:val="000000"/>
              </w:rPr>
              <w:t>2+ vehicle</w:t>
            </w:r>
          </w:p>
        </w:tc>
        <w:tc>
          <w:tcPr>
            <w:tcW w:w="900" w:type="dxa"/>
            <w:tcBorders>
              <w:top w:val="nil"/>
              <w:left w:val="nil"/>
              <w:bottom w:val="single" w:sz="4" w:space="0" w:color="BFBFBF"/>
              <w:right w:val="single" w:sz="4" w:space="0" w:color="auto"/>
            </w:tcBorders>
            <w:shd w:val="clear" w:color="auto" w:fill="auto"/>
            <w:noWrap/>
            <w:vAlign w:val="bottom"/>
            <w:hideMark/>
          </w:tcPr>
          <w:p w14:paraId="1CB5CD57"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205.6</w:t>
            </w:r>
          </w:p>
        </w:tc>
        <w:tc>
          <w:tcPr>
            <w:tcW w:w="900" w:type="dxa"/>
            <w:tcBorders>
              <w:top w:val="nil"/>
              <w:left w:val="nil"/>
              <w:bottom w:val="single" w:sz="4" w:space="0" w:color="BFBFBF"/>
              <w:right w:val="nil"/>
            </w:tcBorders>
            <w:shd w:val="clear" w:color="auto" w:fill="auto"/>
            <w:noWrap/>
            <w:vAlign w:val="bottom"/>
            <w:hideMark/>
          </w:tcPr>
          <w:p w14:paraId="059331BD"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10.9</w:t>
            </w:r>
          </w:p>
        </w:tc>
        <w:tc>
          <w:tcPr>
            <w:tcW w:w="900" w:type="dxa"/>
            <w:tcBorders>
              <w:top w:val="nil"/>
              <w:left w:val="nil"/>
              <w:bottom w:val="single" w:sz="4" w:space="0" w:color="BFBFBF"/>
              <w:right w:val="nil"/>
            </w:tcBorders>
            <w:shd w:val="clear" w:color="auto" w:fill="auto"/>
            <w:noWrap/>
            <w:vAlign w:val="bottom"/>
            <w:hideMark/>
          </w:tcPr>
          <w:p w14:paraId="7AE7DCCC"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210.4</w:t>
            </w:r>
          </w:p>
        </w:tc>
        <w:tc>
          <w:tcPr>
            <w:tcW w:w="1080" w:type="dxa"/>
            <w:tcBorders>
              <w:top w:val="nil"/>
              <w:left w:val="nil"/>
              <w:bottom w:val="single" w:sz="4" w:space="0" w:color="BFBFBF"/>
              <w:right w:val="nil"/>
            </w:tcBorders>
            <w:shd w:val="clear" w:color="auto" w:fill="auto"/>
            <w:noWrap/>
            <w:vAlign w:val="bottom"/>
            <w:hideMark/>
          </w:tcPr>
          <w:p w14:paraId="2C0E86B5"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280.9</w:t>
            </w:r>
          </w:p>
        </w:tc>
        <w:tc>
          <w:tcPr>
            <w:tcW w:w="936" w:type="dxa"/>
            <w:tcBorders>
              <w:top w:val="nil"/>
              <w:left w:val="nil"/>
              <w:bottom w:val="single" w:sz="4" w:space="0" w:color="BFBFBF"/>
              <w:right w:val="single" w:sz="4" w:space="0" w:color="auto"/>
            </w:tcBorders>
            <w:shd w:val="clear" w:color="auto" w:fill="auto"/>
            <w:noWrap/>
            <w:vAlign w:val="bottom"/>
            <w:hideMark/>
          </w:tcPr>
          <w:p w14:paraId="44528653"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134.3</w:t>
            </w:r>
          </w:p>
        </w:tc>
        <w:tc>
          <w:tcPr>
            <w:tcW w:w="939" w:type="dxa"/>
            <w:tcBorders>
              <w:top w:val="nil"/>
              <w:left w:val="nil"/>
              <w:bottom w:val="single" w:sz="4" w:space="0" w:color="BFBFBF"/>
              <w:right w:val="nil"/>
            </w:tcBorders>
            <w:shd w:val="clear" w:color="auto" w:fill="auto"/>
            <w:noWrap/>
            <w:vAlign w:val="bottom"/>
            <w:hideMark/>
          </w:tcPr>
          <w:p w14:paraId="2CF7FD50"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SLD</w:t>
            </w:r>
          </w:p>
        </w:tc>
        <w:tc>
          <w:tcPr>
            <w:tcW w:w="686" w:type="dxa"/>
            <w:tcBorders>
              <w:top w:val="nil"/>
              <w:left w:val="nil"/>
              <w:bottom w:val="single" w:sz="4" w:space="0" w:color="BFBFBF"/>
              <w:right w:val="double" w:sz="6" w:space="0" w:color="auto"/>
            </w:tcBorders>
            <w:shd w:val="clear" w:color="auto" w:fill="auto"/>
            <w:noWrap/>
            <w:vAlign w:val="bottom"/>
            <w:hideMark/>
          </w:tcPr>
          <w:p w14:paraId="40BDB3C3"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2010</w:t>
            </w:r>
          </w:p>
        </w:tc>
      </w:tr>
      <w:tr w:rsidR="009E2D8C" w:rsidRPr="00AC562A" w14:paraId="4E9542CA" w14:textId="77777777" w:rsidTr="00253156">
        <w:trPr>
          <w:trHeight w:val="265"/>
        </w:trPr>
        <w:tc>
          <w:tcPr>
            <w:tcW w:w="3037" w:type="dxa"/>
            <w:tcBorders>
              <w:top w:val="nil"/>
              <w:left w:val="double" w:sz="6" w:space="0" w:color="auto"/>
              <w:bottom w:val="nil"/>
              <w:right w:val="single" w:sz="4" w:space="0" w:color="auto"/>
            </w:tcBorders>
            <w:shd w:val="clear" w:color="auto" w:fill="auto"/>
            <w:vAlign w:val="bottom"/>
            <w:hideMark/>
          </w:tcPr>
          <w:p w14:paraId="2947C1F6" w14:textId="77777777" w:rsidR="009E2D8C" w:rsidRPr="00AC562A" w:rsidRDefault="009E2D8C" w:rsidP="00253156">
            <w:pPr>
              <w:spacing w:after="0" w:line="240" w:lineRule="auto"/>
              <w:ind w:firstLineChars="63" w:firstLine="139"/>
              <w:jc w:val="left"/>
              <w:rPr>
                <w:rFonts w:eastAsia="Times New Roman" w:cs="Times New Roman"/>
                <w:color w:val="000000"/>
              </w:rPr>
            </w:pPr>
            <w:r w:rsidRPr="00AC562A">
              <w:rPr>
                <w:rFonts w:eastAsia="Times New Roman" w:cs="Times New Roman"/>
                <w:color w:val="000000"/>
              </w:rPr>
              <w:t>Income &lt; $50,000</w:t>
            </w:r>
          </w:p>
        </w:tc>
        <w:tc>
          <w:tcPr>
            <w:tcW w:w="900" w:type="dxa"/>
            <w:tcBorders>
              <w:top w:val="nil"/>
              <w:left w:val="nil"/>
              <w:bottom w:val="nil"/>
              <w:right w:val="single" w:sz="4" w:space="0" w:color="auto"/>
            </w:tcBorders>
            <w:shd w:val="clear" w:color="auto" w:fill="auto"/>
            <w:noWrap/>
            <w:vAlign w:val="bottom"/>
            <w:hideMark/>
          </w:tcPr>
          <w:p w14:paraId="40E8B244"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130.5</w:t>
            </w:r>
          </w:p>
        </w:tc>
        <w:tc>
          <w:tcPr>
            <w:tcW w:w="900" w:type="dxa"/>
            <w:tcBorders>
              <w:top w:val="nil"/>
              <w:left w:val="nil"/>
              <w:bottom w:val="nil"/>
              <w:right w:val="nil"/>
            </w:tcBorders>
            <w:shd w:val="clear" w:color="auto" w:fill="auto"/>
            <w:noWrap/>
            <w:vAlign w:val="bottom"/>
            <w:hideMark/>
          </w:tcPr>
          <w:p w14:paraId="3A0BA183"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7.3</w:t>
            </w:r>
          </w:p>
        </w:tc>
        <w:tc>
          <w:tcPr>
            <w:tcW w:w="900" w:type="dxa"/>
            <w:tcBorders>
              <w:top w:val="nil"/>
              <w:left w:val="nil"/>
              <w:bottom w:val="nil"/>
              <w:right w:val="nil"/>
            </w:tcBorders>
            <w:shd w:val="clear" w:color="auto" w:fill="auto"/>
            <w:noWrap/>
            <w:vAlign w:val="bottom"/>
            <w:hideMark/>
          </w:tcPr>
          <w:p w14:paraId="6B3FEB04"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186.0</w:t>
            </w:r>
          </w:p>
        </w:tc>
        <w:tc>
          <w:tcPr>
            <w:tcW w:w="1080" w:type="dxa"/>
            <w:tcBorders>
              <w:top w:val="nil"/>
              <w:left w:val="nil"/>
              <w:bottom w:val="nil"/>
              <w:right w:val="nil"/>
            </w:tcBorders>
            <w:shd w:val="clear" w:color="auto" w:fill="auto"/>
            <w:noWrap/>
            <w:vAlign w:val="bottom"/>
            <w:hideMark/>
          </w:tcPr>
          <w:p w14:paraId="0E27DCC9"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124.8</w:t>
            </w:r>
          </w:p>
        </w:tc>
        <w:tc>
          <w:tcPr>
            <w:tcW w:w="936" w:type="dxa"/>
            <w:tcBorders>
              <w:top w:val="nil"/>
              <w:left w:val="nil"/>
              <w:bottom w:val="nil"/>
              <w:right w:val="single" w:sz="4" w:space="0" w:color="auto"/>
            </w:tcBorders>
            <w:shd w:val="clear" w:color="auto" w:fill="auto"/>
            <w:noWrap/>
            <w:vAlign w:val="bottom"/>
            <w:hideMark/>
          </w:tcPr>
          <w:p w14:paraId="2A4DC6E4"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66.1</w:t>
            </w:r>
          </w:p>
        </w:tc>
        <w:tc>
          <w:tcPr>
            <w:tcW w:w="939" w:type="dxa"/>
            <w:tcBorders>
              <w:top w:val="nil"/>
              <w:left w:val="nil"/>
              <w:bottom w:val="nil"/>
              <w:right w:val="nil"/>
            </w:tcBorders>
            <w:shd w:val="clear" w:color="auto" w:fill="auto"/>
            <w:noWrap/>
            <w:vAlign w:val="bottom"/>
            <w:hideMark/>
          </w:tcPr>
          <w:p w14:paraId="04D3D154"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ACS</w:t>
            </w:r>
          </w:p>
        </w:tc>
        <w:tc>
          <w:tcPr>
            <w:tcW w:w="686" w:type="dxa"/>
            <w:tcBorders>
              <w:top w:val="nil"/>
              <w:left w:val="nil"/>
              <w:bottom w:val="nil"/>
              <w:right w:val="double" w:sz="6" w:space="0" w:color="auto"/>
            </w:tcBorders>
            <w:shd w:val="clear" w:color="auto" w:fill="auto"/>
            <w:noWrap/>
            <w:vAlign w:val="bottom"/>
            <w:hideMark/>
          </w:tcPr>
          <w:p w14:paraId="4D123558"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2016</w:t>
            </w:r>
          </w:p>
        </w:tc>
      </w:tr>
      <w:tr w:rsidR="009E2D8C" w:rsidRPr="00AC562A" w14:paraId="1DB54CE2" w14:textId="77777777" w:rsidTr="00253156">
        <w:trPr>
          <w:trHeight w:val="265"/>
        </w:trPr>
        <w:tc>
          <w:tcPr>
            <w:tcW w:w="3037" w:type="dxa"/>
            <w:tcBorders>
              <w:top w:val="nil"/>
              <w:left w:val="double" w:sz="6" w:space="0" w:color="auto"/>
              <w:bottom w:val="nil"/>
              <w:right w:val="single" w:sz="4" w:space="0" w:color="auto"/>
            </w:tcBorders>
            <w:shd w:val="clear" w:color="auto" w:fill="auto"/>
            <w:vAlign w:val="bottom"/>
            <w:hideMark/>
          </w:tcPr>
          <w:p w14:paraId="4F3026B5" w14:textId="77777777" w:rsidR="009E2D8C" w:rsidRPr="00AC562A" w:rsidRDefault="009E2D8C" w:rsidP="00253156">
            <w:pPr>
              <w:spacing w:after="0" w:line="240" w:lineRule="auto"/>
              <w:ind w:left="230" w:hanging="90"/>
              <w:jc w:val="left"/>
              <w:rPr>
                <w:rFonts w:eastAsia="Times New Roman" w:cs="Times New Roman"/>
                <w:color w:val="000000"/>
              </w:rPr>
            </w:pPr>
            <w:r w:rsidRPr="00AC562A">
              <w:rPr>
                <w:rFonts w:eastAsia="Times New Roman" w:cs="Times New Roman"/>
                <w:color w:val="000000"/>
              </w:rPr>
              <w:t xml:space="preserve">$50,000 </w:t>
            </w:r>
            <w:r>
              <w:rPr>
                <w:rFonts w:eastAsia="Times New Roman" w:cs="Times New Roman"/>
                <w:color w:val="000000"/>
              </w:rPr>
              <w:t>≤</w:t>
            </w:r>
            <w:r w:rsidRPr="00AC562A">
              <w:rPr>
                <w:rFonts w:eastAsia="Times New Roman" w:cs="Times New Roman"/>
                <w:color w:val="000000"/>
              </w:rPr>
              <w:t xml:space="preserve"> Income &lt; $100,000</w:t>
            </w:r>
          </w:p>
        </w:tc>
        <w:tc>
          <w:tcPr>
            <w:tcW w:w="900" w:type="dxa"/>
            <w:tcBorders>
              <w:top w:val="nil"/>
              <w:left w:val="nil"/>
              <w:bottom w:val="nil"/>
              <w:right w:val="single" w:sz="4" w:space="0" w:color="auto"/>
            </w:tcBorders>
            <w:shd w:val="clear" w:color="auto" w:fill="auto"/>
            <w:noWrap/>
            <w:vAlign w:val="bottom"/>
            <w:hideMark/>
          </w:tcPr>
          <w:p w14:paraId="0549DA1B"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108.4</w:t>
            </w:r>
          </w:p>
        </w:tc>
        <w:tc>
          <w:tcPr>
            <w:tcW w:w="900" w:type="dxa"/>
            <w:tcBorders>
              <w:top w:val="nil"/>
              <w:left w:val="nil"/>
              <w:bottom w:val="nil"/>
              <w:right w:val="nil"/>
            </w:tcBorders>
            <w:shd w:val="clear" w:color="auto" w:fill="auto"/>
            <w:noWrap/>
            <w:vAlign w:val="bottom"/>
            <w:hideMark/>
          </w:tcPr>
          <w:p w14:paraId="7D40E3F2"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8.3</w:t>
            </w:r>
          </w:p>
        </w:tc>
        <w:tc>
          <w:tcPr>
            <w:tcW w:w="900" w:type="dxa"/>
            <w:tcBorders>
              <w:top w:val="nil"/>
              <w:left w:val="nil"/>
              <w:bottom w:val="nil"/>
              <w:right w:val="nil"/>
            </w:tcBorders>
            <w:shd w:val="clear" w:color="auto" w:fill="auto"/>
            <w:noWrap/>
            <w:vAlign w:val="bottom"/>
            <w:hideMark/>
          </w:tcPr>
          <w:p w14:paraId="3D75A636"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132.0</w:t>
            </w:r>
          </w:p>
        </w:tc>
        <w:tc>
          <w:tcPr>
            <w:tcW w:w="1080" w:type="dxa"/>
            <w:tcBorders>
              <w:top w:val="nil"/>
              <w:left w:val="nil"/>
              <w:bottom w:val="nil"/>
              <w:right w:val="nil"/>
            </w:tcBorders>
            <w:shd w:val="clear" w:color="auto" w:fill="auto"/>
            <w:noWrap/>
            <w:vAlign w:val="bottom"/>
            <w:hideMark/>
          </w:tcPr>
          <w:p w14:paraId="657643A6"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136.0</w:t>
            </w:r>
          </w:p>
        </w:tc>
        <w:tc>
          <w:tcPr>
            <w:tcW w:w="936" w:type="dxa"/>
            <w:tcBorders>
              <w:top w:val="nil"/>
              <w:left w:val="nil"/>
              <w:bottom w:val="nil"/>
              <w:right w:val="single" w:sz="4" w:space="0" w:color="auto"/>
            </w:tcBorders>
            <w:shd w:val="clear" w:color="auto" w:fill="auto"/>
            <w:noWrap/>
            <w:vAlign w:val="bottom"/>
            <w:hideMark/>
          </w:tcPr>
          <w:p w14:paraId="050E35F0"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55.1</w:t>
            </w:r>
          </w:p>
        </w:tc>
        <w:tc>
          <w:tcPr>
            <w:tcW w:w="939" w:type="dxa"/>
            <w:tcBorders>
              <w:top w:val="nil"/>
              <w:left w:val="nil"/>
              <w:bottom w:val="nil"/>
              <w:right w:val="nil"/>
            </w:tcBorders>
            <w:shd w:val="clear" w:color="auto" w:fill="auto"/>
            <w:noWrap/>
            <w:vAlign w:val="bottom"/>
            <w:hideMark/>
          </w:tcPr>
          <w:p w14:paraId="0D37EA9E"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ACS</w:t>
            </w:r>
          </w:p>
        </w:tc>
        <w:tc>
          <w:tcPr>
            <w:tcW w:w="686" w:type="dxa"/>
            <w:tcBorders>
              <w:top w:val="nil"/>
              <w:left w:val="nil"/>
              <w:bottom w:val="nil"/>
              <w:right w:val="double" w:sz="6" w:space="0" w:color="auto"/>
            </w:tcBorders>
            <w:shd w:val="clear" w:color="auto" w:fill="auto"/>
            <w:noWrap/>
            <w:vAlign w:val="bottom"/>
            <w:hideMark/>
          </w:tcPr>
          <w:p w14:paraId="35306C3E"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2016</w:t>
            </w:r>
          </w:p>
        </w:tc>
      </w:tr>
      <w:tr w:rsidR="009E2D8C" w:rsidRPr="00AC562A" w14:paraId="1468EE7B" w14:textId="77777777" w:rsidTr="00253156">
        <w:trPr>
          <w:trHeight w:val="265"/>
        </w:trPr>
        <w:tc>
          <w:tcPr>
            <w:tcW w:w="3037" w:type="dxa"/>
            <w:tcBorders>
              <w:top w:val="nil"/>
              <w:left w:val="double" w:sz="6" w:space="0" w:color="auto"/>
              <w:bottom w:val="nil"/>
              <w:right w:val="single" w:sz="4" w:space="0" w:color="auto"/>
            </w:tcBorders>
            <w:shd w:val="clear" w:color="auto" w:fill="auto"/>
            <w:vAlign w:val="bottom"/>
            <w:hideMark/>
          </w:tcPr>
          <w:p w14:paraId="4F534315" w14:textId="77777777" w:rsidR="009E2D8C" w:rsidRPr="00AC562A" w:rsidRDefault="009E2D8C" w:rsidP="00253156">
            <w:pPr>
              <w:spacing w:after="0" w:line="240" w:lineRule="auto"/>
              <w:ind w:left="230" w:hanging="90"/>
              <w:jc w:val="left"/>
              <w:rPr>
                <w:rFonts w:eastAsia="Times New Roman" w:cs="Times New Roman"/>
                <w:color w:val="000000"/>
              </w:rPr>
            </w:pPr>
            <w:r w:rsidRPr="00AC562A">
              <w:rPr>
                <w:rFonts w:eastAsia="Times New Roman" w:cs="Times New Roman"/>
                <w:color w:val="000000"/>
              </w:rPr>
              <w:t xml:space="preserve">$100,000 </w:t>
            </w:r>
            <w:r>
              <w:rPr>
                <w:rFonts w:eastAsia="Times New Roman" w:cs="Times New Roman"/>
                <w:color w:val="000000"/>
              </w:rPr>
              <w:t>≤</w:t>
            </w:r>
            <w:r w:rsidRPr="00AC562A">
              <w:rPr>
                <w:rFonts w:eastAsia="Times New Roman" w:cs="Times New Roman"/>
                <w:color w:val="000000"/>
              </w:rPr>
              <w:t xml:space="preserve"> Income &lt; $150,000</w:t>
            </w:r>
          </w:p>
        </w:tc>
        <w:tc>
          <w:tcPr>
            <w:tcW w:w="900" w:type="dxa"/>
            <w:tcBorders>
              <w:top w:val="nil"/>
              <w:left w:val="nil"/>
              <w:bottom w:val="nil"/>
              <w:right w:val="single" w:sz="4" w:space="0" w:color="auto"/>
            </w:tcBorders>
            <w:shd w:val="clear" w:color="auto" w:fill="auto"/>
            <w:noWrap/>
            <w:vAlign w:val="bottom"/>
            <w:hideMark/>
          </w:tcPr>
          <w:p w14:paraId="48415352"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55.5</w:t>
            </w:r>
          </w:p>
        </w:tc>
        <w:tc>
          <w:tcPr>
            <w:tcW w:w="900" w:type="dxa"/>
            <w:tcBorders>
              <w:top w:val="nil"/>
              <w:left w:val="nil"/>
              <w:bottom w:val="nil"/>
              <w:right w:val="nil"/>
            </w:tcBorders>
            <w:shd w:val="clear" w:color="auto" w:fill="auto"/>
            <w:noWrap/>
            <w:vAlign w:val="bottom"/>
            <w:hideMark/>
          </w:tcPr>
          <w:p w14:paraId="0D2650B3"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5.3</w:t>
            </w:r>
          </w:p>
        </w:tc>
        <w:tc>
          <w:tcPr>
            <w:tcW w:w="900" w:type="dxa"/>
            <w:tcBorders>
              <w:top w:val="nil"/>
              <w:left w:val="nil"/>
              <w:bottom w:val="nil"/>
              <w:right w:val="nil"/>
            </w:tcBorders>
            <w:shd w:val="clear" w:color="auto" w:fill="auto"/>
            <w:noWrap/>
            <w:vAlign w:val="bottom"/>
            <w:hideMark/>
          </w:tcPr>
          <w:p w14:paraId="11F2A9B0"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56.9</w:t>
            </w:r>
          </w:p>
        </w:tc>
        <w:tc>
          <w:tcPr>
            <w:tcW w:w="1080" w:type="dxa"/>
            <w:tcBorders>
              <w:top w:val="nil"/>
              <w:left w:val="nil"/>
              <w:bottom w:val="nil"/>
              <w:right w:val="nil"/>
            </w:tcBorders>
            <w:shd w:val="clear" w:color="auto" w:fill="auto"/>
            <w:noWrap/>
            <w:vAlign w:val="bottom"/>
            <w:hideMark/>
          </w:tcPr>
          <w:p w14:paraId="2564836E"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84.0</w:t>
            </w:r>
          </w:p>
        </w:tc>
        <w:tc>
          <w:tcPr>
            <w:tcW w:w="936" w:type="dxa"/>
            <w:tcBorders>
              <w:top w:val="nil"/>
              <w:left w:val="nil"/>
              <w:bottom w:val="nil"/>
              <w:right w:val="single" w:sz="4" w:space="0" w:color="auto"/>
            </w:tcBorders>
            <w:shd w:val="clear" w:color="auto" w:fill="auto"/>
            <w:noWrap/>
            <w:vAlign w:val="bottom"/>
            <w:hideMark/>
          </w:tcPr>
          <w:p w14:paraId="1C12D92C"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28.9</w:t>
            </w:r>
          </w:p>
        </w:tc>
        <w:tc>
          <w:tcPr>
            <w:tcW w:w="939" w:type="dxa"/>
            <w:tcBorders>
              <w:top w:val="nil"/>
              <w:left w:val="nil"/>
              <w:bottom w:val="nil"/>
              <w:right w:val="nil"/>
            </w:tcBorders>
            <w:shd w:val="clear" w:color="auto" w:fill="auto"/>
            <w:noWrap/>
            <w:vAlign w:val="bottom"/>
            <w:hideMark/>
          </w:tcPr>
          <w:p w14:paraId="1A222808"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ACS</w:t>
            </w:r>
          </w:p>
        </w:tc>
        <w:tc>
          <w:tcPr>
            <w:tcW w:w="686" w:type="dxa"/>
            <w:tcBorders>
              <w:top w:val="nil"/>
              <w:left w:val="nil"/>
              <w:bottom w:val="nil"/>
              <w:right w:val="double" w:sz="6" w:space="0" w:color="auto"/>
            </w:tcBorders>
            <w:shd w:val="clear" w:color="auto" w:fill="auto"/>
            <w:noWrap/>
            <w:vAlign w:val="bottom"/>
            <w:hideMark/>
          </w:tcPr>
          <w:p w14:paraId="2B66737B"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2016</w:t>
            </w:r>
          </w:p>
        </w:tc>
      </w:tr>
      <w:tr w:rsidR="009E2D8C" w:rsidRPr="00AC562A" w14:paraId="66413B73" w14:textId="77777777" w:rsidTr="00253156">
        <w:trPr>
          <w:trHeight w:val="265"/>
        </w:trPr>
        <w:tc>
          <w:tcPr>
            <w:tcW w:w="3037" w:type="dxa"/>
            <w:tcBorders>
              <w:top w:val="nil"/>
              <w:left w:val="double" w:sz="6" w:space="0" w:color="auto"/>
              <w:bottom w:val="single" w:sz="4" w:space="0" w:color="BFBFBF"/>
              <w:right w:val="single" w:sz="4" w:space="0" w:color="auto"/>
            </w:tcBorders>
            <w:shd w:val="clear" w:color="auto" w:fill="auto"/>
            <w:vAlign w:val="bottom"/>
            <w:hideMark/>
          </w:tcPr>
          <w:p w14:paraId="1891B263" w14:textId="77777777" w:rsidR="009E2D8C" w:rsidRPr="00AC562A" w:rsidRDefault="009E2D8C" w:rsidP="00253156">
            <w:pPr>
              <w:spacing w:after="0" w:line="240" w:lineRule="auto"/>
              <w:ind w:left="140"/>
              <w:jc w:val="left"/>
              <w:rPr>
                <w:rFonts w:eastAsia="Times New Roman" w:cs="Times New Roman"/>
                <w:color w:val="000000"/>
              </w:rPr>
            </w:pPr>
            <w:r w:rsidRPr="00AC562A">
              <w:rPr>
                <w:rFonts w:eastAsia="Times New Roman" w:cs="Times New Roman"/>
                <w:color w:val="000000"/>
              </w:rPr>
              <w:t xml:space="preserve">$150,000 </w:t>
            </w:r>
            <w:r>
              <w:rPr>
                <w:rFonts w:eastAsia="Times New Roman" w:cs="Times New Roman"/>
                <w:color w:val="000000"/>
              </w:rPr>
              <w:t>≤</w:t>
            </w:r>
            <w:r w:rsidRPr="00AC562A">
              <w:rPr>
                <w:rFonts w:eastAsia="Times New Roman" w:cs="Times New Roman"/>
                <w:color w:val="000000"/>
              </w:rPr>
              <w:t xml:space="preserve"> Income</w:t>
            </w:r>
          </w:p>
        </w:tc>
        <w:tc>
          <w:tcPr>
            <w:tcW w:w="900" w:type="dxa"/>
            <w:tcBorders>
              <w:top w:val="nil"/>
              <w:left w:val="nil"/>
              <w:bottom w:val="single" w:sz="4" w:space="0" w:color="BFBFBF"/>
              <w:right w:val="single" w:sz="4" w:space="0" w:color="auto"/>
            </w:tcBorders>
            <w:shd w:val="clear" w:color="auto" w:fill="auto"/>
            <w:noWrap/>
            <w:vAlign w:val="bottom"/>
            <w:hideMark/>
          </w:tcPr>
          <w:p w14:paraId="2875414E"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49.3</w:t>
            </w:r>
          </w:p>
        </w:tc>
        <w:tc>
          <w:tcPr>
            <w:tcW w:w="900" w:type="dxa"/>
            <w:tcBorders>
              <w:top w:val="nil"/>
              <w:left w:val="nil"/>
              <w:bottom w:val="single" w:sz="4" w:space="0" w:color="BFBFBF"/>
              <w:right w:val="nil"/>
            </w:tcBorders>
            <w:shd w:val="clear" w:color="auto" w:fill="auto"/>
            <w:noWrap/>
            <w:vAlign w:val="bottom"/>
            <w:hideMark/>
          </w:tcPr>
          <w:p w14:paraId="35570FCC"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10.8</w:t>
            </w:r>
          </w:p>
        </w:tc>
        <w:tc>
          <w:tcPr>
            <w:tcW w:w="900" w:type="dxa"/>
            <w:tcBorders>
              <w:top w:val="nil"/>
              <w:left w:val="nil"/>
              <w:bottom w:val="single" w:sz="4" w:space="0" w:color="BFBFBF"/>
              <w:right w:val="nil"/>
            </w:tcBorders>
            <w:shd w:val="clear" w:color="auto" w:fill="auto"/>
            <w:noWrap/>
            <w:vAlign w:val="bottom"/>
            <w:hideMark/>
          </w:tcPr>
          <w:p w14:paraId="6805E35E"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43.7</w:t>
            </w:r>
          </w:p>
        </w:tc>
        <w:tc>
          <w:tcPr>
            <w:tcW w:w="1080" w:type="dxa"/>
            <w:tcBorders>
              <w:top w:val="nil"/>
              <w:left w:val="nil"/>
              <w:bottom w:val="single" w:sz="4" w:space="0" w:color="BFBFBF"/>
              <w:right w:val="nil"/>
            </w:tcBorders>
            <w:shd w:val="clear" w:color="auto" w:fill="auto"/>
            <w:noWrap/>
            <w:vAlign w:val="bottom"/>
            <w:hideMark/>
          </w:tcPr>
          <w:p w14:paraId="44F07A52"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87.1</w:t>
            </w:r>
          </w:p>
        </w:tc>
        <w:tc>
          <w:tcPr>
            <w:tcW w:w="936" w:type="dxa"/>
            <w:tcBorders>
              <w:top w:val="nil"/>
              <w:left w:val="nil"/>
              <w:bottom w:val="single" w:sz="4" w:space="0" w:color="BFBFBF"/>
              <w:right w:val="single" w:sz="4" w:space="0" w:color="auto"/>
            </w:tcBorders>
            <w:shd w:val="clear" w:color="auto" w:fill="auto"/>
            <w:noWrap/>
            <w:vAlign w:val="bottom"/>
            <w:hideMark/>
          </w:tcPr>
          <w:p w14:paraId="58916837"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23.4</w:t>
            </w:r>
          </w:p>
        </w:tc>
        <w:tc>
          <w:tcPr>
            <w:tcW w:w="939" w:type="dxa"/>
            <w:tcBorders>
              <w:top w:val="nil"/>
              <w:left w:val="nil"/>
              <w:bottom w:val="single" w:sz="4" w:space="0" w:color="BFBFBF"/>
              <w:right w:val="nil"/>
            </w:tcBorders>
            <w:shd w:val="clear" w:color="auto" w:fill="auto"/>
            <w:noWrap/>
            <w:vAlign w:val="bottom"/>
            <w:hideMark/>
          </w:tcPr>
          <w:p w14:paraId="5D57EA4F"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ACS</w:t>
            </w:r>
          </w:p>
        </w:tc>
        <w:tc>
          <w:tcPr>
            <w:tcW w:w="686" w:type="dxa"/>
            <w:tcBorders>
              <w:top w:val="nil"/>
              <w:left w:val="nil"/>
              <w:bottom w:val="single" w:sz="4" w:space="0" w:color="BFBFBF"/>
              <w:right w:val="double" w:sz="6" w:space="0" w:color="auto"/>
            </w:tcBorders>
            <w:shd w:val="clear" w:color="auto" w:fill="auto"/>
            <w:noWrap/>
            <w:vAlign w:val="bottom"/>
            <w:hideMark/>
          </w:tcPr>
          <w:p w14:paraId="10C4BADC"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2016</w:t>
            </w:r>
          </w:p>
        </w:tc>
      </w:tr>
      <w:tr w:rsidR="009E2D8C" w:rsidRPr="00AC562A" w14:paraId="1511DB47" w14:textId="77777777" w:rsidTr="00253156">
        <w:trPr>
          <w:trHeight w:val="265"/>
        </w:trPr>
        <w:tc>
          <w:tcPr>
            <w:tcW w:w="3037" w:type="dxa"/>
            <w:tcBorders>
              <w:top w:val="nil"/>
              <w:left w:val="double" w:sz="6" w:space="0" w:color="auto"/>
              <w:bottom w:val="nil"/>
              <w:right w:val="single" w:sz="4" w:space="0" w:color="auto"/>
            </w:tcBorders>
            <w:shd w:val="clear" w:color="auto" w:fill="auto"/>
            <w:vAlign w:val="bottom"/>
            <w:hideMark/>
          </w:tcPr>
          <w:p w14:paraId="6F928716" w14:textId="77777777" w:rsidR="009E2D8C" w:rsidRPr="00AC562A" w:rsidRDefault="009E2D8C" w:rsidP="00253156">
            <w:pPr>
              <w:spacing w:after="0" w:line="240" w:lineRule="auto"/>
              <w:ind w:firstLineChars="63" w:firstLine="139"/>
              <w:jc w:val="left"/>
              <w:rPr>
                <w:rFonts w:eastAsia="Times New Roman" w:cs="Times New Roman"/>
                <w:color w:val="000000"/>
              </w:rPr>
            </w:pPr>
            <w:r w:rsidRPr="00AC562A">
              <w:rPr>
                <w:rFonts w:eastAsia="Times New Roman" w:cs="Times New Roman"/>
                <w:color w:val="000000"/>
              </w:rPr>
              <w:t>HH Size = 1</w:t>
            </w:r>
          </w:p>
        </w:tc>
        <w:tc>
          <w:tcPr>
            <w:tcW w:w="900" w:type="dxa"/>
            <w:tcBorders>
              <w:top w:val="nil"/>
              <w:left w:val="nil"/>
              <w:bottom w:val="nil"/>
              <w:right w:val="single" w:sz="4" w:space="0" w:color="auto"/>
            </w:tcBorders>
            <w:shd w:val="clear" w:color="auto" w:fill="auto"/>
            <w:noWrap/>
            <w:vAlign w:val="bottom"/>
            <w:hideMark/>
          </w:tcPr>
          <w:p w14:paraId="63554ECD"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95.8</w:t>
            </w:r>
          </w:p>
        </w:tc>
        <w:tc>
          <w:tcPr>
            <w:tcW w:w="900" w:type="dxa"/>
            <w:tcBorders>
              <w:top w:val="nil"/>
              <w:left w:val="nil"/>
              <w:bottom w:val="nil"/>
              <w:right w:val="nil"/>
            </w:tcBorders>
            <w:shd w:val="clear" w:color="auto" w:fill="auto"/>
            <w:noWrap/>
            <w:vAlign w:val="bottom"/>
            <w:hideMark/>
          </w:tcPr>
          <w:p w14:paraId="5ABCF965"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19.1</w:t>
            </w:r>
          </w:p>
        </w:tc>
        <w:tc>
          <w:tcPr>
            <w:tcW w:w="900" w:type="dxa"/>
            <w:tcBorders>
              <w:top w:val="nil"/>
              <w:left w:val="nil"/>
              <w:bottom w:val="nil"/>
              <w:right w:val="nil"/>
            </w:tcBorders>
            <w:shd w:val="clear" w:color="auto" w:fill="auto"/>
            <w:noWrap/>
            <w:vAlign w:val="bottom"/>
            <w:hideMark/>
          </w:tcPr>
          <w:p w14:paraId="1EB87940"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146.7</w:t>
            </w:r>
          </w:p>
        </w:tc>
        <w:tc>
          <w:tcPr>
            <w:tcW w:w="1080" w:type="dxa"/>
            <w:tcBorders>
              <w:top w:val="nil"/>
              <w:left w:val="nil"/>
              <w:bottom w:val="nil"/>
              <w:right w:val="nil"/>
            </w:tcBorders>
            <w:shd w:val="clear" w:color="auto" w:fill="auto"/>
            <w:noWrap/>
            <w:vAlign w:val="bottom"/>
            <w:hideMark/>
          </w:tcPr>
          <w:p w14:paraId="261052C2"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93.3</w:t>
            </w:r>
          </w:p>
        </w:tc>
        <w:tc>
          <w:tcPr>
            <w:tcW w:w="936" w:type="dxa"/>
            <w:tcBorders>
              <w:top w:val="nil"/>
              <w:left w:val="nil"/>
              <w:bottom w:val="nil"/>
              <w:right w:val="single" w:sz="4" w:space="0" w:color="auto"/>
            </w:tcBorders>
            <w:shd w:val="clear" w:color="auto" w:fill="auto"/>
            <w:noWrap/>
            <w:vAlign w:val="bottom"/>
            <w:hideMark/>
          </w:tcPr>
          <w:p w14:paraId="5B43B364"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34.6</w:t>
            </w:r>
          </w:p>
        </w:tc>
        <w:tc>
          <w:tcPr>
            <w:tcW w:w="939" w:type="dxa"/>
            <w:tcBorders>
              <w:top w:val="nil"/>
              <w:left w:val="nil"/>
              <w:bottom w:val="nil"/>
              <w:right w:val="nil"/>
            </w:tcBorders>
            <w:shd w:val="clear" w:color="auto" w:fill="auto"/>
            <w:noWrap/>
            <w:vAlign w:val="bottom"/>
            <w:hideMark/>
          </w:tcPr>
          <w:p w14:paraId="4F45F824"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ACS</w:t>
            </w:r>
          </w:p>
        </w:tc>
        <w:tc>
          <w:tcPr>
            <w:tcW w:w="686" w:type="dxa"/>
            <w:tcBorders>
              <w:top w:val="nil"/>
              <w:left w:val="nil"/>
              <w:bottom w:val="nil"/>
              <w:right w:val="double" w:sz="6" w:space="0" w:color="auto"/>
            </w:tcBorders>
            <w:shd w:val="clear" w:color="auto" w:fill="auto"/>
            <w:noWrap/>
            <w:vAlign w:val="bottom"/>
            <w:hideMark/>
          </w:tcPr>
          <w:p w14:paraId="4A4D5DBC"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2016</w:t>
            </w:r>
          </w:p>
        </w:tc>
      </w:tr>
      <w:tr w:rsidR="009E2D8C" w:rsidRPr="00AC562A" w14:paraId="35EC0FAC" w14:textId="77777777" w:rsidTr="00253156">
        <w:trPr>
          <w:trHeight w:val="265"/>
        </w:trPr>
        <w:tc>
          <w:tcPr>
            <w:tcW w:w="3037" w:type="dxa"/>
            <w:tcBorders>
              <w:top w:val="nil"/>
              <w:left w:val="double" w:sz="6" w:space="0" w:color="auto"/>
              <w:bottom w:val="nil"/>
              <w:right w:val="single" w:sz="4" w:space="0" w:color="auto"/>
            </w:tcBorders>
            <w:shd w:val="clear" w:color="auto" w:fill="auto"/>
            <w:vAlign w:val="bottom"/>
            <w:hideMark/>
          </w:tcPr>
          <w:p w14:paraId="6915EE6F" w14:textId="77777777" w:rsidR="009E2D8C" w:rsidRPr="00AC562A" w:rsidRDefault="009E2D8C" w:rsidP="00253156">
            <w:pPr>
              <w:spacing w:after="0" w:line="240" w:lineRule="auto"/>
              <w:ind w:firstLineChars="63" w:firstLine="139"/>
              <w:jc w:val="left"/>
              <w:rPr>
                <w:rFonts w:eastAsia="Times New Roman" w:cs="Times New Roman"/>
                <w:color w:val="000000"/>
              </w:rPr>
            </w:pPr>
            <w:r w:rsidRPr="00AC562A">
              <w:rPr>
                <w:rFonts w:eastAsia="Times New Roman" w:cs="Times New Roman"/>
                <w:color w:val="000000"/>
              </w:rPr>
              <w:t>HH Size = 2</w:t>
            </w:r>
          </w:p>
        </w:tc>
        <w:tc>
          <w:tcPr>
            <w:tcW w:w="900" w:type="dxa"/>
            <w:tcBorders>
              <w:top w:val="nil"/>
              <w:left w:val="nil"/>
              <w:bottom w:val="nil"/>
              <w:right w:val="single" w:sz="4" w:space="0" w:color="auto"/>
            </w:tcBorders>
            <w:shd w:val="clear" w:color="auto" w:fill="auto"/>
            <w:noWrap/>
            <w:vAlign w:val="bottom"/>
            <w:hideMark/>
          </w:tcPr>
          <w:p w14:paraId="096908A5"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115.3</w:t>
            </w:r>
          </w:p>
        </w:tc>
        <w:tc>
          <w:tcPr>
            <w:tcW w:w="900" w:type="dxa"/>
            <w:tcBorders>
              <w:top w:val="nil"/>
              <w:left w:val="nil"/>
              <w:bottom w:val="nil"/>
              <w:right w:val="nil"/>
            </w:tcBorders>
            <w:shd w:val="clear" w:color="auto" w:fill="auto"/>
            <w:noWrap/>
            <w:vAlign w:val="bottom"/>
            <w:hideMark/>
          </w:tcPr>
          <w:p w14:paraId="1D7D6022"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10.8</w:t>
            </w:r>
          </w:p>
        </w:tc>
        <w:tc>
          <w:tcPr>
            <w:tcW w:w="900" w:type="dxa"/>
            <w:tcBorders>
              <w:top w:val="nil"/>
              <w:left w:val="nil"/>
              <w:bottom w:val="nil"/>
              <w:right w:val="nil"/>
            </w:tcBorders>
            <w:shd w:val="clear" w:color="auto" w:fill="auto"/>
            <w:noWrap/>
            <w:vAlign w:val="bottom"/>
            <w:hideMark/>
          </w:tcPr>
          <w:p w14:paraId="6DDDC90C"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137.1</w:t>
            </w:r>
          </w:p>
        </w:tc>
        <w:tc>
          <w:tcPr>
            <w:tcW w:w="1080" w:type="dxa"/>
            <w:tcBorders>
              <w:top w:val="nil"/>
              <w:left w:val="nil"/>
              <w:bottom w:val="nil"/>
              <w:right w:val="nil"/>
            </w:tcBorders>
            <w:shd w:val="clear" w:color="auto" w:fill="auto"/>
            <w:noWrap/>
            <w:vAlign w:val="bottom"/>
            <w:hideMark/>
          </w:tcPr>
          <w:p w14:paraId="7076C33F"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141.6</w:t>
            </w:r>
          </w:p>
        </w:tc>
        <w:tc>
          <w:tcPr>
            <w:tcW w:w="936" w:type="dxa"/>
            <w:tcBorders>
              <w:top w:val="nil"/>
              <w:left w:val="nil"/>
              <w:bottom w:val="nil"/>
              <w:right w:val="single" w:sz="4" w:space="0" w:color="auto"/>
            </w:tcBorders>
            <w:shd w:val="clear" w:color="auto" w:fill="auto"/>
            <w:noWrap/>
            <w:vAlign w:val="bottom"/>
            <w:hideMark/>
          </w:tcPr>
          <w:p w14:paraId="172D4BB0"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65.3</w:t>
            </w:r>
          </w:p>
        </w:tc>
        <w:tc>
          <w:tcPr>
            <w:tcW w:w="939" w:type="dxa"/>
            <w:tcBorders>
              <w:top w:val="nil"/>
              <w:left w:val="nil"/>
              <w:bottom w:val="nil"/>
              <w:right w:val="nil"/>
            </w:tcBorders>
            <w:shd w:val="clear" w:color="auto" w:fill="auto"/>
            <w:noWrap/>
            <w:vAlign w:val="bottom"/>
            <w:hideMark/>
          </w:tcPr>
          <w:p w14:paraId="3FBD65E5"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ACS</w:t>
            </w:r>
          </w:p>
        </w:tc>
        <w:tc>
          <w:tcPr>
            <w:tcW w:w="686" w:type="dxa"/>
            <w:tcBorders>
              <w:top w:val="nil"/>
              <w:left w:val="nil"/>
              <w:bottom w:val="nil"/>
              <w:right w:val="double" w:sz="6" w:space="0" w:color="auto"/>
            </w:tcBorders>
            <w:shd w:val="clear" w:color="auto" w:fill="auto"/>
            <w:noWrap/>
            <w:vAlign w:val="bottom"/>
            <w:hideMark/>
          </w:tcPr>
          <w:p w14:paraId="5FFADC8E"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2016</w:t>
            </w:r>
          </w:p>
        </w:tc>
      </w:tr>
      <w:tr w:rsidR="009E2D8C" w:rsidRPr="00AC562A" w14:paraId="06FE6D78" w14:textId="77777777" w:rsidTr="00253156">
        <w:trPr>
          <w:trHeight w:val="265"/>
        </w:trPr>
        <w:tc>
          <w:tcPr>
            <w:tcW w:w="3037" w:type="dxa"/>
            <w:tcBorders>
              <w:top w:val="nil"/>
              <w:left w:val="double" w:sz="6" w:space="0" w:color="auto"/>
              <w:bottom w:val="nil"/>
              <w:right w:val="single" w:sz="4" w:space="0" w:color="auto"/>
            </w:tcBorders>
            <w:shd w:val="clear" w:color="auto" w:fill="auto"/>
            <w:vAlign w:val="bottom"/>
            <w:hideMark/>
          </w:tcPr>
          <w:p w14:paraId="3C221C64" w14:textId="77777777" w:rsidR="009E2D8C" w:rsidRPr="00AC562A" w:rsidRDefault="009E2D8C" w:rsidP="00253156">
            <w:pPr>
              <w:spacing w:after="0" w:line="240" w:lineRule="auto"/>
              <w:ind w:firstLineChars="63" w:firstLine="139"/>
              <w:jc w:val="left"/>
              <w:rPr>
                <w:rFonts w:eastAsia="Times New Roman" w:cs="Times New Roman"/>
                <w:color w:val="000000"/>
              </w:rPr>
            </w:pPr>
            <w:r w:rsidRPr="00AC562A">
              <w:rPr>
                <w:rFonts w:eastAsia="Times New Roman" w:cs="Times New Roman"/>
                <w:color w:val="000000"/>
              </w:rPr>
              <w:t>HH Size = 3</w:t>
            </w:r>
          </w:p>
        </w:tc>
        <w:tc>
          <w:tcPr>
            <w:tcW w:w="900" w:type="dxa"/>
            <w:tcBorders>
              <w:top w:val="nil"/>
              <w:left w:val="nil"/>
              <w:bottom w:val="nil"/>
              <w:right w:val="single" w:sz="4" w:space="0" w:color="auto"/>
            </w:tcBorders>
            <w:shd w:val="clear" w:color="auto" w:fill="auto"/>
            <w:noWrap/>
            <w:vAlign w:val="bottom"/>
            <w:hideMark/>
          </w:tcPr>
          <w:p w14:paraId="03A7F92E"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53.4</w:t>
            </w:r>
          </w:p>
        </w:tc>
        <w:tc>
          <w:tcPr>
            <w:tcW w:w="900" w:type="dxa"/>
            <w:tcBorders>
              <w:top w:val="nil"/>
              <w:left w:val="nil"/>
              <w:bottom w:val="nil"/>
              <w:right w:val="nil"/>
            </w:tcBorders>
            <w:shd w:val="clear" w:color="auto" w:fill="auto"/>
            <w:noWrap/>
            <w:vAlign w:val="bottom"/>
            <w:hideMark/>
          </w:tcPr>
          <w:p w14:paraId="5E0F0CCF"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1.4</w:t>
            </w:r>
          </w:p>
        </w:tc>
        <w:tc>
          <w:tcPr>
            <w:tcW w:w="900" w:type="dxa"/>
            <w:tcBorders>
              <w:top w:val="nil"/>
              <w:left w:val="nil"/>
              <w:bottom w:val="nil"/>
              <w:right w:val="nil"/>
            </w:tcBorders>
            <w:shd w:val="clear" w:color="auto" w:fill="auto"/>
            <w:noWrap/>
            <w:vAlign w:val="bottom"/>
            <w:hideMark/>
          </w:tcPr>
          <w:p w14:paraId="026B5CC3"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60.0</w:t>
            </w:r>
          </w:p>
        </w:tc>
        <w:tc>
          <w:tcPr>
            <w:tcW w:w="1080" w:type="dxa"/>
            <w:tcBorders>
              <w:top w:val="nil"/>
              <w:left w:val="nil"/>
              <w:bottom w:val="nil"/>
              <w:right w:val="nil"/>
            </w:tcBorders>
            <w:shd w:val="clear" w:color="auto" w:fill="auto"/>
            <w:noWrap/>
            <w:vAlign w:val="bottom"/>
            <w:hideMark/>
          </w:tcPr>
          <w:p w14:paraId="6BD2461B"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74.8</w:t>
            </w:r>
          </w:p>
        </w:tc>
        <w:tc>
          <w:tcPr>
            <w:tcW w:w="936" w:type="dxa"/>
            <w:tcBorders>
              <w:top w:val="nil"/>
              <w:left w:val="nil"/>
              <w:bottom w:val="nil"/>
              <w:right w:val="single" w:sz="4" w:space="0" w:color="auto"/>
            </w:tcBorders>
            <w:shd w:val="clear" w:color="auto" w:fill="auto"/>
            <w:noWrap/>
            <w:vAlign w:val="bottom"/>
            <w:hideMark/>
          </w:tcPr>
          <w:p w14:paraId="7CD86C86"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26.4</w:t>
            </w:r>
          </w:p>
        </w:tc>
        <w:tc>
          <w:tcPr>
            <w:tcW w:w="939" w:type="dxa"/>
            <w:tcBorders>
              <w:top w:val="nil"/>
              <w:left w:val="nil"/>
              <w:bottom w:val="nil"/>
              <w:right w:val="nil"/>
            </w:tcBorders>
            <w:shd w:val="clear" w:color="auto" w:fill="auto"/>
            <w:noWrap/>
            <w:vAlign w:val="bottom"/>
            <w:hideMark/>
          </w:tcPr>
          <w:p w14:paraId="15C8450C"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ACS</w:t>
            </w:r>
          </w:p>
        </w:tc>
        <w:tc>
          <w:tcPr>
            <w:tcW w:w="686" w:type="dxa"/>
            <w:tcBorders>
              <w:top w:val="nil"/>
              <w:left w:val="nil"/>
              <w:bottom w:val="nil"/>
              <w:right w:val="double" w:sz="6" w:space="0" w:color="auto"/>
            </w:tcBorders>
            <w:shd w:val="clear" w:color="auto" w:fill="auto"/>
            <w:noWrap/>
            <w:vAlign w:val="bottom"/>
            <w:hideMark/>
          </w:tcPr>
          <w:p w14:paraId="3F0D9448"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2016</w:t>
            </w:r>
          </w:p>
        </w:tc>
      </w:tr>
      <w:tr w:rsidR="009E2D8C" w:rsidRPr="00AC562A" w14:paraId="21452319" w14:textId="77777777" w:rsidTr="00253156">
        <w:trPr>
          <w:trHeight w:val="265"/>
        </w:trPr>
        <w:tc>
          <w:tcPr>
            <w:tcW w:w="3037" w:type="dxa"/>
            <w:tcBorders>
              <w:top w:val="nil"/>
              <w:left w:val="double" w:sz="6" w:space="0" w:color="auto"/>
              <w:bottom w:val="nil"/>
              <w:right w:val="single" w:sz="4" w:space="0" w:color="auto"/>
            </w:tcBorders>
            <w:shd w:val="clear" w:color="auto" w:fill="auto"/>
            <w:vAlign w:val="bottom"/>
            <w:hideMark/>
          </w:tcPr>
          <w:p w14:paraId="69BA49DE" w14:textId="77777777" w:rsidR="009E2D8C" w:rsidRPr="00AC562A" w:rsidRDefault="009E2D8C" w:rsidP="00253156">
            <w:pPr>
              <w:spacing w:after="0" w:line="240" w:lineRule="auto"/>
              <w:ind w:firstLineChars="63" w:firstLine="139"/>
              <w:jc w:val="left"/>
              <w:rPr>
                <w:rFonts w:eastAsia="Times New Roman" w:cs="Times New Roman"/>
                <w:color w:val="000000"/>
              </w:rPr>
            </w:pPr>
            <w:r w:rsidRPr="00AC562A">
              <w:rPr>
                <w:rFonts w:eastAsia="Times New Roman" w:cs="Times New Roman"/>
                <w:color w:val="000000"/>
              </w:rPr>
              <w:t>HH Size = 4+</w:t>
            </w:r>
          </w:p>
        </w:tc>
        <w:tc>
          <w:tcPr>
            <w:tcW w:w="900" w:type="dxa"/>
            <w:tcBorders>
              <w:top w:val="nil"/>
              <w:left w:val="nil"/>
              <w:bottom w:val="nil"/>
              <w:right w:val="single" w:sz="4" w:space="0" w:color="auto"/>
            </w:tcBorders>
            <w:shd w:val="clear" w:color="auto" w:fill="auto"/>
            <w:noWrap/>
            <w:vAlign w:val="bottom"/>
            <w:hideMark/>
          </w:tcPr>
          <w:p w14:paraId="2AB0A91C"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79.2</w:t>
            </w:r>
          </w:p>
        </w:tc>
        <w:tc>
          <w:tcPr>
            <w:tcW w:w="900" w:type="dxa"/>
            <w:tcBorders>
              <w:top w:val="nil"/>
              <w:left w:val="nil"/>
              <w:bottom w:val="nil"/>
              <w:right w:val="nil"/>
            </w:tcBorders>
            <w:shd w:val="clear" w:color="auto" w:fill="auto"/>
            <w:noWrap/>
            <w:vAlign w:val="bottom"/>
            <w:hideMark/>
          </w:tcPr>
          <w:p w14:paraId="56545A62"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0.5</w:t>
            </w:r>
          </w:p>
        </w:tc>
        <w:tc>
          <w:tcPr>
            <w:tcW w:w="900" w:type="dxa"/>
            <w:tcBorders>
              <w:top w:val="nil"/>
              <w:left w:val="nil"/>
              <w:bottom w:val="nil"/>
              <w:right w:val="nil"/>
            </w:tcBorders>
            <w:shd w:val="clear" w:color="auto" w:fill="auto"/>
            <w:noWrap/>
            <w:vAlign w:val="bottom"/>
            <w:hideMark/>
          </w:tcPr>
          <w:p w14:paraId="7D1C38D1"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74.8</w:t>
            </w:r>
          </w:p>
        </w:tc>
        <w:tc>
          <w:tcPr>
            <w:tcW w:w="1080" w:type="dxa"/>
            <w:tcBorders>
              <w:top w:val="nil"/>
              <w:left w:val="nil"/>
              <w:bottom w:val="nil"/>
              <w:right w:val="nil"/>
            </w:tcBorders>
            <w:shd w:val="clear" w:color="auto" w:fill="auto"/>
            <w:noWrap/>
            <w:vAlign w:val="bottom"/>
            <w:hideMark/>
          </w:tcPr>
          <w:p w14:paraId="3EBC9440"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122.2</w:t>
            </w:r>
          </w:p>
        </w:tc>
        <w:tc>
          <w:tcPr>
            <w:tcW w:w="936" w:type="dxa"/>
            <w:tcBorders>
              <w:top w:val="nil"/>
              <w:left w:val="nil"/>
              <w:bottom w:val="nil"/>
              <w:right w:val="single" w:sz="4" w:space="0" w:color="auto"/>
            </w:tcBorders>
            <w:shd w:val="clear" w:color="auto" w:fill="auto"/>
            <w:noWrap/>
            <w:vAlign w:val="bottom"/>
            <w:hideMark/>
          </w:tcPr>
          <w:p w14:paraId="63902B7F"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47.2</w:t>
            </w:r>
          </w:p>
        </w:tc>
        <w:tc>
          <w:tcPr>
            <w:tcW w:w="939" w:type="dxa"/>
            <w:tcBorders>
              <w:top w:val="nil"/>
              <w:left w:val="nil"/>
              <w:bottom w:val="nil"/>
              <w:right w:val="nil"/>
            </w:tcBorders>
            <w:shd w:val="clear" w:color="auto" w:fill="auto"/>
            <w:noWrap/>
            <w:vAlign w:val="bottom"/>
            <w:hideMark/>
          </w:tcPr>
          <w:p w14:paraId="2CE19595"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ACS</w:t>
            </w:r>
          </w:p>
        </w:tc>
        <w:tc>
          <w:tcPr>
            <w:tcW w:w="686" w:type="dxa"/>
            <w:tcBorders>
              <w:top w:val="nil"/>
              <w:left w:val="nil"/>
              <w:bottom w:val="nil"/>
              <w:right w:val="double" w:sz="6" w:space="0" w:color="auto"/>
            </w:tcBorders>
            <w:shd w:val="clear" w:color="auto" w:fill="auto"/>
            <w:noWrap/>
            <w:vAlign w:val="bottom"/>
            <w:hideMark/>
          </w:tcPr>
          <w:p w14:paraId="653444ED"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2016</w:t>
            </w:r>
          </w:p>
        </w:tc>
      </w:tr>
      <w:tr w:rsidR="009E2D8C" w:rsidRPr="00AC562A" w14:paraId="2FD7AEC8" w14:textId="77777777" w:rsidTr="00253156">
        <w:trPr>
          <w:trHeight w:val="276"/>
        </w:trPr>
        <w:tc>
          <w:tcPr>
            <w:tcW w:w="3037" w:type="dxa"/>
            <w:tcBorders>
              <w:top w:val="single" w:sz="4" w:space="0" w:color="auto"/>
              <w:left w:val="double" w:sz="6" w:space="0" w:color="auto"/>
              <w:bottom w:val="double" w:sz="6" w:space="0" w:color="auto"/>
              <w:right w:val="single" w:sz="4" w:space="0" w:color="auto"/>
            </w:tcBorders>
            <w:shd w:val="clear" w:color="auto" w:fill="auto"/>
            <w:vAlign w:val="bottom"/>
            <w:hideMark/>
          </w:tcPr>
          <w:p w14:paraId="7460383E" w14:textId="77777777" w:rsidR="009E2D8C" w:rsidRPr="00AC562A" w:rsidRDefault="009E2D8C" w:rsidP="00253156">
            <w:pPr>
              <w:spacing w:after="0" w:line="240" w:lineRule="auto"/>
              <w:ind w:firstLineChars="63" w:firstLine="139"/>
              <w:jc w:val="left"/>
              <w:rPr>
                <w:rFonts w:eastAsia="Times New Roman" w:cs="Times New Roman"/>
                <w:color w:val="000000"/>
              </w:rPr>
            </w:pPr>
            <w:r w:rsidRPr="00AC562A">
              <w:rPr>
                <w:rFonts w:eastAsia="Times New Roman" w:cs="Times New Roman"/>
                <w:color w:val="000000"/>
              </w:rPr>
              <w:t>Total</w:t>
            </w:r>
          </w:p>
        </w:tc>
        <w:tc>
          <w:tcPr>
            <w:tcW w:w="900" w:type="dxa"/>
            <w:tcBorders>
              <w:top w:val="single" w:sz="4" w:space="0" w:color="auto"/>
              <w:left w:val="nil"/>
              <w:bottom w:val="double" w:sz="6" w:space="0" w:color="auto"/>
              <w:right w:val="single" w:sz="4" w:space="0" w:color="auto"/>
            </w:tcBorders>
            <w:shd w:val="clear" w:color="auto" w:fill="auto"/>
            <w:noWrap/>
            <w:vAlign w:val="bottom"/>
            <w:hideMark/>
          </w:tcPr>
          <w:p w14:paraId="2A5A8B46"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343.6</w:t>
            </w:r>
          </w:p>
        </w:tc>
        <w:tc>
          <w:tcPr>
            <w:tcW w:w="900" w:type="dxa"/>
            <w:tcBorders>
              <w:top w:val="single" w:sz="4" w:space="0" w:color="auto"/>
              <w:left w:val="nil"/>
              <w:bottom w:val="double" w:sz="6" w:space="0" w:color="auto"/>
              <w:right w:val="nil"/>
            </w:tcBorders>
            <w:shd w:val="clear" w:color="auto" w:fill="auto"/>
            <w:noWrap/>
            <w:vAlign w:val="bottom"/>
            <w:hideMark/>
          </w:tcPr>
          <w:p w14:paraId="6E9DD3DE"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31.8</w:t>
            </w:r>
          </w:p>
        </w:tc>
        <w:tc>
          <w:tcPr>
            <w:tcW w:w="900" w:type="dxa"/>
            <w:tcBorders>
              <w:top w:val="single" w:sz="4" w:space="0" w:color="auto"/>
              <w:left w:val="nil"/>
              <w:bottom w:val="double" w:sz="6" w:space="0" w:color="auto"/>
              <w:right w:val="nil"/>
            </w:tcBorders>
            <w:shd w:val="clear" w:color="auto" w:fill="auto"/>
            <w:noWrap/>
            <w:vAlign w:val="bottom"/>
            <w:hideMark/>
          </w:tcPr>
          <w:p w14:paraId="37D5EAE1"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418.6</w:t>
            </w:r>
          </w:p>
        </w:tc>
        <w:tc>
          <w:tcPr>
            <w:tcW w:w="1080" w:type="dxa"/>
            <w:tcBorders>
              <w:top w:val="single" w:sz="4" w:space="0" w:color="auto"/>
              <w:left w:val="nil"/>
              <w:bottom w:val="double" w:sz="6" w:space="0" w:color="auto"/>
              <w:right w:val="nil"/>
            </w:tcBorders>
            <w:shd w:val="clear" w:color="auto" w:fill="auto"/>
            <w:noWrap/>
            <w:vAlign w:val="bottom"/>
            <w:hideMark/>
          </w:tcPr>
          <w:p w14:paraId="24A07DB3"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432.0</w:t>
            </w:r>
          </w:p>
        </w:tc>
        <w:tc>
          <w:tcPr>
            <w:tcW w:w="936" w:type="dxa"/>
            <w:tcBorders>
              <w:top w:val="single" w:sz="4" w:space="0" w:color="auto"/>
              <w:left w:val="nil"/>
              <w:bottom w:val="double" w:sz="6" w:space="0" w:color="auto"/>
              <w:right w:val="single" w:sz="4" w:space="0" w:color="auto"/>
            </w:tcBorders>
            <w:shd w:val="clear" w:color="auto" w:fill="auto"/>
            <w:noWrap/>
            <w:vAlign w:val="bottom"/>
            <w:hideMark/>
          </w:tcPr>
          <w:p w14:paraId="3C030C34"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173.5</w:t>
            </w:r>
          </w:p>
        </w:tc>
        <w:tc>
          <w:tcPr>
            <w:tcW w:w="939" w:type="dxa"/>
            <w:tcBorders>
              <w:top w:val="single" w:sz="4" w:space="0" w:color="auto"/>
              <w:left w:val="nil"/>
              <w:bottom w:val="double" w:sz="6" w:space="0" w:color="auto"/>
              <w:right w:val="nil"/>
            </w:tcBorders>
            <w:shd w:val="clear" w:color="auto" w:fill="auto"/>
            <w:noWrap/>
            <w:vAlign w:val="bottom"/>
            <w:hideMark/>
          </w:tcPr>
          <w:p w14:paraId="5BF7E800"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ACS</w:t>
            </w:r>
          </w:p>
        </w:tc>
        <w:tc>
          <w:tcPr>
            <w:tcW w:w="686" w:type="dxa"/>
            <w:tcBorders>
              <w:top w:val="single" w:sz="4" w:space="0" w:color="auto"/>
              <w:left w:val="nil"/>
              <w:bottom w:val="double" w:sz="6" w:space="0" w:color="auto"/>
              <w:right w:val="double" w:sz="6" w:space="0" w:color="auto"/>
            </w:tcBorders>
            <w:shd w:val="clear" w:color="auto" w:fill="auto"/>
            <w:noWrap/>
            <w:vAlign w:val="bottom"/>
            <w:hideMark/>
          </w:tcPr>
          <w:p w14:paraId="508C4248"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2016</w:t>
            </w:r>
          </w:p>
        </w:tc>
      </w:tr>
      <w:tr w:rsidR="009E2D8C" w:rsidRPr="00AC562A" w14:paraId="3BB6649B" w14:textId="77777777" w:rsidTr="00253156">
        <w:trPr>
          <w:trHeight w:val="276"/>
        </w:trPr>
        <w:tc>
          <w:tcPr>
            <w:tcW w:w="3037" w:type="dxa"/>
            <w:tcBorders>
              <w:top w:val="nil"/>
              <w:left w:val="double" w:sz="6" w:space="0" w:color="auto"/>
              <w:bottom w:val="nil"/>
              <w:right w:val="single" w:sz="4" w:space="0" w:color="auto"/>
            </w:tcBorders>
            <w:shd w:val="clear" w:color="auto" w:fill="auto"/>
            <w:vAlign w:val="bottom"/>
            <w:hideMark/>
          </w:tcPr>
          <w:p w14:paraId="0058F458" w14:textId="77777777" w:rsidR="009E2D8C" w:rsidRPr="00AC562A" w:rsidRDefault="009E2D8C" w:rsidP="00253156">
            <w:pPr>
              <w:spacing w:after="0" w:line="240" w:lineRule="auto"/>
              <w:jc w:val="left"/>
              <w:rPr>
                <w:rFonts w:eastAsia="Times New Roman" w:cs="Times New Roman"/>
                <w:color w:val="000000"/>
              </w:rPr>
            </w:pPr>
            <w:r w:rsidRPr="00AC562A">
              <w:rPr>
                <w:rFonts w:eastAsia="Times New Roman" w:cs="Times New Roman"/>
                <w:color w:val="000000"/>
              </w:rPr>
              <w:t>No. of employment</w:t>
            </w:r>
          </w:p>
        </w:tc>
        <w:tc>
          <w:tcPr>
            <w:tcW w:w="900" w:type="dxa"/>
            <w:tcBorders>
              <w:top w:val="nil"/>
              <w:left w:val="nil"/>
              <w:bottom w:val="nil"/>
              <w:right w:val="single" w:sz="4" w:space="0" w:color="auto"/>
            </w:tcBorders>
            <w:shd w:val="clear" w:color="auto" w:fill="auto"/>
            <w:noWrap/>
            <w:vAlign w:val="bottom"/>
            <w:hideMark/>
          </w:tcPr>
          <w:p w14:paraId="6FA28498"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 </w:t>
            </w:r>
          </w:p>
        </w:tc>
        <w:tc>
          <w:tcPr>
            <w:tcW w:w="900" w:type="dxa"/>
            <w:tcBorders>
              <w:top w:val="nil"/>
              <w:left w:val="nil"/>
              <w:bottom w:val="nil"/>
              <w:right w:val="nil"/>
            </w:tcBorders>
            <w:shd w:val="clear" w:color="auto" w:fill="auto"/>
            <w:noWrap/>
            <w:vAlign w:val="bottom"/>
            <w:hideMark/>
          </w:tcPr>
          <w:p w14:paraId="48C5B700" w14:textId="77777777" w:rsidR="009E2D8C" w:rsidRPr="00AC562A" w:rsidRDefault="009E2D8C" w:rsidP="00253156">
            <w:pPr>
              <w:spacing w:after="0" w:line="240" w:lineRule="auto"/>
              <w:jc w:val="right"/>
              <w:rPr>
                <w:rFonts w:eastAsia="Times New Roman" w:cs="Times New Roman"/>
                <w:color w:val="000000"/>
              </w:rPr>
            </w:pPr>
          </w:p>
        </w:tc>
        <w:tc>
          <w:tcPr>
            <w:tcW w:w="900" w:type="dxa"/>
            <w:tcBorders>
              <w:top w:val="nil"/>
              <w:left w:val="nil"/>
              <w:bottom w:val="nil"/>
              <w:right w:val="nil"/>
            </w:tcBorders>
            <w:shd w:val="clear" w:color="auto" w:fill="auto"/>
            <w:noWrap/>
            <w:vAlign w:val="bottom"/>
            <w:hideMark/>
          </w:tcPr>
          <w:p w14:paraId="640A65EC" w14:textId="77777777" w:rsidR="009E2D8C" w:rsidRPr="00AC562A" w:rsidRDefault="009E2D8C" w:rsidP="00253156">
            <w:pPr>
              <w:spacing w:after="0" w:line="240" w:lineRule="auto"/>
              <w:jc w:val="right"/>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14:paraId="7DF4F04A" w14:textId="77777777" w:rsidR="009E2D8C" w:rsidRPr="00AC562A" w:rsidRDefault="009E2D8C" w:rsidP="00253156">
            <w:pPr>
              <w:spacing w:after="0" w:line="240" w:lineRule="auto"/>
              <w:jc w:val="right"/>
              <w:rPr>
                <w:rFonts w:eastAsia="Times New Roman" w:cs="Times New Roman"/>
                <w:sz w:val="20"/>
                <w:szCs w:val="20"/>
              </w:rPr>
            </w:pPr>
          </w:p>
        </w:tc>
        <w:tc>
          <w:tcPr>
            <w:tcW w:w="936" w:type="dxa"/>
            <w:tcBorders>
              <w:top w:val="nil"/>
              <w:left w:val="nil"/>
              <w:bottom w:val="nil"/>
              <w:right w:val="single" w:sz="4" w:space="0" w:color="auto"/>
            </w:tcBorders>
            <w:shd w:val="clear" w:color="auto" w:fill="auto"/>
            <w:noWrap/>
            <w:vAlign w:val="bottom"/>
            <w:hideMark/>
          </w:tcPr>
          <w:p w14:paraId="38B333C1"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 </w:t>
            </w:r>
          </w:p>
        </w:tc>
        <w:tc>
          <w:tcPr>
            <w:tcW w:w="939" w:type="dxa"/>
            <w:tcBorders>
              <w:top w:val="nil"/>
              <w:left w:val="nil"/>
              <w:bottom w:val="nil"/>
              <w:right w:val="nil"/>
            </w:tcBorders>
            <w:shd w:val="clear" w:color="auto" w:fill="auto"/>
            <w:noWrap/>
            <w:vAlign w:val="bottom"/>
            <w:hideMark/>
          </w:tcPr>
          <w:p w14:paraId="4DD54A1B" w14:textId="77777777" w:rsidR="009E2D8C" w:rsidRPr="00AC562A" w:rsidRDefault="009E2D8C" w:rsidP="00253156">
            <w:pPr>
              <w:spacing w:after="0" w:line="240" w:lineRule="auto"/>
              <w:jc w:val="right"/>
              <w:rPr>
                <w:rFonts w:eastAsia="Times New Roman" w:cs="Times New Roman"/>
                <w:color w:val="000000"/>
              </w:rPr>
            </w:pPr>
          </w:p>
        </w:tc>
        <w:tc>
          <w:tcPr>
            <w:tcW w:w="686" w:type="dxa"/>
            <w:tcBorders>
              <w:top w:val="nil"/>
              <w:left w:val="nil"/>
              <w:bottom w:val="nil"/>
              <w:right w:val="double" w:sz="6" w:space="0" w:color="auto"/>
            </w:tcBorders>
            <w:shd w:val="clear" w:color="auto" w:fill="auto"/>
            <w:noWrap/>
            <w:vAlign w:val="bottom"/>
            <w:hideMark/>
          </w:tcPr>
          <w:p w14:paraId="0A88C33B"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 </w:t>
            </w:r>
          </w:p>
        </w:tc>
      </w:tr>
      <w:tr w:rsidR="009E2D8C" w:rsidRPr="00AC562A" w14:paraId="1E40A674" w14:textId="77777777" w:rsidTr="00253156">
        <w:trPr>
          <w:trHeight w:val="265"/>
        </w:trPr>
        <w:tc>
          <w:tcPr>
            <w:tcW w:w="3037" w:type="dxa"/>
            <w:tcBorders>
              <w:top w:val="nil"/>
              <w:left w:val="double" w:sz="6" w:space="0" w:color="auto"/>
              <w:bottom w:val="nil"/>
              <w:right w:val="single" w:sz="4" w:space="0" w:color="auto"/>
            </w:tcBorders>
            <w:shd w:val="clear" w:color="auto" w:fill="auto"/>
            <w:vAlign w:val="bottom"/>
            <w:hideMark/>
          </w:tcPr>
          <w:p w14:paraId="5F3E74A9" w14:textId="77777777" w:rsidR="009E2D8C" w:rsidRPr="00AC562A" w:rsidRDefault="009E2D8C" w:rsidP="00253156">
            <w:pPr>
              <w:spacing w:after="0" w:line="240" w:lineRule="auto"/>
              <w:ind w:firstLineChars="63" w:firstLine="139"/>
              <w:jc w:val="left"/>
              <w:rPr>
                <w:rFonts w:eastAsia="Times New Roman" w:cs="Times New Roman"/>
                <w:color w:val="000000"/>
              </w:rPr>
            </w:pPr>
            <w:r w:rsidRPr="00AC562A">
              <w:rPr>
                <w:rFonts w:eastAsia="Times New Roman" w:cs="Times New Roman"/>
                <w:color w:val="000000"/>
              </w:rPr>
              <w:t>Basic</w:t>
            </w:r>
          </w:p>
        </w:tc>
        <w:tc>
          <w:tcPr>
            <w:tcW w:w="900" w:type="dxa"/>
            <w:tcBorders>
              <w:top w:val="nil"/>
              <w:left w:val="nil"/>
              <w:bottom w:val="nil"/>
              <w:right w:val="single" w:sz="4" w:space="0" w:color="auto"/>
            </w:tcBorders>
            <w:shd w:val="clear" w:color="auto" w:fill="auto"/>
            <w:noWrap/>
            <w:vAlign w:val="bottom"/>
            <w:hideMark/>
          </w:tcPr>
          <w:p w14:paraId="7A0E55E0"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93.8</w:t>
            </w:r>
          </w:p>
        </w:tc>
        <w:tc>
          <w:tcPr>
            <w:tcW w:w="900" w:type="dxa"/>
            <w:tcBorders>
              <w:top w:val="nil"/>
              <w:left w:val="nil"/>
              <w:bottom w:val="nil"/>
              <w:right w:val="nil"/>
            </w:tcBorders>
            <w:shd w:val="clear" w:color="auto" w:fill="auto"/>
            <w:noWrap/>
            <w:vAlign w:val="bottom"/>
            <w:hideMark/>
          </w:tcPr>
          <w:p w14:paraId="13017474"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28.2</w:t>
            </w:r>
          </w:p>
        </w:tc>
        <w:tc>
          <w:tcPr>
            <w:tcW w:w="900" w:type="dxa"/>
            <w:tcBorders>
              <w:top w:val="nil"/>
              <w:left w:val="nil"/>
              <w:bottom w:val="nil"/>
              <w:right w:val="nil"/>
            </w:tcBorders>
            <w:shd w:val="clear" w:color="auto" w:fill="auto"/>
            <w:noWrap/>
            <w:vAlign w:val="bottom"/>
            <w:hideMark/>
          </w:tcPr>
          <w:p w14:paraId="39DD4634"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159.5</w:t>
            </w:r>
          </w:p>
        </w:tc>
        <w:tc>
          <w:tcPr>
            <w:tcW w:w="1080" w:type="dxa"/>
            <w:tcBorders>
              <w:top w:val="nil"/>
              <w:left w:val="nil"/>
              <w:bottom w:val="nil"/>
              <w:right w:val="nil"/>
            </w:tcBorders>
            <w:shd w:val="clear" w:color="auto" w:fill="auto"/>
            <w:noWrap/>
            <w:vAlign w:val="bottom"/>
            <w:hideMark/>
          </w:tcPr>
          <w:p w14:paraId="78DB1E57"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80.3</w:t>
            </w:r>
          </w:p>
        </w:tc>
        <w:tc>
          <w:tcPr>
            <w:tcW w:w="936" w:type="dxa"/>
            <w:tcBorders>
              <w:top w:val="nil"/>
              <w:left w:val="nil"/>
              <w:bottom w:val="nil"/>
              <w:right w:val="single" w:sz="4" w:space="0" w:color="auto"/>
            </w:tcBorders>
            <w:shd w:val="clear" w:color="auto" w:fill="auto"/>
            <w:noWrap/>
            <w:vAlign w:val="bottom"/>
            <w:hideMark/>
          </w:tcPr>
          <w:p w14:paraId="0927ED90"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23.5</w:t>
            </w:r>
          </w:p>
        </w:tc>
        <w:tc>
          <w:tcPr>
            <w:tcW w:w="939" w:type="dxa"/>
            <w:tcBorders>
              <w:top w:val="nil"/>
              <w:left w:val="nil"/>
              <w:bottom w:val="nil"/>
              <w:right w:val="nil"/>
            </w:tcBorders>
            <w:shd w:val="clear" w:color="auto" w:fill="auto"/>
            <w:noWrap/>
            <w:vAlign w:val="bottom"/>
            <w:hideMark/>
          </w:tcPr>
          <w:p w14:paraId="5BD16DD3"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CAMPO</w:t>
            </w:r>
          </w:p>
        </w:tc>
        <w:tc>
          <w:tcPr>
            <w:tcW w:w="686" w:type="dxa"/>
            <w:tcBorders>
              <w:top w:val="nil"/>
              <w:left w:val="nil"/>
              <w:bottom w:val="nil"/>
              <w:right w:val="double" w:sz="6" w:space="0" w:color="auto"/>
            </w:tcBorders>
            <w:shd w:val="clear" w:color="auto" w:fill="auto"/>
            <w:noWrap/>
            <w:vAlign w:val="bottom"/>
            <w:hideMark/>
          </w:tcPr>
          <w:p w14:paraId="0C6F208E"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2015</w:t>
            </w:r>
          </w:p>
        </w:tc>
      </w:tr>
      <w:tr w:rsidR="009E2D8C" w:rsidRPr="00AC562A" w14:paraId="1FED0AC2" w14:textId="77777777" w:rsidTr="00253156">
        <w:trPr>
          <w:trHeight w:val="265"/>
        </w:trPr>
        <w:tc>
          <w:tcPr>
            <w:tcW w:w="3037" w:type="dxa"/>
            <w:tcBorders>
              <w:top w:val="nil"/>
              <w:left w:val="double" w:sz="6" w:space="0" w:color="auto"/>
              <w:bottom w:val="nil"/>
              <w:right w:val="single" w:sz="4" w:space="0" w:color="auto"/>
            </w:tcBorders>
            <w:shd w:val="clear" w:color="auto" w:fill="auto"/>
            <w:vAlign w:val="bottom"/>
            <w:hideMark/>
          </w:tcPr>
          <w:p w14:paraId="313E72D4" w14:textId="77777777" w:rsidR="009E2D8C" w:rsidRPr="00AC562A" w:rsidRDefault="009E2D8C" w:rsidP="00253156">
            <w:pPr>
              <w:spacing w:after="0" w:line="240" w:lineRule="auto"/>
              <w:ind w:firstLineChars="63" w:firstLine="139"/>
              <w:jc w:val="left"/>
              <w:rPr>
                <w:rFonts w:eastAsia="Times New Roman" w:cs="Times New Roman"/>
                <w:color w:val="000000"/>
              </w:rPr>
            </w:pPr>
            <w:r w:rsidRPr="00AC562A">
              <w:rPr>
                <w:rFonts w:eastAsia="Times New Roman" w:cs="Times New Roman"/>
                <w:color w:val="000000"/>
              </w:rPr>
              <w:t>Retail</w:t>
            </w:r>
          </w:p>
        </w:tc>
        <w:tc>
          <w:tcPr>
            <w:tcW w:w="900" w:type="dxa"/>
            <w:tcBorders>
              <w:top w:val="nil"/>
              <w:left w:val="nil"/>
              <w:bottom w:val="nil"/>
              <w:right w:val="single" w:sz="4" w:space="0" w:color="auto"/>
            </w:tcBorders>
            <w:shd w:val="clear" w:color="auto" w:fill="auto"/>
            <w:noWrap/>
            <w:vAlign w:val="bottom"/>
            <w:hideMark/>
          </w:tcPr>
          <w:p w14:paraId="43C7FBD1"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100.5</w:t>
            </w:r>
          </w:p>
        </w:tc>
        <w:tc>
          <w:tcPr>
            <w:tcW w:w="900" w:type="dxa"/>
            <w:tcBorders>
              <w:top w:val="nil"/>
              <w:left w:val="nil"/>
              <w:bottom w:val="nil"/>
              <w:right w:val="nil"/>
            </w:tcBorders>
            <w:shd w:val="clear" w:color="auto" w:fill="auto"/>
            <w:noWrap/>
            <w:vAlign w:val="bottom"/>
            <w:hideMark/>
          </w:tcPr>
          <w:p w14:paraId="6A1461BB"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81.7</w:t>
            </w:r>
          </w:p>
        </w:tc>
        <w:tc>
          <w:tcPr>
            <w:tcW w:w="900" w:type="dxa"/>
            <w:tcBorders>
              <w:top w:val="nil"/>
              <w:left w:val="nil"/>
              <w:bottom w:val="nil"/>
              <w:right w:val="nil"/>
            </w:tcBorders>
            <w:shd w:val="clear" w:color="auto" w:fill="auto"/>
            <w:noWrap/>
            <w:vAlign w:val="bottom"/>
            <w:hideMark/>
          </w:tcPr>
          <w:p w14:paraId="2AF636D9"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186.1</w:t>
            </w:r>
          </w:p>
        </w:tc>
        <w:tc>
          <w:tcPr>
            <w:tcW w:w="1080" w:type="dxa"/>
            <w:tcBorders>
              <w:top w:val="nil"/>
              <w:left w:val="nil"/>
              <w:bottom w:val="nil"/>
              <w:right w:val="nil"/>
            </w:tcBorders>
            <w:shd w:val="clear" w:color="auto" w:fill="auto"/>
            <w:noWrap/>
            <w:vAlign w:val="bottom"/>
            <w:hideMark/>
          </w:tcPr>
          <w:p w14:paraId="42A2FC99"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79.0</w:t>
            </w:r>
          </w:p>
        </w:tc>
        <w:tc>
          <w:tcPr>
            <w:tcW w:w="936" w:type="dxa"/>
            <w:tcBorders>
              <w:top w:val="nil"/>
              <w:left w:val="nil"/>
              <w:bottom w:val="nil"/>
              <w:right w:val="single" w:sz="4" w:space="0" w:color="auto"/>
            </w:tcBorders>
            <w:shd w:val="clear" w:color="auto" w:fill="auto"/>
            <w:noWrap/>
            <w:vAlign w:val="bottom"/>
            <w:hideMark/>
          </w:tcPr>
          <w:p w14:paraId="01C1444A"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12.7</w:t>
            </w:r>
          </w:p>
        </w:tc>
        <w:tc>
          <w:tcPr>
            <w:tcW w:w="939" w:type="dxa"/>
            <w:tcBorders>
              <w:top w:val="nil"/>
              <w:left w:val="nil"/>
              <w:bottom w:val="nil"/>
              <w:right w:val="nil"/>
            </w:tcBorders>
            <w:shd w:val="clear" w:color="auto" w:fill="auto"/>
            <w:noWrap/>
            <w:vAlign w:val="bottom"/>
            <w:hideMark/>
          </w:tcPr>
          <w:p w14:paraId="6E658207"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CAMPO</w:t>
            </w:r>
          </w:p>
        </w:tc>
        <w:tc>
          <w:tcPr>
            <w:tcW w:w="686" w:type="dxa"/>
            <w:tcBorders>
              <w:top w:val="nil"/>
              <w:left w:val="nil"/>
              <w:bottom w:val="nil"/>
              <w:right w:val="double" w:sz="6" w:space="0" w:color="auto"/>
            </w:tcBorders>
            <w:shd w:val="clear" w:color="auto" w:fill="auto"/>
            <w:noWrap/>
            <w:vAlign w:val="bottom"/>
            <w:hideMark/>
          </w:tcPr>
          <w:p w14:paraId="473A3AC2"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2015</w:t>
            </w:r>
          </w:p>
        </w:tc>
      </w:tr>
      <w:tr w:rsidR="009E2D8C" w:rsidRPr="00AC562A" w14:paraId="6F983124" w14:textId="77777777" w:rsidTr="00253156">
        <w:trPr>
          <w:trHeight w:val="265"/>
        </w:trPr>
        <w:tc>
          <w:tcPr>
            <w:tcW w:w="3037" w:type="dxa"/>
            <w:tcBorders>
              <w:top w:val="nil"/>
              <w:left w:val="double" w:sz="6" w:space="0" w:color="auto"/>
              <w:bottom w:val="nil"/>
              <w:right w:val="single" w:sz="4" w:space="0" w:color="auto"/>
            </w:tcBorders>
            <w:shd w:val="clear" w:color="auto" w:fill="auto"/>
            <w:vAlign w:val="bottom"/>
            <w:hideMark/>
          </w:tcPr>
          <w:p w14:paraId="63C265A1" w14:textId="77777777" w:rsidR="009E2D8C" w:rsidRPr="00AC562A" w:rsidRDefault="009E2D8C" w:rsidP="00253156">
            <w:pPr>
              <w:spacing w:after="0" w:line="240" w:lineRule="auto"/>
              <w:ind w:firstLineChars="63" w:firstLine="139"/>
              <w:jc w:val="left"/>
              <w:rPr>
                <w:rFonts w:eastAsia="Times New Roman" w:cs="Times New Roman"/>
                <w:color w:val="000000"/>
              </w:rPr>
            </w:pPr>
            <w:r w:rsidRPr="00AC562A">
              <w:rPr>
                <w:rFonts w:eastAsia="Times New Roman" w:cs="Times New Roman"/>
                <w:color w:val="000000"/>
              </w:rPr>
              <w:t>Service</w:t>
            </w:r>
          </w:p>
        </w:tc>
        <w:tc>
          <w:tcPr>
            <w:tcW w:w="900" w:type="dxa"/>
            <w:tcBorders>
              <w:top w:val="nil"/>
              <w:left w:val="nil"/>
              <w:bottom w:val="nil"/>
              <w:right w:val="single" w:sz="4" w:space="0" w:color="auto"/>
            </w:tcBorders>
            <w:shd w:val="clear" w:color="auto" w:fill="auto"/>
            <w:noWrap/>
            <w:vAlign w:val="bottom"/>
            <w:hideMark/>
          </w:tcPr>
          <w:p w14:paraId="33C1B153"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219.8</w:t>
            </w:r>
          </w:p>
        </w:tc>
        <w:tc>
          <w:tcPr>
            <w:tcW w:w="900" w:type="dxa"/>
            <w:tcBorders>
              <w:top w:val="nil"/>
              <w:left w:val="nil"/>
              <w:bottom w:val="nil"/>
              <w:right w:val="nil"/>
            </w:tcBorders>
            <w:shd w:val="clear" w:color="auto" w:fill="auto"/>
            <w:noWrap/>
            <w:vAlign w:val="bottom"/>
            <w:hideMark/>
          </w:tcPr>
          <w:p w14:paraId="28BC7CD8"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583.5</w:t>
            </w:r>
          </w:p>
        </w:tc>
        <w:tc>
          <w:tcPr>
            <w:tcW w:w="900" w:type="dxa"/>
            <w:tcBorders>
              <w:top w:val="nil"/>
              <w:left w:val="nil"/>
              <w:bottom w:val="nil"/>
              <w:right w:val="nil"/>
            </w:tcBorders>
            <w:shd w:val="clear" w:color="auto" w:fill="auto"/>
            <w:noWrap/>
            <w:vAlign w:val="bottom"/>
            <w:hideMark/>
          </w:tcPr>
          <w:p w14:paraId="620E2D14"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437.1</w:t>
            </w:r>
          </w:p>
        </w:tc>
        <w:tc>
          <w:tcPr>
            <w:tcW w:w="1080" w:type="dxa"/>
            <w:tcBorders>
              <w:top w:val="nil"/>
              <w:left w:val="nil"/>
              <w:bottom w:val="nil"/>
              <w:right w:val="nil"/>
            </w:tcBorders>
            <w:shd w:val="clear" w:color="auto" w:fill="auto"/>
            <w:noWrap/>
            <w:vAlign w:val="bottom"/>
            <w:hideMark/>
          </w:tcPr>
          <w:p w14:paraId="54E44476"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139.0</w:t>
            </w:r>
          </w:p>
        </w:tc>
        <w:tc>
          <w:tcPr>
            <w:tcW w:w="936" w:type="dxa"/>
            <w:tcBorders>
              <w:top w:val="nil"/>
              <w:left w:val="nil"/>
              <w:bottom w:val="nil"/>
              <w:right w:val="single" w:sz="4" w:space="0" w:color="auto"/>
            </w:tcBorders>
            <w:shd w:val="clear" w:color="auto" w:fill="auto"/>
            <w:noWrap/>
            <w:vAlign w:val="bottom"/>
            <w:hideMark/>
          </w:tcPr>
          <w:p w14:paraId="542347CB"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19.1</w:t>
            </w:r>
          </w:p>
        </w:tc>
        <w:tc>
          <w:tcPr>
            <w:tcW w:w="939" w:type="dxa"/>
            <w:tcBorders>
              <w:top w:val="nil"/>
              <w:left w:val="nil"/>
              <w:bottom w:val="nil"/>
              <w:right w:val="nil"/>
            </w:tcBorders>
            <w:shd w:val="clear" w:color="auto" w:fill="auto"/>
            <w:noWrap/>
            <w:vAlign w:val="bottom"/>
            <w:hideMark/>
          </w:tcPr>
          <w:p w14:paraId="68862A49"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CAMPO</w:t>
            </w:r>
          </w:p>
        </w:tc>
        <w:tc>
          <w:tcPr>
            <w:tcW w:w="686" w:type="dxa"/>
            <w:tcBorders>
              <w:top w:val="nil"/>
              <w:left w:val="nil"/>
              <w:bottom w:val="nil"/>
              <w:right w:val="double" w:sz="6" w:space="0" w:color="auto"/>
            </w:tcBorders>
            <w:shd w:val="clear" w:color="auto" w:fill="auto"/>
            <w:noWrap/>
            <w:vAlign w:val="bottom"/>
            <w:hideMark/>
          </w:tcPr>
          <w:p w14:paraId="7E110FCD"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2015</w:t>
            </w:r>
          </w:p>
        </w:tc>
      </w:tr>
      <w:tr w:rsidR="009E2D8C" w:rsidRPr="00AC562A" w14:paraId="37E73325" w14:textId="77777777" w:rsidTr="00253156">
        <w:trPr>
          <w:trHeight w:val="265"/>
        </w:trPr>
        <w:tc>
          <w:tcPr>
            <w:tcW w:w="3037" w:type="dxa"/>
            <w:tcBorders>
              <w:top w:val="nil"/>
              <w:left w:val="double" w:sz="6" w:space="0" w:color="auto"/>
              <w:bottom w:val="nil"/>
              <w:right w:val="single" w:sz="4" w:space="0" w:color="auto"/>
            </w:tcBorders>
            <w:shd w:val="clear" w:color="auto" w:fill="auto"/>
            <w:vAlign w:val="bottom"/>
            <w:hideMark/>
          </w:tcPr>
          <w:p w14:paraId="3CA23414" w14:textId="77777777" w:rsidR="009E2D8C" w:rsidRPr="00AC562A" w:rsidRDefault="009E2D8C" w:rsidP="00253156">
            <w:pPr>
              <w:spacing w:after="0" w:line="240" w:lineRule="auto"/>
              <w:ind w:firstLineChars="63" w:firstLine="139"/>
              <w:jc w:val="left"/>
              <w:rPr>
                <w:rFonts w:eastAsia="Times New Roman" w:cs="Times New Roman"/>
                <w:color w:val="000000"/>
              </w:rPr>
            </w:pPr>
            <w:r w:rsidRPr="00AC562A">
              <w:rPr>
                <w:rFonts w:eastAsia="Times New Roman" w:cs="Times New Roman"/>
                <w:color w:val="000000"/>
              </w:rPr>
              <w:t>Education (K-12)</w:t>
            </w:r>
          </w:p>
        </w:tc>
        <w:tc>
          <w:tcPr>
            <w:tcW w:w="900" w:type="dxa"/>
            <w:tcBorders>
              <w:top w:val="nil"/>
              <w:left w:val="nil"/>
              <w:bottom w:val="nil"/>
              <w:right w:val="single" w:sz="4" w:space="0" w:color="auto"/>
            </w:tcBorders>
            <w:shd w:val="clear" w:color="auto" w:fill="auto"/>
            <w:noWrap/>
            <w:vAlign w:val="bottom"/>
            <w:hideMark/>
          </w:tcPr>
          <w:p w14:paraId="35B4C2CD"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23.1</w:t>
            </w:r>
          </w:p>
        </w:tc>
        <w:tc>
          <w:tcPr>
            <w:tcW w:w="900" w:type="dxa"/>
            <w:tcBorders>
              <w:top w:val="nil"/>
              <w:left w:val="nil"/>
              <w:bottom w:val="nil"/>
              <w:right w:val="nil"/>
            </w:tcBorders>
            <w:shd w:val="clear" w:color="auto" w:fill="auto"/>
            <w:noWrap/>
            <w:vAlign w:val="bottom"/>
            <w:hideMark/>
          </w:tcPr>
          <w:p w14:paraId="72A1FCA6"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1.4</w:t>
            </w:r>
          </w:p>
        </w:tc>
        <w:tc>
          <w:tcPr>
            <w:tcW w:w="900" w:type="dxa"/>
            <w:tcBorders>
              <w:top w:val="nil"/>
              <w:left w:val="nil"/>
              <w:bottom w:val="nil"/>
              <w:right w:val="nil"/>
            </w:tcBorders>
            <w:shd w:val="clear" w:color="auto" w:fill="auto"/>
            <w:noWrap/>
            <w:vAlign w:val="bottom"/>
            <w:hideMark/>
          </w:tcPr>
          <w:p w14:paraId="4B6665C3"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28.9</w:t>
            </w:r>
          </w:p>
        </w:tc>
        <w:tc>
          <w:tcPr>
            <w:tcW w:w="1080" w:type="dxa"/>
            <w:tcBorders>
              <w:top w:val="nil"/>
              <w:left w:val="nil"/>
              <w:bottom w:val="nil"/>
              <w:right w:val="nil"/>
            </w:tcBorders>
            <w:shd w:val="clear" w:color="auto" w:fill="auto"/>
            <w:noWrap/>
            <w:vAlign w:val="bottom"/>
            <w:hideMark/>
          </w:tcPr>
          <w:p w14:paraId="325AD49D"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31.2</w:t>
            </w:r>
          </w:p>
        </w:tc>
        <w:tc>
          <w:tcPr>
            <w:tcW w:w="936" w:type="dxa"/>
            <w:tcBorders>
              <w:top w:val="nil"/>
              <w:left w:val="nil"/>
              <w:bottom w:val="nil"/>
              <w:right w:val="single" w:sz="4" w:space="0" w:color="auto"/>
            </w:tcBorders>
            <w:shd w:val="clear" w:color="auto" w:fill="auto"/>
            <w:noWrap/>
            <w:vAlign w:val="bottom"/>
            <w:hideMark/>
          </w:tcPr>
          <w:p w14:paraId="619B5EA7"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8.9</w:t>
            </w:r>
          </w:p>
        </w:tc>
        <w:tc>
          <w:tcPr>
            <w:tcW w:w="939" w:type="dxa"/>
            <w:tcBorders>
              <w:top w:val="nil"/>
              <w:left w:val="nil"/>
              <w:bottom w:val="nil"/>
              <w:right w:val="nil"/>
            </w:tcBorders>
            <w:shd w:val="clear" w:color="auto" w:fill="auto"/>
            <w:noWrap/>
            <w:vAlign w:val="bottom"/>
            <w:hideMark/>
          </w:tcPr>
          <w:p w14:paraId="208B21C8"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CAMPO</w:t>
            </w:r>
          </w:p>
        </w:tc>
        <w:tc>
          <w:tcPr>
            <w:tcW w:w="686" w:type="dxa"/>
            <w:tcBorders>
              <w:top w:val="nil"/>
              <w:left w:val="nil"/>
              <w:bottom w:val="nil"/>
              <w:right w:val="double" w:sz="6" w:space="0" w:color="auto"/>
            </w:tcBorders>
            <w:shd w:val="clear" w:color="auto" w:fill="auto"/>
            <w:noWrap/>
            <w:vAlign w:val="bottom"/>
            <w:hideMark/>
          </w:tcPr>
          <w:p w14:paraId="149BCBD4"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2015</w:t>
            </w:r>
          </w:p>
        </w:tc>
      </w:tr>
      <w:tr w:rsidR="009E2D8C" w:rsidRPr="00AC562A" w14:paraId="38B5C0FF" w14:textId="77777777" w:rsidTr="00253156">
        <w:trPr>
          <w:trHeight w:val="265"/>
        </w:trPr>
        <w:tc>
          <w:tcPr>
            <w:tcW w:w="3037" w:type="dxa"/>
            <w:tcBorders>
              <w:top w:val="nil"/>
              <w:left w:val="double" w:sz="6" w:space="0" w:color="auto"/>
              <w:bottom w:val="nil"/>
              <w:right w:val="single" w:sz="4" w:space="0" w:color="auto"/>
            </w:tcBorders>
            <w:shd w:val="clear" w:color="auto" w:fill="auto"/>
            <w:vAlign w:val="bottom"/>
            <w:hideMark/>
          </w:tcPr>
          <w:p w14:paraId="3BA1F5F2" w14:textId="77777777" w:rsidR="009E2D8C" w:rsidRPr="00AC562A" w:rsidRDefault="009E2D8C" w:rsidP="00253156">
            <w:pPr>
              <w:spacing w:after="0" w:line="240" w:lineRule="auto"/>
              <w:ind w:firstLineChars="63" w:firstLine="139"/>
              <w:jc w:val="left"/>
              <w:rPr>
                <w:rFonts w:eastAsia="Times New Roman" w:cs="Times New Roman"/>
                <w:color w:val="000000"/>
              </w:rPr>
            </w:pPr>
            <w:r w:rsidRPr="00AC562A">
              <w:rPr>
                <w:rFonts w:eastAsia="Times New Roman" w:cs="Times New Roman"/>
                <w:color w:val="000000"/>
              </w:rPr>
              <w:t>Education (Higher)</w:t>
            </w:r>
          </w:p>
        </w:tc>
        <w:tc>
          <w:tcPr>
            <w:tcW w:w="900" w:type="dxa"/>
            <w:tcBorders>
              <w:top w:val="nil"/>
              <w:left w:val="nil"/>
              <w:bottom w:val="nil"/>
              <w:right w:val="single" w:sz="4" w:space="0" w:color="auto"/>
            </w:tcBorders>
            <w:shd w:val="clear" w:color="auto" w:fill="auto"/>
            <w:noWrap/>
            <w:vAlign w:val="bottom"/>
            <w:hideMark/>
          </w:tcPr>
          <w:p w14:paraId="4F652725"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19.0</w:t>
            </w:r>
          </w:p>
        </w:tc>
        <w:tc>
          <w:tcPr>
            <w:tcW w:w="900" w:type="dxa"/>
            <w:tcBorders>
              <w:top w:val="nil"/>
              <w:left w:val="nil"/>
              <w:bottom w:val="nil"/>
              <w:right w:val="nil"/>
            </w:tcBorders>
            <w:shd w:val="clear" w:color="auto" w:fill="auto"/>
            <w:noWrap/>
            <w:vAlign w:val="bottom"/>
            <w:hideMark/>
          </w:tcPr>
          <w:p w14:paraId="769B954C"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32.1</w:t>
            </w:r>
          </w:p>
        </w:tc>
        <w:tc>
          <w:tcPr>
            <w:tcW w:w="900" w:type="dxa"/>
            <w:tcBorders>
              <w:top w:val="nil"/>
              <w:left w:val="nil"/>
              <w:bottom w:val="nil"/>
              <w:right w:val="nil"/>
            </w:tcBorders>
            <w:shd w:val="clear" w:color="auto" w:fill="auto"/>
            <w:noWrap/>
            <w:vAlign w:val="bottom"/>
            <w:hideMark/>
          </w:tcPr>
          <w:p w14:paraId="49BB832A"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44.1</w:t>
            </w:r>
          </w:p>
        </w:tc>
        <w:tc>
          <w:tcPr>
            <w:tcW w:w="1080" w:type="dxa"/>
            <w:tcBorders>
              <w:top w:val="nil"/>
              <w:left w:val="nil"/>
              <w:bottom w:val="nil"/>
              <w:right w:val="nil"/>
            </w:tcBorders>
            <w:shd w:val="clear" w:color="auto" w:fill="auto"/>
            <w:noWrap/>
            <w:vAlign w:val="bottom"/>
            <w:hideMark/>
          </w:tcPr>
          <w:p w14:paraId="39A3B428"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4.9</w:t>
            </w:r>
          </w:p>
        </w:tc>
        <w:tc>
          <w:tcPr>
            <w:tcW w:w="936" w:type="dxa"/>
            <w:tcBorders>
              <w:top w:val="nil"/>
              <w:left w:val="nil"/>
              <w:bottom w:val="nil"/>
              <w:right w:val="single" w:sz="4" w:space="0" w:color="auto"/>
            </w:tcBorders>
            <w:shd w:val="clear" w:color="auto" w:fill="auto"/>
            <w:noWrap/>
            <w:vAlign w:val="bottom"/>
            <w:hideMark/>
          </w:tcPr>
          <w:p w14:paraId="58432A76"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0.1</w:t>
            </w:r>
          </w:p>
        </w:tc>
        <w:tc>
          <w:tcPr>
            <w:tcW w:w="939" w:type="dxa"/>
            <w:tcBorders>
              <w:top w:val="nil"/>
              <w:left w:val="nil"/>
              <w:bottom w:val="nil"/>
              <w:right w:val="nil"/>
            </w:tcBorders>
            <w:shd w:val="clear" w:color="auto" w:fill="auto"/>
            <w:noWrap/>
            <w:vAlign w:val="bottom"/>
            <w:hideMark/>
          </w:tcPr>
          <w:p w14:paraId="23C0D918"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CAMPO</w:t>
            </w:r>
          </w:p>
        </w:tc>
        <w:tc>
          <w:tcPr>
            <w:tcW w:w="686" w:type="dxa"/>
            <w:tcBorders>
              <w:top w:val="nil"/>
              <w:left w:val="nil"/>
              <w:bottom w:val="nil"/>
              <w:right w:val="double" w:sz="6" w:space="0" w:color="auto"/>
            </w:tcBorders>
            <w:shd w:val="clear" w:color="auto" w:fill="auto"/>
            <w:noWrap/>
            <w:vAlign w:val="bottom"/>
            <w:hideMark/>
          </w:tcPr>
          <w:p w14:paraId="38553A99"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2015</w:t>
            </w:r>
          </w:p>
        </w:tc>
      </w:tr>
      <w:tr w:rsidR="009E2D8C" w:rsidRPr="00AC562A" w14:paraId="22BF3B6E" w14:textId="77777777" w:rsidTr="00253156">
        <w:trPr>
          <w:trHeight w:val="276"/>
        </w:trPr>
        <w:tc>
          <w:tcPr>
            <w:tcW w:w="3037" w:type="dxa"/>
            <w:tcBorders>
              <w:top w:val="single" w:sz="4" w:space="0" w:color="auto"/>
              <w:left w:val="double" w:sz="6" w:space="0" w:color="auto"/>
              <w:bottom w:val="double" w:sz="6" w:space="0" w:color="auto"/>
              <w:right w:val="single" w:sz="4" w:space="0" w:color="auto"/>
            </w:tcBorders>
            <w:shd w:val="clear" w:color="auto" w:fill="auto"/>
            <w:vAlign w:val="bottom"/>
            <w:hideMark/>
          </w:tcPr>
          <w:p w14:paraId="2FB9C011" w14:textId="77777777" w:rsidR="009E2D8C" w:rsidRPr="00AC562A" w:rsidRDefault="009E2D8C" w:rsidP="00253156">
            <w:pPr>
              <w:spacing w:after="0" w:line="240" w:lineRule="auto"/>
              <w:ind w:firstLineChars="63" w:firstLine="139"/>
              <w:jc w:val="left"/>
              <w:rPr>
                <w:rFonts w:eastAsia="Times New Roman" w:cs="Times New Roman"/>
                <w:color w:val="000000"/>
              </w:rPr>
            </w:pPr>
            <w:r w:rsidRPr="00AC562A">
              <w:rPr>
                <w:rFonts w:eastAsia="Times New Roman" w:cs="Times New Roman"/>
                <w:color w:val="000000"/>
              </w:rPr>
              <w:t>Total</w:t>
            </w:r>
          </w:p>
        </w:tc>
        <w:tc>
          <w:tcPr>
            <w:tcW w:w="900" w:type="dxa"/>
            <w:tcBorders>
              <w:top w:val="single" w:sz="4" w:space="0" w:color="auto"/>
              <w:left w:val="nil"/>
              <w:bottom w:val="double" w:sz="6" w:space="0" w:color="auto"/>
              <w:right w:val="single" w:sz="4" w:space="0" w:color="auto"/>
            </w:tcBorders>
            <w:shd w:val="clear" w:color="auto" w:fill="auto"/>
            <w:noWrap/>
            <w:vAlign w:val="bottom"/>
            <w:hideMark/>
          </w:tcPr>
          <w:p w14:paraId="040A2652"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456.2</w:t>
            </w:r>
          </w:p>
        </w:tc>
        <w:tc>
          <w:tcPr>
            <w:tcW w:w="900" w:type="dxa"/>
            <w:tcBorders>
              <w:top w:val="single" w:sz="4" w:space="0" w:color="auto"/>
              <w:left w:val="nil"/>
              <w:bottom w:val="double" w:sz="6" w:space="0" w:color="auto"/>
              <w:right w:val="nil"/>
            </w:tcBorders>
            <w:shd w:val="clear" w:color="auto" w:fill="auto"/>
            <w:noWrap/>
            <w:vAlign w:val="bottom"/>
            <w:hideMark/>
          </w:tcPr>
          <w:p w14:paraId="146CB89C"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727.0</w:t>
            </w:r>
          </w:p>
        </w:tc>
        <w:tc>
          <w:tcPr>
            <w:tcW w:w="900" w:type="dxa"/>
            <w:tcBorders>
              <w:top w:val="single" w:sz="4" w:space="0" w:color="auto"/>
              <w:left w:val="nil"/>
              <w:bottom w:val="double" w:sz="6" w:space="0" w:color="auto"/>
              <w:right w:val="nil"/>
            </w:tcBorders>
            <w:shd w:val="clear" w:color="auto" w:fill="auto"/>
            <w:noWrap/>
            <w:vAlign w:val="bottom"/>
            <w:hideMark/>
          </w:tcPr>
          <w:p w14:paraId="29F30194"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855.7</w:t>
            </w:r>
          </w:p>
        </w:tc>
        <w:tc>
          <w:tcPr>
            <w:tcW w:w="1080" w:type="dxa"/>
            <w:tcBorders>
              <w:top w:val="single" w:sz="4" w:space="0" w:color="auto"/>
              <w:left w:val="nil"/>
              <w:bottom w:val="double" w:sz="6" w:space="0" w:color="auto"/>
              <w:right w:val="nil"/>
            </w:tcBorders>
            <w:shd w:val="clear" w:color="auto" w:fill="auto"/>
            <w:noWrap/>
            <w:vAlign w:val="bottom"/>
            <w:hideMark/>
          </w:tcPr>
          <w:p w14:paraId="6A905A7D"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334.5</w:t>
            </w:r>
          </w:p>
        </w:tc>
        <w:tc>
          <w:tcPr>
            <w:tcW w:w="936" w:type="dxa"/>
            <w:tcBorders>
              <w:top w:val="single" w:sz="4" w:space="0" w:color="auto"/>
              <w:left w:val="nil"/>
              <w:bottom w:val="double" w:sz="6" w:space="0" w:color="auto"/>
              <w:right w:val="single" w:sz="4" w:space="0" w:color="auto"/>
            </w:tcBorders>
            <w:shd w:val="clear" w:color="auto" w:fill="auto"/>
            <w:noWrap/>
            <w:vAlign w:val="bottom"/>
            <w:hideMark/>
          </w:tcPr>
          <w:p w14:paraId="3EEC5171"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64.3</w:t>
            </w:r>
          </w:p>
        </w:tc>
        <w:tc>
          <w:tcPr>
            <w:tcW w:w="939" w:type="dxa"/>
            <w:tcBorders>
              <w:top w:val="single" w:sz="4" w:space="0" w:color="auto"/>
              <w:left w:val="nil"/>
              <w:bottom w:val="double" w:sz="6" w:space="0" w:color="auto"/>
              <w:right w:val="nil"/>
            </w:tcBorders>
            <w:shd w:val="clear" w:color="auto" w:fill="auto"/>
            <w:noWrap/>
            <w:vAlign w:val="bottom"/>
            <w:hideMark/>
          </w:tcPr>
          <w:p w14:paraId="0AFD2256"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CAMPO</w:t>
            </w:r>
          </w:p>
        </w:tc>
        <w:tc>
          <w:tcPr>
            <w:tcW w:w="686" w:type="dxa"/>
            <w:tcBorders>
              <w:top w:val="single" w:sz="4" w:space="0" w:color="auto"/>
              <w:left w:val="nil"/>
              <w:bottom w:val="double" w:sz="6" w:space="0" w:color="auto"/>
              <w:right w:val="double" w:sz="6" w:space="0" w:color="auto"/>
            </w:tcBorders>
            <w:shd w:val="clear" w:color="auto" w:fill="auto"/>
            <w:noWrap/>
            <w:vAlign w:val="bottom"/>
            <w:hideMark/>
          </w:tcPr>
          <w:p w14:paraId="2C1AFF41"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2015</w:t>
            </w:r>
          </w:p>
        </w:tc>
      </w:tr>
      <w:tr w:rsidR="009E2D8C" w:rsidRPr="00AC562A" w14:paraId="305B015E" w14:textId="77777777" w:rsidTr="00253156">
        <w:trPr>
          <w:trHeight w:val="276"/>
        </w:trPr>
        <w:tc>
          <w:tcPr>
            <w:tcW w:w="3037" w:type="dxa"/>
            <w:tcBorders>
              <w:top w:val="nil"/>
              <w:left w:val="double" w:sz="6" w:space="0" w:color="auto"/>
              <w:bottom w:val="nil"/>
              <w:right w:val="single" w:sz="4" w:space="0" w:color="auto"/>
            </w:tcBorders>
            <w:shd w:val="clear" w:color="auto" w:fill="auto"/>
            <w:vAlign w:val="bottom"/>
            <w:hideMark/>
          </w:tcPr>
          <w:p w14:paraId="1D57A422" w14:textId="77777777" w:rsidR="009E2D8C" w:rsidRPr="00AC562A" w:rsidRDefault="009E2D8C" w:rsidP="00253156">
            <w:pPr>
              <w:spacing w:after="0" w:line="240" w:lineRule="auto"/>
              <w:jc w:val="left"/>
              <w:rPr>
                <w:rFonts w:eastAsia="Times New Roman" w:cs="Times New Roman"/>
                <w:color w:val="000000"/>
              </w:rPr>
            </w:pPr>
            <w:r w:rsidRPr="00AC562A">
              <w:rPr>
                <w:rFonts w:eastAsia="Times New Roman" w:cs="Times New Roman"/>
                <w:color w:val="000000"/>
              </w:rPr>
              <w:t xml:space="preserve">Area (mi²) </w:t>
            </w:r>
            <w:r>
              <w:rPr>
                <w:rFonts w:eastAsia="Times New Roman" w:cs="Times New Roman"/>
                <w:color w:val="000000"/>
              </w:rPr>
              <w:t>×</w:t>
            </w:r>
            <w:r w:rsidRPr="00AC562A">
              <w:rPr>
                <w:rFonts w:eastAsia="Times New Roman" w:cs="Times New Roman"/>
                <w:color w:val="000000"/>
              </w:rPr>
              <w:t xml:space="preserve"> 100</w:t>
            </w:r>
          </w:p>
        </w:tc>
        <w:tc>
          <w:tcPr>
            <w:tcW w:w="900" w:type="dxa"/>
            <w:tcBorders>
              <w:top w:val="nil"/>
              <w:left w:val="nil"/>
              <w:bottom w:val="nil"/>
              <w:right w:val="single" w:sz="4" w:space="0" w:color="auto"/>
            </w:tcBorders>
            <w:shd w:val="clear" w:color="auto" w:fill="auto"/>
            <w:noWrap/>
            <w:vAlign w:val="bottom"/>
            <w:hideMark/>
          </w:tcPr>
          <w:p w14:paraId="46407688"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252.3</w:t>
            </w:r>
          </w:p>
        </w:tc>
        <w:tc>
          <w:tcPr>
            <w:tcW w:w="900" w:type="dxa"/>
            <w:tcBorders>
              <w:top w:val="nil"/>
              <w:left w:val="nil"/>
              <w:bottom w:val="nil"/>
              <w:right w:val="nil"/>
            </w:tcBorders>
            <w:shd w:val="clear" w:color="auto" w:fill="auto"/>
            <w:noWrap/>
            <w:vAlign w:val="bottom"/>
            <w:hideMark/>
          </w:tcPr>
          <w:p w14:paraId="32101281"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1.5</w:t>
            </w:r>
          </w:p>
        </w:tc>
        <w:tc>
          <w:tcPr>
            <w:tcW w:w="900" w:type="dxa"/>
            <w:tcBorders>
              <w:top w:val="nil"/>
              <w:left w:val="nil"/>
              <w:bottom w:val="nil"/>
              <w:right w:val="nil"/>
            </w:tcBorders>
            <w:shd w:val="clear" w:color="auto" w:fill="auto"/>
            <w:noWrap/>
            <w:vAlign w:val="bottom"/>
            <w:hideMark/>
          </w:tcPr>
          <w:p w14:paraId="2DA2A333"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25.0</w:t>
            </w:r>
          </w:p>
        </w:tc>
        <w:tc>
          <w:tcPr>
            <w:tcW w:w="1080" w:type="dxa"/>
            <w:tcBorders>
              <w:top w:val="nil"/>
              <w:left w:val="nil"/>
              <w:bottom w:val="nil"/>
              <w:right w:val="nil"/>
            </w:tcBorders>
            <w:shd w:val="clear" w:color="auto" w:fill="auto"/>
            <w:noWrap/>
            <w:vAlign w:val="bottom"/>
            <w:hideMark/>
          </w:tcPr>
          <w:p w14:paraId="535BA82E"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117.1</w:t>
            </w:r>
          </w:p>
        </w:tc>
        <w:tc>
          <w:tcPr>
            <w:tcW w:w="936" w:type="dxa"/>
            <w:tcBorders>
              <w:top w:val="nil"/>
              <w:left w:val="nil"/>
              <w:bottom w:val="nil"/>
              <w:right w:val="single" w:sz="4" w:space="0" w:color="auto"/>
            </w:tcBorders>
            <w:shd w:val="clear" w:color="auto" w:fill="auto"/>
            <w:noWrap/>
            <w:vAlign w:val="bottom"/>
            <w:hideMark/>
          </w:tcPr>
          <w:p w14:paraId="7E4FBF94"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653.1</w:t>
            </w:r>
          </w:p>
        </w:tc>
        <w:tc>
          <w:tcPr>
            <w:tcW w:w="939" w:type="dxa"/>
            <w:tcBorders>
              <w:top w:val="nil"/>
              <w:left w:val="nil"/>
              <w:bottom w:val="nil"/>
              <w:right w:val="nil"/>
            </w:tcBorders>
            <w:shd w:val="clear" w:color="auto" w:fill="auto"/>
            <w:noWrap/>
            <w:vAlign w:val="bottom"/>
            <w:hideMark/>
          </w:tcPr>
          <w:p w14:paraId="54758CEC"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CAMPO</w:t>
            </w:r>
          </w:p>
        </w:tc>
        <w:tc>
          <w:tcPr>
            <w:tcW w:w="686" w:type="dxa"/>
            <w:tcBorders>
              <w:top w:val="nil"/>
              <w:left w:val="nil"/>
              <w:bottom w:val="nil"/>
              <w:right w:val="double" w:sz="6" w:space="0" w:color="auto"/>
            </w:tcBorders>
            <w:shd w:val="clear" w:color="auto" w:fill="auto"/>
            <w:noWrap/>
            <w:vAlign w:val="bottom"/>
            <w:hideMark/>
          </w:tcPr>
          <w:p w14:paraId="3CAC12D3"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2015</w:t>
            </w:r>
          </w:p>
        </w:tc>
      </w:tr>
      <w:tr w:rsidR="009E2D8C" w:rsidRPr="00AC562A" w14:paraId="42126111" w14:textId="77777777" w:rsidTr="00253156">
        <w:trPr>
          <w:trHeight w:val="276"/>
        </w:trPr>
        <w:tc>
          <w:tcPr>
            <w:tcW w:w="3037" w:type="dxa"/>
            <w:tcBorders>
              <w:top w:val="nil"/>
              <w:left w:val="double" w:sz="6" w:space="0" w:color="auto"/>
              <w:bottom w:val="double" w:sz="6" w:space="0" w:color="auto"/>
              <w:right w:val="single" w:sz="4" w:space="0" w:color="auto"/>
            </w:tcBorders>
            <w:shd w:val="clear" w:color="auto" w:fill="auto"/>
            <w:vAlign w:val="bottom"/>
            <w:hideMark/>
          </w:tcPr>
          <w:p w14:paraId="2E504F63" w14:textId="77777777" w:rsidR="009E2D8C" w:rsidRPr="00AC562A" w:rsidRDefault="009E2D8C" w:rsidP="00253156">
            <w:pPr>
              <w:spacing w:after="0" w:line="240" w:lineRule="auto"/>
              <w:jc w:val="left"/>
              <w:rPr>
                <w:rFonts w:eastAsia="Times New Roman" w:cs="Times New Roman"/>
                <w:color w:val="000000"/>
              </w:rPr>
            </w:pPr>
            <w:r w:rsidRPr="00AC562A">
              <w:rPr>
                <w:rFonts w:eastAsia="Times New Roman" w:cs="Times New Roman"/>
                <w:color w:val="000000"/>
              </w:rPr>
              <w:t>Hourly frequency of transit per square mile at PM peak</w:t>
            </w:r>
          </w:p>
        </w:tc>
        <w:tc>
          <w:tcPr>
            <w:tcW w:w="900" w:type="dxa"/>
            <w:tcBorders>
              <w:top w:val="nil"/>
              <w:left w:val="nil"/>
              <w:bottom w:val="double" w:sz="6" w:space="0" w:color="auto"/>
              <w:right w:val="single" w:sz="4" w:space="0" w:color="auto"/>
            </w:tcBorders>
            <w:shd w:val="clear" w:color="auto" w:fill="auto"/>
            <w:noWrap/>
            <w:vAlign w:val="center"/>
            <w:hideMark/>
          </w:tcPr>
          <w:p w14:paraId="5A025371"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283.1</w:t>
            </w:r>
          </w:p>
        </w:tc>
        <w:tc>
          <w:tcPr>
            <w:tcW w:w="900" w:type="dxa"/>
            <w:tcBorders>
              <w:top w:val="nil"/>
              <w:left w:val="nil"/>
              <w:bottom w:val="double" w:sz="6" w:space="0" w:color="auto"/>
              <w:right w:val="nil"/>
            </w:tcBorders>
            <w:shd w:val="clear" w:color="auto" w:fill="auto"/>
            <w:noWrap/>
            <w:vAlign w:val="center"/>
            <w:hideMark/>
          </w:tcPr>
          <w:p w14:paraId="26480505"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2186.9</w:t>
            </w:r>
          </w:p>
        </w:tc>
        <w:tc>
          <w:tcPr>
            <w:tcW w:w="900" w:type="dxa"/>
            <w:tcBorders>
              <w:top w:val="nil"/>
              <w:left w:val="nil"/>
              <w:bottom w:val="double" w:sz="6" w:space="0" w:color="auto"/>
              <w:right w:val="nil"/>
            </w:tcBorders>
            <w:shd w:val="clear" w:color="auto" w:fill="auto"/>
            <w:noWrap/>
            <w:vAlign w:val="center"/>
            <w:hideMark/>
          </w:tcPr>
          <w:p w14:paraId="33F56B08"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702.6</w:t>
            </w:r>
          </w:p>
        </w:tc>
        <w:tc>
          <w:tcPr>
            <w:tcW w:w="1080" w:type="dxa"/>
            <w:tcBorders>
              <w:top w:val="nil"/>
              <w:left w:val="nil"/>
              <w:bottom w:val="double" w:sz="6" w:space="0" w:color="auto"/>
              <w:right w:val="nil"/>
            </w:tcBorders>
            <w:shd w:val="clear" w:color="auto" w:fill="auto"/>
            <w:noWrap/>
            <w:vAlign w:val="center"/>
            <w:hideMark/>
          </w:tcPr>
          <w:p w14:paraId="6917E00E"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7.0</w:t>
            </w:r>
          </w:p>
        </w:tc>
        <w:tc>
          <w:tcPr>
            <w:tcW w:w="936" w:type="dxa"/>
            <w:tcBorders>
              <w:top w:val="nil"/>
              <w:left w:val="nil"/>
              <w:bottom w:val="double" w:sz="6" w:space="0" w:color="auto"/>
              <w:right w:val="single" w:sz="4" w:space="0" w:color="auto"/>
            </w:tcBorders>
            <w:shd w:val="clear" w:color="auto" w:fill="auto"/>
            <w:noWrap/>
            <w:vAlign w:val="center"/>
            <w:hideMark/>
          </w:tcPr>
          <w:p w14:paraId="53FB643C"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0.1</w:t>
            </w:r>
          </w:p>
        </w:tc>
        <w:tc>
          <w:tcPr>
            <w:tcW w:w="939" w:type="dxa"/>
            <w:tcBorders>
              <w:top w:val="nil"/>
              <w:left w:val="nil"/>
              <w:bottom w:val="double" w:sz="6" w:space="0" w:color="auto"/>
              <w:right w:val="nil"/>
            </w:tcBorders>
            <w:shd w:val="clear" w:color="auto" w:fill="auto"/>
            <w:noWrap/>
            <w:vAlign w:val="center"/>
            <w:hideMark/>
          </w:tcPr>
          <w:p w14:paraId="6E4121E5"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SLD</w:t>
            </w:r>
          </w:p>
        </w:tc>
        <w:tc>
          <w:tcPr>
            <w:tcW w:w="686" w:type="dxa"/>
            <w:tcBorders>
              <w:top w:val="nil"/>
              <w:left w:val="nil"/>
              <w:bottom w:val="double" w:sz="6" w:space="0" w:color="auto"/>
              <w:right w:val="double" w:sz="6" w:space="0" w:color="auto"/>
            </w:tcBorders>
            <w:shd w:val="clear" w:color="auto" w:fill="auto"/>
            <w:noWrap/>
            <w:vAlign w:val="center"/>
            <w:hideMark/>
          </w:tcPr>
          <w:p w14:paraId="53BE2EB3" w14:textId="77777777" w:rsidR="009E2D8C" w:rsidRPr="00AC562A" w:rsidRDefault="009E2D8C" w:rsidP="00253156">
            <w:pPr>
              <w:spacing w:after="0" w:line="240" w:lineRule="auto"/>
              <w:jc w:val="right"/>
              <w:rPr>
                <w:rFonts w:eastAsia="Times New Roman" w:cs="Times New Roman"/>
                <w:color w:val="000000"/>
              </w:rPr>
            </w:pPr>
            <w:r w:rsidRPr="00AC562A">
              <w:rPr>
                <w:rFonts w:eastAsia="Times New Roman" w:cs="Times New Roman"/>
                <w:color w:val="000000"/>
              </w:rPr>
              <w:t>2012</w:t>
            </w:r>
          </w:p>
        </w:tc>
      </w:tr>
    </w:tbl>
    <w:p w14:paraId="45C22C39" w14:textId="77777777" w:rsidR="00FC1441" w:rsidRDefault="00FC1441" w:rsidP="00FC1441">
      <w:pPr>
        <w:spacing w:after="0" w:line="240" w:lineRule="auto"/>
        <w:ind w:firstLine="720"/>
        <w:rPr>
          <w:sz w:val="24"/>
          <w:szCs w:val="24"/>
        </w:rPr>
      </w:pPr>
      <w:r>
        <w:rPr>
          <w:sz w:val="24"/>
          <w:szCs w:val="24"/>
        </w:rPr>
        <w:lastRenderedPageBreak/>
        <w:t xml:space="preserve">There is some inconsistency in the year corresponding to different datasets. </w:t>
      </w:r>
      <w:r w:rsidRPr="000E35CE">
        <w:rPr>
          <w:sz w:val="24"/>
          <w:szCs w:val="24"/>
        </w:rPr>
        <w:t xml:space="preserve">This is especially so for the SLD data on the number of vehicles (from 2010) and the hourly frequency of transit per square mile in the PM peak (from 2012). However, </w:t>
      </w:r>
      <w:r>
        <w:rPr>
          <w:sz w:val="24"/>
          <w:szCs w:val="24"/>
        </w:rPr>
        <w:t xml:space="preserve">it is unlikely that there were substantial changes in these attributes </w:t>
      </w:r>
      <w:r w:rsidRPr="000E35CE">
        <w:rPr>
          <w:sz w:val="24"/>
          <w:szCs w:val="24"/>
        </w:rPr>
        <w:t xml:space="preserve">at the zonal level within a span of </w:t>
      </w:r>
      <w:r>
        <w:rPr>
          <w:sz w:val="24"/>
          <w:szCs w:val="24"/>
        </w:rPr>
        <w:t>six</w:t>
      </w:r>
      <w:r w:rsidRPr="000E35CE">
        <w:rPr>
          <w:sz w:val="24"/>
          <w:szCs w:val="24"/>
        </w:rPr>
        <w:t xml:space="preserve"> years or so, and thus </w:t>
      </w:r>
      <w:r>
        <w:rPr>
          <w:sz w:val="24"/>
          <w:szCs w:val="24"/>
        </w:rPr>
        <w:t>the use of these attribute values</w:t>
      </w:r>
      <w:r w:rsidRPr="000E35CE">
        <w:rPr>
          <w:sz w:val="24"/>
          <w:szCs w:val="24"/>
        </w:rPr>
        <w:t xml:space="preserve"> as a means to explain the 2016-2017 ride-hailing travel patterns</w:t>
      </w:r>
      <w:r>
        <w:rPr>
          <w:sz w:val="24"/>
          <w:szCs w:val="24"/>
        </w:rPr>
        <w:t xml:space="preserve"> was considered acceptable</w:t>
      </w:r>
      <w:r w:rsidRPr="000E35CE">
        <w:rPr>
          <w:sz w:val="24"/>
          <w:szCs w:val="24"/>
        </w:rPr>
        <w:t xml:space="preserve">. </w:t>
      </w:r>
      <w:r>
        <w:rPr>
          <w:sz w:val="24"/>
          <w:szCs w:val="24"/>
        </w:rPr>
        <w:t xml:space="preserve">As shown in Table 1, </w:t>
      </w:r>
      <w:r w:rsidRPr="000E35CE">
        <w:rPr>
          <w:sz w:val="24"/>
          <w:szCs w:val="24"/>
        </w:rPr>
        <w:t>the number of employment opportunities in a TAZ is disaggregated into four categories – basic, retail, service</w:t>
      </w:r>
      <w:r>
        <w:rPr>
          <w:sz w:val="24"/>
          <w:szCs w:val="24"/>
        </w:rPr>
        <w:t>,</w:t>
      </w:r>
      <w:r w:rsidRPr="000E35CE">
        <w:rPr>
          <w:sz w:val="24"/>
          <w:szCs w:val="24"/>
        </w:rPr>
        <w:t xml:space="preserve"> and education, based on the Standard Industrial Classification (SIC) code of employment industry (U</w:t>
      </w:r>
      <w:r>
        <w:rPr>
          <w:sz w:val="24"/>
          <w:szCs w:val="24"/>
        </w:rPr>
        <w:t>.</w:t>
      </w:r>
      <w:r w:rsidRPr="000E35CE">
        <w:rPr>
          <w:sz w:val="24"/>
          <w:szCs w:val="24"/>
        </w:rPr>
        <w:t>S</w:t>
      </w:r>
      <w:r>
        <w:rPr>
          <w:sz w:val="24"/>
          <w:szCs w:val="24"/>
        </w:rPr>
        <w:t>.</w:t>
      </w:r>
      <w:r w:rsidRPr="000E35CE">
        <w:rPr>
          <w:sz w:val="24"/>
          <w:szCs w:val="24"/>
        </w:rPr>
        <w:t xml:space="preserve"> DOL, 2019).  This disaggregation is used to recognize the varying nature of ride-hailing trip demands based on activity purpose and time-of-day (see, for example, Lavieri and Bhat, 2019).</w:t>
      </w:r>
    </w:p>
    <w:p w14:paraId="128E81DC" w14:textId="77777777" w:rsidR="00AA3D68" w:rsidRDefault="00AA3D68" w:rsidP="00E3151A">
      <w:pPr>
        <w:spacing w:after="0" w:line="240" w:lineRule="auto"/>
        <w:ind w:firstLine="720"/>
        <w:rPr>
          <w:sz w:val="24"/>
          <w:szCs w:val="24"/>
        </w:rPr>
      </w:pPr>
    </w:p>
    <w:p w14:paraId="695FFA54" w14:textId="77777777" w:rsidR="00AA3D68" w:rsidRDefault="00AA3D68" w:rsidP="00AA3D68">
      <w:pPr>
        <w:pStyle w:val="Heading1"/>
        <w:spacing w:before="0" w:after="0" w:line="240" w:lineRule="auto"/>
      </w:pPr>
      <w:bookmarkStart w:id="8" w:name="_Ref32607614"/>
      <w:r>
        <w:t>Methodology</w:t>
      </w:r>
      <w:bookmarkEnd w:id="8"/>
    </w:p>
    <w:p w14:paraId="423DDC92" w14:textId="51224BAB" w:rsidR="00AA3D68" w:rsidRPr="009E2D8C" w:rsidRDefault="00AA3D68" w:rsidP="009E2D8C">
      <w:pPr>
        <w:spacing w:after="0" w:line="240" w:lineRule="auto"/>
        <w:rPr>
          <w:b/>
          <w:bCs/>
          <w:sz w:val="24"/>
        </w:rPr>
      </w:pPr>
      <w:r w:rsidRPr="00C4099E">
        <w:rPr>
          <w:sz w:val="24"/>
          <w:szCs w:val="24"/>
        </w:rPr>
        <w:t>The Ride Austin dataset provides information on passenger trips, including the time stamp and location of the beginning and end of every passenger trip. Deadheading trips occur between the drop-off and pick-up of consecutive passenger trips. Unless the drop-off location of one passenger coincides with the pick-up location for the next passenger, there will be some non-zero distance</w:t>
      </w:r>
      <w:bookmarkStart w:id="9" w:name="_Ref6166825"/>
      <w:r w:rsidR="009E2D8C">
        <w:rPr>
          <w:sz w:val="24"/>
          <w:szCs w:val="24"/>
        </w:rPr>
        <w:t xml:space="preserve"> </w:t>
      </w:r>
      <w:r w:rsidR="000508D3" w:rsidRPr="00C4099E">
        <w:rPr>
          <w:sz w:val="24"/>
          <w:szCs w:val="24"/>
        </w:rPr>
        <w:t>associated with deadheading. The driver cannot pick up a new passenger while transporting</w:t>
      </w:r>
      <w:r w:rsidR="000508D3">
        <w:rPr>
          <w:sz w:val="24"/>
          <w:szCs w:val="24"/>
        </w:rPr>
        <w:t xml:space="preserve"> </w:t>
      </w:r>
      <w:r w:rsidRPr="00C4099E">
        <w:rPr>
          <w:sz w:val="24"/>
          <w:szCs w:val="24"/>
        </w:rPr>
        <w:t xml:space="preserve">another passenger because a ride-sharing option was not available in the period during which this data was collected. </w:t>
      </w:r>
    </w:p>
    <w:bookmarkEnd w:id="9"/>
    <w:p w14:paraId="7AE731CB" w14:textId="58089ABC" w:rsidR="00F67BCD" w:rsidRPr="00C4099E" w:rsidRDefault="00C4099E" w:rsidP="00E3151A">
      <w:pPr>
        <w:spacing w:after="0" w:line="240" w:lineRule="auto"/>
        <w:ind w:firstLine="576"/>
        <w:rPr>
          <w:sz w:val="24"/>
          <w:szCs w:val="24"/>
        </w:rPr>
      </w:pPr>
      <w:r w:rsidRPr="00C4099E">
        <w:rPr>
          <w:sz w:val="24"/>
          <w:szCs w:val="24"/>
        </w:rPr>
        <w:t>This section offers a detailed description of</w:t>
      </w:r>
      <w:r w:rsidR="00970426" w:rsidRPr="00C4099E">
        <w:rPr>
          <w:sz w:val="24"/>
          <w:szCs w:val="24"/>
        </w:rPr>
        <w:t xml:space="preserve"> the</w:t>
      </w:r>
      <w:r w:rsidR="007A3B08" w:rsidRPr="00C4099E">
        <w:rPr>
          <w:sz w:val="24"/>
          <w:szCs w:val="24"/>
        </w:rPr>
        <w:t xml:space="preserve"> procedure used to impute deadheading trips</w:t>
      </w:r>
      <w:r w:rsidR="00020841">
        <w:rPr>
          <w:sz w:val="24"/>
          <w:szCs w:val="24"/>
        </w:rPr>
        <w:t xml:space="preserve"> (Section 4.1), </w:t>
      </w:r>
      <w:r w:rsidRPr="00C4099E">
        <w:rPr>
          <w:sz w:val="24"/>
          <w:szCs w:val="24"/>
        </w:rPr>
        <w:t>the econometric</w:t>
      </w:r>
      <w:r w:rsidR="00970426" w:rsidRPr="00C4099E">
        <w:rPr>
          <w:sz w:val="24"/>
          <w:szCs w:val="24"/>
        </w:rPr>
        <w:t xml:space="preserve"> framework for </w:t>
      </w:r>
      <w:r w:rsidRPr="00C4099E">
        <w:rPr>
          <w:sz w:val="24"/>
          <w:szCs w:val="24"/>
        </w:rPr>
        <w:t xml:space="preserve">modeling </w:t>
      </w:r>
      <w:r w:rsidR="00970426" w:rsidRPr="00C4099E">
        <w:rPr>
          <w:sz w:val="24"/>
          <w:szCs w:val="24"/>
        </w:rPr>
        <w:t>destination of deadheading trips</w:t>
      </w:r>
      <w:r w:rsidR="00020841">
        <w:rPr>
          <w:sz w:val="24"/>
          <w:szCs w:val="24"/>
        </w:rPr>
        <w:t xml:space="preserve"> (Section 4.2), </w:t>
      </w:r>
      <w:r w:rsidR="00970426" w:rsidRPr="00C4099E">
        <w:rPr>
          <w:sz w:val="24"/>
          <w:szCs w:val="24"/>
        </w:rPr>
        <w:t xml:space="preserve">the procedures used to construct the choice set of possible destinations </w:t>
      </w:r>
      <w:r w:rsidRPr="00C4099E">
        <w:rPr>
          <w:sz w:val="24"/>
          <w:szCs w:val="24"/>
        </w:rPr>
        <w:t>for</w:t>
      </w:r>
      <w:r w:rsidR="00970426" w:rsidRPr="00C4099E">
        <w:rPr>
          <w:sz w:val="24"/>
          <w:szCs w:val="24"/>
        </w:rPr>
        <w:t xml:space="preserve"> model estimation</w:t>
      </w:r>
      <w:r w:rsidR="00020841">
        <w:rPr>
          <w:sz w:val="24"/>
          <w:szCs w:val="24"/>
        </w:rPr>
        <w:t xml:space="preserve"> (Section 4.3), </w:t>
      </w:r>
      <w:r w:rsidR="00082767" w:rsidRPr="00C4099E">
        <w:rPr>
          <w:sz w:val="24"/>
          <w:szCs w:val="24"/>
        </w:rPr>
        <w:t xml:space="preserve">and the considerations </w:t>
      </w:r>
      <w:r w:rsidRPr="00C4099E">
        <w:rPr>
          <w:sz w:val="24"/>
          <w:szCs w:val="24"/>
        </w:rPr>
        <w:t>involved in</w:t>
      </w:r>
      <w:r w:rsidR="00082767" w:rsidRPr="00C4099E">
        <w:rPr>
          <w:sz w:val="24"/>
          <w:szCs w:val="24"/>
        </w:rPr>
        <w:t xml:space="preserve"> designing a valid specification for which all coefficients can be identified</w:t>
      </w:r>
      <w:r w:rsidR="00020841">
        <w:rPr>
          <w:sz w:val="24"/>
          <w:szCs w:val="24"/>
        </w:rPr>
        <w:t xml:space="preserve"> (Section 4.4).</w:t>
      </w:r>
    </w:p>
    <w:p w14:paraId="6CC89A46" w14:textId="77777777" w:rsidR="0022414D" w:rsidRPr="00C4099E" w:rsidRDefault="0022414D" w:rsidP="0022414D">
      <w:pPr>
        <w:spacing w:after="0" w:line="240" w:lineRule="auto"/>
        <w:rPr>
          <w:sz w:val="24"/>
          <w:szCs w:val="24"/>
        </w:rPr>
      </w:pPr>
    </w:p>
    <w:p w14:paraId="37A17BA5" w14:textId="72ADE5B6" w:rsidR="00BA0484" w:rsidRPr="00C4099E" w:rsidRDefault="00BA0484" w:rsidP="00F7439A">
      <w:pPr>
        <w:pStyle w:val="Heading2"/>
        <w:spacing w:before="0" w:line="240" w:lineRule="auto"/>
        <w:rPr>
          <w:szCs w:val="24"/>
        </w:rPr>
      </w:pPr>
      <w:bookmarkStart w:id="10" w:name="_Ref6144234"/>
      <w:r w:rsidRPr="00C4099E">
        <w:rPr>
          <w:szCs w:val="24"/>
        </w:rPr>
        <w:t>I</w:t>
      </w:r>
      <w:r w:rsidR="00970426" w:rsidRPr="00C4099E">
        <w:rPr>
          <w:szCs w:val="24"/>
        </w:rPr>
        <w:t>mputing</w:t>
      </w:r>
      <w:r w:rsidRPr="00C4099E">
        <w:rPr>
          <w:szCs w:val="24"/>
        </w:rPr>
        <w:t xml:space="preserve"> </w:t>
      </w:r>
      <w:r w:rsidR="00B34744">
        <w:rPr>
          <w:szCs w:val="24"/>
        </w:rPr>
        <w:t>D</w:t>
      </w:r>
      <w:r w:rsidRPr="00C4099E">
        <w:rPr>
          <w:szCs w:val="24"/>
        </w:rPr>
        <w:t xml:space="preserve">eadheading </w:t>
      </w:r>
      <w:r w:rsidR="00B34744">
        <w:rPr>
          <w:szCs w:val="24"/>
        </w:rPr>
        <w:t>T</w:t>
      </w:r>
      <w:r w:rsidRPr="00C4099E">
        <w:rPr>
          <w:szCs w:val="24"/>
        </w:rPr>
        <w:t>rips</w:t>
      </w:r>
      <w:bookmarkEnd w:id="10"/>
    </w:p>
    <w:p w14:paraId="36EAE73E" w14:textId="2D1D3A7A" w:rsidR="00C4099E" w:rsidRPr="00C4099E" w:rsidRDefault="00F436B4" w:rsidP="00444EA6">
      <w:pPr>
        <w:spacing w:after="120" w:line="240" w:lineRule="auto"/>
        <w:rPr>
          <w:sz w:val="24"/>
          <w:szCs w:val="24"/>
        </w:rPr>
      </w:pPr>
      <w:r w:rsidRPr="00C4099E">
        <w:rPr>
          <w:sz w:val="24"/>
          <w:szCs w:val="24"/>
        </w:rPr>
        <w:t xml:space="preserve">Using the </w:t>
      </w:r>
      <w:r w:rsidR="00C4099E" w:rsidRPr="00C4099E">
        <w:rPr>
          <w:sz w:val="24"/>
          <w:szCs w:val="24"/>
        </w:rPr>
        <w:t xml:space="preserve">unique </w:t>
      </w:r>
      <w:r w:rsidRPr="00C4099E">
        <w:rPr>
          <w:sz w:val="24"/>
          <w:szCs w:val="24"/>
        </w:rPr>
        <w:t xml:space="preserve">driver </w:t>
      </w:r>
      <w:r w:rsidR="00C4099E" w:rsidRPr="00C4099E">
        <w:rPr>
          <w:sz w:val="24"/>
          <w:szCs w:val="24"/>
        </w:rPr>
        <w:t xml:space="preserve">identifier (ID) </w:t>
      </w:r>
      <w:r w:rsidRPr="00C4099E">
        <w:rPr>
          <w:sz w:val="24"/>
          <w:szCs w:val="24"/>
        </w:rPr>
        <w:t xml:space="preserve">and the start and end times of passenger trips, </w:t>
      </w:r>
      <w:r w:rsidR="00C4099E" w:rsidRPr="00C4099E">
        <w:rPr>
          <w:sz w:val="24"/>
          <w:szCs w:val="24"/>
        </w:rPr>
        <w:t>it is possible</w:t>
      </w:r>
      <w:r w:rsidRPr="00C4099E">
        <w:rPr>
          <w:sz w:val="24"/>
          <w:szCs w:val="24"/>
        </w:rPr>
        <w:t xml:space="preserve"> to </w:t>
      </w:r>
      <w:r w:rsidR="00C4099E" w:rsidRPr="00C4099E">
        <w:rPr>
          <w:sz w:val="24"/>
          <w:szCs w:val="24"/>
        </w:rPr>
        <w:t>assemble the roster of</w:t>
      </w:r>
      <w:r w:rsidRPr="00C4099E">
        <w:rPr>
          <w:sz w:val="24"/>
          <w:szCs w:val="24"/>
        </w:rPr>
        <w:t xml:space="preserve"> passenger trips </w:t>
      </w:r>
      <w:r w:rsidR="00C4099E" w:rsidRPr="00C4099E">
        <w:rPr>
          <w:sz w:val="24"/>
          <w:szCs w:val="24"/>
        </w:rPr>
        <w:t xml:space="preserve">served </w:t>
      </w:r>
      <w:r w:rsidRPr="00C4099E">
        <w:rPr>
          <w:sz w:val="24"/>
          <w:szCs w:val="24"/>
        </w:rPr>
        <w:t>by each driver</w:t>
      </w:r>
      <w:r w:rsidR="00C4099E" w:rsidRPr="00C4099E">
        <w:rPr>
          <w:sz w:val="24"/>
          <w:szCs w:val="24"/>
        </w:rPr>
        <w:t xml:space="preserve"> over the 195-day period covered by the data</w:t>
      </w:r>
      <w:r w:rsidRPr="00C4099E">
        <w:rPr>
          <w:sz w:val="24"/>
          <w:szCs w:val="24"/>
        </w:rPr>
        <w:t xml:space="preserve">. Between the </w:t>
      </w:r>
      <w:r w:rsidR="00370FB3" w:rsidRPr="00C4099E">
        <w:rPr>
          <w:sz w:val="24"/>
          <w:szCs w:val="24"/>
        </w:rPr>
        <w:t>drop</w:t>
      </w:r>
      <w:r w:rsidRPr="00C4099E">
        <w:rPr>
          <w:sz w:val="24"/>
          <w:szCs w:val="24"/>
        </w:rPr>
        <w:t>-</w:t>
      </w:r>
      <w:r w:rsidR="00370FB3" w:rsidRPr="00C4099E">
        <w:rPr>
          <w:sz w:val="24"/>
          <w:szCs w:val="24"/>
        </w:rPr>
        <w:t>off</w:t>
      </w:r>
      <w:r w:rsidRPr="00C4099E">
        <w:rPr>
          <w:sz w:val="24"/>
          <w:szCs w:val="24"/>
        </w:rPr>
        <w:t xml:space="preserve"> of one passenger and the </w:t>
      </w:r>
      <w:r w:rsidR="00370FB3" w:rsidRPr="00C4099E">
        <w:rPr>
          <w:sz w:val="24"/>
          <w:szCs w:val="24"/>
        </w:rPr>
        <w:t>pick-up</w:t>
      </w:r>
      <w:r w:rsidRPr="00C4099E">
        <w:rPr>
          <w:sz w:val="24"/>
          <w:szCs w:val="24"/>
        </w:rPr>
        <w:t xml:space="preserve"> of the next passenger, the following may happen</w:t>
      </w:r>
      <w:r w:rsidR="00C4099E" w:rsidRPr="00C4099E">
        <w:rPr>
          <w:sz w:val="24"/>
          <w:szCs w:val="24"/>
        </w:rPr>
        <w:t>:</w:t>
      </w:r>
    </w:p>
    <w:p w14:paraId="2AC4063B" w14:textId="4BF5BB3F" w:rsidR="00C4099E" w:rsidRPr="00444EA6" w:rsidRDefault="00F436B4" w:rsidP="00D377B9">
      <w:pPr>
        <w:pStyle w:val="ListParagraph"/>
        <w:numPr>
          <w:ilvl w:val="0"/>
          <w:numId w:val="24"/>
        </w:numPr>
        <w:spacing w:after="120" w:line="240" w:lineRule="auto"/>
        <w:ind w:left="540"/>
        <w:contextualSpacing w:val="0"/>
        <w:rPr>
          <w:sz w:val="24"/>
          <w:szCs w:val="24"/>
        </w:rPr>
      </w:pPr>
      <w:r w:rsidRPr="00C4099E">
        <w:rPr>
          <w:sz w:val="24"/>
          <w:szCs w:val="24"/>
        </w:rPr>
        <w:t xml:space="preserve">The driver </w:t>
      </w:r>
      <w:r w:rsidR="003C4FF0" w:rsidRPr="00C4099E">
        <w:rPr>
          <w:sz w:val="24"/>
          <w:szCs w:val="24"/>
        </w:rPr>
        <w:t>begins searching for</w:t>
      </w:r>
      <w:r w:rsidRPr="00C4099E">
        <w:rPr>
          <w:sz w:val="24"/>
          <w:szCs w:val="24"/>
        </w:rPr>
        <w:t xml:space="preserve"> a new passenger immediately after dropping off the previous passenger. This process may involve the relocation of the ride-hailing vehicle to a location where the driver feels that passenger pick-ups are more likely, either based on past experience or because of surge pricing (surge pricing is a pricing scheme enacted by TNCs to </w:t>
      </w:r>
      <w:r w:rsidR="00C4099E" w:rsidRPr="00C4099E">
        <w:rPr>
          <w:sz w:val="24"/>
          <w:szCs w:val="24"/>
        </w:rPr>
        <w:t>manage</w:t>
      </w:r>
      <w:r w:rsidRPr="00C4099E">
        <w:rPr>
          <w:sz w:val="24"/>
          <w:szCs w:val="24"/>
        </w:rPr>
        <w:t xml:space="preserve"> ride</w:t>
      </w:r>
      <w:r w:rsidR="00C4099E" w:rsidRPr="00C4099E">
        <w:rPr>
          <w:sz w:val="24"/>
          <w:szCs w:val="24"/>
        </w:rPr>
        <w:t>-</w:t>
      </w:r>
      <w:r w:rsidRPr="00C4099E">
        <w:rPr>
          <w:sz w:val="24"/>
          <w:szCs w:val="24"/>
        </w:rPr>
        <w:t>hailing demand</w:t>
      </w:r>
      <w:r w:rsidR="00C4099E" w:rsidRPr="00C4099E">
        <w:rPr>
          <w:sz w:val="24"/>
          <w:szCs w:val="24"/>
        </w:rPr>
        <w:t xml:space="preserve"> and driver supply</w:t>
      </w:r>
      <w:r w:rsidRPr="00C4099E">
        <w:rPr>
          <w:sz w:val="24"/>
          <w:szCs w:val="24"/>
        </w:rPr>
        <w:t xml:space="preserve">). When a passenger pick-up request is received, the </w:t>
      </w:r>
      <w:r w:rsidR="001377CE" w:rsidRPr="00C4099E">
        <w:rPr>
          <w:sz w:val="24"/>
          <w:szCs w:val="24"/>
        </w:rPr>
        <w:t>driver</w:t>
      </w:r>
      <w:r w:rsidRPr="00C4099E">
        <w:rPr>
          <w:sz w:val="24"/>
          <w:szCs w:val="24"/>
        </w:rPr>
        <w:t xml:space="preserve"> </w:t>
      </w:r>
      <w:r w:rsidR="00C4099E" w:rsidRPr="00C4099E">
        <w:rPr>
          <w:sz w:val="24"/>
          <w:szCs w:val="24"/>
        </w:rPr>
        <w:t>proceeds</w:t>
      </w:r>
      <w:r w:rsidRPr="00C4099E">
        <w:rPr>
          <w:sz w:val="24"/>
          <w:szCs w:val="24"/>
        </w:rPr>
        <w:t xml:space="preserve"> to the pick-up location of the passenger. In this scenario, the travel between the drop-off location of one passenger and the pick-up location of the next passenger constitutes a single </w:t>
      </w:r>
      <w:r w:rsidR="00C4099E" w:rsidRPr="00C4099E">
        <w:rPr>
          <w:sz w:val="24"/>
          <w:szCs w:val="24"/>
        </w:rPr>
        <w:t xml:space="preserve">deadheading </w:t>
      </w:r>
      <w:r w:rsidRPr="00C4099E">
        <w:rPr>
          <w:sz w:val="24"/>
          <w:szCs w:val="24"/>
        </w:rPr>
        <w:t>trip.</w:t>
      </w:r>
      <w:r w:rsidR="004F5187" w:rsidRPr="00C4099E">
        <w:rPr>
          <w:sz w:val="24"/>
          <w:szCs w:val="24"/>
        </w:rPr>
        <w:t xml:space="preserve"> </w:t>
      </w:r>
      <w:r w:rsidR="004B1B7E" w:rsidRPr="00C4099E">
        <w:rPr>
          <w:sz w:val="24"/>
          <w:szCs w:val="24"/>
        </w:rPr>
        <w:t xml:space="preserve">This represents </w:t>
      </w:r>
      <w:r w:rsidR="004F5187" w:rsidRPr="00C4099E">
        <w:rPr>
          <w:sz w:val="24"/>
          <w:szCs w:val="24"/>
        </w:rPr>
        <w:t>the first category of deadheading trips.</w:t>
      </w:r>
    </w:p>
    <w:p w14:paraId="261E9D83" w14:textId="1FC91761" w:rsidR="00F436B4" w:rsidRPr="00122BDE" w:rsidRDefault="00F436B4" w:rsidP="00D377B9">
      <w:pPr>
        <w:pStyle w:val="ListParagraph"/>
        <w:numPr>
          <w:ilvl w:val="0"/>
          <w:numId w:val="24"/>
        </w:numPr>
        <w:spacing w:after="0" w:line="240" w:lineRule="auto"/>
        <w:ind w:left="540"/>
        <w:rPr>
          <w:sz w:val="24"/>
          <w:szCs w:val="24"/>
        </w:rPr>
      </w:pPr>
      <w:r w:rsidRPr="00122BDE">
        <w:rPr>
          <w:sz w:val="24"/>
          <w:szCs w:val="24"/>
        </w:rPr>
        <w:t xml:space="preserve">The driver </w:t>
      </w:r>
      <w:r w:rsidR="00C4099E" w:rsidRPr="00122BDE">
        <w:rPr>
          <w:sz w:val="24"/>
          <w:szCs w:val="24"/>
        </w:rPr>
        <w:t xml:space="preserve">may </w:t>
      </w:r>
      <w:r w:rsidRPr="00122BDE">
        <w:rPr>
          <w:sz w:val="24"/>
          <w:szCs w:val="24"/>
        </w:rPr>
        <w:t xml:space="preserve">take a break from ride-hailing to perform other activities </w:t>
      </w:r>
      <w:r w:rsidR="00C4099E" w:rsidRPr="00122BDE">
        <w:rPr>
          <w:sz w:val="24"/>
          <w:szCs w:val="24"/>
        </w:rPr>
        <w:t>(</w:t>
      </w:r>
      <w:r w:rsidRPr="00122BDE">
        <w:rPr>
          <w:sz w:val="24"/>
          <w:szCs w:val="24"/>
        </w:rPr>
        <w:t>such as eating out</w:t>
      </w:r>
      <w:r w:rsidR="00C4099E" w:rsidRPr="00122BDE">
        <w:rPr>
          <w:sz w:val="24"/>
          <w:szCs w:val="24"/>
        </w:rPr>
        <w:t>)</w:t>
      </w:r>
      <w:r w:rsidRPr="00122BDE">
        <w:rPr>
          <w:sz w:val="24"/>
          <w:szCs w:val="24"/>
        </w:rPr>
        <w:t xml:space="preserve"> or going home to rest. </w:t>
      </w:r>
      <w:r w:rsidR="00B27FFC" w:rsidRPr="00122BDE">
        <w:rPr>
          <w:sz w:val="24"/>
          <w:szCs w:val="24"/>
        </w:rPr>
        <w:t xml:space="preserve">For example, consider a driver who drops off a passenger at location A, then travels to eat </w:t>
      </w:r>
      <w:r w:rsidR="00C4099E" w:rsidRPr="00122BDE">
        <w:rPr>
          <w:sz w:val="24"/>
          <w:szCs w:val="24"/>
        </w:rPr>
        <w:t>meal at</w:t>
      </w:r>
      <w:r w:rsidR="00B27FFC" w:rsidRPr="00122BDE">
        <w:rPr>
          <w:sz w:val="24"/>
          <w:szCs w:val="24"/>
        </w:rPr>
        <w:t xml:space="preserve"> location B, </w:t>
      </w:r>
      <w:r w:rsidR="00C4099E" w:rsidRPr="00122BDE">
        <w:rPr>
          <w:sz w:val="24"/>
          <w:szCs w:val="24"/>
        </w:rPr>
        <w:t>then</w:t>
      </w:r>
      <w:r w:rsidR="00B27FFC" w:rsidRPr="00122BDE">
        <w:rPr>
          <w:sz w:val="24"/>
          <w:szCs w:val="24"/>
        </w:rPr>
        <w:t xml:space="preserve"> travels home to location C, and then starts another round of ride-hailing by picking up a passenger at location D. In this case, what constitutes deadheading </w:t>
      </w:r>
      <w:r w:rsidR="00C4099E" w:rsidRPr="00122BDE">
        <w:rPr>
          <w:sz w:val="24"/>
          <w:szCs w:val="24"/>
        </w:rPr>
        <w:t>is somewhat</w:t>
      </w:r>
      <w:r w:rsidR="00B27FFC" w:rsidRPr="00122BDE">
        <w:rPr>
          <w:sz w:val="24"/>
          <w:szCs w:val="24"/>
        </w:rPr>
        <w:t xml:space="preserve"> ambiguous. For sure, the trip from location B to C </w:t>
      </w:r>
      <w:r w:rsidR="00122BDE" w:rsidRPr="00122BDE">
        <w:rPr>
          <w:sz w:val="24"/>
          <w:szCs w:val="24"/>
        </w:rPr>
        <w:t xml:space="preserve">(returning home to rest) </w:t>
      </w:r>
      <w:r w:rsidR="00B27FFC" w:rsidRPr="00122BDE">
        <w:rPr>
          <w:sz w:val="24"/>
          <w:szCs w:val="24"/>
        </w:rPr>
        <w:t>is not a deadheading trip</w:t>
      </w:r>
      <w:r w:rsidR="00122BDE" w:rsidRPr="00122BDE">
        <w:rPr>
          <w:sz w:val="24"/>
          <w:szCs w:val="24"/>
        </w:rPr>
        <w:t xml:space="preserve"> (in the context of the definition used in this paper)</w:t>
      </w:r>
      <w:r w:rsidR="00B27FFC" w:rsidRPr="00122BDE">
        <w:rPr>
          <w:sz w:val="24"/>
          <w:szCs w:val="24"/>
        </w:rPr>
        <w:t xml:space="preserve">. One may consider the trip from A to B to be a deadhead, </w:t>
      </w:r>
      <w:r w:rsidR="00122BDE" w:rsidRPr="00122BDE">
        <w:rPr>
          <w:sz w:val="24"/>
          <w:szCs w:val="24"/>
        </w:rPr>
        <w:t>but it is difficult to say for sure because location B is chosen by the driver voluntarily</w:t>
      </w:r>
      <w:r w:rsidR="00533555" w:rsidRPr="00122BDE">
        <w:rPr>
          <w:sz w:val="24"/>
          <w:szCs w:val="24"/>
        </w:rPr>
        <w:t xml:space="preserve">. The only trip in this chain that </w:t>
      </w:r>
      <w:r w:rsidR="00533555" w:rsidRPr="00122BDE">
        <w:rPr>
          <w:sz w:val="24"/>
          <w:szCs w:val="24"/>
        </w:rPr>
        <w:lastRenderedPageBreak/>
        <w:t xml:space="preserve">may be considered </w:t>
      </w:r>
      <w:r w:rsidR="00122BDE" w:rsidRPr="00122BDE">
        <w:rPr>
          <w:sz w:val="24"/>
          <w:szCs w:val="24"/>
        </w:rPr>
        <w:t xml:space="preserve">a </w:t>
      </w:r>
      <w:r w:rsidR="00533555" w:rsidRPr="00122BDE">
        <w:rPr>
          <w:sz w:val="24"/>
          <w:szCs w:val="24"/>
        </w:rPr>
        <w:t>deadhead</w:t>
      </w:r>
      <w:r w:rsidR="00122BDE" w:rsidRPr="00122BDE">
        <w:rPr>
          <w:sz w:val="24"/>
          <w:szCs w:val="24"/>
        </w:rPr>
        <w:t xml:space="preserve"> trip with certainty</w:t>
      </w:r>
      <w:r w:rsidR="00533555" w:rsidRPr="00122BDE">
        <w:rPr>
          <w:sz w:val="24"/>
          <w:szCs w:val="24"/>
        </w:rPr>
        <w:t xml:space="preserve"> is the trip from C to D, as </w:t>
      </w:r>
      <w:r w:rsidR="00122BDE" w:rsidRPr="00122BDE">
        <w:rPr>
          <w:sz w:val="24"/>
          <w:szCs w:val="24"/>
        </w:rPr>
        <w:t>the driver</w:t>
      </w:r>
      <w:r w:rsidR="00533555" w:rsidRPr="00122BDE">
        <w:rPr>
          <w:sz w:val="24"/>
          <w:szCs w:val="24"/>
        </w:rPr>
        <w:t xml:space="preserve"> start</w:t>
      </w:r>
      <w:r w:rsidR="00122BDE" w:rsidRPr="00122BDE">
        <w:rPr>
          <w:sz w:val="24"/>
          <w:szCs w:val="24"/>
        </w:rPr>
        <w:t>s</w:t>
      </w:r>
      <w:r w:rsidR="00533555" w:rsidRPr="00122BDE">
        <w:rPr>
          <w:sz w:val="24"/>
          <w:szCs w:val="24"/>
        </w:rPr>
        <w:t xml:space="preserve"> a new chain of ride-hailing trips. The deadheading associated with these kinds of complex patterns (</w:t>
      </w:r>
      <w:r w:rsidR="00122BDE" w:rsidRPr="00122BDE">
        <w:rPr>
          <w:sz w:val="24"/>
          <w:szCs w:val="24"/>
        </w:rPr>
        <w:t>where the</w:t>
      </w:r>
      <w:r w:rsidR="00533555" w:rsidRPr="00122BDE">
        <w:rPr>
          <w:sz w:val="24"/>
          <w:szCs w:val="24"/>
        </w:rPr>
        <w:t xml:space="preserve"> driver </w:t>
      </w:r>
      <w:r w:rsidR="00122BDE" w:rsidRPr="00122BDE">
        <w:rPr>
          <w:sz w:val="24"/>
          <w:szCs w:val="24"/>
        </w:rPr>
        <w:t xml:space="preserve">participates </w:t>
      </w:r>
      <w:r w:rsidR="00533555" w:rsidRPr="00122BDE">
        <w:rPr>
          <w:sz w:val="24"/>
          <w:szCs w:val="24"/>
        </w:rPr>
        <w:t xml:space="preserve">in personal activities </w:t>
      </w:r>
      <w:r w:rsidR="00122BDE" w:rsidRPr="00122BDE">
        <w:rPr>
          <w:sz w:val="24"/>
          <w:szCs w:val="24"/>
        </w:rPr>
        <w:t xml:space="preserve">and ceases service </w:t>
      </w:r>
      <w:r w:rsidR="00533555" w:rsidRPr="00122BDE">
        <w:rPr>
          <w:sz w:val="24"/>
          <w:szCs w:val="24"/>
        </w:rPr>
        <w:t xml:space="preserve">between ride-hailing trips) correspond to a </w:t>
      </w:r>
      <w:r w:rsidR="004F5187" w:rsidRPr="00122BDE">
        <w:rPr>
          <w:sz w:val="24"/>
          <w:szCs w:val="24"/>
        </w:rPr>
        <w:t>second category of deadheading trips.</w:t>
      </w:r>
    </w:p>
    <w:p w14:paraId="678AFDB4" w14:textId="77777777" w:rsidR="00C4099E" w:rsidRPr="00122BDE" w:rsidRDefault="00C4099E" w:rsidP="00C4099E">
      <w:pPr>
        <w:pStyle w:val="ListParagraph"/>
        <w:spacing w:after="0" w:line="240" w:lineRule="auto"/>
        <w:rPr>
          <w:sz w:val="24"/>
          <w:szCs w:val="24"/>
        </w:rPr>
      </w:pPr>
    </w:p>
    <w:p w14:paraId="06067CBB" w14:textId="77777777" w:rsidR="003D674A" w:rsidRDefault="0058028B" w:rsidP="00F7439A">
      <w:pPr>
        <w:spacing w:after="0" w:line="240" w:lineRule="auto"/>
        <w:ind w:firstLine="720"/>
        <w:rPr>
          <w:sz w:val="24"/>
          <w:szCs w:val="24"/>
        </w:rPr>
      </w:pPr>
      <w:r w:rsidRPr="00122BDE">
        <w:rPr>
          <w:sz w:val="24"/>
          <w:szCs w:val="24"/>
        </w:rPr>
        <w:t>The Ride Austin data does not provide a clear way of distinguishing between the</w:t>
      </w:r>
      <w:r w:rsidR="00122BDE" w:rsidRPr="00122BDE">
        <w:rPr>
          <w:sz w:val="24"/>
          <w:szCs w:val="24"/>
        </w:rPr>
        <w:t>se</w:t>
      </w:r>
      <w:r w:rsidRPr="00122BDE">
        <w:rPr>
          <w:sz w:val="24"/>
          <w:szCs w:val="24"/>
        </w:rPr>
        <w:t xml:space="preserve"> two types of deadheading </w:t>
      </w:r>
      <w:r w:rsidR="00533555" w:rsidRPr="00122BDE">
        <w:rPr>
          <w:sz w:val="24"/>
          <w:szCs w:val="24"/>
        </w:rPr>
        <w:t>categories</w:t>
      </w:r>
      <w:r w:rsidRPr="00122BDE">
        <w:rPr>
          <w:sz w:val="24"/>
          <w:szCs w:val="24"/>
        </w:rPr>
        <w:t xml:space="preserve">. This is because the data only has the pick-up and drop-off time-stamps and locations of the ride-hailing trips, and no information on the ride-hailing vehicle location between passenger trips. </w:t>
      </w:r>
      <w:r w:rsidR="00533555" w:rsidRPr="00122BDE">
        <w:rPr>
          <w:sz w:val="24"/>
          <w:szCs w:val="24"/>
        </w:rPr>
        <w:t xml:space="preserve">Thus, in the second category above, the data would only show the time-stamp of the drop-off at location A and the time-stamp of the pick-up at location D. </w:t>
      </w:r>
      <w:r w:rsidR="003D674A">
        <w:rPr>
          <w:sz w:val="24"/>
          <w:szCs w:val="24"/>
        </w:rPr>
        <w:t>A</w:t>
      </w:r>
      <w:r w:rsidR="00533555" w:rsidRPr="00122BDE">
        <w:rPr>
          <w:sz w:val="24"/>
          <w:szCs w:val="24"/>
        </w:rPr>
        <w:t xml:space="preserve">ssuming that all the travel between A to D constitutes a deadhead </w:t>
      </w:r>
      <w:r w:rsidR="003D674A">
        <w:rPr>
          <w:sz w:val="24"/>
          <w:szCs w:val="24"/>
        </w:rPr>
        <w:t>would be</w:t>
      </w:r>
      <w:r w:rsidR="00533555" w:rsidRPr="00122BDE">
        <w:rPr>
          <w:sz w:val="24"/>
          <w:szCs w:val="24"/>
        </w:rPr>
        <w:t xml:space="preserve"> incorrect. </w:t>
      </w:r>
      <w:r w:rsidR="003D674A">
        <w:rPr>
          <w:sz w:val="24"/>
          <w:szCs w:val="24"/>
        </w:rPr>
        <w:t>It is necessary to</w:t>
      </w:r>
      <w:r w:rsidR="00533555" w:rsidRPr="00122BDE">
        <w:rPr>
          <w:sz w:val="24"/>
          <w:szCs w:val="24"/>
        </w:rPr>
        <w:t xml:space="preserve"> identify only “true” ride-hailing deadhead trips, but this is not possible based on the information available in the Ride Austin data</w:t>
      </w:r>
      <w:r w:rsidR="003D674A">
        <w:rPr>
          <w:sz w:val="24"/>
          <w:szCs w:val="24"/>
        </w:rPr>
        <w:t xml:space="preserve"> (for the second category noted above)</w:t>
      </w:r>
      <w:r w:rsidR="00533555" w:rsidRPr="00122BDE">
        <w:rPr>
          <w:sz w:val="24"/>
          <w:szCs w:val="24"/>
        </w:rPr>
        <w:t xml:space="preserve">. </w:t>
      </w:r>
      <w:r w:rsidR="003D674A">
        <w:rPr>
          <w:sz w:val="24"/>
          <w:szCs w:val="24"/>
        </w:rPr>
        <w:t xml:space="preserve">Therefore, a rule-based approach was adopted </w:t>
      </w:r>
      <w:r w:rsidR="00435CCB" w:rsidRPr="00122BDE">
        <w:rPr>
          <w:sz w:val="24"/>
          <w:szCs w:val="24"/>
        </w:rPr>
        <w:t xml:space="preserve">to </w:t>
      </w:r>
      <w:r w:rsidR="003D674A">
        <w:rPr>
          <w:sz w:val="24"/>
          <w:szCs w:val="24"/>
        </w:rPr>
        <w:t>infer deadheading trips</w:t>
      </w:r>
      <w:r w:rsidR="00435CCB" w:rsidRPr="00122BDE">
        <w:rPr>
          <w:sz w:val="24"/>
          <w:szCs w:val="24"/>
        </w:rPr>
        <w:t xml:space="preserve">. </w:t>
      </w:r>
      <w:r w:rsidR="003D674A">
        <w:rPr>
          <w:sz w:val="24"/>
          <w:szCs w:val="24"/>
        </w:rPr>
        <w:t>The rule is based</w:t>
      </w:r>
      <w:r w:rsidR="00435CCB" w:rsidRPr="00122BDE">
        <w:rPr>
          <w:sz w:val="24"/>
          <w:szCs w:val="24"/>
        </w:rPr>
        <w:t xml:space="preserve"> on the </w:t>
      </w:r>
      <w:r w:rsidR="009D5FB5" w:rsidRPr="00122BDE">
        <w:rPr>
          <w:sz w:val="24"/>
          <w:szCs w:val="24"/>
        </w:rPr>
        <w:t xml:space="preserve">duration </w:t>
      </w:r>
      <w:r w:rsidR="00435CCB" w:rsidRPr="00122BDE">
        <w:rPr>
          <w:sz w:val="24"/>
          <w:szCs w:val="24"/>
        </w:rPr>
        <w:t>of</w:t>
      </w:r>
      <w:r w:rsidR="009D5FB5" w:rsidRPr="00122BDE">
        <w:rPr>
          <w:sz w:val="24"/>
          <w:szCs w:val="24"/>
        </w:rPr>
        <w:t xml:space="preserve"> the</w:t>
      </w:r>
      <w:r w:rsidR="00435CCB" w:rsidRPr="00122BDE">
        <w:rPr>
          <w:sz w:val="24"/>
          <w:szCs w:val="24"/>
        </w:rPr>
        <w:t xml:space="preserve"> </w:t>
      </w:r>
      <w:r w:rsidR="00FA7C01" w:rsidRPr="00122BDE">
        <w:rPr>
          <w:sz w:val="24"/>
          <w:szCs w:val="24"/>
        </w:rPr>
        <w:t xml:space="preserve">deadhead time window (that is, </w:t>
      </w:r>
      <w:r w:rsidR="006E1D00" w:rsidRPr="00122BDE">
        <w:rPr>
          <w:sz w:val="24"/>
          <w:szCs w:val="24"/>
        </w:rPr>
        <w:t>the time window between consecutive passenger trips</w:t>
      </w:r>
      <w:r w:rsidR="00435CCB" w:rsidRPr="00122BDE">
        <w:rPr>
          <w:sz w:val="24"/>
          <w:szCs w:val="24"/>
        </w:rPr>
        <w:t xml:space="preserve"> of the ride-hailing vehicle</w:t>
      </w:r>
      <w:r w:rsidR="00FA7C01" w:rsidRPr="00122BDE">
        <w:rPr>
          <w:sz w:val="24"/>
          <w:szCs w:val="24"/>
        </w:rPr>
        <w:t>)</w:t>
      </w:r>
      <w:r w:rsidR="00435CCB" w:rsidRPr="00122BDE">
        <w:rPr>
          <w:sz w:val="24"/>
          <w:szCs w:val="24"/>
        </w:rPr>
        <w:t xml:space="preserve">. </w:t>
      </w:r>
    </w:p>
    <w:p w14:paraId="36306451" w14:textId="1F769E77" w:rsidR="005F7F21" w:rsidRDefault="00C63F77">
      <w:pPr>
        <w:spacing w:after="0" w:line="240" w:lineRule="auto"/>
        <w:ind w:firstLine="720"/>
        <w:rPr>
          <w:sz w:val="24"/>
          <w:szCs w:val="24"/>
        </w:rPr>
      </w:pPr>
      <w:r>
        <w:rPr>
          <w:sz w:val="24"/>
          <w:szCs w:val="24"/>
        </w:rPr>
        <w:t>The time spent by drivers in searching for a new passenger can vary widely</w:t>
      </w:r>
      <w:r w:rsidR="00EE2308">
        <w:rPr>
          <w:sz w:val="24"/>
          <w:szCs w:val="24"/>
        </w:rPr>
        <w:t xml:space="preserve"> </w:t>
      </w:r>
      <w:r>
        <w:rPr>
          <w:sz w:val="24"/>
          <w:szCs w:val="24"/>
        </w:rPr>
        <w:t xml:space="preserve">based on the </w:t>
      </w:r>
      <w:r w:rsidR="00EE2308">
        <w:rPr>
          <w:sz w:val="24"/>
          <w:szCs w:val="24"/>
        </w:rPr>
        <w:t>ride-hailing market</w:t>
      </w:r>
      <w:r>
        <w:rPr>
          <w:sz w:val="24"/>
          <w:szCs w:val="24"/>
        </w:rPr>
        <w:t>.</w:t>
      </w:r>
      <w:r w:rsidR="008F097B">
        <w:rPr>
          <w:sz w:val="24"/>
          <w:szCs w:val="24"/>
        </w:rPr>
        <w:t xml:space="preserve"> Based on anecdotal evidence </w:t>
      </w:r>
      <w:r w:rsidR="008F097B">
        <w:rPr>
          <w:sz w:val="24"/>
          <w:szCs w:val="24"/>
        </w:rPr>
        <w:fldChar w:fldCharType="begin"/>
      </w:r>
      <w:r w:rsidR="00B46899">
        <w:rPr>
          <w:sz w:val="24"/>
          <w:szCs w:val="24"/>
        </w:rPr>
        <w:instrText xml:space="preserve"> ADDIN ZOTERO_ITEM CSL_CITATION {"citationID":"9IzFWwFw","properties":{"formattedCitation":"(Uber Drivers Forum, 2017)","plainCitation":"(Uber Drivers Forum, 2017)","noteIndex":0},"citationItems":[{"id":"pYE2dMDV/fKNurhoM","uris":["http://zotero.org/users/local/CJ2Dv405/items/MNHVVGMM"],"uri":["http://zotero.org/users/local/CJ2Dv405/items/MNHVVGMM"],"itemData":{"id":345,"type":"webpage","abstract":"and how long does it take when you turn on your driver's app to get a ping?","container-title":"Uber Drivers Forum","language":"en-US","title":"How long is your wait between drives?","URL":"https://uberpeople.net/threads/how-long-is-your-wait-between-drives.153958/","author":[{"family":"Uber Drivers Forum","given":""}],"accessed":{"date-parts":[["2019",7,14]]},"issued":{"date-parts":[["2017"]]}}}],"schema":"https://github.com/citation-style-language/schema/raw/master/csl-citation.json"} </w:instrText>
      </w:r>
      <w:r w:rsidR="008F097B">
        <w:rPr>
          <w:sz w:val="24"/>
          <w:szCs w:val="24"/>
        </w:rPr>
        <w:fldChar w:fldCharType="separate"/>
      </w:r>
      <w:r w:rsidR="008F097B" w:rsidRPr="00D30FA8">
        <w:rPr>
          <w:rFonts w:cs="Times New Roman"/>
          <w:sz w:val="24"/>
        </w:rPr>
        <w:t>(Uber Drivers Forum, 2017)</w:t>
      </w:r>
      <w:r w:rsidR="008F097B">
        <w:rPr>
          <w:sz w:val="24"/>
          <w:szCs w:val="24"/>
        </w:rPr>
        <w:fldChar w:fldCharType="end"/>
      </w:r>
      <w:r w:rsidR="008F097B">
        <w:rPr>
          <w:sz w:val="24"/>
          <w:szCs w:val="24"/>
        </w:rPr>
        <w:t xml:space="preserve">, </w:t>
      </w:r>
      <w:r w:rsidR="003065DA">
        <w:rPr>
          <w:sz w:val="24"/>
          <w:szCs w:val="24"/>
        </w:rPr>
        <w:t>the passenger search duration is in the order of minutes in highly populated cities such as Dallas-Fort Worth</w:t>
      </w:r>
      <w:r w:rsidR="004B3724">
        <w:rPr>
          <w:sz w:val="24"/>
          <w:szCs w:val="24"/>
        </w:rPr>
        <w:t xml:space="preserve"> and Las Vegas</w:t>
      </w:r>
      <w:r w:rsidR="003065DA">
        <w:rPr>
          <w:sz w:val="24"/>
          <w:szCs w:val="24"/>
        </w:rPr>
        <w:t xml:space="preserve"> while it can be more than an hour in small towns</w:t>
      </w:r>
      <w:r w:rsidR="008F097B">
        <w:rPr>
          <w:sz w:val="24"/>
          <w:szCs w:val="24"/>
        </w:rPr>
        <w:t>.</w:t>
      </w:r>
      <w:r w:rsidR="00020841">
        <w:rPr>
          <w:sz w:val="24"/>
          <w:szCs w:val="24"/>
        </w:rPr>
        <w:t xml:space="preserve"> Figure 3 </w:t>
      </w:r>
      <w:r w:rsidR="00435CCB" w:rsidRPr="00122BDE">
        <w:rPr>
          <w:sz w:val="24"/>
          <w:szCs w:val="24"/>
        </w:rPr>
        <w:t xml:space="preserve">shows the </w:t>
      </w:r>
      <w:r w:rsidR="00EF5503" w:rsidRPr="00122BDE">
        <w:rPr>
          <w:sz w:val="24"/>
          <w:szCs w:val="24"/>
        </w:rPr>
        <w:t>cumulative</w:t>
      </w:r>
      <w:r w:rsidR="00435CCB" w:rsidRPr="00122BDE">
        <w:rPr>
          <w:sz w:val="24"/>
          <w:szCs w:val="24"/>
        </w:rPr>
        <w:t xml:space="preserve"> probability distribution of </w:t>
      </w:r>
      <w:r w:rsidR="003D674A">
        <w:rPr>
          <w:sz w:val="24"/>
          <w:szCs w:val="24"/>
        </w:rPr>
        <w:t xml:space="preserve">the </w:t>
      </w:r>
      <w:r w:rsidR="00435CCB" w:rsidRPr="00122BDE">
        <w:rPr>
          <w:sz w:val="24"/>
          <w:szCs w:val="24"/>
        </w:rPr>
        <w:t xml:space="preserve">time </w:t>
      </w:r>
      <w:r w:rsidR="009D5FB5" w:rsidRPr="00122BDE">
        <w:rPr>
          <w:sz w:val="24"/>
          <w:szCs w:val="24"/>
        </w:rPr>
        <w:t xml:space="preserve">duration </w:t>
      </w:r>
      <w:r w:rsidR="00435CCB" w:rsidRPr="00122BDE">
        <w:rPr>
          <w:sz w:val="24"/>
          <w:szCs w:val="24"/>
        </w:rPr>
        <w:t>between the start of a passenger trip and the end of the previous passenger trip</w:t>
      </w:r>
      <w:r w:rsidR="003E2AF3">
        <w:rPr>
          <w:sz w:val="24"/>
          <w:szCs w:val="24"/>
        </w:rPr>
        <w:t xml:space="preserve"> in the Ride Austin dataset</w:t>
      </w:r>
      <w:r w:rsidR="00435CCB" w:rsidRPr="00122BDE">
        <w:rPr>
          <w:sz w:val="24"/>
          <w:szCs w:val="24"/>
        </w:rPr>
        <w:t xml:space="preserve"> for different periods of the day. This </w:t>
      </w:r>
      <w:r w:rsidR="009D5FB5" w:rsidRPr="00122BDE">
        <w:rPr>
          <w:sz w:val="24"/>
          <w:szCs w:val="24"/>
        </w:rPr>
        <w:t xml:space="preserve">duration </w:t>
      </w:r>
      <w:r w:rsidR="00435CCB" w:rsidRPr="00122BDE">
        <w:rPr>
          <w:sz w:val="24"/>
          <w:szCs w:val="24"/>
        </w:rPr>
        <w:t xml:space="preserve">is generally </w:t>
      </w:r>
      <w:r w:rsidR="009D5FB5" w:rsidRPr="00122BDE">
        <w:rPr>
          <w:sz w:val="24"/>
          <w:szCs w:val="24"/>
        </w:rPr>
        <w:t xml:space="preserve">longer </w:t>
      </w:r>
      <w:r w:rsidR="00435CCB" w:rsidRPr="00122BDE">
        <w:rPr>
          <w:sz w:val="24"/>
          <w:szCs w:val="24"/>
        </w:rPr>
        <w:t>for the weekday AM peak</w:t>
      </w:r>
      <w:r w:rsidR="009D5FB5" w:rsidRPr="00122BDE">
        <w:rPr>
          <w:sz w:val="24"/>
          <w:szCs w:val="24"/>
        </w:rPr>
        <w:t xml:space="preserve"> and</w:t>
      </w:r>
      <w:r w:rsidR="00435CCB" w:rsidRPr="00122BDE">
        <w:rPr>
          <w:sz w:val="24"/>
          <w:szCs w:val="24"/>
        </w:rPr>
        <w:t xml:space="preserve"> shortest for the weekend night period. This is consistent with the </w:t>
      </w:r>
      <w:r w:rsidR="003D674A">
        <w:rPr>
          <w:sz w:val="24"/>
          <w:szCs w:val="24"/>
        </w:rPr>
        <w:t xml:space="preserve">high level of </w:t>
      </w:r>
      <w:r w:rsidR="00435CCB" w:rsidRPr="00122BDE">
        <w:rPr>
          <w:sz w:val="24"/>
          <w:szCs w:val="24"/>
        </w:rPr>
        <w:t xml:space="preserve">ride-hailing demand during the weekend night period, </w:t>
      </w:r>
      <w:r w:rsidR="009D5FB5" w:rsidRPr="00122BDE">
        <w:rPr>
          <w:sz w:val="24"/>
          <w:szCs w:val="24"/>
        </w:rPr>
        <w:t xml:space="preserve">which </w:t>
      </w:r>
      <w:r w:rsidR="003D674A">
        <w:rPr>
          <w:sz w:val="24"/>
          <w:szCs w:val="24"/>
        </w:rPr>
        <w:t>naturally leads to</w:t>
      </w:r>
      <w:r w:rsidR="009D5FB5" w:rsidRPr="00122BDE">
        <w:rPr>
          <w:sz w:val="24"/>
          <w:szCs w:val="24"/>
        </w:rPr>
        <w:t xml:space="preserve"> more frequent passenger pick-ups</w:t>
      </w:r>
      <w:r w:rsidR="00435CCB" w:rsidRPr="00122BDE">
        <w:rPr>
          <w:sz w:val="24"/>
          <w:szCs w:val="24"/>
        </w:rPr>
        <w:t xml:space="preserve">. </w:t>
      </w:r>
      <w:r w:rsidR="004B3724">
        <w:rPr>
          <w:sz w:val="24"/>
          <w:szCs w:val="24"/>
        </w:rPr>
        <w:t>The elbowing of the cumulative distribution function near the one hour mark seems to indicate that</w:t>
      </w:r>
      <w:r w:rsidR="00BB414B">
        <w:rPr>
          <w:sz w:val="24"/>
          <w:szCs w:val="24"/>
        </w:rPr>
        <w:t>,</w:t>
      </w:r>
      <w:r w:rsidR="004B3724">
        <w:rPr>
          <w:sz w:val="24"/>
          <w:szCs w:val="24"/>
        </w:rPr>
        <w:t xml:space="preserve"> in most cases</w:t>
      </w:r>
      <w:r w:rsidR="00BB414B">
        <w:rPr>
          <w:sz w:val="24"/>
          <w:szCs w:val="24"/>
        </w:rPr>
        <w:t>,</w:t>
      </w:r>
      <w:r w:rsidR="004B3724">
        <w:rPr>
          <w:sz w:val="24"/>
          <w:szCs w:val="24"/>
        </w:rPr>
        <w:t xml:space="preserve"> the duration of time spent by drivers in searching for new passengers would be less than an hour (the same assessment </w:t>
      </w:r>
      <w:r w:rsidR="005A7349">
        <w:rPr>
          <w:sz w:val="24"/>
          <w:szCs w:val="24"/>
        </w:rPr>
        <w:t>wa</w:t>
      </w:r>
      <w:r w:rsidR="004B3724">
        <w:rPr>
          <w:sz w:val="24"/>
          <w:szCs w:val="24"/>
        </w:rPr>
        <w:t xml:space="preserve">s also made by </w:t>
      </w:r>
      <w:r w:rsidR="004B3724">
        <w:rPr>
          <w:sz w:val="24"/>
          <w:szCs w:val="24"/>
        </w:rPr>
        <w:fldChar w:fldCharType="begin"/>
      </w:r>
      <w:r w:rsidR="00B46899">
        <w:rPr>
          <w:sz w:val="24"/>
          <w:szCs w:val="24"/>
        </w:rPr>
        <w:instrText xml:space="preserve"> ADDIN ZOTERO_ITEM CSL_CITATION {"citationID":"9aW5UuA2","properties":{"formattedCitation":"(Wenzel et al., 2019)","plainCitation":"(Wenzel et al., 2019)","dontUpdate":true,"noteIndex":0},"citationItems":[{"id":"pYE2dMDV/syEWEtjW","uris":["http://zotero.org/users/local/CJ2Dv405/items/C2MIAMC3"],"uri":["http://zotero.org/users/local/CJ2Dv405/items/C2MIAMC3"],"itemData":{"id":341,"type":"article-journal","abstract":"This paper identiﬁes major aspects of ridesourcing services provided by Transportation Network Companies (TNCs) which inﬂuence vehicles miles traveled (VMT) and energy use. Using detailed data on approximately 1.5 million individual rides provided by RideAustin in Austin Texas, we quantify the additional miles TNC drivers travel: before beginning and after ending their shifts, to reach a passenger once a ride has been requested, and between consecutive rides (all of which is referred to as deadheading); and the relative fuel eﬃciency of the vehicles that RideAustin drivers use compared to the average vehicle registered in Austin. We conservatively estimate that TNC drivers commute to and from their service areas accounts for 19% of the total ridesourcing VMT. In addition, we estimate that TNC drivers drove 55% more miles between ride requests within 60 min of each other, accounting for 26% of total ridesourcing VMT. Vehicles used for ridesourcing are on average two miles per gallon more fuel eﬃcient than comparable light-duty vehicles registered in Austin, with twice as many are hybrid-electric vehicles. New generation battery electric vehicles with 200 miles of range would be able to fulﬁll 90% of full-time drivers’ shifts on a single charge. We estimate that the net eﬀect of ridesourcing on energy use is a 41–90% increase compared to baseline, pre-TNC, personal travel.","container-title":"Transportation Research Part D: Transport and Environment","DOI":"10.1016/j.trd.2019.03.005","ISSN":"13619209","journalAbbreviation":"Transportation Research Part D: Transport and Environment","language":"en","page":"18-34","source":"DOI.org (Crossref)","title":"Travel and energy implications of ridesourcing service in Austin, Texas","volume":"70","author":[{"family":"Wenzel","given":"Tom"},{"family":"Rames","given":"Clement"},{"family":"Kontou","given":"Eleftheria"},{"family":"Henao","given":"Alejandro"}],"issued":{"date-parts":[["2019",5]]}}}],"schema":"https://github.com/citation-style-language/schema/raw/master/csl-citation.json"} </w:instrText>
      </w:r>
      <w:r w:rsidR="004B3724">
        <w:rPr>
          <w:sz w:val="24"/>
          <w:szCs w:val="24"/>
        </w:rPr>
        <w:fldChar w:fldCharType="separate"/>
      </w:r>
      <w:r w:rsidR="004B3724" w:rsidRPr="00D30FA8">
        <w:rPr>
          <w:rFonts w:cs="Times New Roman"/>
          <w:sz w:val="24"/>
        </w:rPr>
        <w:t xml:space="preserve">Wenzel </w:t>
      </w:r>
      <w:r w:rsidR="004B3724" w:rsidRPr="00600AA5">
        <w:rPr>
          <w:rFonts w:cs="Times New Roman"/>
          <w:i/>
          <w:sz w:val="24"/>
        </w:rPr>
        <w:t>et al</w:t>
      </w:r>
      <w:r w:rsidR="004B3724" w:rsidRPr="00D30FA8">
        <w:rPr>
          <w:rFonts w:cs="Times New Roman"/>
          <w:sz w:val="24"/>
        </w:rPr>
        <w:t>., 2019</w:t>
      </w:r>
      <w:r w:rsidR="004B3724">
        <w:rPr>
          <w:sz w:val="24"/>
          <w:szCs w:val="24"/>
        </w:rPr>
        <w:fldChar w:fldCharType="end"/>
      </w:r>
      <w:r w:rsidR="004B3724">
        <w:rPr>
          <w:sz w:val="24"/>
          <w:szCs w:val="24"/>
        </w:rPr>
        <w:t xml:space="preserve">). </w:t>
      </w:r>
      <w:r w:rsidR="009D5FB5" w:rsidRPr="00122BDE">
        <w:rPr>
          <w:sz w:val="24"/>
          <w:szCs w:val="24"/>
        </w:rPr>
        <w:t>Over a full day</w:t>
      </w:r>
      <w:r w:rsidR="00435CCB" w:rsidRPr="00122BDE">
        <w:rPr>
          <w:sz w:val="24"/>
          <w:szCs w:val="24"/>
        </w:rPr>
        <w:t xml:space="preserve">, the time </w:t>
      </w:r>
      <w:r w:rsidR="000D31D2">
        <w:rPr>
          <w:sz w:val="24"/>
          <w:szCs w:val="24"/>
        </w:rPr>
        <w:t xml:space="preserve">gap between trips </w:t>
      </w:r>
      <w:r w:rsidR="00435CCB" w:rsidRPr="00122BDE">
        <w:rPr>
          <w:sz w:val="24"/>
          <w:szCs w:val="24"/>
        </w:rPr>
        <w:t>is less than one hour in 72% of the cases.</w:t>
      </w:r>
      <w:r w:rsidR="00082859" w:rsidRPr="00122BDE">
        <w:rPr>
          <w:sz w:val="24"/>
          <w:szCs w:val="24"/>
        </w:rPr>
        <w:t xml:space="preserve"> </w:t>
      </w:r>
      <w:r w:rsidR="000128FC">
        <w:rPr>
          <w:sz w:val="24"/>
          <w:szCs w:val="24"/>
        </w:rPr>
        <w:t>I</w:t>
      </w:r>
      <w:r w:rsidR="004F5187" w:rsidRPr="00122BDE">
        <w:rPr>
          <w:sz w:val="24"/>
          <w:szCs w:val="24"/>
        </w:rPr>
        <w:t>f the time</w:t>
      </w:r>
      <w:r w:rsidR="00435CCB" w:rsidRPr="00122BDE">
        <w:rPr>
          <w:sz w:val="24"/>
          <w:szCs w:val="24"/>
        </w:rPr>
        <w:t xml:space="preserve"> </w:t>
      </w:r>
      <w:r w:rsidR="000D31D2">
        <w:rPr>
          <w:sz w:val="24"/>
          <w:szCs w:val="24"/>
        </w:rPr>
        <w:t>gap</w:t>
      </w:r>
      <w:r w:rsidR="004F5187" w:rsidRPr="00122BDE">
        <w:rPr>
          <w:sz w:val="24"/>
          <w:szCs w:val="24"/>
        </w:rPr>
        <w:t xml:space="preserve"> is more than </w:t>
      </w:r>
      <w:r w:rsidR="00435CCB" w:rsidRPr="00122BDE">
        <w:rPr>
          <w:sz w:val="24"/>
          <w:szCs w:val="24"/>
        </w:rPr>
        <w:t>an</w:t>
      </w:r>
      <w:r w:rsidR="004F5187" w:rsidRPr="00122BDE">
        <w:rPr>
          <w:sz w:val="24"/>
          <w:szCs w:val="24"/>
        </w:rPr>
        <w:t xml:space="preserve"> hour</w:t>
      </w:r>
      <w:r w:rsidR="000D31D2">
        <w:rPr>
          <w:sz w:val="24"/>
          <w:szCs w:val="24"/>
        </w:rPr>
        <w:t xml:space="preserve"> (between trips)</w:t>
      </w:r>
      <w:r w:rsidR="004F5187" w:rsidRPr="00122BDE">
        <w:rPr>
          <w:sz w:val="24"/>
          <w:szCs w:val="24"/>
        </w:rPr>
        <w:t>, it is more likely that the driver</w:t>
      </w:r>
      <w:r w:rsidR="00390C56" w:rsidRPr="00122BDE">
        <w:rPr>
          <w:sz w:val="24"/>
          <w:szCs w:val="24"/>
        </w:rPr>
        <w:t xml:space="preserve"> </w:t>
      </w:r>
      <w:r w:rsidR="004F5187" w:rsidRPr="00122BDE">
        <w:rPr>
          <w:sz w:val="24"/>
          <w:szCs w:val="24"/>
        </w:rPr>
        <w:t>stopped serving passengers and made trips to perform other activities</w:t>
      </w:r>
      <w:r w:rsidR="000D31D2">
        <w:rPr>
          <w:sz w:val="24"/>
          <w:szCs w:val="24"/>
        </w:rPr>
        <w:t xml:space="preserve">. </w:t>
      </w:r>
      <w:r w:rsidR="00821D70">
        <w:rPr>
          <w:sz w:val="24"/>
          <w:szCs w:val="24"/>
        </w:rPr>
        <w:t xml:space="preserve">Based on the above </w:t>
      </w:r>
      <w:r w:rsidR="00C61CB8">
        <w:rPr>
          <w:sz w:val="24"/>
          <w:szCs w:val="24"/>
        </w:rPr>
        <w:t>position</w:t>
      </w:r>
      <w:r w:rsidR="00821D70">
        <w:rPr>
          <w:sz w:val="24"/>
          <w:szCs w:val="24"/>
        </w:rPr>
        <w:t xml:space="preserve">, </w:t>
      </w:r>
      <w:r w:rsidR="00C61CB8" w:rsidRPr="00876C25">
        <w:rPr>
          <w:sz w:val="24"/>
          <w:szCs w:val="24"/>
        </w:rPr>
        <w:t>we assume that if the time gap between the consecutive passenger trips is less than one hour, the distance between the destination of the first passenger and the origin of the next passenger would constitute a true deadheading trip of the first category. Travel segments corresponding to time gaps in excess of one hour are ignored in this study due to the not unreasonable position that it is much less likely that such travel would constitute true deadheading.</w:t>
      </w:r>
      <w:r w:rsidR="00C61CB8" w:rsidRPr="001F30A4" w:rsidDel="00035D37">
        <w:t xml:space="preserve"> </w:t>
      </w:r>
    </w:p>
    <w:p w14:paraId="7F15B325" w14:textId="203AF013" w:rsidR="009E2D8C" w:rsidRDefault="005F7F21" w:rsidP="009E2D8C">
      <w:pPr>
        <w:spacing w:after="0" w:line="240" w:lineRule="auto"/>
        <w:ind w:firstLine="720"/>
        <w:rPr>
          <w:sz w:val="24"/>
          <w:szCs w:val="24"/>
        </w:rPr>
      </w:pPr>
      <w:r w:rsidRPr="00321646">
        <w:rPr>
          <w:sz w:val="24"/>
          <w:szCs w:val="24"/>
        </w:rPr>
        <w:t xml:space="preserve">Based on the one-hour rule noted above, a total of 46505, 109287, 88882, and 191849 deadheading trips were identified in the AM Peak, Mid-day, PM Peak and Weekend Night periods, respectively. The average shortest path distance between the origins and destinations of deadheading trips was found to be 2.54 miles, while the average shortest path distance of passenger trips in the dataset is 4.53 miles. An estimate of the deadheading distance as a percentage of the total distance traveled by ride-hailing vehicles is about 36%.  This value </w:t>
      </w:r>
      <w:r w:rsidR="00616826">
        <w:rPr>
          <w:sz w:val="24"/>
          <w:szCs w:val="24"/>
        </w:rPr>
        <w:t>is likely to be</w:t>
      </w:r>
      <w:r w:rsidRPr="00321646">
        <w:rPr>
          <w:sz w:val="24"/>
          <w:szCs w:val="24"/>
        </w:rPr>
        <w:t xml:space="preserve"> a lower bound </w:t>
      </w:r>
      <w:r w:rsidR="00495A9F">
        <w:rPr>
          <w:sz w:val="24"/>
          <w:szCs w:val="24"/>
        </w:rPr>
        <w:t>because</w:t>
      </w:r>
      <w:r w:rsidRPr="00321646">
        <w:rPr>
          <w:sz w:val="24"/>
          <w:szCs w:val="24"/>
        </w:rPr>
        <w:t xml:space="preserve"> while the passenger trips are likely to be direct from origin to destination, the</w:t>
      </w:r>
      <w:r w:rsidR="009E2D8C">
        <w:rPr>
          <w:sz w:val="24"/>
          <w:szCs w:val="24"/>
        </w:rPr>
        <w:t xml:space="preserve"> </w:t>
      </w:r>
      <w:r w:rsidRPr="00321646">
        <w:rPr>
          <w:sz w:val="24"/>
          <w:szCs w:val="24"/>
        </w:rPr>
        <w:t>deadhead trips may not be as direct since ride-hailing drivers may cruise around while waiting for the next demand request.</w:t>
      </w:r>
    </w:p>
    <w:p w14:paraId="6A6BA1E4" w14:textId="7E868A06" w:rsidR="00616826" w:rsidRPr="00321646" w:rsidRDefault="005F7F21" w:rsidP="009E2D8C">
      <w:pPr>
        <w:spacing w:after="0" w:line="240" w:lineRule="auto"/>
        <w:ind w:firstLine="720"/>
        <w:rPr>
          <w:sz w:val="24"/>
          <w:szCs w:val="24"/>
        </w:rPr>
      </w:pPr>
      <w:r w:rsidRPr="00321646">
        <w:rPr>
          <w:sz w:val="24"/>
          <w:szCs w:val="24"/>
        </w:rPr>
        <w:t xml:space="preserve"> </w:t>
      </w:r>
    </w:p>
    <w:p w14:paraId="0CE7BC9D" w14:textId="4C82A9B1" w:rsidR="000D31D2" w:rsidRPr="00122BDE" w:rsidRDefault="000A4859" w:rsidP="009E2D8C">
      <w:pPr>
        <w:spacing w:after="0" w:line="240" w:lineRule="auto"/>
        <w:ind w:firstLine="720"/>
        <w:rPr>
          <w:sz w:val="24"/>
          <w:szCs w:val="24"/>
        </w:rPr>
      </w:pPr>
      <w:r>
        <w:rPr>
          <w:noProof/>
        </w:rPr>
        <w:lastRenderedPageBreak/>
        <w:drawing>
          <wp:inline distT="0" distB="0" distL="0" distR="0" wp14:anchorId="4C031429" wp14:editId="0C32F78F">
            <wp:extent cx="5107358" cy="2714625"/>
            <wp:effectExtent l="0" t="0" r="0" b="0"/>
            <wp:docPr id="4" name="Picture 4" descr="Time g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Time gaps"/>
                    <pic:cNvPicPr>
                      <a:picLocks noChangeAspect="1" noChangeArrowheads="1"/>
                    </pic:cNvPicPr>
                  </pic:nvPicPr>
                  <pic:blipFill>
                    <a:blip r:embed="rId20" cstate="print">
                      <a:extLst>
                        <a:ext uri="{28A0092B-C50C-407E-A947-70E740481C1C}">
                          <a14:useLocalDpi xmlns:a14="http://schemas.microsoft.com/office/drawing/2010/main" val="0"/>
                        </a:ext>
                      </a:extLst>
                    </a:blip>
                    <a:srcRect t="15208" b="4332"/>
                    <a:stretch>
                      <a:fillRect/>
                    </a:stretch>
                  </pic:blipFill>
                  <pic:spPr bwMode="auto">
                    <a:xfrm>
                      <a:off x="0" y="0"/>
                      <a:ext cx="5117593" cy="2720065"/>
                    </a:xfrm>
                    <a:prstGeom prst="rect">
                      <a:avLst/>
                    </a:prstGeom>
                    <a:noFill/>
                    <a:ln>
                      <a:noFill/>
                    </a:ln>
                  </pic:spPr>
                </pic:pic>
              </a:graphicData>
            </a:graphic>
          </wp:inline>
        </w:drawing>
      </w:r>
    </w:p>
    <w:p w14:paraId="2A3B975D" w14:textId="1F86DBFC" w:rsidR="007659F5" w:rsidRDefault="007659F5" w:rsidP="009E2D8C">
      <w:pPr>
        <w:pStyle w:val="Caption"/>
        <w:spacing w:after="0" w:line="240" w:lineRule="auto"/>
        <w:jc w:val="center"/>
      </w:pPr>
      <w:bookmarkStart w:id="11" w:name="_Ref6221958"/>
      <w:bookmarkStart w:id="12" w:name="_Ref6221952"/>
    </w:p>
    <w:p w14:paraId="64CDD2CF" w14:textId="12E2831B" w:rsidR="000D31D2" w:rsidRDefault="00CE3419" w:rsidP="009E2D8C">
      <w:pPr>
        <w:pStyle w:val="Caption"/>
        <w:spacing w:after="0" w:line="240" w:lineRule="auto"/>
        <w:jc w:val="center"/>
      </w:pPr>
      <w:bookmarkStart w:id="13" w:name="_Ref12409499"/>
      <w:bookmarkStart w:id="14" w:name="_Ref12409494"/>
      <w:r w:rsidRPr="000D31D2">
        <w:rPr>
          <w:sz w:val="24"/>
          <w:szCs w:val="24"/>
        </w:rPr>
        <w:t xml:space="preserve">Figure </w:t>
      </w:r>
      <w:r w:rsidR="001B4142" w:rsidRPr="000D31D2">
        <w:rPr>
          <w:b w:val="0"/>
          <w:bCs w:val="0"/>
          <w:noProof/>
          <w:sz w:val="24"/>
          <w:szCs w:val="24"/>
        </w:rPr>
        <w:fldChar w:fldCharType="begin"/>
      </w:r>
      <w:r w:rsidR="001B4142" w:rsidRPr="000D31D2">
        <w:rPr>
          <w:noProof/>
          <w:sz w:val="24"/>
          <w:szCs w:val="24"/>
        </w:rPr>
        <w:instrText xml:space="preserve"> SEQ Figure \* ARABIC </w:instrText>
      </w:r>
      <w:r w:rsidR="001B4142" w:rsidRPr="000D31D2">
        <w:rPr>
          <w:b w:val="0"/>
          <w:bCs w:val="0"/>
          <w:noProof/>
          <w:sz w:val="24"/>
          <w:szCs w:val="24"/>
        </w:rPr>
        <w:fldChar w:fldCharType="separate"/>
      </w:r>
      <w:r w:rsidR="00740F16">
        <w:rPr>
          <w:noProof/>
          <w:sz w:val="24"/>
          <w:szCs w:val="24"/>
        </w:rPr>
        <w:t>3</w:t>
      </w:r>
      <w:r w:rsidR="001B4142" w:rsidRPr="000D31D2">
        <w:rPr>
          <w:b w:val="0"/>
          <w:bCs w:val="0"/>
          <w:noProof/>
          <w:sz w:val="24"/>
          <w:szCs w:val="24"/>
        </w:rPr>
        <w:fldChar w:fldCharType="end"/>
      </w:r>
      <w:bookmarkEnd w:id="11"/>
      <w:bookmarkEnd w:id="13"/>
      <w:r w:rsidRPr="000D31D2">
        <w:rPr>
          <w:sz w:val="24"/>
          <w:szCs w:val="24"/>
        </w:rPr>
        <w:t xml:space="preserve">  Distribution of the </w:t>
      </w:r>
      <w:r w:rsidR="000D31D2">
        <w:rPr>
          <w:sz w:val="24"/>
          <w:szCs w:val="24"/>
        </w:rPr>
        <w:t>T</w:t>
      </w:r>
      <w:r w:rsidRPr="000D31D2">
        <w:rPr>
          <w:sz w:val="24"/>
          <w:szCs w:val="24"/>
        </w:rPr>
        <w:t xml:space="preserve">ime </w:t>
      </w:r>
      <w:r w:rsidR="000D31D2">
        <w:rPr>
          <w:sz w:val="24"/>
          <w:szCs w:val="24"/>
        </w:rPr>
        <w:t>G</w:t>
      </w:r>
      <w:r w:rsidRPr="000D31D2">
        <w:rPr>
          <w:sz w:val="24"/>
          <w:szCs w:val="24"/>
        </w:rPr>
        <w:t xml:space="preserve">ap </w:t>
      </w:r>
      <w:r w:rsidR="000D31D2">
        <w:rPr>
          <w:sz w:val="24"/>
          <w:szCs w:val="24"/>
        </w:rPr>
        <w:t>B</w:t>
      </w:r>
      <w:r w:rsidRPr="000D31D2">
        <w:rPr>
          <w:sz w:val="24"/>
          <w:szCs w:val="24"/>
        </w:rPr>
        <w:t>etween</w:t>
      </w:r>
      <w:bookmarkEnd w:id="12"/>
      <w:bookmarkEnd w:id="14"/>
      <w:r w:rsidR="000D31D2">
        <w:rPr>
          <w:sz w:val="24"/>
          <w:szCs w:val="24"/>
        </w:rPr>
        <w:t xml:space="preserve"> Ride-hailing Trips by Time-of-Day</w:t>
      </w:r>
    </w:p>
    <w:p w14:paraId="550477D7" w14:textId="77777777" w:rsidR="00321646" w:rsidRPr="00A41BD0" w:rsidRDefault="00321646" w:rsidP="009E2D8C">
      <w:pPr>
        <w:spacing w:after="0" w:line="240" w:lineRule="auto"/>
        <w:ind w:firstLine="720"/>
        <w:rPr>
          <w:rFonts w:cs="Times New Roman"/>
          <w:sz w:val="24"/>
          <w:szCs w:val="24"/>
        </w:rPr>
      </w:pPr>
    </w:p>
    <w:p w14:paraId="074957DB" w14:textId="3AFFD8F1" w:rsidR="00CE3419" w:rsidRPr="00A41BD0" w:rsidRDefault="00CE3419" w:rsidP="00A41BD0">
      <w:pPr>
        <w:pStyle w:val="Heading2"/>
        <w:spacing w:before="0" w:line="240" w:lineRule="auto"/>
        <w:rPr>
          <w:rFonts w:cs="Times New Roman"/>
          <w:szCs w:val="24"/>
        </w:rPr>
      </w:pPr>
      <w:bookmarkStart w:id="15" w:name="_Ref6211454"/>
      <w:r w:rsidRPr="00A41BD0">
        <w:rPr>
          <w:rFonts w:cs="Times New Roman"/>
          <w:szCs w:val="24"/>
        </w:rPr>
        <w:t xml:space="preserve">Econometric </w:t>
      </w:r>
      <w:r w:rsidR="00765518">
        <w:rPr>
          <w:rFonts w:cs="Times New Roman"/>
          <w:szCs w:val="24"/>
        </w:rPr>
        <w:t>Fr</w:t>
      </w:r>
      <w:r w:rsidRPr="00A41BD0">
        <w:rPr>
          <w:rFonts w:cs="Times New Roman"/>
          <w:szCs w:val="24"/>
        </w:rPr>
        <w:t>amework</w:t>
      </w:r>
      <w:bookmarkEnd w:id="15"/>
    </w:p>
    <w:p w14:paraId="4E6BBEE4" w14:textId="77777777" w:rsidR="00D65FF0" w:rsidRDefault="00A41BD0" w:rsidP="00A41BD0">
      <w:pPr>
        <w:autoSpaceDE w:val="0"/>
        <w:autoSpaceDN w:val="0"/>
        <w:adjustRightInd w:val="0"/>
        <w:spacing w:after="0" w:line="240" w:lineRule="auto"/>
        <w:rPr>
          <w:rFonts w:cs="Times New Roman"/>
          <w:sz w:val="24"/>
          <w:szCs w:val="24"/>
        </w:rPr>
      </w:pPr>
      <w:r w:rsidRPr="00A41BD0">
        <w:rPr>
          <w:rFonts w:cs="Times New Roman"/>
          <w:sz w:val="24"/>
          <w:szCs w:val="24"/>
        </w:rPr>
        <w:t>This study employs a</w:t>
      </w:r>
      <w:r w:rsidR="00491300" w:rsidRPr="00A41BD0">
        <w:rPr>
          <w:rFonts w:cs="Times New Roman"/>
          <w:sz w:val="24"/>
          <w:szCs w:val="24"/>
        </w:rPr>
        <w:t xml:space="preserve"> random utility </w:t>
      </w:r>
      <w:r w:rsidR="0051719B" w:rsidRPr="00A41BD0">
        <w:rPr>
          <w:rFonts w:cs="Times New Roman"/>
          <w:sz w:val="24"/>
          <w:szCs w:val="24"/>
        </w:rPr>
        <w:t xml:space="preserve">maximization framework to predict the </w:t>
      </w:r>
      <w:r w:rsidRPr="00A41BD0">
        <w:rPr>
          <w:rFonts w:cs="Times New Roman"/>
          <w:sz w:val="24"/>
          <w:szCs w:val="24"/>
        </w:rPr>
        <w:t xml:space="preserve">destination </w:t>
      </w:r>
      <w:r w:rsidR="0051719B" w:rsidRPr="00A41BD0">
        <w:rPr>
          <w:rFonts w:cs="Times New Roman"/>
          <w:sz w:val="24"/>
          <w:szCs w:val="24"/>
        </w:rPr>
        <w:t xml:space="preserve">TAZ of a </w:t>
      </w:r>
      <w:r w:rsidR="00CA7D6A" w:rsidRPr="00A41BD0">
        <w:rPr>
          <w:rFonts w:cs="Times New Roman"/>
          <w:sz w:val="24"/>
          <w:szCs w:val="24"/>
        </w:rPr>
        <w:t>deadheading</w:t>
      </w:r>
      <w:r w:rsidR="0051719B" w:rsidRPr="00A41BD0">
        <w:rPr>
          <w:rFonts w:cs="Times New Roman"/>
          <w:sz w:val="24"/>
          <w:szCs w:val="24"/>
        </w:rPr>
        <w:t xml:space="preserve"> trip</w:t>
      </w:r>
      <w:r w:rsidRPr="00A41BD0">
        <w:rPr>
          <w:rFonts w:cs="Times New Roman"/>
          <w:sz w:val="24"/>
          <w:szCs w:val="24"/>
        </w:rPr>
        <w:t>, given the origin TAZ of the deadheading trip</w:t>
      </w:r>
      <w:r w:rsidR="00491300" w:rsidRPr="00A41BD0">
        <w:rPr>
          <w:rFonts w:cs="Times New Roman"/>
          <w:sz w:val="24"/>
          <w:szCs w:val="24"/>
        </w:rPr>
        <w:t xml:space="preserve">. </w:t>
      </w:r>
      <w:r w:rsidR="0051719B" w:rsidRPr="00A41BD0">
        <w:rPr>
          <w:rFonts w:cs="Times New Roman"/>
          <w:sz w:val="24"/>
          <w:szCs w:val="24"/>
        </w:rPr>
        <w:t xml:space="preserve">Each </w:t>
      </w:r>
      <w:r w:rsidR="00563CDB" w:rsidRPr="00A41BD0">
        <w:rPr>
          <w:rFonts w:cs="Times New Roman"/>
          <w:sz w:val="24"/>
          <w:szCs w:val="24"/>
        </w:rPr>
        <w:t>TAZ</w:t>
      </w:r>
      <w:r w:rsidR="0051719B" w:rsidRPr="00A41BD0">
        <w:rPr>
          <w:rFonts w:cs="Times New Roman"/>
          <w:sz w:val="24"/>
          <w:szCs w:val="24"/>
        </w:rPr>
        <w:t xml:space="preserve"> has a</w:t>
      </w:r>
      <w:r w:rsidR="00563CDB" w:rsidRPr="00A41BD0">
        <w:rPr>
          <w:rFonts w:cs="Times New Roman"/>
          <w:sz w:val="24"/>
          <w:szCs w:val="24"/>
        </w:rPr>
        <w:t>n</w:t>
      </w:r>
      <w:r w:rsidR="0051719B" w:rsidRPr="00A41BD0">
        <w:rPr>
          <w:rFonts w:cs="Times New Roman"/>
          <w:sz w:val="24"/>
          <w:szCs w:val="24"/>
        </w:rPr>
        <w:t xml:space="preserve"> </w:t>
      </w:r>
      <w:r w:rsidR="00563CDB" w:rsidRPr="00A41BD0">
        <w:rPr>
          <w:rFonts w:cs="Times New Roman"/>
          <w:sz w:val="24"/>
          <w:szCs w:val="24"/>
        </w:rPr>
        <w:t xml:space="preserve">intrinsic propensity (or </w:t>
      </w:r>
      <w:r w:rsidR="0051719B" w:rsidRPr="00A41BD0">
        <w:rPr>
          <w:rFonts w:cs="Times New Roman"/>
          <w:sz w:val="24"/>
          <w:szCs w:val="24"/>
        </w:rPr>
        <w:t>utility</w:t>
      </w:r>
      <w:r w:rsidR="00563CDB" w:rsidRPr="00A41BD0">
        <w:rPr>
          <w:rFonts w:cs="Times New Roman"/>
          <w:sz w:val="24"/>
          <w:szCs w:val="24"/>
        </w:rPr>
        <w:t>)</w:t>
      </w:r>
      <w:r w:rsidR="0051719B" w:rsidRPr="00A41BD0">
        <w:rPr>
          <w:rFonts w:cs="Times New Roman"/>
          <w:sz w:val="24"/>
          <w:szCs w:val="24"/>
        </w:rPr>
        <w:t xml:space="preserve"> associated with being the destination of a deadheading trip. This </w:t>
      </w:r>
      <w:r w:rsidRPr="00A41BD0">
        <w:rPr>
          <w:rFonts w:cs="Times New Roman"/>
          <w:sz w:val="24"/>
          <w:szCs w:val="24"/>
        </w:rPr>
        <w:t>may</w:t>
      </w:r>
      <w:r w:rsidR="0051719B" w:rsidRPr="00A41BD0">
        <w:rPr>
          <w:rFonts w:cs="Times New Roman"/>
          <w:sz w:val="24"/>
          <w:szCs w:val="24"/>
        </w:rPr>
        <w:t xml:space="preserve"> also be considered as a measure of the propensity of obtaining the next passenger pick-up </w:t>
      </w:r>
      <w:r w:rsidRPr="00A41BD0">
        <w:rPr>
          <w:rFonts w:cs="Times New Roman"/>
          <w:sz w:val="24"/>
          <w:szCs w:val="24"/>
        </w:rPr>
        <w:t>in</w:t>
      </w:r>
      <w:r w:rsidR="0051719B" w:rsidRPr="00A41BD0">
        <w:rPr>
          <w:rFonts w:cs="Times New Roman"/>
          <w:sz w:val="24"/>
          <w:szCs w:val="24"/>
        </w:rPr>
        <w:t xml:space="preserve"> </w:t>
      </w:r>
      <w:r w:rsidR="00563CDB" w:rsidRPr="00A41BD0">
        <w:rPr>
          <w:rFonts w:cs="Times New Roman"/>
          <w:sz w:val="24"/>
          <w:szCs w:val="24"/>
        </w:rPr>
        <w:t>a TAZ</w:t>
      </w:r>
      <w:r w:rsidR="0051719B" w:rsidRPr="00A41BD0">
        <w:rPr>
          <w:rFonts w:cs="Times New Roman"/>
          <w:sz w:val="24"/>
          <w:szCs w:val="24"/>
        </w:rPr>
        <w:t xml:space="preserve"> location. </w:t>
      </w:r>
      <w:r w:rsidR="00E04C7F" w:rsidRPr="00A41BD0">
        <w:rPr>
          <w:rFonts w:cs="Times New Roman"/>
          <w:sz w:val="24"/>
          <w:szCs w:val="24"/>
        </w:rPr>
        <w:t>TAZs generally cover a wide area and may co</w:t>
      </w:r>
      <w:r w:rsidRPr="00A41BD0">
        <w:rPr>
          <w:rFonts w:cs="Times New Roman"/>
          <w:sz w:val="24"/>
          <w:szCs w:val="24"/>
        </w:rPr>
        <w:t>mprise</w:t>
      </w:r>
      <w:r w:rsidR="00E04C7F" w:rsidRPr="00A41BD0">
        <w:rPr>
          <w:rFonts w:cs="Times New Roman"/>
          <w:sz w:val="24"/>
          <w:szCs w:val="24"/>
        </w:rPr>
        <w:t xml:space="preserve"> several </w:t>
      </w:r>
      <w:r w:rsidR="00563CDB" w:rsidRPr="00A41BD0">
        <w:rPr>
          <w:rFonts w:cs="Times New Roman"/>
          <w:sz w:val="24"/>
          <w:szCs w:val="24"/>
        </w:rPr>
        <w:t xml:space="preserve">elemental </w:t>
      </w:r>
      <w:r w:rsidR="00E04C7F" w:rsidRPr="00A41BD0">
        <w:rPr>
          <w:rFonts w:cs="Times New Roman"/>
          <w:sz w:val="24"/>
          <w:szCs w:val="24"/>
        </w:rPr>
        <w:t>locations</w:t>
      </w:r>
      <w:r w:rsidR="00563CDB" w:rsidRPr="00A41BD0">
        <w:rPr>
          <w:rFonts w:cs="Times New Roman"/>
          <w:sz w:val="24"/>
          <w:szCs w:val="24"/>
        </w:rPr>
        <w:t>,</w:t>
      </w:r>
      <w:r w:rsidR="00E04C7F" w:rsidRPr="00A41BD0">
        <w:rPr>
          <w:rFonts w:cs="Times New Roman"/>
          <w:sz w:val="24"/>
          <w:szCs w:val="24"/>
        </w:rPr>
        <w:t xml:space="preserve"> each associated with a utility of being </w:t>
      </w:r>
      <w:r w:rsidR="00B95302" w:rsidRPr="00A41BD0">
        <w:rPr>
          <w:rFonts w:cs="Times New Roman"/>
          <w:sz w:val="24"/>
          <w:szCs w:val="24"/>
        </w:rPr>
        <w:t>the</w:t>
      </w:r>
      <w:r w:rsidR="00E04C7F" w:rsidRPr="00A41BD0">
        <w:rPr>
          <w:rFonts w:cs="Times New Roman"/>
          <w:sz w:val="24"/>
          <w:szCs w:val="24"/>
        </w:rPr>
        <w:t xml:space="preserve"> destination. The utility of a TAZ, which is a measure of the propensity of obtaining the next pick-up from within the TAZ, </w:t>
      </w:r>
      <w:r w:rsidR="00D65FF0">
        <w:rPr>
          <w:rFonts w:cs="Times New Roman"/>
          <w:sz w:val="24"/>
          <w:szCs w:val="24"/>
        </w:rPr>
        <w:t>may be viewed as</w:t>
      </w:r>
      <w:r w:rsidR="00E04C7F" w:rsidRPr="00A41BD0">
        <w:rPr>
          <w:rFonts w:cs="Times New Roman"/>
          <w:sz w:val="24"/>
          <w:szCs w:val="24"/>
        </w:rPr>
        <w:t xml:space="preserve"> an aggregate of the utilities of all elemental locations within </w:t>
      </w:r>
      <w:r w:rsidR="006F3491" w:rsidRPr="00A41BD0">
        <w:rPr>
          <w:rFonts w:cs="Times New Roman"/>
          <w:sz w:val="24"/>
          <w:szCs w:val="24"/>
        </w:rPr>
        <w:t>the</w:t>
      </w:r>
      <w:r w:rsidR="00E04C7F" w:rsidRPr="00A41BD0">
        <w:rPr>
          <w:rFonts w:cs="Times New Roman"/>
          <w:sz w:val="24"/>
          <w:szCs w:val="24"/>
        </w:rPr>
        <w:t xml:space="preserve"> TAZ. </w:t>
      </w:r>
    </w:p>
    <w:p w14:paraId="14B11ABB" w14:textId="72AF4E75" w:rsidR="0051719B" w:rsidRPr="00D65FF0" w:rsidRDefault="000B2205" w:rsidP="00600AA5">
      <w:pPr>
        <w:autoSpaceDE w:val="0"/>
        <w:autoSpaceDN w:val="0"/>
        <w:adjustRightInd w:val="0"/>
        <w:spacing w:after="0" w:line="240" w:lineRule="auto"/>
        <w:ind w:firstLine="720"/>
        <w:rPr>
          <w:rFonts w:cs="Times New Roman"/>
          <w:sz w:val="24"/>
          <w:szCs w:val="24"/>
        </w:rPr>
      </w:pPr>
      <w:r w:rsidRPr="00A41BD0">
        <w:rPr>
          <w:rFonts w:cs="Times New Roman"/>
          <w:sz w:val="24"/>
          <w:szCs w:val="24"/>
        </w:rPr>
        <w:t xml:space="preserve">Let </w:t>
      </w:r>
      <w:r w:rsidR="00432923" w:rsidRPr="00C82A96">
        <w:rPr>
          <w:rFonts w:cs="Times New Roman"/>
          <w:noProof/>
          <w:position w:val="-14"/>
          <w:sz w:val="24"/>
          <w:szCs w:val="24"/>
        </w:rPr>
        <w:object w:dxaOrig="320" w:dyaOrig="380" w14:anchorId="70182415">
          <v:shape id="_x0000_i1026" type="#_x0000_t75" style="width:15pt;height:18.75pt" o:ole="" o:preferrelative="f">
            <v:imagedata r:id="rId21" o:title=""/>
            <o:lock v:ext="edit" aspectratio="f"/>
          </v:shape>
          <o:OLEObject Type="Embed" ProgID="Equation.DSMT4" ShapeID="_x0000_i1026" DrawAspect="Content" ObjectID="_1646040554" r:id="rId22"/>
        </w:object>
      </w:r>
      <w:r w:rsidRPr="00A41BD0">
        <w:rPr>
          <w:rFonts w:cs="Times New Roman"/>
          <w:sz w:val="24"/>
          <w:szCs w:val="24"/>
        </w:rPr>
        <w:t xml:space="preserve"> be the number of deadheading destination points within </w:t>
      </w:r>
      <w:r w:rsidR="0046582C" w:rsidRPr="00A41BD0">
        <w:rPr>
          <w:rFonts w:cs="Times New Roman"/>
          <w:sz w:val="24"/>
          <w:szCs w:val="24"/>
        </w:rPr>
        <w:t>TAZ</w:t>
      </w:r>
      <w:r w:rsidR="00600AA5">
        <w:rPr>
          <w:rFonts w:cs="Times New Roman"/>
          <w:sz w:val="24"/>
          <w:szCs w:val="24"/>
        </w:rPr>
        <w:t xml:space="preserve"> </w:t>
      </w:r>
      <w:r w:rsidR="00600AA5" w:rsidRPr="00600AA5">
        <w:rPr>
          <w:rFonts w:cs="Times New Roman"/>
          <w:i/>
          <w:sz w:val="24"/>
          <w:szCs w:val="24"/>
        </w:rPr>
        <w:t>j</w:t>
      </w:r>
      <w:r w:rsidR="00600AA5">
        <w:rPr>
          <w:rFonts w:cs="Times New Roman"/>
          <w:sz w:val="24"/>
          <w:szCs w:val="24"/>
        </w:rPr>
        <w:t>,</w:t>
      </w:r>
      <w:r w:rsidRPr="00A41BD0">
        <w:rPr>
          <w:rFonts w:cs="Times New Roman"/>
          <w:sz w:val="24"/>
          <w:szCs w:val="24"/>
        </w:rPr>
        <w:t xml:space="preserve"> or alternatively, the number of elemental </w:t>
      </w:r>
      <w:r w:rsidR="00EF5503" w:rsidRPr="00A41BD0">
        <w:rPr>
          <w:rFonts w:cs="Times New Roman"/>
          <w:sz w:val="24"/>
          <w:szCs w:val="24"/>
        </w:rPr>
        <w:t>passenger</w:t>
      </w:r>
      <w:r w:rsidRPr="00A41BD0">
        <w:rPr>
          <w:rFonts w:cs="Times New Roman"/>
          <w:sz w:val="24"/>
          <w:szCs w:val="24"/>
        </w:rPr>
        <w:t xml:space="preserve"> pick-up points within </w:t>
      </w:r>
      <w:r w:rsidR="00A11AC3" w:rsidRPr="00A41BD0">
        <w:rPr>
          <w:rFonts w:cs="Times New Roman"/>
          <w:sz w:val="24"/>
          <w:szCs w:val="24"/>
        </w:rPr>
        <w:t xml:space="preserve">TAZ </w:t>
      </w:r>
      <w:r w:rsidRPr="00A41BD0">
        <w:rPr>
          <w:rFonts w:cs="Times New Roman"/>
          <w:i/>
          <w:sz w:val="24"/>
          <w:szCs w:val="24"/>
        </w:rPr>
        <w:t>j</w:t>
      </w:r>
      <w:r w:rsidRPr="00A41BD0">
        <w:rPr>
          <w:rFonts w:cs="Times New Roman"/>
          <w:sz w:val="24"/>
          <w:szCs w:val="24"/>
        </w:rPr>
        <w:t xml:space="preserve">. </w:t>
      </w:r>
      <w:r w:rsidR="00DB28FC" w:rsidRPr="00A41BD0">
        <w:rPr>
          <w:rFonts w:cs="Times New Roman"/>
          <w:sz w:val="24"/>
          <w:szCs w:val="24"/>
        </w:rPr>
        <w:t xml:space="preserve">If </w:t>
      </w:r>
      <w:r w:rsidR="00432923" w:rsidRPr="00C82A96">
        <w:rPr>
          <w:rFonts w:cs="Times New Roman"/>
          <w:noProof/>
          <w:position w:val="-14"/>
          <w:sz w:val="24"/>
          <w:szCs w:val="24"/>
        </w:rPr>
        <w:object w:dxaOrig="320" w:dyaOrig="380" w14:anchorId="36281771">
          <v:shape id="_x0000_i1027" type="#_x0000_t75" style="width:15pt;height:18.75pt" o:ole="" o:preferrelative="f">
            <v:imagedata r:id="rId21" o:title=""/>
            <o:lock v:ext="edit" aspectratio="f"/>
          </v:shape>
          <o:OLEObject Type="Embed" ProgID="Equation.DSMT4" ShapeID="_x0000_i1027" DrawAspect="Content" ObjectID="_1646040555" r:id="rId23"/>
        </w:object>
      </w:r>
      <w:r w:rsidRPr="00A41BD0">
        <w:rPr>
          <w:rFonts w:cs="Times New Roman"/>
          <w:sz w:val="24"/>
          <w:szCs w:val="24"/>
        </w:rPr>
        <w:t xml:space="preserve"> is </w:t>
      </w:r>
      <w:r w:rsidR="00DB28FC" w:rsidRPr="00A41BD0">
        <w:rPr>
          <w:rFonts w:cs="Times New Roman"/>
          <w:sz w:val="24"/>
          <w:szCs w:val="24"/>
        </w:rPr>
        <w:t>relatively large</w:t>
      </w:r>
      <w:r w:rsidRPr="00A41BD0">
        <w:rPr>
          <w:rFonts w:cs="Times New Roman"/>
          <w:sz w:val="24"/>
          <w:szCs w:val="24"/>
        </w:rPr>
        <w:t xml:space="preserve"> (as is </w:t>
      </w:r>
      <w:r w:rsidR="00D65FF0">
        <w:rPr>
          <w:rFonts w:cs="Times New Roman"/>
          <w:sz w:val="24"/>
          <w:szCs w:val="24"/>
        </w:rPr>
        <w:t xml:space="preserve">usually </w:t>
      </w:r>
      <w:r w:rsidRPr="00A41BD0">
        <w:rPr>
          <w:rFonts w:cs="Times New Roman"/>
          <w:sz w:val="24"/>
          <w:szCs w:val="24"/>
        </w:rPr>
        <w:t>the case with passenger pick-up points within a zone)</w:t>
      </w:r>
      <w:r w:rsidR="00DB28FC" w:rsidRPr="00A41BD0">
        <w:rPr>
          <w:rFonts w:cs="Times New Roman"/>
          <w:sz w:val="24"/>
          <w:szCs w:val="24"/>
        </w:rPr>
        <w:t xml:space="preserve">, and assuming that the </w:t>
      </w:r>
      <w:r w:rsidRPr="00A41BD0">
        <w:rPr>
          <w:rFonts w:cs="Times New Roman"/>
          <w:sz w:val="24"/>
          <w:szCs w:val="24"/>
        </w:rPr>
        <w:t xml:space="preserve">propensity </w:t>
      </w:r>
      <w:r w:rsidR="00437E40" w:rsidRPr="00A41BD0">
        <w:rPr>
          <w:rFonts w:cs="Times New Roman"/>
          <w:sz w:val="24"/>
          <w:szCs w:val="24"/>
        </w:rPr>
        <w:t xml:space="preserve">distribution </w:t>
      </w:r>
      <w:r w:rsidRPr="00A41BD0">
        <w:rPr>
          <w:rFonts w:cs="Times New Roman"/>
          <w:sz w:val="24"/>
          <w:szCs w:val="24"/>
        </w:rPr>
        <w:t xml:space="preserve">of passenger pick-ups at </w:t>
      </w:r>
      <w:r w:rsidR="00437E40" w:rsidRPr="00A41BD0">
        <w:rPr>
          <w:rFonts w:cs="Times New Roman"/>
          <w:sz w:val="24"/>
          <w:szCs w:val="24"/>
        </w:rPr>
        <w:t xml:space="preserve">different points within the zone are about the same, </w:t>
      </w:r>
      <w:r w:rsidR="00DB28FC" w:rsidRPr="00A41BD0">
        <w:rPr>
          <w:rFonts w:cs="Times New Roman"/>
          <w:sz w:val="24"/>
          <w:szCs w:val="24"/>
        </w:rPr>
        <w:t xml:space="preserve">the </w:t>
      </w:r>
      <w:r w:rsidR="00183E01" w:rsidRPr="00A41BD0">
        <w:rPr>
          <w:rFonts w:cs="Times New Roman"/>
          <w:sz w:val="24"/>
          <w:szCs w:val="24"/>
        </w:rPr>
        <w:t>TAZ-level</w:t>
      </w:r>
      <w:r w:rsidR="00E04C7F" w:rsidRPr="00A41BD0">
        <w:rPr>
          <w:rFonts w:cs="Times New Roman"/>
          <w:sz w:val="24"/>
          <w:szCs w:val="24"/>
        </w:rPr>
        <w:t xml:space="preserve"> utility function </w:t>
      </w:r>
      <w:r w:rsidRPr="00A41BD0">
        <w:rPr>
          <w:rFonts w:cs="Times New Roman"/>
          <w:sz w:val="24"/>
          <w:szCs w:val="24"/>
        </w:rPr>
        <w:t xml:space="preserve">of a destination </w:t>
      </w:r>
      <w:r w:rsidR="00A11AC3" w:rsidRPr="00A41BD0">
        <w:rPr>
          <w:rFonts w:cs="Times New Roman"/>
          <w:sz w:val="24"/>
          <w:szCs w:val="24"/>
        </w:rPr>
        <w:t xml:space="preserve">TAZ </w:t>
      </w:r>
      <w:r w:rsidRPr="00A41BD0">
        <w:rPr>
          <w:rFonts w:cs="Times New Roman"/>
          <w:i/>
          <w:sz w:val="24"/>
          <w:szCs w:val="24"/>
        </w:rPr>
        <w:t>j</w:t>
      </w:r>
      <w:r w:rsidRPr="00A41BD0">
        <w:rPr>
          <w:rFonts w:cs="Times New Roman"/>
          <w:sz w:val="24"/>
          <w:szCs w:val="24"/>
        </w:rPr>
        <w:t xml:space="preserve"> for </w:t>
      </w:r>
      <w:r w:rsidR="002F6F6B" w:rsidRPr="00A41BD0">
        <w:rPr>
          <w:rFonts w:cs="Times New Roman"/>
          <w:sz w:val="24"/>
          <w:szCs w:val="24"/>
        </w:rPr>
        <w:t>a deadheading trip</w:t>
      </w:r>
      <w:r w:rsidR="008377C7" w:rsidRPr="00A41BD0">
        <w:rPr>
          <w:rFonts w:cs="Times New Roman"/>
          <w:sz w:val="24"/>
          <w:szCs w:val="24"/>
        </w:rPr>
        <w:t xml:space="preserve"> </w:t>
      </w:r>
      <w:r w:rsidR="008377C7" w:rsidRPr="00A41BD0">
        <w:rPr>
          <w:rFonts w:cs="Times New Roman"/>
          <w:i/>
          <w:sz w:val="24"/>
          <w:szCs w:val="24"/>
        </w:rPr>
        <w:t>n</w:t>
      </w:r>
      <w:r w:rsidR="002F6F6B" w:rsidRPr="00A41BD0">
        <w:rPr>
          <w:rFonts w:cs="Times New Roman"/>
          <w:sz w:val="24"/>
          <w:szCs w:val="24"/>
        </w:rPr>
        <w:t xml:space="preserve"> originating in TAZ </w:t>
      </w:r>
      <w:proofErr w:type="spellStart"/>
      <w:r w:rsidR="00BF7326" w:rsidRPr="00C020FB">
        <w:rPr>
          <w:i/>
          <w:sz w:val="24"/>
          <w:szCs w:val="24"/>
        </w:rPr>
        <w:t>i</w:t>
      </w:r>
      <w:proofErr w:type="spellEnd"/>
      <w:r w:rsidRPr="00A41BD0">
        <w:rPr>
          <w:rFonts w:cs="Times New Roman"/>
          <w:sz w:val="24"/>
          <w:szCs w:val="24"/>
        </w:rPr>
        <w:t xml:space="preserve"> may be written as</w:t>
      </w:r>
      <w:r w:rsidR="00437E40" w:rsidRPr="00A41BD0">
        <w:rPr>
          <w:rFonts w:cs="Times New Roman"/>
          <w:sz w:val="24"/>
          <w:szCs w:val="24"/>
        </w:rPr>
        <w:t xml:space="preserve"> (see </w:t>
      </w:r>
      <w:r w:rsidR="008F3E0F" w:rsidRPr="008F3E0F">
        <w:rPr>
          <w:rFonts w:cs="Times New Roman"/>
          <w:sz w:val="24"/>
          <w:szCs w:val="24"/>
        </w:rPr>
        <w:t>Daly</w:t>
      </w:r>
      <w:r w:rsidR="008F3E0F">
        <w:rPr>
          <w:rFonts w:cs="Times New Roman"/>
          <w:sz w:val="24"/>
          <w:szCs w:val="24"/>
        </w:rPr>
        <w:t>,</w:t>
      </w:r>
      <w:r w:rsidR="008F3E0F" w:rsidRPr="008F3E0F">
        <w:rPr>
          <w:rFonts w:cs="Times New Roman"/>
          <w:sz w:val="24"/>
          <w:szCs w:val="24"/>
        </w:rPr>
        <w:t xml:space="preserve"> 1982</w:t>
      </w:r>
      <w:r w:rsidR="00437E40" w:rsidRPr="00A41BD0">
        <w:rPr>
          <w:rFonts w:cs="Times New Roman"/>
          <w:sz w:val="24"/>
          <w:szCs w:val="24"/>
        </w:rPr>
        <w:t>)</w:t>
      </w:r>
      <w:r w:rsidRPr="00A41BD0">
        <w:rPr>
          <w:rFonts w:cs="Times New Roman"/>
          <w:sz w:val="24"/>
          <w:szCs w:val="24"/>
        </w:rPr>
        <w:t xml:space="preserve">: </w:t>
      </w:r>
    </w:p>
    <w:p w14:paraId="3C7933D6" w14:textId="7E41E683" w:rsidR="00D65FF0" w:rsidRPr="00D65FF0" w:rsidRDefault="00432923" w:rsidP="00D377B9">
      <w:pPr>
        <w:tabs>
          <w:tab w:val="right" w:pos="9360"/>
        </w:tabs>
        <w:spacing w:before="80" w:after="80" w:line="240" w:lineRule="auto"/>
        <w:rPr>
          <w:rFonts w:cs="Times New Roman"/>
          <w:sz w:val="24"/>
          <w:szCs w:val="24"/>
        </w:rPr>
      </w:pPr>
      <w:r w:rsidRPr="00C82A96">
        <w:rPr>
          <w:rFonts w:cs="Times New Roman"/>
          <w:noProof/>
          <w:position w:val="-14"/>
          <w:sz w:val="24"/>
          <w:szCs w:val="24"/>
        </w:rPr>
        <w:object w:dxaOrig="2700" w:dyaOrig="380" w14:anchorId="322463FB">
          <v:shape id="_x0000_i1028" type="#_x0000_t75" style="width:136.5pt;height:18.75pt" o:ole="" o:preferrelative="f">
            <v:imagedata r:id="rId24" o:title=""/>
            <o:lock v:ext="edit" aspectratio="f"/>
          </v:shape>
          <o:OLEObject Type="Embed" ProgID="Equation.DSMT4" ShapeID="_x0000_i1028" DrawAspect="Content" ObjectID="_1646040556" r:id="rId25"/>
        </w:object>
      </w:r>
      <w:r w:rsidR="00A17A93">
        <w:rPr>
          <w:rFonts w:cs="Times New Roman"/>
          <w:noProof/>
          <w:sz w:val="24"/>
          <w:szCs w:val="24"/>
        </w:rPr>
        <w:t>,</w:t>
      </w:r>
      <w:r w:rsidR="007A15BB" w:rsidRPr="00D65FF0">
        <w:rPr>
          <w:rFonts w:cs="Times New Roman"/>
          <w:sz w:val="24"/>
          <w:szCs w:val="24"/>
        </w:rPr>
        <w:t xml:space="preserve"> </w:t>
      </w:r>
      <w:r w:rsidR="007A15BB" w:rsidRPr="00D65FF0">
        <w:rPr>
          <w:rFonts w:cs="Times New Roman"/>
          <w:sz w:val="24"/>
          <w:szCs w:val="24"/>
        </w:rPr>
        <w:tab/>
      </w:r>
      <w:r w:rsidR="007A15BB" w:rsidRPr="00D65FF0">
        <w:rPr>
          <w:rFonts w:cs="Times New Roman"/>
          <w:sz w:val="24"/>
          <w:szCs w:val="24"/>
        </w:rPr>
        <w:fldChar w:fldCharType="begin"/>
      </w:r>
      <w:r w:rsidR="007A15BB" w:rsidRPr="00D65FF0">
        <w:rPr>
          <w:rFonts w:cs="Times New Roman"/>
          <w:sz w:val="24"/>
          <w:szCs w:val="24"/>
        </w:rPr>
        <w:instrText xml:space="preserve"> MACROBUTTON MTPlaceRef \* MERGEFORMAT </w:instrText>
      </w:r>
      <w:r w:rsidR="007A15BB" w:rsidRPr="00D65FF0">
        <w:rPr>
          <w:rFonts w:cs="Times New Roman"/>
          <w:sz w:val="24"/>
          <w:szCs w:val="24"/>
        </w:rPr>
        <w:fldChar w:fldCharType="begin"/>
      </w:r>
      <w:r w:rsidR="007A15BB" w:rsidRPr="00D65FF0">
        <w:rPr>
          <w:rFonts w:cs="Times New Roman"/>
          <w:sz w:val="24"/>
          <w:szCs w:val="24"/>
        </w:rPr>
        <w:instrText xml:space="preserve"> SEQ MTEqn \h \* MERGEFORMAT </w:instrText>
      </w:r>
      <w:r w:rsidR="007A15BB" w:rsidRPr="00D65FF0">
        <w:rPr>
          <w:rFonts w:cs="Times New Roman"/>
          <w:sz w:val="24"/>
          <w:szCs w:val="24"/>
        </w:rPr>
        <w:fldChar w:fldCharType="end"/>
      </w:r>
      <w:bookmarkStart w:id="16" w:name="ZEqnNum193568"/>
      <w:r w:rsidR="007A15BB" w:rsidRPr="00D65FF0">
        <w:rPr>
          <w:rFonts w:cs="Times New Roman"/>
          <w:sz w:val="24"/>
          <w:szCs w:val="24"/>
        </w:rPr>
        <w:instrText>(</w:instrText>
      </w:r>
      <w:r w:rsidR="007A15BB" w:rsidRPr="00D65FF0">
        <w:rPr>
          <w:rFonts w:cs="Times New Roman"/>
          <w:noProof/>
          <w:sz w:val="24"/>
          <w:szCs w:val="24"/>
        </w:rPr>
        <w:fldChar w:fldCharType="begin"/>
      </w:r>
      <w:r w:rsidR="007A15BB" w:rsidRPr="00D65FF0">
        <w:rPr>
          <w:rFonts w:cs="Times New Roman"/>
          <w:noProof/>
          <w:sz w:val="24"/>
          <w:szCs w:val="24"/>
        </w:rPr>
        <w:instrText xml:space="preserve"> SEQ MTEqn \c \* Arabic \* MERGEFORMAT </w:instrText>
      </w:r>
      <w:r w:rsidR="007A15BB" w:rsidRPr="00D65FF0">
        <w:rPr>
          <w:rFonts w:cs="Times New Roman"/>
          <w:noProof/>
          <w:sz w:val="24"/>
          <w:szCs w:val="24"/>
        </w:rPr>
        <w:fldChar w:fldCharType="separate"/>
      </w:r>
      <w:r w:rsidR="00740F16">
        <w:rPr>
          <w:rFonts w:cs="Times New Roman"/>
          <w:noProof/>
          <w:sz w:val="24"/>
          <w:szCs w:val="24"/>
        </w:rPr>
        <w:instrText>1</w:instrText>
      </w:r>
      <w:r w:rsidR="007A15BB" w:rsidRPr="00D65FF0">
        <w:rPr>
          <w:rFonts w:cs="Times New Roman"/>
          <w:noProof/>
          <w:sz w:val="24"/>
          <w:szCs w:val="24"/>
        </w:rPr>
        <w:fldChar w:fldCharType="end"/>
      </w:r>
      <w:r w:rsidR="007A15BB" w:rsidRPr="00D65FF0">
        <w:rPr>
          <w:rFonts w:cs="Times New Roman"/>
          <w:sz w:val="24"/>
          <w:szCs w:val="24"/>
        </w:rPr>
        <w:instrText>)</w:instrText>
      </w:r>
      <w:bookmarkEnd w:id="16"/>
      <w:r w:rsidR="007A15BB" w:rsidRPr="00D65FF0">
        <w:rPr>
          <w:rFonts w:cs="Times New Roman"/>
          <w:sz w:val="24"/>
          <w:szCs w:val="24"/>
        </w:rPr>
        <w:fldChar w:fldCharType="end"/>
      </w:r>
    </w:p>
    <w:p w14:paraId="23A75089" w14:textId="1828956A" w:rsidR="000739C4" w:rsidRPr="00D65FF0" w:rsidRDefault="00CC4433" w:rsidP="00F7439A">
      <w:pPr>
        <w:autoSpaceDE w:val="0"/>
        <w:autoSpaceDN w:val="0"/>
        <w:adjustRightInd w:val="0"/>
        <w:spacing w:after="0" w:line="240" w:lineRule="auto"/>
        <w:rPr>
          <w:rFonts w:cs="Times New Roman"/>
          <w:sz w:val="24"/>
          <w:szCs w:val="24"/>
        </w:rPr>
      </w:pPr>
      <w:r>
        <w:rPr>
          <w:rFonts w:cs="Times New Roman"/>
          <w:noProof/>
          <w:sz w:val="24"/>
          <w:szCs w:val="24"/>
        </w:rPr>
        <w:t>w</w:t>
      </w:r>
      <w:r w:rsidR="00D65FF0" w:rsidRPr="00D65FF0">
        <w:rPr>
          <w:rFonts w:cs="Times New Roman"/>
          <w:noProof/>
          <w:sz w:val="24"/>
          <w:szCs w:val="24"/>
        </w:rPr>
        <w:t>here</w:t>
      </w:r>
      <w:r>
        <w:rPr>
          <w:rFonts w:cs="Times New Roman"/>
          <w:noProof/>
          <w:sz w:val="24"/>
          <w:szCs w:val="24"/>
        </w:rPr>
        <w:t>,</w:t>
      </w:r>
      <w:r w:rsidR="00432923" w:rsidRPr="00C82A96">
        <w:rPr>
          <w:rFonts w:cs="Times New Roman"/>
          <w:noProof/>
          <w:position w:val="-14"/>
          <w:sz w:val="24"/>
          <w:szCs w:val="24"/>
        </w:rPr>
        <w:object w:dxaOrig="300" w:dyaOrig="380" w14:anchorId="017FB732">
          <v:shape id="_x0000_i1029" type="#_x0000_t75" style="width:15pt;height:18.75pt" o:ole="" o:preferrelative="f">
            <v:imagedata r:id="rId26" o:title=""/>
            <o:lock v:ext="edit" aspectratio="f"/>
          </v:shape>
          <o:OLEObject Type="Embed" ProgID="Equation.DSMT4" ShapeID="_x0000_i1029" DrawAspect="Content" ObjectID="_1646040557" r:id="rId27"/>
        </w:object>
      </w:r>
      <w:r w:rsidR="00C36AB4" w:rsidRPr="00D65FF0">
        <w:rPr>
          <w:rFonts w:cs="Times New Roman"/>
          <w:sz w:val="24"/>
          <w:szCs w:val="24"/>
        </w:rPr>
        <w:t xml:space="preserve"> </w:t>
      </w:r>
      <w:r w:rsidR="00183E01" w:rsidRPr="00D65FF0">
        <w:rPr>
          <w:rFonts w:cs="Times New Roman"/>
          <w:sz w:val="24"/>
          <w:szCs w:val="24"/>
        </w:rPr>
        <w:t xml:space="preserve">is an independent variable vector that </w:t>
      </w:r>
      <w:r w:rsidR="00C36AB4" w:rsidRPr="00D65FF0">
        <w:rPr>
          <w:rFonts w:cs="Times New Roman"/>
          <w:sz w:val="24"/>
          <w:szCs w:val="24"/>
        </w:rPr>
        <w:t xml:space="preserve">includes variables </w:t>
      </w:r>
      <w:r w:rsidR="006F3491" w:rsidRPr="00D65FF0">
        <w:rPr>
          <w:rFonts w:cs="Times New Roman"/>
          <w:sz w:val="24"/>
          <w:szCs w:val="24"/>
        </w:rPr>
        <w:t>related to</w:t>
      </w:r>
      <w:r w:rsidR="00C36AB4" w:rsidRPr="00D65FF0">
        <w:rPr>
          <w:rFonts w:cs="Times New Roman"/>
          <w:sz w:val="24"/>
          <w:szCs w:val="24"/>
        </w:rPr>
        <w:t xml:space="preserve"> </w:t>
      </w:r>
      <w:r w:rsidR="006F3491" w:rsidRPr="00D65FF0">
        <w:rPr>
          <w:rFonts w:cs="Times New Roman"/>
          <w:sz w:val="24"/>
          <w:szCs w:val="24"/>
        </w:rPr>
        <w:t>the</w:t>
      </w:r>
      <w:r w:rsidR="00C36AB4" w:rsidRPr="00D65FF0">
        <w:rPr>
          <w:rFonts w:cs="Times New Roman"/>
          <w:sz w:val="24"/>
          <w:szCs w:val="24"/>
        </w:rPr>
        <w:t xml:space="preserve"> impedance between </w:t>
      </w:r>
      <w:r w:rsidR="008377C7" w:rsidRPr="00D65FF0">
        <w:rPr>
          <w:rFonts w:cs="Times New Roman"/>
          <w:sz w:val="24"/>
          <w:szCs w:val="24"/>
        </w:rPr>
        <w:t xml:space="preserve">zones </w:t>
      </w:r>
      <w:proofErr w:type="spellStart"/>
      <w:r w:rsidR="00C020FB" w:rsidRPr="00C020FB">
        <w:rPr>
          <w:i/>
          <w:sz w:val="24"/>
          <w:szCs w:val="24"/>
        </w:rPr>
        <w:t>i</w:t>
      </w:r>
      <w:proofErr w:type="spellEnd"/>
      <w:r w:rsidR="00C36AB4" w:rsidRPr="00D65FF0">
        <w:rPr>
          <w:rFonts w:cs="Times New Roman"/>
          <w:sz w:val="24"/>
          <w:szCs w:val="24"/>
        </w:rPr>
        <w:t xml:space="preserve"> and </w:t>
      </w:r>
      <w:r w:rsidR="00600AA5" w:rsidRPr="00600AA5">
        <w:rPr>
          <w:rFonts w:cs="Times New Roman"/>
          <w:i/>
          <w:sz w:val="24"/>
          <w:szCs w:val="24"/>
        </w:rPr>
        <w:t>j</w:t>
      </w:r>
      <w:r w:rsidR="00DA1799">
        <w:rPr>
          <w:rFonts w:cs="Times New Roman"/>
          <w:noProof/>
          <w:sz w:val="24"/>
          <w:szCs w:val="24"/>
        </w:rPr>
        <w:t>,</w:t>
      </w:r>
      <w:r w:rsidR="00384A1B" w:rsidRPr="00D65FF0">
        <w:rPr>
          <w:rFonts w:cs="Times New Roman"/>
          <w:sz w:val="24"/>
          <w:szCs w:val="24"/>
        </w:rPr>
        <w:t xml:space="preserve"> </w:t>
      </w:r>
      <w:r w:rsidR="006F3491" w:rsidRPr="00D65FF0">
        <w:rPr>
          <w:rFonts w:cs="Times New Roman"/>
          <w:sz w:val="24"/>
          <w:szCs w:val="24"/>
        </w:rPr>
        <w:t>the</w:t>
      </w:r>
      <w:r w:rsidR="00384A1B" w:rsidRPr="00D65FF0">
        <w:rPr>
          <w:rFonts w:cs="Times New Roman"/>
          <w:sz w:val="24"/>
          <w:szCs w:val="24"/>
        </w:rPr>
        <w:t xml:space="preserve"> </w:t>
      </w:r>
      <w:r w:rsidR="00F3578D" w:rsidRPr="00D65FF0">
        <w:rPr>
          <w:rFonts w:cs="Times New Roman"/>
          <w:sz w:val="24"/>
          <w:szCs w:val="24"/>
        </w:rPr>
        <w:t>non-</w:t>
      </w:r>
      <w:r w:rsidR="008377C7" w:rsidRPr="00D65FF0">
        <w:rPr>
          <w:rFonts w:cs="Times New Roman"/>
          <w:sz w:val="24"/>
          <w:szCs w:val="24"/>
        </w:rPr>
        <w:t xml:space="preserve">size </w:t>
      </w:r>
      <w:r w:rsidR="00384A1B" w:rsidRPr="00D65FF0">
        <w:rPr>
          <w:rFonts w:cs="Times New Roman"/>
          <w:sz w:val="24"/>
          <w:szCs w:val="24"/>
        </w:rPr>
        <w:t xml:space="preserve">characteristics of </w:t>
      </w:r>
      <w:r w:rsidR="006F3491" w:rsidRPr="00D65FF0">
        <w:rPr>
          <w:rFonts w:cs="Times New Roman"/>
          <w:sz w:val="24"/>
          <w:szCs w:val="24"/>
        </w:rPr>
        <w:t xml:space="preserve">TAZ </w:t>
      </w:r>
      <w:r w:rsidR="00600AA5" w:rsidRPr="00600AA5">
        <w:rPr>
          <w:rFonts w:cs="Times New Roman"/>
          <w:i/>
          <w:sz w:val="24"/>
          <w:szCs w:val="24"/>
        </w:rPr>
        <w:t>j</w:t>
      </w:r>
      <w:r w:rsidR="00F3578D" w:rsidRPr="00D65FF0">
        <w:rPr>
          <w:rFonts w:cs="Times New Roman"/>
          <w:sz w:val="24"/>
          <w:szCs w:val="24"/>
        </w:rPr>
        <w:t xml:space="preserve">, </w:t>
      </w:r>
      <w:r w:rsidR="006F3491" w:rsidRPr="00D65FF0">
        <w:rPr>
          <w:rFonts w:cs="Times New Roman"/>
          <w:noProof/>
          <w:sz w:val="24"/>
          <w:szCs w:val="24"/>
        </w:rPr>
        <w:t>and interactions between impedance measures</w:t>
      </w:r>
      <w:r w:rsidR="00183E01" w:rsidRPr="00D65FF0">
        <w:rPr>
          <w:rFonts w:cs="Times New Roman"/>
          <w:noProof/>
          <w:sz w:val="24"/>
          <w:szCs w:val="24"/>
        </w:rPr>
        <w:t xml:space="preserve">, </w:t>
      </w:r>
      <w:r w:rsidR="00095A6A" w:rsidRPr="00D65FF0">
        <w:rPr>
          <w:rFonts w:cs="Times New Roman"/>
          <w:noProof/>
          <w:sz w:val="24"/>
          <w:szCs w:val="24"/>
        </w:rPr>
        <w:t>characteristics</w:t>
      </w:r>
      <w:r w:rsidR="006F3491" w:rsidRPr="00D65FF0">
        <w:rPr>
          <w:rFonts w:cs="Times New Roman"/>
          <w:noProof/>
          <w:sz w:val="24"/>
          <w:szCs w:val="24"/>
        </w:rPr>
        <w:t xml:space="preserve"> of TAZ </w:t>
      </w:r>
      <w:proofErr w:type="spellStart"/>
      <w:r w:rsidR="00600AA5" w:rsidRPr="00C020FB">
        <w:rPr>
          <w:i/>
          <w:sz w:val="24"/>
          <w:szCs w:val="24"/>
        </w:rPr>
        <w:t>i</w:t>
      </w:r>
      <w:proofErr w:type="spellEnd"/>
      <w:r w:rsidR="00183E01" w:rsidRPr="00D65FF0">
        <w:rPr>
          <w:rFonts w:cs="Times New Roman"/>
          <w:noProof/>
          <w:sz w:val="24"/>
          <w:szCs w:val="24"/>
        </w:rPr>
        <w:t>, and characteristics of TAZ</w:t>
      </w:r>
      <w:r w:rsidR="00DA1799">
        <w:rPr>
          <w:rFonts w:cs="Times New Roman"/>
          <w:noProof/>
          <w:sz w:val="24"/>
          <w:szCs w:val="24"/>
        </w:rPr>
        <w:t xml:space="preserve"> </w:t>
      </w:r>
      <w:r w:rsidR="00600AA5" w:rsidRPr="00600AA5">
        <w:rPr>
          <w:rFonts w:cs="Times New Roman"/>
          <w:i/>
          <w:sz w:val="24"/>
          <w:szCs w:val="24"/>
        </w:rPr>
        <w:t>j</w:t>
      </w:r>
      <w:r w:rsidR="00183E01" w:rsidRPr="00D65FF0">
        <w:rPr>
          <w:rFonts w:cs="Times New Roman"/>
          <w:noProof/>
          <w:sz w:val="24"/>
          <w:szCs w:val="24"/>
        </w:rPr>
        <w:t xml:space="preserve">. </w:t>
      </w:r>
      <w:bookmarkStart w:id="17" w:name="MTBlankEqn"/>
      <w:r w:rsidR="00432923" w:rsidRPr="00C82A96">
        <w:rPr>
          <w:rFonts w:cs="Times New Roman"/>
          <w:noProof/>
          <w:position w:val="-14"/>
          <w:sz w:val="24"/>
          <w:szCs w:val="24"/>
        </w:rPr>
        <w:object w:dxaOrig="340" w:dyaOrig="380" w14:anchorId="6A496E63">
          <v:shape id="_x0000_i1030" type="#_x0000_t75" style="width:17.25pt;height:18.75pt" o:ole="" o:preferrelative="f">
            <v:imagedata r:id="rId28" o:title=""/>
            <o:lock v:ext="edit" aspectratio="f"/>
          </v:shape>
          <o:OLEObject Type="Embed" ProgID="Equation.DSMT4" ShapeID="_x0000_i1030" DrawAspect="Content" ObjectID="_1646040558" r:id="rId29"/>
        </w:object>
      </w:r>
      <w:bookmarkEnd w:id="17"/>
      <w:r w:rsidR="00F3578D" w:rsidRPr="00D65FF0">
        <w:rPr>
          <w:rFonts w:cs="Times New Roman"/>
          <w:i/>
          <w:iCs/>
          <w:sz w:val="24"/>
          <w:szCs w:val="24"/>
        </w:rPr>
        <w:t xml:space="preserve"> </w:t>
      </w:r>
      <w:r w:rsidR="00F3578D" w:rsidRPr="00D65FF0">
        <w:rPr>
          <w:rFonts w:cs="Times New Roman"/>
          <w:sz w:val="24"/>
          <w:szCs w:val="24"/>
        </w:rPr>
        <w:t xml:space="preserve">is a random term assumed to be distributed IID </w:t>
      </w:r>
      <w:r w:rsidR="007F5A8D">
        <w:rPr>
          <w:rFonts w:cs="Times New Roman"/>
          <w:sz w:val="24"/>
          <w:szCs w:val="24"/>
        </w:rPr>
        <w:t>G</w:t>
      </w:r>
      <w:r w:rsidR="00F3578D" w:rsidRPr="00D65FF0">
        <w:rPr>
          <w:rFonts w:cs="Times New Roman"/>
          <w:sz w:val="24"/>
          <w:szCs w:val="24"/>
        </w:rPr>
        <w:t xml:space="preserve">umbel across </w:t>
      </w:r>
      <w:r w:rsidR="008377C7" w:rsidRPr="00D65FF0">
        <w:rPr>
          <w:rFonts w:cs="Times New Roman"/>
          <w:sz w:val="24"/>
          <w:szCs w:val="24"/>
        </w:rPr>
        <w:t>deadheading trips, zonal deadheading origins, and zonal deadheading destinations</w:t>
      </w:r>
      <w:r w:rsidR="00F3578D" w:rsidRPr="00D65FF0">
        <w:rPr>
          <w:rFonts w:cs="Times New Roman"/>
          <w:sz w:val="24"/>
          <w:szCs w:val="24"/>
        </w:rPr>
        <w:t>.</w:t>
      </w:r>
      <w:r w:rsidR="00600AA5">
        <w:rPr>
          <w:rFonts w:cs="Times New Roman"/>
          <w:sz w:val="24"/>
          <w:szCs w:val="24"/>
        </w:rPr>
        <w:t xml:space="preserve"> </w:t>
      </w:r>
      <w:r w:rsidR="00600AA5" w:rsidRPr="00600AA5">
        <w:rPr>
          <w:rFonts w:cs="Times New Roman"/>
          <w:b/>
          <w:i/>
          <w:sz w:val="24"/>
          <w:szCs w:val="24"/>
        </w:rPr>
        <w:t>β</w:t>
      </w:r>
      <w:r w:rsidR="00020841">
        <w:rPr>
          <w:rFonts w:cs="Times New Roman"/>
          <w:sz w:val="24"/>
          <w:szCs w:val="24"/>
        </w:rPr>
        <w:t xml:space="preserve"> </w:t>
      </w:r>
      <w:r w:rsidR="00F3578D" w:rsidRPr="00D65FF0">
        <w:rPr>
          <w:rFonts w:cs="Times New Roman"/>
          <w:sz w:val="24"/>
          <w:szCs w:val="24"/>
        </w:rPr>
        <w:t>is a parameter vector and</w:t>
      </w:r>
      <w:r w:rsidR="00600AA5">
        <w:rPr>
          <w:rFonts w:cs="Times New Roman"/>
          <w:sz w:val="24"/>
          <w:szCs w:val="24"/>
        </w:rPr>
        <w:t xml:space="preserve"> </w:t>
      </w:r>
      <w:r w:rsidR="00600AA5" w:rsidRPr="00600AA5">
        <w:rPr>
          <w:rFonts w:cs="Times New Roman"/>
          <w:i/>
          <w:sz w:val="24"/>
          <w:szCs w:val="24"/>
        </w:rPr>
        <w:t>η</w:t>
      </w:r>
      <w:r w:rsidR="00A11AC3" w:rsidRPr="00D65FF0">
        <w:rPr>
          <w:rFonts w:cs="Times New Roman"/>
          <w:sz w:val="24"/>
          <w:szCs w:val="24"/>
        </w:rPr>
        <w:t xml:space="preserve"> </w:t>
      </w:r>
      <w:r w:rsidR="00F3578D" w:rsidRPr="00D65FF0">
        <w:rPr>
          <w:rFonts w:cs="Times New Roman"/>
          <w:sz w:val="24"/>
          <w:szCs w:val="24"/>
        </w:rPr>
        <w:t xml:space="preserve">is a scalar parameter to be estimated. </w:t>
      </w:r>
      <w:r w:rsidR="00DB28FC" w:rsidRPr="00D65FF0">
        <w:rPr>
          <w:rFonts w:cs="Times New Roman"/>
          <w:sz w:val="24"/>
          <w:szCs w:val="24"/>
        </w:rPr>
        <w:t xml:space="preserve">In </w:t>
      </w:r>
      <w:r w:rsidR="000739C4">
        <w:rPr>
          <w:rFonts w:cs="Times New Roman"/>
          <w:sz w:val="24"/>
          <w:szCs w:val="24"/>
        </w:rPr>
        <w:t>E</w:t>
      </w:r>
      <w:r w:rsidR="00DB28FC" w:rsidRPr="00D65FF0">
        <w:rPr>
          <w:rFonts w:cs="Times New Roman"/>
          <w:sz w:val="24"/>
          <w:szCs w:val="24"/>
        </w:rPr>
        <w:t xml:space="preserve">quation (1), the log transformation for the size </w:t>
      </w:r>
      <w:r w:rsidR="000B2205" w:rsidRPr="00D65FF0">
        <w:rPr>
          <w:rFonts w:cs="Times New Roman"/>
          <w:sz w:val="24"/>
          <w:szCs w:val="24"/>
        </w:rPr>
        <w:t xml:space="preserve">term is </w:t>
      </w:r>
      <w:r w:rsidR="00EF5503" w:rsidRPr="00D65FF0">
        <w:rPr>
          <w:rFonts w:cs="Times New Roman"/>
          <w:sz w:val="24"/>
          <w:szCs w:val="24"/>
        </w:rPr>
        <w:t>essential</w:t>
      </w:r>
      <w:r w:rsidR="000B2205" w:rsidRPr="00D65FF0">
        <w:rPr>
          <w:rFonts w:cs="Times New Roman"/>
          <w:sz w:val="24"/>
          <w:szCs w:val="24"/>
        </w:rPr>
        <w:t xml:space="preserve"> because it </w:t>
      </w:r>
      <w:r w:rsidR="00EF5503" w:rsidRPr="00D65FF0">
        <w:rPr>
          <w:rFonts w:cs="Times New Roman"/>
          <w:sz w:val="24"/>
          <w:szCs w:val="24"/>
        </w:rPr>
        <w:t>guarantees</w:t>
      </w:r>
      <w:r w:rsidR="000B2205" w:rsidRPr="00D65FF0">
        <w:rPr>
          <w:rFonts w:cs="Times New Roman"/>
          <w:sz w:val="24"/>
          <w:szCs w:val="24"/>
        </w:rPr>
        <w:t xml:space="preserve"> that if two destination zones (with identical non-size zone attributes) are merged into one, the probability of </w:t>
      </w:r>
      <w:r w:rsidR="007F5A8D">
        <w:rPr>
          <w:rFonts w:cs="Times New Roman"/>
          <w:sz w:val="24"/>
          <w:szCs w:val="24"/>
        </w:rPr>
        <w:t xml:space="preserve">choosing </w:t>
      </w:r>
      <w:r w:rsidR="000B2205" w:rsidRPr="00D65FF0">
        <w:rPr>
          <w:rFonts w:cs="Times New Roman"/>
          <w:sz w:val="24"/>
          <w:szCs w:val="24"/>
        </w:rPr>
        <w:t xml:space="preserve">the combined zone is exactly the sum of the probabilities of </w:t>
      </w:r>
      <w:r w:rsidR="007F5A8D">
        <w:rPr>
          <w:rFonts w:cs="Times New Roman"/>
          <w:sz w:val="24"/>
          <w:szCs w:val="24"/>
        </w:rPr>
        <w:t xml:space="preserve">choosing </w:t>
      </w:r>
      <w:r w:rsidR="000B2205" w:rsidRPr="00D65FF0">
        <w:rPr>
          <w:rFonts w:cs="Times New Roman"/>
          <w:sz w:val="24"/>
          <w:szCs w:val="24"/>
        </w:rPr>
        <w:t>the original two zones</w:t>
      </w:r>
      <w:r w:rsidR="005F7F21">
        <w:rPr>
          <w:rFonts w:cs="Times New Roman"/>
          <w:sz w:val="24"/>
          <w:szCs w:val="24"/>
        </w:rPr>
        <w:t xml:space="preserve"> when </w:t>
      </w:r>
      <w:r w:rsidR="00600AA5" w:rsidRPr="00600AA5">
        <w:rPr>
          <w:rFonts w:cs="Times New Roman"/>
          <w:i/>
          <w:sz w:val="24"/>
          <w:szCs w:val="24"/>
        </w:rPr>
        <w:t>η</w:t>
      </w:r>
      <w:r w:rsidR="005F7F21">
        <w:rPr>
          <w:rFonts w:cs="Times New Roman"/>
          <w:sz w:val="24"/>
          <w:szCs w:val="24"/>
        </w:rPr>
        <w:t>=1</w:t>
      </w:r>
      <w:r w:rsidR="000B2205" w:rsidRPr="00D65FF0">
        <w:rPr>
          <w:rFonts w:cs="Times New Roman"/>
          <w:sz w:val="24"/>
          <w:szCs w:val="24"/>
        </w:rPr>
        <w:t>.</w:t>
      </w:r>
      <w:r w:rsidR="00600AA5">
        <w:rPr>
          <w:rFonts w:cs="Times New Roman"/>
          <w:sz w:val="24"/>
          <w:szCs w:val="24"/>
        </w:rPr>
        <w:t xml:space="preserve"> </w:t>
      </w:r>
      <w:r w:rsidR="00432923" w:rsidRPr="00C82A96">
        <w:rPr>
          <w:rFonts w:cs="Times New Roman"/>
          <w:noProof/>
          <w:position w:val="-14"/>
          <w:sz w:val="24"/>
          <w:szCs w:val="24"/>
        </w:rPr>
        <w:object w:dxaOrig="320" w:dyaOrig="380" w14:anchorId="676124BD">
          <v:shape id="_x0000_i1031" type="#_x0000_t75" style="width:15.75pt;height:18.75pt" o:ole="" o:preferrelative="f">
            <v:imagedata r:id="rId21" o:title=""/>
            <o:lock v:ext="edit" aspectratio="f"/>
          </v:shape>
          <o:OLEObject Type="Embed" ProgID="Equation.DSMT4" ShapeID="_x0000_i1031" DrawAspect="Content" ObjectID="_1646040559" r:id="rId30"/>
        </w:object>
      </w:r>
      <w:r w:rsidR="000B2205" w:rsidRPr="00D65FF0">
        <w:rPr>
          <w:rFonts w:cs="Times New Roman"/>
          <w:sz w:val="24"/>
          <w:szCs w:val="24"/>
        </w:rPr>
        <w:t xml:space="preserve"> </w:t>
      </w:r>
      <w:r w:rsidR="00F3578D" w:rsidRPr="00D65FF0">
        <w:rPr>
          <w:rFonts w:cs="Times New Roman"/>
          <w:sz w:val="24"/>
          <w:szCs w:val="24"/>
        </w:rPr>
        <w:t xml:space="preserve">is not easily quantifiable. However, </w:t>
      </w:r>
      <w:r w:rsidR="00432923" w:rsidRPr="00C82A96">
        <w:rPr>
          <w:rFonts w:cs="Times New Roman"/>
          <w:noProof/>
          <w:position w:val="-14"/>
          <w:sz w:val="24"/>
          <w:szCs w:val="24"/>
        </w:rPr>
        <w:object w:dxaOrig="320" w:dyaOrig="380" w14:anchorId="2B355BC3">
          <v:shape id="_x0000_i1032" type="#_x0000_t75" style="width:15pt;height:18.75pt" o:ole="" o:preferrelative="f">
            <v:imagedata r:id="rId21" o:title=""/>
            <o:lock v:ext="edit" aspectratio="f"/>
          </v:shape>
          <o:OLEObject Type="Embed" ProgID="Equation.DSMT4" ShapeID="_x0000_i1032" DrawAspect="Content" ObjectID="_1646040560" r:id="rId31"/>
        </w:object>
      </w:r>
      <w:r w:rsidR="00600AA5">
        <w:rPr>
          <w:rFonts w:cs="Times New Roman"/>
          <w:sz w:val="24"/>
          <w:szCs w:val="24"/>
        </w:rPr>
        <w:t xml:space="preserve"> </w:t>
      </w:r>
      <w:r w:rsidR="007F5A8D">
        <w:rPr>
          <w:rFonts w:cs="Times New Roman"/>
          <w:sz w:val="24"/>
          <w:szCs w:val="24"/>
        </w:rPr>
        <w:t xml:space="preserve">may be represented </w:t>
      </w:r>
      <w:r w:rsidR="00F3578D" w:rsidRPr="00D65FF0">
        <w:rPr>
          <w:rFonts w:cs="Times New Roman"/>
          <w:sz w:val="24"/>
          <w:szCs w:val="24"/>
        </w:rPr>
        <w:t xml:space="preserve">by a set of </w:t>
      </w:r>
      <w:r w:rsidR="007F5A8D">
        <w:rPr>
          <w:rFonts w:cs="Times New Roman"/>
          <w:sz w:val="24"/>
          <w:szCs w:val="24"/>
        </w:rPr>
        <w:t xml:space="preserve">proxy </w:t>
      </w:r>
      <w:r w:rsidR="00F3578D" w:rsidRPr="00D65FF0">
        <w:rPr>
          <w:rFonts w:cs="Times New Roman"/>
          <w:sz w:val="24"/>
          <w:szCs w:val="24"/>
        </w:rPr>
        <w:lastRenderedPageBreak/>
        <w:t xml:space="preserve">observable size variables such as employment in zone </w:t>
      </w:r>
      <w:r w:rsidR="00F3578D" w:rsidRPr="00D65FF0">
        <w:rPr>
          <w:rFonts w:cs="Times New Roman"/>
          <w:i/>
          <w:iCs/>
          <w:sz w:val="24"/>
          <w:szCs w:val="24"/>
        </w:rPr>
        <w:t>j</w:t>
      </w:r>
      <w:r w:rsidR="007F5A8D" w:rsidRPr="007F5A8D">
        <w:rPr>
          <w:rFonts w:cs="Times New Roman"/>
          <w:sz w:val="24"/>
          <w:szCs w:val="24"/>
        </w:rPr>
        <w:t>,</w:t>
      </w:r>
      <w:r w:rsidR="007F5A8D">
        <w:rPr>
          <w:rFonts w:cs="Times New Roman"/>
          <w:i/>
          <w:iCs/>
          <w:sz w:val="24"/>
          <w:szCs w:val="24"/>
        </w:rPr>
        <w:t xml:space="preserve"> </w:t>
      </w:r>
      <w:r w:rsidR="00BD70D4" w:rsidRPr="00D65FF0">
        <w:rPr>
          <w:rFonts w:cs="Times New Roman"/>
          <w:sz w:val="24"/>
          <w:szCs w:val="24"/>
        </w:rPr>
        <w:t xml:space="preserve">population of zone </w:t>
      </w:r>
      <w:r w:rsidR="00BD70D4" w:rsidRPr="00D65FF0">
        <w:rPr>
          <w:rFonts w:cs="Times New Roman"/>
          <w:i/>
          <w:sz w:val="24"/>
          <w:szCs w:val="24"/>
        </w:rPr>
        <w:t>j</w:t>
      </w:r>
      <w:r w:rsidR="007F5A8D" w:rsidRPr="007F5A8D">
        <w:rPr>
          <w:rFonts w:cs="Times New Roman"/>
          <w:iCs/>
          <w:sz w:val="24"/>
          <w:szCs w:val="24"/>
        </w:rPr>
        <w:t>,</w:t>
      </w:r>
      <w:r w:rsidR="00BD70D4" w:rsidRPr="00D65FF0">
        <w:rPr>
          <w:rFonts w:cs="Times New Roman"/>
          <w:sz w:val="24"/>
          <w:szCs w:val="24"/>
        </w:rPr>
        <w:t xml:space="preserve"> </w:t>
      </w:r>
      <w:r w:rsidR="007F5A8D">
        <w:rPr>
          <w:rFonts w:cs="Times New Roman"/>
          <w:sz w:val="24"/>
          <w:szCs w:val="24"/>
        </w:rPr>
        <w:t>and</w:t>
      </w:r>
      <w:r w:rsidR="00BD70D4" w:rsidRPr="00D65FF0">
        <w:rPr>
          <w:rFonts w:cs="Times New Roman"/>
          <w:sz w:val="24"/>
          <w:szCs w:val="24"/>
        </w:rPr>
        <w:t xml:space="preserve"> </w:t>
      </w:r>
      <w:r w:rsidR="00F3578D" w:rsidRPr="00D65FF0">
        <w:rPr>
          <w:rFonts w:cs="Times New Roman"/>
          <w:sz w:val="24"/>
          <w:szCs w:val="24"/>
        </w:rPr>
        <w:t xml:space="preserve">land area of zone </w:t>
      </w:r>
      <w:r w:rsidR="00F3578D" w:rsidRPr="00D65FF0">
        <w:rPr>
          <w:rFonts w:cs="Times New Roman"/>
          <w:i/>
          <w:iCs/>
          <w:sz w:val="24"/>
          <w:szCs w:val="24"/>
        </w:rPr>
        <w:t xml:space="preserve">j. </w:t>
      </w:r>
      <w:r w:rsidR="00F3578D" w:rsidRPr="00D65FF0">
        <w:rPr>
          <w:rFonts w:cs="Times New Roman"/>
          <w:sz w:val="24"/>
          <w:szCs w:val="24"/>
        </w:rPr>
        <w:t xml:space="preserve">Let </w:t>
      </w:r>
      <w:r w:rsidR="00432923" w:rsidRPr="00C82A96">
        <w:rPr>
          <w:rFonts w:cs="Times New Roman"/>
          <w:noProof/>
          <w:position w:val="-14"/>
          <w:sz w:val="24"/>
          <w:szCs w:val="24"/>
        </w:rPr>
        <w:object w:dxaOrig="260" w:dyaOrig="380" w14:anchorId="07DD5D6D">
          <v:shape id="_x0000_i1033" type="#_x0000_t75" style="width:13.5pt;height:18.75pt" o:ole="" o:preferrelative="f">
            <v:imagedata r:id="rId32" o:title=""/>
            <o:lock v:ext="edit" aspectratio="f"/>
          </v:shape>
          <o:OLEObject Type="Embed" ProgID="Equation.DSMT4" ShapeID="_x0000_i1033" DrawAspect="Content" ObjectID="_1646040561" r:id="rId33"/>
        </w:object>
      </w:r>
      <w:r w:rsidR="00600AA5">
        <w:rPr>
          <w:rFonts w:cs="Times New Roman"/>
          <w:sz w:val="24"/>
          <w:szCs w:val="24"/>
        </w:rPr>
        <w:t xml:space="preserve"> </w:t>
      </w:r>
      <w:r w:rsidR="00F3578D" w:rsidRPr="00D65FF0">
        <w:rPr>
          <w:rFonts w:cs="Times New Roman"/>
          <w:sz w:val="24"/>
          <w:szCs w:val="24"/>
        </w:rPr>
        <w:t>represent a vector of proxy size</w:t>
      </w:r>
      <w:r w:rsidR="00437E40" w:rsidRPr="00D65FF0">
        <w:rPr>
          <w:rFonts w:cs="Times New Roman"/>
          <w:sz w:val="24"/>
          <w:szCs w:val="24"/>
        </w:rPr>
        <w:t xml:space="preserve"> </w:t>
      </w:r>
      <w:r w:rsidR="00F3578D" w:rsidRPr="00D65FF0">
        <w:rPr>
          <w:rFonts w:cs="Times New Roman"/>
          <w:sz w:val="24"/>
          <w:szCs w:val="24"/>
        </w:rPr>
        <w:t xml:space="preserve">variables for zone </w:t>
      </w:r>
      <w:r w:rsidR="00F3578D" w:rsidRPr="00D65FF0">
        <w:rPr>
          <w:rFonts w:cs="Times New Roman"/>
          <w:i/>
          <w:iCs/>
          <w:sz w:val="24"/>
          <w:szCs w:val="24"/>
        </w:rPr>
        <w:t xml:space="preserve">j </w:t>
      </w:r>
      <w:r w:rsidR="00F3578D" w:rsidRPr="00D65FF0">
        <w:rPr>
          <w:rFonts w:cs="Times New Roman"/>
          <w:sz w:val="24"/>
          <w:szCs w:val="24"/>
        </w:rPr>
        <w:t xml:space="preserve">and let </w:t>
      </w:r>
      <w:r w:rsidR="00600AA5" w:rsidRPr="00600AA5">
        <w:rPr>
          <w:rFonts w:cs="Times New Roman"/>
          <w:b/>
          <w:i/>
          <w:sz w:val="24"/>
          <w:szCs w:val="24"/>
        </w:rPr>
        <w:t>δ</w:t>
      </w:r>
      <w:r w:rsidR="00021A45" w:rsidRPr="00D65FF0">
        <w:rPr>
          <w:rFonts w:cs="Times New Roman"/>
          <w:sz w:val="24"/>
          <w:szCs w:val="24"/>
        </w:rPr>
        <w:t xml:space="preserve"> </w:t>
      </w:r>
      <w:r w:rsidR="00F3578D" w:rsidRPr="00D65FF0">
        <w:rPr>
          <w:rFonts w:cs="Times New Roman"/>
          <w:sz w:val="24"/>
          <w:szCs w:val="24"/>
        </w:rPr>
        <w:t>be a corresponding vector reflecting the</w:t>
      </w:r>
      <w:r w:rsidR="001749EB" w:rsidRPr="00D65FF0">
        <w:rPr>
          <w:rFonts w:cs="Times New Roman"/>
          <w:sz w:val="24"/>
          <w:szCs w:val="24"/>
        </w:rPr>
        <w:t xml:space="preserve"> </w:t>
      </w:r>
      <w:r w:rsidR="00F3578D" w:rsidRPr="00D65FF0">
        <w:rPr>
          <w:rFonts w:cs="Times New Roman"/>
          <w:sz w:val="24"/>
          <w:szCs w:val="24"/>
        </w:rPr>
        <w:t xml:space="preserve">contribution of the proxy size variables to the actual zone size </w:t>
      </w:r>
      <w:r w:rsidR="00432923" w:rsidRPr="00C82A96">
        <w:rPr>
          <w:rFonts w:cs="Times New Roman"/>
          <w:i/>
          <w:iCs/>
          <w:noProof/>
          <w:position w:val="-14"/>
          <w:sz w:val="24"/>
          <w:szCs w:val="24"/>
        </w:rPr>
        <w:object w:dxaOrig="320" w:dyaOrig="380" w14:anchorId="68742C39">
          <v:shape id="_x0000_i1034" type="#_x0000_t75" style="width:15pt;height:18.75pt" o:ole="" o:preferrelative="f">
            <v:imagedata r:id="rId34" o:title=""/>
            <o:lock v:ext="edit" aspectratio="f"/>
          </v:shape>
          <o:OLEObject Type="Embed" ProgID="Equation.DSMT4" ShapeID="_x0000_i1034" DrawAspect="Content" ObjectID="_1646040562" r:id="rId35"/>
        </w:object>
      </w:r>
      <w:r w:rsidR="00F3578D" w:rsidRPr="00D65FF0">
        <w:rPr>
          <w:rFonts w:cs="Times New Roman"/>
          <w:sz w:val="24"/>
          <w:szCs w:val="24"/>
        </w:rPr>
        <w:t>.</w:t>
      </w:r>
      <w:r w:rsidR="00BD70D4" w:rsidRPr="00D65FF0">
        <w:rPr>
          <w:rFonts w:cs="Times New Roman"/>
          <w:sz w:val="24"/>
          <w:szCs w:val="24"/>
        </w:rPr>
        <w:t xml:space="preserve"> Then, </w:t>
      </w:r>
      <w:r w:rsidR="000739C4">
        <w:rPr>
          <w:rFonts w:cs="Times New Roman"/>
          <w:sz w:val="24"/>
          <w:szCs w:val="24"/>
        </w:rPr>
        <w:t>E</w:t>
      </w:r>
      <w:r w:rsidR="00BD70D4" w:rsidRPr="00D65FF0">
        <w:rPr>
          <w:rFonts w:cs="Times New Roman"/>
          <w:sz w:val="24"/>
          <w:szCs w:val="24"/>
        </w:rPr>
        <w:t>quation (1)</w:t>
      </w:r>
      <w:r w:rsidR="000739C4">
        <w:rPr>
          <w:rFonts w:cs="Times New Roman"/>
          <w:sz w:val="24"/>
          <w:szCs w:val="24"/>
        </w:rPr>
        <w:t xml:space="preserve"> may be rewritten</w:t>
      </w:r>
      <w:r w:rsidR="00BD70D4" w:rsidRPr="00D65FF0">
        <w:rPr>
          <w:rFonts w:cs="Times New Roman"/>
          <w:sz w:val="24"/>
          <w:szCs w:val="24"/>
        </w:rPr>
        <w:t xml:space="preserve"> as:</w:t>
      </w:r>
    </w:p>
    <w:p w14:paraId="59CCD227" w14:textId="601DF986" w:rsidR="001749EB" w:rsidRPr="00D65FF0" w:rsidRDefault="00432923" w:rsidP="00D377B9">
      <w:pPr>
        <w:tabs>
          <w:tab w:val="right" w:pos="9360"/>
        </w:tabs>
        <w:autoSpaceDE w:val="0"/>
        <w:autoSpaceDN w:val="0"/>
        <w:adjustRightInd w:val="0"/>
        <w:spacing w:before="80" w:after="80" w:line="240" w:lineRule="auto"/>
        <w:rPr>
          <w:rFonts w:cs="Times New Roman"/>
          <w:sz w:val="24"/>
          <w:szCs w:val="24"/>
        </w:rPr>
      </w:pPr>
      <w:r w:rsidRPr="00C82A96">
        <w:rPr>
          <w:rFonts w:cs="Times New Roman"/>
          <w:noProof/>
          <w:position w:val="-14"/>
          <w:sz w:val="24"/>
          <w:szCs w:val="24"/>
        </w:rPr>
        <w:object w:dxaOrig="3780" w:dyaOrig="380" w14:anchorId="513498C5">
          <v:shape id="_x0000_i1035" type="#_x0000_t75" style="width:189.75pt;height:18.75pt" o:ole="" o:preferrelative="f">
            <v:imagedata r:id="rId36" o:title=""/>
            <o:lock v:ext="edit" aspectratio="f"/>
          </v:shape>
          <o:OLEObject Type="Embed" ProgID="Equation.DSMT4" ShapeID="_x0000_i1035" DrawAspect="Content" ObjectID="_1646040563" r:id="rId37"/>
        </w:object>
      </w:r>
      <w:r w:rsidR="00600AA5">
        <w:rPr>
          <w:rFonts w:cs="Times New Roman"/>
          <w:noProof/>
          <w:sz w:val="24"/>
          <w:szCs w:val="24"/>
        </w:rPr>
        <w:t>.</w:t>
      </w:r>
      <w:r w:rsidR="00021A45" w:rsidRPr="00D65FF0">
        <w:rPr>
          <w:rFonts w:cs="Times New Roman"/>
          <w:sz w:val="24"/>
          <w:szCs w:val="24"/>
        </w:rPr>
        <w:tab/>
      </w:r>
      <w:r w:rsidR="00021A45" w:rsidRPr="00D65FF0">
        <w:rPr>
          <w:rFonts w:cs="Times New Roman"/>
          <w:sz w:val="24"/>
          <w:szCs w:val="24"/>
        </w:rPr>
        <w:fldChar w:fldCharType="begin"/>
      </w:r>
      <w:r w:rsidR="00021A45" w:rsidRPr="00D65FF0">
        <w:rPr>
          <w:rFonts w:cs="Times New Roman"/>
          <w:sz w:val="24"/>
          <w:szCs w:val="24"/>
        </w:rPr>
        <w:instrText xml:space="preserve"> MACROBUTTON MTPlaceRef \* MERGEFORMAT </w:instrText>
      </w:r>
      <w:r w:rsidR="00021A45" w:rsidRPr="00D65FF0">
        <w:rPr>
          <w:rFonts w:cs="Times New Roman"/>
          <w:sz w:val="24"/>
          <w:szCs w:val="24"/>
        </w:rPr>
        <w:fldChar w:fldCharType="begin"/>
      </w:r>
      <w:r w:rsidR="00021A45" w:rsidRPr="00D65FF0">
        <w:rPr>
          <w:rFonts w:cs="Times New Roman"/>
          <w:sz w:val="24"/>
          <w:szCs w:val="24"/>
        </w:rPr>
        <w:instrText xml:space="preserve"> SEQ MTEqn \h \* MERGEFORMAT </w:instrText>
      </w:r>
      <w:r w:rsidR="00021A45" w:rsidRPr="00D65FF0">
        <w:rPr>
          <w:rFonts w:cs="Times New Roman"/>
          <w:sz w:val="24"/>
          <w:szCs w:val="24"/>
        </w:rPr>
        <w:fldChar w:fldCharType="end"/>
      </w:r>
      <w:bookmarkStart w:id="18" w:name="ZEqnNum784645"/>
      <w:r w:rsidR="00021A45" w:rsidRPr="00D65FF0">
        <w:rPr>
          <w:rFonts w:cs="Times New Roman"/>
          <w:sz w:val="24"/>
          <w:szCs w:val="24"/>
        </w:rPr>
        <w:instrText>(</w:instrText>
      </w:r>
      <w:r w:rsidR="00021A45" w:rsidRPr="00D65FF0">
        <w:rPr>
          <w:rFonts w:cs="Times New Roman"/>
          <w:sz w:val="24"/>
          <w:szCs w:val="24"/>
        </w:rPr>
        <w:fldChar w:fldCharType="begin"/>
      </w:r>
      <w:r w:rsidR="00021A45" w:rsidRPr="00D65FF0">
        <w:rPr>
          <w:rFonts w:cs="Times New Roman"/>
          <w:sz w:val="24"/>
          <w:szCs w:val="24"/>
        </w:rPr>
        <w:instrText xml:space="preserve"> SEQ MTEqn \c \* Arabic \* MERGEFORMAT </w:instrText>
      </w:r>
      <w:r w:rsidR="00021A45" w:rsidRPr="00D65FF0">
        <w:rPr>
          <w:rFonts w:cs="Times New Roman"/>
          <w:sz w:val="24"/>
          <w:szCs w:val="24"/>
        </w:rPr>
        <w:fldChar w:fldCharType="separate"/>
      </w:r>
      <w:r w:rsidR="00740F16">
        <w:rPr>
          <w:rFonts w:cs="Times New Roman"/>
          <w:noProof/>
          <w:sz w:val="24"/>
          <w:szCs w:val="24"/>
        </w:rPr>
        <w:instrText>2</w:instrText>
      </w:r>
      <w:r w:rsidR="00021A45" w:rsidRPr="00D65FF0">
        <w:rPr>
          <w:rFonts w:cs="Times New Roman"/>
          <w:sz w:val="24"/>
          <w:szCs w:val="24"/>
        </w:rPr>
        <w:fldChar w:fldCharType="end"/>
      </w:r>
      <w:r w:rsidR="00021A45" w:rsidRPr="00D65FF0">
        <w:rPr>
          <w:rFonts w:cs="Times New Roman"/>
          <w:sz w:val="24"/>
          <w:szCs w:val="24"/>
        </w:rPr>
        <w:instrText>)</w:instrText>
      </w:r>
      <w:bookmarkEnd w:id="18"/>
      <w:r w:rsidR="00021A45" w:rsidRPr="00D65FF0">
        <w:rPr>
          <w:rFonts w:cs="Times New Roman"/>
          <w:sz w:val="24"/>
          <w:szCs w:val="24"/>
        </w:rPr>
        <w:fldChar w:fldCharType="end"/>
      </w:r>
    </w:p>
    <w:p w14:paraId="4D9B2D5D" w14:textId="4BBE0070" w:rsidR="00E96773" w:rsidRPr="000739C4" w:rsidRDefault="003459A9" w:rsidP="00600AA5">
      <w:pPr>
        <w:spacing w:after="0" w:line="240" w:lineRule="auto"/>
        <w:ind w:firstLine="720"/>
        <w:rPr>
          <w:rFonts w:cs="Times New Roman"/>
          <w:sz w:val="24"/>
          <w:szCs w:val="24"/>
        </w:rPr>
      </w:pPr>
      <w:r w:rsidRPr="000739C4">
        <w:rPr>
          <w:rFonts w:cs="Times New Roman"/>
          <w:sz w:val="24"/>
          <w:szCs w:val="24"/>
        </w:rPr>
        <w:t xml:space="preserve">The values of </w:t>
      </w:r>
      <w:r w:rsidR="008377C7" w:rsidRPr="000739C4">
        <w:rPr>
          <w:rFonts w:cs="Times New Roman"/>
          <w:sz w:val="24"/>
          <w:szCs w:val="24"/>
        </w:rPr>
        <w:t>the elements of the</w:t>
      </w:r>
      <w:r w:rsidR="00600AA5">
        <w:rPr>
          <w:rFonts w:cs="Times New Roman"/>
          <w:sz w:val="24"/>
          <w:szCs w:val="24"/>
        </w:rPr>
        <w:t xml:space="preserve"> </w:t>
      </w:r>
      <w:r w:rsidR="00600AA5" w:rsidRPr="00600AA5">
        <w:rPr>
          <w:rFonts w:cs="Times New Roman"/>
          <w:b/>
          <w:i/>
          <w:sz w:val="24"/>
          <w:szCs w:val="24"/>
        </w:rPr>
        <w:t>δ</w:t>
      </w:r>
      <w:r w:rsidRPr="000739C4">
        <w:rPr>
          <w:rFonts w:cs="Times New Roman"/>
          <w:sz w:val="24"/>
          <w:szCs w:val="24"/>
        </w:rPr>
        <w:t xml:space="preserve"> </w:t>
      </w:r>
      <w:r w:rsidR="008377C7" w:rsidRPr="000739C4">
        <w:rPr>
          <w:rFonts w:cs="Times New Roman"/>
          <w:sz w:val="24"/>
          <w:szCs w:val="24"/>
        </w:rPr>
        <w:t xml:space="preserve">vector </w:t>
      </w:r>
      <w:r w:rsidR="00437E40" w:rsidRPr="000739C4">
        <w:rPr>
          <w:rFonts w:cs="Times New Roman"/>
          <w:sz w:val="24"/>
          <w:szCs w:val="24"/>
        </w:rPr>
        <w:t xml:space="preserve">should be </w:t>
      </w:r>
      <w:r w:rsidRPr="000739C4">
        <w:rPr>
          <w:rFonts w:cs="Times New Roman"/>
          <w:sz w:val="24"/>
          <w:szCs w:val="24"/>
        </w:rPr>
        <w:t>greater than or equal to zero</w:t>
      </w:r>
      <w:r w:rsidR="00437E40" w:rsidRPr="000739C4">
        <w:rPr>
          <w:rFonts w:cs="Times New Roman"/>
          <w:sz w:val="24"/>
          <w:szCs w:val="24"/>
        </w:rPr>
        <w:t xml:space="preserve">, because increasing any proxy size measure for a zone must increase the chances that </w:t>
      </w:r>
      <w:r w:rsidR="000739C4" w:rsidRPr="000739C4">
        <w:rPr>
          <w:rFonts w:cs="Times New Roman"/>
          <w:sz w:val="24"/>
          <w:szCs w:val="24"/>
        </w:rPr>
        <w:t xml:space="preserve">the </w:t>
      </w:r>
      <w:r w:rsidR="00437E40" w:rsidRPr="000739C4">
        <w:rPr>
          <w:rFonts w:cs="Times New Roman"/>
          <w:sz w:val="24"/>
          <w:szCs w:val="24"/>
        </w:rPr>
        <w:t>zone will be a destination zone for a deadhead trip</w:t>
      </w:r>
      <w:r w:rsidRPr="000739C4">
        <w:rPr>
          <w:rFonts w:cs="Times New Roman"/>
          <w:sz w:val="24"/>
          <w:szCs w:val="24"/>
        </w:rPr>
        <w:t>.</w:t>
      </w:r>
      <w:r w:rsidR="00B9614A" w:rsidRPr="000739C4">
        <w:rPr>
          <w:rFonts w:cs="Times New Roman"/>
          <w:sz w:val="24"/>
          <w:szCs w:val="24"/>
        </w:rPr>
        <w:t xml:space="preserve"> </w:t>
      </w:r>
      <w:r w:rsidR="004673AD">
        <w:rPr>
          <w:rFonts w:cs="Times New Roman"/>
          <w:sz w:val="24"/>
          <w:szCs w:val="24"/>
        </w:rPr>
        <w:t xml:space="preserve">Thus, the vector </w:t>
      </w:r>
      <w:r w:rsidR="004673AD" w:rsidRPr="00600AA5">
        <w:rPr>
          <w:rFonts w:cs="Times New Roman"/>
          <w:b/>
          <w:i/>
          <w:sz w:val="24"/>
          <w:szCs w:val="24"/>
        </w:rPr>
        <w:t>δ</w:t>
      </w:r>
      <w:r w:rsidR="004673AD" w:rsidRPr="000739C4">
        <w:rPr>
          <w:rFonts w:cs="Times New Roman"/>
          <w:sz w:val="24"/>
          <w:szCs w:val="24"/>
        </w:rPr>
        <w:t xml:space="preserve"> vector </w:t>
      </w:r>
      <w:r w:rsidR="004673AD">
        <w:rPr>
          <w:rFonts w:cs="Times New Roman"/>
          <w:sz w:val="24"/>
          <w:szCs w:val="24"/>
        </w:rPr>
        <w:t xml:space="preserve">itself is parameterized as </w:t>
      </w:r>
      <w:r w:rsidR="00253156" w:rsidRPr="00BB414B">
        <w:rPr>
          <w:rFonts w:cs="Times New Roman"/>
          <w:noProof/>
          <w:position w:val="-10"/>
          <w:sz w:val="24"/>
          <w:szCs w:val="24"/>
        </w:rPr>
        <w:object w:dxaOrig="1120" w:dyaOrig="320" w14:anchorId="44A52C9A">
          <v:shape id="_x0000_i1036" type="#_x0000_t75" style="width:56.25pt;height:15pt" o:ole="" o:preferrelative="f">
            <v:imagedata r:id="rId38" o:title=""/>
            <o:lock v:ext="edit" aspectratio="f"/>
          </v:shape>
          <o:OLEObject Type="Embed" ProgID="Equation.DSMT4" ShapeID="_x0000_i1036" DrawAspect="Content" ObjectID="_1646040564" r:id="rId39"/>
        </w:object>
      </w:r>
      <w:r w:rsidR="004673AD">
        <w:rPr>
          <w:rFonts w:cs="Times New Roman"/>
          <w:noProof/>
          <w:sz w:val="24"/>
          <w:szCs w:val="24"/>
        </w:rPr>
        <w:t xml:space="preserve"> and the </w:t>
      </w:r>
      <w:r w:rsidR="004673AD" w:rsidRPr="000739C4">
        <w:rPr>
          <w:rFonts w:cs="Times New Roman"/>
          <w:sz w:val="24"/>
          <w:szCs w:val="24"/>
        </w:rPr>
        <w:t>vector</w:t>
      </w:r>
      <w:r w:rsidR="00253156">
        <w:rPr>
          <w:rFonts w:cs="Times New Roman"/>
          <w:sz w:val="24"/>
          <w:szCs w:val="24"/>
        </w:rPr>
        <w:t xml:space="preserve"> </w:t>
      </w:r>
      <w:r w:rsidR="00253156" w:rsidRPr="00253156">
        <w:rPr>
          <w:rFonts w:cs="Times New Roman"/>
          <w:b/>
          <w:i/>
          <w:sz w:val="24"/>
          <w:szCs w:val="24"/>
        </w:rPr>
        <w:t>γ</w:t>
      </w:r>
      <w:r w:rsidR="004673AD" w:rsidRPr="000739C4">
        <w:rPr>
          <w:rFonts w:cs="Times New Roman"/>
          <w:sz w:val="24"/>
          <w:szCs w:val="24"/>
        </w:rPr>
        <w:t xml:space="preserve"> </w:t>
      </w:r>
      <w:r w:rsidR="004673AD">
        <w:rPr>
          <w:rFonts w:cs="Times New Roman"/>
          <w:sz w:val="24"/>
          <w:szCs w:val="24"/>
        </w:rPr>
        <w:t xml:space="preserve">is estimated and then translated back into the vector </w:t>
      </w:r>
      <w:r w:rsidR="00432923" w:rsidRPr="00600AA5">
        <w:rPr>
          <w:rFonts w:cs="Times New Roman"/>
          <w:b/>
          <w:i/>
          <w:sz w:val="24"/>
          <w:szCs w:val="24"/>
        </w:rPr>
        <w:t>δ</w:t>
      </w:r>
      <w:r w:rsidR="004673AD">
        <w:rPr>
          <w:rFonts w:cs="Times New Roman"/>
          <w:sz w:val="24"/>
          <w:szCs w:val="24"/>
        </w:rPr>
        <w:t xml:space="preserve">. </w:t>
      </w:r>
      <w:r w:rsidR="00B9614A" w:rsidRPr="000739C4">
        <w:rPr>
          <w:rFonts w:cs="Times New Roman"/>
          <w:sz w:val="24"/>
          <w:szCs w:val="24"/>
        </w:rPr>
        <w:t xml:space="preserve">Also, for identification purposes, one of the elements of the </w:t>
      </w:r>
      <w:r w:rsidR="00432923" w:rsidRPr="00600AA5">
        <w:rPr>
          <w:rFonts w:cs="Times New Roman"/>
          <w:b/>
          <w:i/>
          <w:sz w:val="24"/>
          <w:szCs w:val="24"/>
        </w:rPr>
        <w:t>δ</w:t>
      </w:r>
      <w:r w:rsidR="00B9614A" w:rsidRPr="000739C4">
        <w:rPr>
          <w:rFonts w:cs="Times New Roman"/>
          <w:noProof/>
          <w:sz w:val="24"/>
          <w:szCs w:val="24"/>
        </w:rPr>
        <w:t xml:space="preserve"> vector should be normalized to a specific value. </w:t>
      </w:r>
      <w:r w:rsidR="00B9614A" w:rsidRPr="000739C4">
        <w:rPr>
          <w:rFonts w:cs="Times New Roman"/>
          <w:sz w:val="24"/>
          <w:szCs w:val="24"/>
        </w:rPr>
        <w:t>Then, the coefficients on the other size variables provide the importance of these other size variables in attracting deadhead trips (</w:t>
      </w:r>
      <w:r w:rsidR="00B9614A" w:rsidRPr="00600AA5">
        <w:rPr>
          <w:rFonts w:cs="Times New Roman"/>
          <w:i/>
          <w:sz w:val="24"/>
          <w:szCs w:val="24"/>
        </w:rPr>
        <w:t>i.e.</w:t>
      </w:r>
      <w:r w:rsidR="00B9614A" w:rsidRPr="000739C4">
        <w:rPr>
          <w:rFonts w:cs="Times New Roman"/>
          <w:sz w:val="24"/>
          <w:szCs w:val="24"/>
        </w:rPr>
        <w:t xml:space="preserve">, passenger trip originations from the zone) relative to </w:t>
      </w:r>
      <w:r w:rsidR="000C6884" w:rsidRPr="000739C4">
        <w:rPr>
          <w:rFonts w:cs="Times New Roman"/>
          <w:sz w:val="24"/>
          <w:szCs w:val="24"/>
        </w:rPr>
        <w:t>the normalized attribute.</w:t>
      </w:r>
      <w:r w:rsidR="00437E40" w:rsidRPr="000739C4">
        <w:rPr>
          <w:rFonts w:cs="Times New Roman"/>
          <w:sz w:val="24"/>
          <w:szCs w:val="24"/>
        </w:rPr>
        <w:t xml:space="preserve"> </w:t>
      </w:r>
      <w:r w:rsidR="00B9614A" w:rsidRPr="000739C4">
        <w:rPr>
          <w:rFonts w:cs="Times New Roman"/>
          <w:sz w:val="24"/>
          <w:szCs w:val="24"/>
        </w:rPr>
        <w:t xml:space="preserve">Finally, </w:t>
      </w:r>
      <w:r w:rsidR="00253156" w:rsidRPr="00C82A96">
        <w:rPr>
          <w:rFonts w:cs="Times New Roman"/>
          <w:noProof/>
          <w:position w:val="-14"/>
          <w:sz w:val="24"/>
          <w:szCs w:val="24"/>
        </w:rPr>
        <w:object w:dxaOrig="279" w:dyaOrig="380" w14:anchorId="055A528D">
          <v:shape id="_x0000_i1037" type="#_x0000_t75" style="width:14.25pt;height:18.75pt" o:ole="" o:preferrelative="f">
            <v:imagedata r:id="rId40" o:title=""/>
            <o:lock v:ext="edit" aspectratio="f"/>
          </v:shape>
          <o:OLEObject Type="Embed" ProgID="Equation.DSMT4" ShapeID="_x0000_i1037" DrawAspect="Content" ObjectID="_1646040565" r:id="rId41"/>
        </w:object>
      </w:r>
      <w:r w:rsidR="00660350" w:rsidRPr="000739C4">
        <w:rPr>
          <w:rFonts w:cs="Times New Roman"/>
          <w:sz w:val="24"/>
          <w:szCs w:val="24"/>
        </w:rPr>
        <w:t xml:space="preserve"> represents the systemic component of the utility function</w:t>
      </w:r>
      <w:r w:rsidR="00437E40" w:rsidRPr="000739C4">
        <w:rPr>
          <w:rFonts w:cs="Times New Roman"/>
          <w:sz w:val="24"/>
          <w:szCs w:val="24"/>
        </w:rPr>
        <w:t xml:space="preserve"> in Equation (</w:t>
      </w:r>
      <w:r w:rsidR="003650ED" w:rsidRPr="000739C4">
        <w:rPr>
          <w:rFonts w:cs="Times New Roman"/>
          <w:sz w:val="24"/>
          <w:szCs w:val="24"/>
        </w:rPr>
        <w:t>2</w:t>
      </w:r>
      <w:r w:rsidR="00437E40" w:rsidRPr="000739C4">
        <w:rPr>
          <w:rFonts w:cs="Times New Roman"/>
          <w:sz w:val="24"/>
          <w:szCs w:val="24"/>
        </w:rPr>
        <w:t>)</w:t>
      </w:r>
      <w:r w:rsidR="00660350" w:rsidRPr="000739C4">
        <w:rPr>
          <w:rFonts w:cs="Times New Roman"/>
          <w:sz w:val="24"/>
          <w:szCs w:val="24"/>
        </w:rPr>
        <w:t>.</w:t>
      </w:r>
      <w:r w:rsidR="003650ED" w:rsidRPr="000739C4">
        <w:rPr>
          <w:rFonts w:cs="Times New Roman"/>
          <w:sz w:val="24"/>
          <w:szCs w:val="24"/>
        </w:rPr>
        <w:t xml:space="preserve"> The magnitude of the parameter </w:t>
      </w:r>
      <w:r w:rsidR="00600AA5" w:rsidRPr="00600AA5">
        <w:rPr>
          <w:rFonts w:cs="Times New Roman"/>
          <w:i/>
          <w:sz w:val="24"/>
          <w:szCs w:val="24"/>
        </w:rPr>
        <w:t>η</w:t>
      </w:r>
      <w:r w:rsidR="006B0663" w:rsidRPr="000739C4">
        <w:rPr>
          <w:rFonts w:cs="Times New Roman"/>
          <w:noProof/>
          <w:sz w:val="24"/>
          <w:szCs w:val="24"/>
        </w:rPr>
        <w:t xml:space="preserve"> </w:t>
      </w:r>
      <w:r w:rsidR="003650ED" w:rsidRPr="000739C4">
        <w:rPr>
          <w:rFonts w:cs="Times New Roman"/>
          <w:sz w:val="24"/>
          <w:szCs w:val="24"/>
        </w:rPr>
        <w:t xml:space="preserve">in Equation (2) characterizes the presence of common unobserved zonal attributes affecting the attractiveness of all elemental alternatives in a zone as deadhead destinations. </w:t>
      </w:r>
      <w:r w:rsidR="008377C7" w:rsidRPr="000739C4">
        <w:rPr>
          <w:rFonts w:cs="Times New Roman"/>
          <w:sz w:val="24"/>
          <w:szCs w:val="24"/>
        </w:rPr>
        <w:t xml:space="preserve">For example, consider </w:t>
      </w:r>
      <w:r w:rsidR="00EF5503" w:rsidRPr="000739C4">
        <w:rPr>
          <w:rFonts w:cs="Times New Roman"/>
          <w:sz w:val="24"/>
          <w:szCs w:val="24"/>
        </w:rPr>
        <w:t>a</w:t>
      </w:r>
      <w:r w:rsidR="008377C7" w:rsidRPr="000739C4">
        <w:rPr>
          <w:rFonts w:cs="Times New Roman"/>
          <w:sz w:val="24"/>
          <w:szCs w:val="24"/>
        </w:rPr>
        <w:t xml:space="preserve"> </w:t>
      </w:r>
      <w:r w:rsidR="003650ED" w:rsidRPr="000739C4">
        <w:rPr>
          <w:rFonts w:cs="Times New Roman"/>
          <w:sz w:val="24"/>
          <w:szCs w:val="24"/>
        </w:rPr>
        <w:t>uniformly elevated attractiveness of elemental destinations within a zone</w:t>
      </w:r>
      <w:r w:rsidR="008377C7" w:rsidRPr="000739C4">
        <w:rPr>
          <w:rFonts w:cs="Times New Roman"/>
          <w:sz w:val="24"/>
          <w:szCs w:val="24"/>
        </w:rPr>
        <w:t>. This</w:t>
      </w:r>
      <w:r w:rsidR="003650ED" w:rsidRPr="000739C4">
        <w:rPr>
          <w:rFonts w:cs="Times New Roman"/>
          <w:sz w:val="24"/>
          <w:szCs w:val="24"/>
        </w:rPr>
        <w:t xml:space="preserve"> results in cannibalization of sorts in terms of passenger pick-ups (because prospective passengers may go to </w:t>
      </w:r>
      <w:r w:rsidR="008377C7" w:rsidRPr="000739C4">
        <w:rPr>
          <w:rFonts w:cs="Times New Roman"/>
          <w:sz w:val="24"/>
          <w:szCs w:val="24"/>
        </w:rPr>
        <w:t xml:space="preserve">any </w:t>
      </w:r>
      <w:r w:rsidR="003650ED" w:rsidRPr="000739C4">
        <w:rPr>
          <w:rFonts w:cs="Times New Roman"/>
          <w:sz w:val="24"/>
          <w:szCs w:val="24"/>
        </w:rPr>
        <w:t>elemental location within a zone</w:t>
      </w:r>
      <w:r w:rsidR="00E96773">
        <w:rPr>
          <w:rFonts w:cs="Times New Roman"/>
          <w:sz w:val="24"/>
          <w:szCs w:val="24"/>
        </w:rPr>
        <w:t>,</w:t>
      </w:r>
      <w:r w:rsidR="008377C7" w:rsidRPr="000739C4">
        <w:rPr>
          <w:rFonts w:cs="Times New Roman"/>
          <w:sz w:val="24"/>
          <w:szCs w:val="24"/>
        </w:rPr>
        <w:t xml:space="preserve"> all of which are </w:t>
      </w:r>
      <w:r w:rsidR="006B0663" w:rsidRPr="000739C4">
        <w:rPr>
          <w:rFonts w:cs="Times New Roman"/>
          <w:sz w:val="24"/>
          <w:szCs w:val="24"/>
        </w:rPr>
        <w:t>highly</w:t>
      </w:r>
      <w:r w:rsidR="008377C7" w:rsidRPr="000739C4">
        <w:rPr>
          <w:rFonts w:cs="Times New Roman"/>
          <w:sz w:val="24"/>
          <w:szCs w:val="24"/>
        </w:rPr>
        <w:t xml:space="preserve"> favorable</w:t>
      </w:r>
      <w:r w:rsidR="00E96773">
        <w:rPr>
          <w:rFonts w:cs="Times New Roman"/>
          <w:sz w:val="24"/>
          <w:szCs w:val="24"/>
        </w:rPr>
        <w:t>;</w:t>
      </w:r>
      <w:r w:rsidR="003650ED" w:rsidRPr="000739C4">
        <w:rPr>
          <w:rFonts w:cs="Times New Roman"/>
          <w:sz w:val="24"/>
          <w:szCs w:val="24"/>
        </w:rPr>
        <w:t xml:space="preserve"> and going to one </w:t>
      </w:r>
      <w:r w:rsidR="008377C7" w:rsidRPr="000739C4">
        <w:rPr>
          <w:rFonts w:cs="Times New Roman"/>
          <w:sz w:val="24"/>
          <w:szCs w:val="24"/>
        </w:rPr>
        <w:t xml:space="preserve">elemental </w:t>
      </w:r>
      <w:r w:rsidR="003650ED" w:rsidRPr="000739C4">
        <w:rPr>
          <w:rFonts w:cs="Times New Roman"/>
          <w:sz w:val="24"/>
          <w:szCs w:val="24"/>
        </w:rPr>
        <w:t xml:space="preserve">location implies </w:t>
      </w:r>
      <w:r w:rsidR="008377C7" w:rsidRPr="000739C4">
        <w:rPr>
          <w:rFonts w:cs="Times New Roman"/>
          <w:sz w:val="24"/>
          <w:szCs w:val="24"/>
        </w:rPr>
        <w:t xml:space="preserve">a </w:t>
      </w:r>
      <w:proofErr w:type="gramStart"/>
      <w:r w:rsidR="008377C7" w:rsidRPr="000739C4">
        <w:rPr>
          <w:rFonts w:cs="Times New Roman"/>
          <w:sz w:val="24"/>
          <w:szCs w:val="24"/>
        </w:rPr>
        <w:t>drop in</w:t>
      </w:r>
      <w:proofErr w:type="gramEnd"/>
      <w:r w:rsidR="008377C7" w:rsidRPr="000739C4">
        <w:rPr>
          <w:rFonts w:cs="Times New Roman"/>
          <w:sz w:val="24"/>
          <w:szCs w:val="24"/>
        </w:rPr>
        <w:t xml:space="preserve"> pick-up at another elemental location). </w:t>
      </w:r>
      <w:r w:rsidR="003650ED" w:rsidRPr="000739C4">
        <w:rPr>
          <w:rFonts w:cs="Times New Roman"/>
          <w:sz w:val="24"/>
          <w:szCs w:val="24"/>
        </w:rPr>
        <w:t>This parameter is expected to lie between 0 and 1</w:t>
      </w:r>
      <w:r w:rsidR="008377C7" w:rsidRPr="000739C4">
        <w:rPr>
          <w:rFonts w:cs="Times New Roman"/>
          <w:sz w:val="24"/>
          <w:szCs w:val="24"/>
        </w:rPr>
        <w:t xml:space="preserve">, with a value of 1 denoting no cannibalization effects and a value of zero essentially indicating such a high cannibalization level that the number of elemental locations within a zone </w:t>
      </w:r>
      <w:r w:rsidR="007932CC" w:rsidRPr="000739C4">
        <w:rPr>
          <w:rFonts w:cs="Times New Roman"/>
          <w:sz w:val="24"/>
          <w:szCs w:val="24"/>
        </w:rPr>
        <w:t>(</w:t>
      </w:r>
      <w:r w:rsidR="00E96773" w:rsidRPr="00600AA5">
        <w:rPr>
          <w:rFonts w:cs="Times New Roman"/>
          <w:i/>
          <w:sz w:val="24"/>
          <w:szCs w:val="24"/>
        </w:rPr>
        <w:t>i.e.</w:t>
      </w:r>
      <w:r w:rsidR="00E96773">
        <w:rPr>
          <w:rFonts w:cs="Times New Roman"/>
          <w:sz w:val="24"/>
          <w:szCs w:val="24"/>
        </w:rPr>
        <w:t>, the zone size</w:t>
      </w:r>
      <w:r w:rsidR="007932CC" w:rsidRPr="000739C4">
        <w:rPr>
          <w:rFonts w:cs="Times New Roman"/>
          <w:sz w:val="24"/>
          <w:szCs w:val="24"/>
        </w:rPr>
        <w:t xml:space="preserve">) </w:t>
      </w:r>
      <w:r w:rsidR="008377C7" w:rsidRPr="000739C4">
        <w:rPr>
          <w:rFonts w:cs="Times New Roman"/>
          <w:sz w:val="24"/>
          <w:szCs w:val="24"/>
        </w:rPr>
        <w:t xml:space="preserve">does not matter. </w:t>
      </w:r>
      <w:r w:rsidR="00E96773">
        <w:rPr>
          <w:rFonts w:cs="Times New Roman"/>
          <w:sz w:val="24"/>
          <w:szCs w:val="24"/>
        </w:rPr>
        <w:t>Another way to see this is to write</w:t>
      </w:r>
      <w:r w:rsidR="008377C7" w:rsidRPr="000739C4">
        <w:rPr>
          <w:rFonts w:cs="Times New Roman"/>
          <w:sz w:val="24"/>
          <w:szCs w:val="24"/>
        </w:rPr>
        <w:t xml:space="preserve"> the probability expression for a deadheading trip </w:t>
      </w:r>
      <w:r w:rsidR="00600AA5" w:rsidRPr="00600AA5">
        <w:rPr>
          <w:i/>
          <w:sz w:val="24"/>
          <w:szCs w:val="24"/>
        </w:rPr>
        <w:t>n</w:t>
      </w:r>
      <w:r w:rsidR="00D66C94" w:rsidRPr="000739C4">
        <w:rPr>
          <w:rFonts w:cs="Times New Roman"/>
          <w:sz w:val="24"/>
          <w:szCs w:val="24"/>
        </w:rPr>
        <w:t xml:space="preserve"> with origin</w:t>
      </w:r>
      <w:r w:rsidR="00ED3410" w:rsidRPr="000739C4">
        <w:rPr>
          <w:rFonts w:cs="Times New Roman"/>
          <w:sz w:val="24"/>
          <w:szCs w:val="24"/>
        </w:rPr>
        <w:t xml:space="preserve"> TAZ</w:t>
      </w:r>
      <w:r w:rsidR="00600AA5">
        <w:rPr>
          <w:rFonts w:cs="Times New Roman"/>
          <w:sz w:val="24"/>
          <w:szCs w:val="24"/>
        </w:rPr>
        <w:t xml:space="preserve"> </w:t>
      </w:r>
      <w:proofErr w:type="spellStart"/>
      <w:r w:rsidR="00600AA5" w:rsidRPr="00600AA5">
        <w:rPr>
          <w:rFonts w:cs="Times New Roman"/>
          <w:i/>
          <w:sz w:val="24"/>
          <w:szCs w:val="24"/>
        </w:rPr>
        <w:t>i</w:t>
      </w:r>
      <w:proofErr w:type="spellEnd"/>
      <w:r w:rsidR="00D66C94" w:rsidRPr="000739C4">
        <w:rPr>
          <w:rFonts w:cs="Times New Roman"/>
          <w:sz w:val="24"/>
          <w:szCs w:val="24"/>
        </w:rPr>
        <w:t xml:space="preserve"> </w:t>
      </w:r>
      <w:r w:rsidR="00B9614A" w:rsidRPr="000739C4">
        <w:rPr>
          <w:rFonts w:cs="Times New Roman"/>
          <w:sz w:val="24"/>
          <w:szCs w:val="24"/>
        </w:rPr>
        <w:t>and</w:t>
      </w:r>
      <w:r w:rsidR="00ED3410" w:rsidRPr="000739C4">
        <w:rPr>
          <w:rFonts w:cs="Times New Roman"/>
          <w:sz w:val="24"/>
          <w:szCs w:val="24"/>
        </w:rPr>
        <w:t xml:space="preserve"> </w:t>
      </w:r>
      <w:r w:rsidR="00B9614A" w:rsidRPr="000739C4">
        <w:rPr>
          <w:rFonts w:cs="Times New Roman"/>
          <w:sz w:val="24"/>
          <w:szCs w:val="24"/>
        </w:rPr>
        <w:t xml:space="preserve">destination </w:t>
      </w:r>
      <w:r w:rsidR="00ED3410" w:rsidRPr="000739C4">
        <w:rPr>
          <w:rFonts w:cs="Times New Roman"/>
          <w:sz w:val="24"/>
          <w:szCs w:val="24"/>
        </w:rPr>
        <w:t>TAZ</w:t>
      </w:r>
      <w:r w:rsidR="00841F9F" w:rsidRPr="000739C4">
        <w:rPr>
          <w:rFonts w:cs="Times New Roman"/>
          <w:sz w:val="24"/>
          <w:szCs w:val="24"/>
        </w:rPr>
        <w:t xml:space="preserve"> </w:t>
      </w:r>
      <w:r w:rsidR="00600AA5" w:rsidRPr="00600AA5">
        <w:rPr>
          <w:rFonts w:cs="Times New Roman"/>
          <w:i/>
          <w:sz w:val="24"/>
          <w:szCs w:val="24"/>
        </w:rPr>
        <w:t>j</w:t>
      </w:r>
      <w:r w:rsidR="00B9614A" w:rsidRPr="000739C4">
        <w:rPr>
          <w:rFonts w:cs="Times New Roman"/>
          <w:sz w:val="24"/>
          <w:szCs w:val="24"/>
        </w:rPr>
        <w:t xml:space="preserve"> as:</w:t>
      </w:r>
    </w:p>
    <w:p w14:paraId="353C2D32" w14:textId="527B2D34" w:rsidR="00E96773" w:rsidRPr="00600AA5" w:rsidRDefault="00432923" w:rsidP="00D377B9">
      <w:pPr>
        <w:tabs>
          <w:tab w:val="right" w:pos="9360"/>
        </w:tabs>
        <w:spacing w:before="80" w:after="80" w:line="240" w:lineRule="auto"/>
        <w:rPr>
          <w:rFonts w:cs="Times New Roman"/>
        </w:rPr>
      </w:pPr>
      <w:r w:rsidRPr="00DD51AF">
        <w:rPr>
          <w:rFonts w:cs="Times New Roman"/>
          <w:noProof/>
          <w:position w:val="-50"/>
        </w:rPr>
        <w:object w:dxaOrig="4980" w:dyaOrig="960" w14:anchorId="0E450BC5">
          <v:shape id="_x0000_i1038" type="#_x0000_t75" style="width:249.75pt;height:48pt" o:ole="" o:preferrelative="f">
            <v:imagedata r:id="rId42" o:title=""/>
            <o:lock v:ext="edit" aspectratio="f"/>
          </v:shape>
          <o:OLEObject Type="Embed" ProgID="Equation.DSMT4" ShapeID="_x0000_i1038" DrawAspect="Content" ObjectID="_1646040566" r:id="rId43"/>
        </w:object>
      </w:r>
      <w:r w:rsidR="00600AA5">
        <w:rPr>
          <w:rFonts w:cs="Times New Roman"/>
          <w:noProof/>
        </w:rPr>
        <w:t>,</w:t>
      </w:r>
      <w:r w:rsidR="00841F9F" w:rsidRPr="007932CC">
        <w:rPr>
          <w:rFonts w:cs="Times New Roman"/>
        </w:rPr>
        <w:t xml:space="preserve"> </w:t>
      </w:r>
      <w:r w:rsidR="00F50EBC" w:rsidRPr="007932CC">
        <w:rPr>
          <w:rFonts w:cs="Times New Roman"/>
        </w:rPr>
        <w:tab/>
      </w:r>
      <w:r w:rsidR="00A555FB">
        <w:rPr>
          <w:rFonts w:cs="Times New Roman"/>
        </w:rPr>
        <w:fldChar w:fldCharType="begin"/>
      </w:r>
      <w:r w:rsidR="00A555FB">
        <w:rPr>
          <w:rFonts w:cs="Times New Roman"/>
        </w:rPr>
        <w:instrText xml:space="preserve"> MACROBUTTON MTPlaceRef \* MERGEFORMAT </w:instrText>
      </w:r>
      <w:r w:rsidR="00A555FB">
        <w:rPr>
          <w:rFonts w:cs="Times New Roman"/>
        </w:rPr>
        <w:fldChar w:fldCharType="begin"/>
      </w:r>
      <w:r w:rsidR="00A555FB">
        <w:rPr>
          <w:rFonts w:cs="Times New Roman"/>
        </w:rPr>
        <w:instrText xml:space="preserve"> SEQ MTEqn \h \* MERGEFORMAT </w:instrText>
      </w:r>
      <w:r w:rsidR="00A555FB">
        <w:rPr>
          <w:rFonts w:cs="Times New Roman"/>
        </w:rPr>
        <w:fldChar w:fldCharType="end"/>
      </w:r>
      <w:bookmarkStart w:id="19" w:name="ZEqnNum210075"/>
      <w:r w:rsidR="00A555FB">
        <w:rPr>
          <w:rFonts w:cs="Times New Roman"/>
        </w:rPr>
        <w:instrText>(</w:instrText>
      </w:r>
      <w:r w:rsidR="00A555FB">
        <w:rPr>
          <w:rFonts w:cs="Times New Roman"/>
        </w:rPr>
        <w:fldChar w:fldCharType="begin"/>
      </w:r>
      <w:r w:rsidR="00A555FB">
        <w:rPr>
          <w:rFonts w:cs="Times New Roman"/>
        </w:rPr>
        <w:instrText xml:space="preserve"> SEQ MTEqn \c \* Arabic \* MERGEFORMAT </w:instrText>
      </w:r>
      <w:r w:rsidR="00A555FB">
        <w:rPr>
          <w:rFonts w:cs="Times New Roman"/>
        </w:rPr>
        <w:fldChar w:fldCharType="separate"/>
      </w:r>
      <w:r w:rsidR="00740F16">
        <w:rPr>
          <w:rFonts w:cs="Times New Roman"/>
          <w:noProof/>
        </w:rPr>
        <w:instrText>3</w:instrText>
      </w:r>
      <w:r w:rsidR="00A555FB">
        <w:rPr>
          <w:rFonts w:cs="Times New Roman"/>
        </w:rPr>
        <w:fldChar w:fldCharType="end"/>
      </w:r>
      <w:r w:rsidR="00A555FB">
        <w:rPr>
          <w:rFonts w:cs="Times New Roman"/>
        </w:rPr>
        <w:instrText>)</w:instrText>
      </w:r>
      <w:bookmarkEnd w:id="19"/>
      <w:r w:rsidR="00A555FB">
        <w:rPr>
          <w:rFonts w:cs="Times New Roman"/>
        </w:rPr>
        <w:fldChar w:fldCharType="end"/>
      </w:r>
    </w:p>
    <w:p w14:paraId="449CF5B9" w14:textId="6452C387" w:rsidR="00B9614A" w:rsidRPr="00E96773" w:rsidRDefault="00600AA5" w:rsidP="00E96773">
      <w:pPr>
        <w:spacing w:after="0" w:line="240" w:lineRule="auto"/>
        <w:rPr>
          <w:rFonts w:cs="Times New Roman"/>
          <w:sz w:val="24"/>
          <w:szCs w:val="24"/>
        </w:rPr>
      </w:pPr>
      <w:r>
        <w:rPr>
          <w:rFonts w:cs="Times New Roman"/>
          <w:sz w:val="24"/>
          <w:szCs w:val="24"/>
        </w:rPr>
        <w:t>w</w:t>
      </w:r>
      <w:r w:rsidR="00D66C94" w:rsidRPr="00E96773">
        <w:rPr>
          <w:rFonts w:cs="Times New Roman"/>
          <w:sz w:val="24"/>
          <w:szCs w:val="24"/>
        </w:rPr>
        <w:t>here</w:t>
      </w:r>
      <w:r>
        <w:rPr>
          <w:rFonts w:cs="Times New Roman"/>
          <w:sz w:val="24"/>
          <w:szCs w:val="24"/>
        </w:rPr>
        <w:t xml:space="preserve"> </w:t>
      </w:r>
      <w:r w:rsidR="00432923" w:rsidRPr="00AD6F13">
        <w:rPr>
          <w:rFonts w:cs="Times New Roman"/>
          <w:noProof/>
          <w:position w:val="-12"/>
          <w:sz w:val="24"/>
          <w:szCs w:val="24"/>
        </w:rPr>
        <w:object w:dxaOrig="300" w:dyaOrig="360" w14:anchorId="41868957">
          <v:shape id="_x0000_i1039" type="#_x0000_t75" style="width:15pt;height:18pt" o:ole="" o:preferrelative="f">
            <v:imagedata r:id="rId44" o:title=""/>
            <o:lock v:ext="edit" aspectratio="f"/>
          </v:shape>
          <o:OLEObject Type="Embed" ProgID="Equation.DSMT4" ShapeID="_x0000_i1039" DrawAspect="Content" ObjectID="_1646040567" r:id="rId45"/>
        </w:object>
      </w:r>
      <w:r w:rsidR="0084338D">
        <w:rPr>
          <w:rFonts w:cs="Times New Roman"/>
          <w:noProof/>
          <w:sz w:val="24"/>
          <w:szCs w:val="24"/>
        </w:rPr>
        <w:t>,</w:t>
      </w:r>
      <w:r w:rsidR="00D66C94" w:rsidRPr="00E96773">
        <w:rPr>
          <w:rFonts w:cs="Times New Roman"/>
          <w:sz w:val="24"/>
          <w:szCs w:val="24"/>
        </w:rPr>
        <w:t xml:space="preserve"> is </w:t>
      </w:r>
      <w:r w:rsidR="00C42EB1">
        <w:rPr>
          <w:rFonts w:cs="Times New Roman"/>
          <w:sz w:val="24"/>
          <w:szCs w:val="24"/>
        </w:rPr>
        <w:t>the</w:t>
      </w:r>
      <w:r w:rsidR="00154AC1">
        <w:rPr>
          <w:rFonts w:cs="Times New Roman"/>
          <w:sz w:val="24"/>
          <w:szCs w:val="24"/>
        </w:rPr>
        <w:t xml:space="preserve"> choice</w:t>
      </w:r>
      <w:r w:rsidR="00154AC1" w:rsidRPr="00E96773">
        <w:rPr>
          <w:rFonts w:cs="Times New Roman"/>
          <w:sz w:val="24"/>
          <w:szCs w:val="24"/>
        </w:rPr>
        <w:t xml:space="preserve"> </w:t>
      </w:r>
      <w:r w:rsidR="00D66C94" w:rsidRPr="00E96773">
        <w:rPr>
          <w:rFonts w:cs="Times New Roman"/>
          <w:sz w:val="24"/>
          <w:szCs w:val="24"/>
        </w:rPr>
        <w:t>set of possible destination TAZs</w:t>
      </w:r>
      <w:r w:rsidR="00154AC1">
        <w:rPr>
          <w:rFonts w:cs="Times New Roman"/>
          <w:sz w:val="24"/>
          <w:szCs w:val="24"/>
        </w:rPr>
        <w:t xml:space="preserve"> for </w:t>
      </w:r>
      <w:r w:rsidR="00016601">
        <w:rPr>
          <w:rFonts w:cs="Times New Roman"/>
          <w:sz w:val="24"/>
          <w:szCs w:val="24"/>
        </w:rPr>
        <w:t xml:space="preserve">a trip originating in TAZ </w:t>
      </w:r>
      <w:proofErr w:type="spellStart"/>
      <w:r w:rsidR="00432923" w:rsidRPr="00600AA5">
        <w:rPr>
          <w:rFonts w:cs="Times New Roman"/>
          <w:i/>
          <w:sz w:val="24"/>
          <w:szCs w:val="24"/>
        </w:rPr>
        <w:t>i</w:t>
      </w:r>
      <w:proofErr w:type="spellEnd"/>
      <w:r w:rsidR="00D66C94" w:rsidRPr="00E96773">
        <w:rPr>
          <w:rFonts w:cs="Times New Roman"/>
          <w:sz w:val="24"/>
          <w:szCs w:val="24"/>
        </w:rPr>
        <w:t>.</w:t>
      </w:r>
      <w:bookmarkStart w:id="20" w:name="_Ref6211480"/>
      <w:r w:rsidR="006B0663" w:rsidRPr="00E96773">
        <w:rPr>
          <w:rFonts w:cs="Times New Roman"/>
          <w:sz w:val="24"/>
          <w:szCs w:val="24"/>
        </w:rPr>
        <w:t xml:space="preserve"> As </w:t>
      </w:r>
      <w:r w:rsidRPr="00600AA5">
        <w:rPr>
          <w:rFonts w:cs="Times New Roman"/>
          <w:i/>
          <w:sz w:val="24"/>
          <w:szCs w:val="24"/>
        </w:rPr>
        <w:t>η</w:t>
      </w:r>
      <w:r w:rsidR="006B0663" w:rsidRPr="00E96773">
        <w:rPr>
          <w:rFonts w:cs="Times New Roman"/>
          <w:noProof/>
          <w:sz w:val="24"/>
          <w:szCs w:val="24"/>
        </w:rPr>
        <w:t xml:space="preserve"> decreases from </w:t>
      </w:r>
      <w:r w:rsidR="007932CC" w:rsidRPr="00E96773">
        <w:rPr>
          <w:rFonts w:cs="Times New Roman"/>
          <w:noProof/>
          <w:sz w:val="24"/>
          <w:szCs w:val="24"/>
        </w:rPr>
        <w:t xml:space="preserve">the value of </w:t>
      </w:r>
      <w:r w:rsidR="006B0663" w:rsidRPr="00E96773">
        <w:rPr>
          <w:rFonts w:cs="Times New Roman"/>
          <w:noProof/>
          <w:sz w:val="24"/>
          <w:szCs w:val="24"/>
        </w:rPr>
        <w:t>1,</w:t>
      </w:r>
      <w:r w:rsidR="00E96773">
        <w:rPr>
          <w:rFonts w:cs="Times New Roman"/>
          <w:noProof/>
          <w:sz w:val="24"/>
          <w:szCs w:val="24"/>
        </w:rPr>
        <w:t xml:space="preserve"> </w:t>
      </w:r>
      <w:r w:rsidR="006B0663" w:rsidRPr="00E96773">
        <w:rPr>
          <w:rFonts w:cs="Times New Roman"/>
          <w:noProof/>
          <w:sz w:val="24"/>
          <w:szCs w:val="24"/>
        </w:rPr>
        <w:t xml:space="preserve">an increase in the size of a zone </w:t>
      </w:r>
      <w:r w:rsidR="006B0663" w:rsidRPr="00E96773">
        <w:rPr>
          <w:rFonts w:cs="Times New Roman"/>
          <w:i/>
          <w:noProof/>
          <w:sz w:val="24"/>
          <w:szCs w:val="24"/>
        </w:rPr>
        <w:t>j</w:t>
      </w:r>
      <w:r w:rsidR="007932CC" w:rsidRPr="00020841">
        <w:rPr>
          <w:rFonts w:cs="Times New Roman"/>
          <w:noProof/>
          <w:sz w:val="24"/>
          <w:szCs w:val="24"/>
        </w:rPr>
        <w:t>,</w:t>
      </w:r>
      <w:r w:rsidR="006B0663" w:rsidRPr="00020841">
        <w:rPr>
          <w:rFonts w:cs="Times New Roman"/>
          <w:noProof/>
          <w:sz w:val="24"/>
          <w:szCs w:val="24"/>
        </w:rPr>
        <w:t xml:space="preserve"> </w:t>
      </w:r>
      <w:r w:rsidR="00432923" w:rsidRPr="00C82A96">
        <w:rPr>
          <w:rFonts w:cs="Times New Roman"/>
          <w:noProof/>
          <w:position w:val="-14"/>
          <w:sz w:val="24"/>
          <w:szCs w:val="24"/>
        </w:rPr>
        <w:object w:dxaOrig="320" w:dyaOrig="380" w14:anchorId="7AB4103A">
          <v:shape id="_x0000_i1040" type="#_x0000_t75" style="width:15pt;height:18.75pt" o:ole="" o:preferrelative="f">
            <v:imagedata r:id="rId46" o:title=""/>
            <o:lock v:ext="edit" aspectratio="f"/>
          </v:shape>
          <o:OLEObject Type="Embed" ProgID="Equation.DSMT4" ShapeID="_x0000_i1040" DrawAspect="Content" ObjectID="_1646040568" r:id="rId47"/>
        </w:object>
      </w:r>
      <w:r w:rsidR="007932CC" w:rsidRPr="00E96773">
        <w:rPr>
          <w:rFonts w:cs="Times New Roman"/>
          <w:sz w:val="24"/>
          <w:szCs w:val="24"/>
        </w:rPr>
        <w:t>,</w:t>
      </w:r>
      <w:r w:rsidR="006B0663" w:rsidRPr="00E96773">
        <w:rPr>
          <w:rFonts w:cs="Times New Roman"/>
          <w:noProof/>
          <w:sz w:val="24"/>
          <w:szCs w:val="24"/>
        </w:rPr>
        <w:t xml:space="preserve"> has less and less of an effect on the probability of </w:t>
      </w:r>
      <w:r w:rsidR="007932CC" w:rsidRPr="00E96773">
        <w:rPr>
          <w:rFonts w:cs="Times New Roman"/>
          <w:noProof/>
          <w:sz w:val="24"/>
          <w:szCs w:val="24"/>
        </w:rPr>
        <w:t xml:space="preserve">choice of alternative </w:t>
      </w:r>
      <w:r w:rsidR="007932CC" w:rsidRPr="00E96773">
        <w:rPr>
          <w:rFonts w:cs="Times New Roman"/>
          <w:i/>
          <w:noProof/>
          <w:sz w:val="24"/>
          <w:szCs w:val="24"/>
        </w:rPr>
        <w:t>j</w:t>
      </w:r>
      <w:r w:rsidR="007932CC" w:rsidRPr="00E96773">
        <w:rPr>
          <w:rFonts w:cs="Times New Roman"/>
          <w:noProof/>
          <w:sz w:val="24"/>
          <w:szCs w:val="24"/>
        </w:rPr>
        <w:t xml:space="preserve">. </w:t>
      </w:r>
      <w:r w:rsidR="007932CC" w:rsidRPr="00E96773">
        <w:rPr>
          <w:rFonts w:cs="Times New Roman"/>
          <w:sz w:val="24"/>
          <w:szCs w:val="24"/>
        </w:rPr>
        <w:t xml:space="preserve">The model in </w:t>
      </w:r>
      <w:r w:rsidR="00E96773">
        <w:rPr>
          <w:rFonts w:cs="Times New Roman"/>
          <w:sz w:val="24"/>
          <w:szCs w:val="24"/>
        </w:rPr>
        <w:t>E</w:t>
      </w:r>
      <w:r w:rsidR="00EF5503" w:rsidRPr="00E96773">
        <w:rPr>
          <w:rFonts w:cs="Times New Roman"/>
          <w:sz w:val="24"/>
          <w:szCs w:val="24"/>
        </w:rPr>
        <w:t>quation</w:t>
      </w:r>
      <w:r w:rsidR="007932CC" w:rsidRPr="00E96773">
        <w:rPr>
          <w:rFonts w:cs="Times New Roman"/>
          <w:sz w:val="24"/>
          <w:szCs w:val="24"/>
        </w:rPr>
        <w:t xml:space="preserve"> (3) is a </w:t>
      </w:r>
      <w:r w:rsidR="00B9614A" w:rsidRPr="00E96773">
        <w:rPr>
          <w:rFonts w:cs="Times New Roman"/>
          <w:sz w:val="24"/>
          <w:szCs w:val="24"/>
        </w:rPr>
        <w:t>nonlinear-in-parameter</w:t>
      </w:r>
      <w:r w:rsidR="007932CC" w:rsidRPr="00E96773">
        <w:rPr>
          <w:rFonts w:cs="Times New Roman"/>
          <w:sz w:val="24"/>
          <w:szCs w:val="24"/>
        </w:rPr>
        <w:t>s</w:t>
      </w:r>
      <w:r w:rsidR="00B9614A" w:rsidRPr="00E96773">
        <w:rPr>
          <w:rFonts w:cs="Times New Roman"/>
          <w:sz w:val="24"/>
          <w:szCs w:val="24"/>
        </w:rPr>
        <w:t xml:space="preserve"> multinomial logit model (NPMNL)</w:t>
      </w:r>
      <w:r w:rsidR="007932CC" w:rsidRPr="00E96773">
        <w:rPr>
          <w:rFonts w:cs="Times New Roman"/>
          <w:sz w:val="24"/>
          <w:szCs w:val="24"/>
        </w:rPr>
        <w:t xml:space="preserve"> because of the presence of the </w:t>
      </w:r>
      <w:r w:rsidR="004673AD">
        <w:rPr>
          <w:rFonts w:cs="Times New Roman"/>
          <w:sz w:val="24"/>
          <w:szCs w:val="24"/>
        </w:rPr>
        <w:t xml:space="preserve">multiple </w:t>
      </w:r>
      <w:r w:rsidR="007932CC" w:rsidRPr="00E96773">
        <w:rPr>
          <w:rFonts w:cs="Times New Roman"/>
          <w:sz w:val="24"/>
          <w:szCs w:val="24"/>
        </w:rPr>
        <w:t xml:space="preserve">size effects </w:t>
      </w:r>
      <w:r w:rsidR="004673AD">
        <w:rPr>
          <w:rFonts w:cs="Times New Roman"/>
          <w:sz w:val="24"/>
          <w:szCs w:val="24"/>
        </w:rPr>
        <w:t>(as captured by the</w:t>
      </w:r>
      <w:r w:rsidR="00253156" w:rsidRPr="00C82A96">
        <w:rPr>
          <w:rFonts w:cs="Times New Roman"/>
          <w:noProof/>
          <w:position w:val="-14"/>
          <w:sz w:val="24"/>
          <w:szCs w:val="24"/>
        </w:rPr>
        <w:object w:dxaOrig="600" w:dyaOrig="380" w14:anchorId="06E85892">
          <v:shape id="_x0000_i1041" type="#_x0000_t75" style="width:32.25pt;height:18.75pt" o:ole="" o:preferrelative="f">
            <v:imagedata r:id="rId48" o:title=""/>
            <o:lock v:ext="edit" aspectratio="f"/>
          </v:shape>
          <o:OLEObject Type="Embed" ProgID="Equation.DSMT4" ShapeID="_x0000_i1041" DrawAspect="Content" ObjectID="_1646040569" r:id="rId49"/>
        </w:object>
      </w:r>
      <w:r w:rsidR="007932CC" w:rsidRPr="00E96773">
        <w:rPr>
          <w:rFonts w:cs="Times New Roman"/>
          <w:sz w:val="24"/>
          <w:szCs w:val="24"/>
        </w:rPr>
        <w:t>component</w:t>
      </w:r>
      <w:r w:rsidR="004673AD">
        <w:rPr>
          <w:rFonts w:cs="Times New Roman"/>
          <w:sz w:val="24"/>
          <w:szCs w:val="24"/>
        </w:rPr>
        <w:t xml:space="preserve"> in the utility function of Equation (2)</w:t>
      </w:r>
      <w:r w:rsidR="00BB414B">
        <w:rPr>
          <w:rFonts w:cs="Times New Roman"/>
          <w:sz w:val="24"/>
          <w:szCs w:val="24"/>
        </w:rPr>
        <w:t>)</w:t>
      </w:r>
      <w:r w:rsidR="003F1B4B">
        <w:rPr>
          <w:rFonts w:cs="Times New Roman"/>
          <w:sz w:val="24"/>
          <w:szCs w:val="24"/>
        </w:rPr>
        <w:t>.</w:t>
      </w:r>
      <w:r w:rsidR="003F1B4B" w:rsidRPr="00A8552E">
        <w:rPr>
          <w:rStyle w:val="FootnoteReference"/>
        </w:rPr>
        <w:footnoteReference w:id="3"/>
      </w:r>
      <w:r w:rsidR="004673AD">
        <w:rPr>
          <w:rFonts w:cs="Times New Roman"/>
          <w:sz w:val="24"/>
          <w:szCs w:val="24"/>
        </w:rPr>
        <w:t xml:space="preserve"> </w:t>
      </w:r>
      <w:r w:rsidR="007932CC" w:rsidRPr="00E96773">
        <w:rPr>
          <w:rFonts w:cs="Times New Roman"/>
          <w:sz w:val="24"/>
          <w:szCs w:val="24"/>
        </w:rPr>
        <w:t>The estimation of the model is</w:t>
      </w:r>
      <w:r w:rsidR="000C6884" w:rsidRPr="00E96773">
        <w:rPr>
          <w:rFonts w:cs="Times New Roman"/>
          <w:sz w:val="24"/>
          <w:szCs w:val="24"/>
        </w:rPr>
        <w:t xml:space="preserve"> </w:t>
      </w:r>
      <w:r w:rsidR="007932CC" w:rsidRPr="00E96773">
        <w:rPr>
          <w:rFonts w:cs="Times New Roman"/>
          <w:sz w:val="24"/>
          <w:szCs w:val="24"/>
        </w:rPr>
        <w:lastRenderedPageBreak/>
        <w:t>accomplished by using the maximum likelihood method</w:t>
      </w:r>
      <w:r w:rsidR="00E96773">
        <w:rPr>
          <w:rFonts w:cs="Times New Roman"/>
          <w:sz w:val="24"/>
          <w:szCs w:val="24"/>
        </w:rPr>
        <w:t xml:space="preserve"> in the </w:t>
      </w:r>
      <w:r w:rsidR="007932CC" w:rsidRPr="00E96773">
        <w:rPr>
          <w:rFonts w:cs="Times New Roman"/>
          <w:sz w:val="24"/>
          <w:szCs w:val="24"/>
        </w:rPr>
        <w:t>GAUSS matrix programming language.</w:t>
      </w:r>
    </w:p>
    <w:p w14:paraId="3E4C1A9D" w14:textId="77777777" w:rsidR="00E96773" w:rsidRPr="00E96773" w:rsidRDefault="00E96773" w:rsidP="00E96773">
      <w:pPr>
        <w:spacing w:after="0" w:line="240" w:lineRule="auto"/>
        <w:rPr>
          <w:rFonts w:cs="Times New Roman"/>
          <w:sz w:val="24"/>
          <w:szCs w:val="24"/>
        </w:rPr>
      </w:pPr>
    </w:p>
    <w:p w14:paraId="21EEC190" w14:textId="2858EACD" w:rsidR="00ED3410" w:rsidRPr="00E96773" w:rsidRDefault="00ED3410" w:rsidP="00F7439A">
      <w:pPr>
        <w:pStyle w:val="Heading2"/>
        <w:spacing w:before="0" w:line="240" w:lineRule="auto"/>
        <w:rPr>
          <w:szCs w:val="24"/>
        </w:rPr>
      </w:pPr>
      <w:bookmarkStart w:id="21" w:name="_Ref9780831"/>
      <w:r w:rsidRPr="00E96773">
        <w:rPr>
          <w:szCs w:val="24"/>
        </w:rPr>
        <w:t xml:space="preserve">Choice </w:t>
      </w:r>
      <w:r w:rsidR="00765518">
        <w:rPr>
          <w:szCs w:val="24"/>
        </w:rPr>
        <w:t>S</w:t>
      </w:r>
      <w:r w:rsidRPr="00E96773">
        <w:rPr>
          <w:szCs w:val="24"/>
        </w:rPr>
        <w:t xml:space="preserve">et </w:t>
      </w:r>
      <w:r w:rsidR="00765518">
        <w:rPr>
          <w:szCs w:val="24"/>
        </w:rPr>
        <w:t>F</w:t>
      </w:r>
      <w:r w:rsidRPr="00E96773">
        <w:rPr>
          <w:szCs w:val="24"/>
        </w:rPr>
        <w:t>ormation</w:t>
      </w:r>
      <w:bookmarkEnd w:id="20"/>
      <w:bookmarkEnd w:id="21"/>
    </w:p>
    <w:p w14:paraId="33A75834" w14:textId="14E4228C" w:rsidR="00007A50" w:rsidRPr="008B6AED" w:rsidRDefault="004759BC" w:rsidP="00F7439A">
      <w:pPr>
        <w:spacing w:after="0" w:line="240" w:lineRule="auto"/>
        <w:rPr>
          <w:sz w:val="24"/>
          <w:szCs w:val="24"/>
        </w:rPr>
      </w:pPr>
      <w:r w:rsidRPr="00E96773">
        <w:rPr>
          <w:sz w:val="24"/>
          <w:szCs w:val="24"/>
        </w:rPr>
        <w:t>I</w:t>
      </w:r>
      <w:r w:rsidR="00902F0B" w:rsidRPr="00E96773">
        <w:rPr>
          <w:sz w:val="24"/>
          <w:szCs w:val="24"/>
        </w:rPr>
        <w:t>n Equation</w:t>
      </w:r>
      <w:r w:rsidR="00020841">
        <w:rPr>
          <w:sz w:val="24"/>
          <w:szCs w:val="24"/>
        </w:rPr>
        <w:t xml:space="preserve"> (3), </w:t>
      </w:r>
      <w:r w:rsidR="009D3AC1">
        <w:rPr>
          <w:sz w:val="24"/>
          <w:szCs w:val="24"/>
        </w:rPr>
        <w:t>one could</w:t>
      </w:r>
      <w:r w:rsidR="005076AF" w:rsidRPr="00E96773">
        <w:rPr>
          <w:sz w:val="24"/>
          <w:szCs w:val="24"/>
        </w:rPr>
        <w:t xml:space="preserve"> assume that the choice set </w:t>
      </w:r>
      <w:r w:rsidR="00253156" w:rsidRPr="00AD6F13">
        <w:rPr>
          <w:rFonts w:cs="Times New Roman"/>
          <w:noProof/>
          <w:position w:val="-12"/>
          <w:sz w:val="24"/>
          <w:szCs w:val="24"/>
        </w:rPr>
        <w:object w:dxaOrig="300" w:dyaOrig="360" w14:anchorId="532EE7E0">
          <v:shape id="_x0000_i1042" type="#_x0000_t75" style="width:15pt;height:18pt" o:ole="" o:preferrelative="f">
            <v:imagedata r:id="rId50" o:title=""/>
            <o:lock v:ext="edit" aspectratio="f"/>
          </v:shape>
          <o:OLEObject Type="Embed" ProgID="Equation.DSMT4" ShapeID="_x0000_i1042" DrawAspect="Content" ObjectID="_1646040570" r:id="rId51"/>
        </w:object>
      </w:r>
      <w:r w:rsidR="005076AF" w:rsidRPr="00E96773">
        <w:rPr>
          <w:rFonts w:cs="Times New Roman"/>
          <w:noProof/>
          <w:sz w:val="24"/>
          <w:szCs w:val="24"/>
        </w:rPr>
        <w:t xml:space="preserve"> </w:t>
      </w:r>
      <w:r w:rsidRPr="00E96773">
        <w:rPr>
          <w:sz w:val="24"/>
          <w:szCs w:val="24"/>
        </w:rPr>
        <w:t xml:space="preserve">consists of all TAZs </w:t>
      </w:r>
      <w:r w:rsidR="00D66C94" w:rsidRPr="00E96773">
        <w:rPr>
          <w:sz w:val="24"/>
          <w:szCs w:val="24"/>
        </w:rPr>
        <w:t xml:space="preserve">in </w:t>
      </w:r>
      <w:r w:rsidR="009D3AC1">
        <w:rPr>
          <w:sz w:val="24"/>
          <w:szCs w:val="24"/>
        </w:rPr>
        <w:t xml:space="preserve">the </w:t>
      </w:r>
      <w:r w:rsidR="00ED3410" w:rsidRPr="00E96773">
        <w:rPr>
          <w:sz w:val="24"/>
          <w:szCs w:val="24"/>
        </w:rPr>
        <w:t>study</w:t>
      </w:r>
      <w:r w:rsidR="00D66C94" w:rsidRPr="00E96773">
        <w:rPr>
          <w:sz w:val="24"/>
          <w:szCs w:val="24"/>
        </w:rPr>
        <w:t xml:space="preserve"> area</w:t>
      </w:r>
      <w:r w:rsidR="00ED3410" w:rsidRPr="00E96773">
        <w:rPr>
          <w:sz w:val="24"/>
          <w:szCs w:val="24"/>
        </w:rPr>
        <w:t xml:space="preserve"> (2102 TAZs)</w:t>
      </w:r>
      <w:r w:rsidR="005076AF" w:rsidRPr="00E96773">
        <w:rPr>
          <w:sz w:val="24"/>
          <w:szCs w:val="24"/>
        </w:rPr>
        <w:t xml:space="preserve">. However, in reality, only a subset of all possible TAZs will represent the potential destination choice set for any deadhead trip. This is because the behavioral </w:t>
      </w:r>
      <w:r w:rsidR="009D3AC1">
        <w:rPr>
          <w:sz w:val="24"/>
          <w:szCs w:val="24"/>
        </w:rPr>
        <w:t xml:space="preserve">and operational </w:t>
      </w:r>
      <w:r w:rsidR="005076AF" w:rsidRPr="00E96773">
        <w:rPr>
          <w:sz w:val="24"/>
          <w:szCs w:val="24"/>
        </w:rPr>
        <w:t xml:space="preserve">process </w:t>
      </w:r>
      <w:r w:rsidR="005076AF" w:rsidRPr="008B6AED">
        <w:rPr>
          <w:sz w:val="24"/>
          <w:szCs w:val="24"/>
        </w:rPr>
        <w:t xml:space="preserve">determining deadhead trips </w:t>
      </w:r>
      <w:r w:rsidR="009D3AC1" w:rsidRPr="008B6AED">
        <w:rPr>
          <w:sz w:val="24"/>
          <w:szCs w:val="24"/>
        </w:rPr>
        <w:t xml:space="preserve">is very likely to </w:t>
      </w:r>
      <w:r w:rsidR="005076AF" w:rsidRPr="008B6AED">
        <w:rPr>
          <w:sz w:val="24"/>
          <w:szCs w:val="24"/>
        </w:rPr>
        <w:t>limit deadhead distance</w:t>
      </w:r>
      <w:r w:rsidR="008B6AED" w:rsidRPr="008B6AED">
        <w:rPr>
          <w:sz w:val="24"/>
          <w:szCs w:val="24"/>
        </w:rPr>
        <w:t>, as customers seek low wait times, and drivers and ride-hailing companies seek to minimize non-revenue time (miles)</w:t>
      </w:r>
      <w:r w:rsidR="005076AF" w:rsidRPr="008B6AED">
        <w:rPr>
          <w:sz w:val="24"/>
          <w:szCs w:val="24"/>
        </w:rPr>
        <w:t>. Ignoring this aspect of choice set determination will lead to inconsistent parameter estimat</w:t>
      </w:r>
      <w:r w:rsidR="008B6AED" w:rsidRPr="008B6AED">
        <w:rPr>
          <w:sz w:val="24"/>
          <w:szCs w:val="24"/>
        </w:rPr>
        <w:t>es</w:t>
      </w:r>
      <w:r w:rsidR="00A555FB" w:rsidRPr="008B6AED">
        <w:rPr>
          <w:sz w:val="24"/>
          <w:szCs w:val="24"/>
        </w:rPr>
        <w:t xml:space="preserve"> </w:t>
      </w:r>
      <w:r w:rsidR="00A555FB" w:rsidRPr="008B6AED">
        <w:rPr>
          <w:sz w:val="24"/>
          <w:szCs w:val="24"/>
        </w:rPr>
        <w:fldChar w:fldCharType="begin"/>
      </w:r>
      <w:r w:rsidR="00B46899">
        <w:rPr>
          <w:sz w:val="24"/>
          <w:szCs w:val="24"/>
        </w:rPr>
        <w:instrText xml:space="preserve"> ADDIN ZOTERO_ITEM CSL_CITATION {"citationID":"yRPTXxtQ","properties":{"formattedCitation":"(Bhat, 2015)","plainCitation":"(Bhat, 2015)","noteIndex":0},"citationItems":[{"id":"pYE2dMDV/bLrWtPJ1","uris":["http://zotero.org/users/local/CJ2Dv405/items/AP27KAG9"],"uri":["http://zotero.org/users/local/CJ2Dv405/items/AP27KAG9"],"itemData":{"id":330,"type":"article-journal","abstract":"This study adopts a dwelling unit level of analysis and considers a probabilistic choice set generation approach for residential choice modeling. In doing so, we accommodate the fact that housing choices involve both characteristics of the dwelling unit and its location, while also mimicking the search process that underlies housing decisions. In particular, we model a complete range of dwelling unit choices that include tenure type (rent or own), housing type (single family detached, single family attached, or apartment complex), number of bedrooms, number of bathrooms, number of storeys (one or multiple), square footage of the house, lot size, housing costs, density of residential neighborhood, and commute distance. Bhat’s (2015) generalized heterogeneous data model (GHDM) system is used to accommodate the different types of dependent outcomes associated with housing choices, while capturing jointness caused by unobserved factors. The proposed analytic framework is applied to study housing choices using data derived from the 2009 American Housing Survey (AHS), sponsored by the Department of Housing and Urban Development (HUD) and conducted by the U.S. Census Bureau. The results confirm the jointness in housing choices, and indicate the superiority of a choice set formation model relative to a model that assumes the availability of all dwelling unit alternatives in the choice set.","container-title":"Transportation Research Part B: Methodological","DOI":"10.1016/j.trb.2015.05.021","ISSN":"0191-2615","journalAbbreviation":"Transportation Research Part B: Methodological","page":"161-188","source":"ScienceDirect","title":"A comprehensive dwelling unit choice model accommodating psychological constructs within a search strategy for consideration set formation","volume":"79","author":[{"family":"Bhat","given":"Chandra R."}],"issued":{"date-parts":[["2015",9,1]]}}}],"schema":"https://github.com/citation-style-language/schema/raw/master/csl-citation.json"} </w:instrText>
      </w:r>
      <w:r w:rsidR="00A555FB" w:rsidRPr="008B6AED">
        <w:rPr>
          <w:sz w:val="24"/>
          <w:szCs w:val="24"/>
        </w:rPr>
        <w:fldChar w:fldCharType="separate"/>
      </w:r>
      <w:r w:rsidR="00A555FB" w:rsidRPr="008B6AED">
        <w:rPr>
          <w:rFonts w:cs="Times New Roman"/>
          <w:sz w:val="24"/>
          <w:szCs w:val="24"/>
        </w:rPr>
        <w:t>(Bhat, 2015)</w:t>
      </w:r>
      <w:r w:rsidR="00A555FB" w:rsidRPr="008B6AED">
        <w:rPr>
          <w:sz w:val="24"/>
          <w:szCs w:val="24"/>
        </w:rPr>
        <w:fldChar w:fldCharType="end"/>
      </w:r>
      <w:r w:rsidR="005076AF" w:rsidRPr="008B6AED">
        <w:rPr>
          <w:sz w:val="24"/>
          <w:szCs w:val="24"/>
        </w:rPr>
        <w:t xml:space="preserve">. The issue then becomes one of determining an appropriate behavioral rule for the destination choice set </w:t>
      </w:r>
      <w:r w:rsidR="008B6AED" w:rsidRPr="008B6AED">
        <w:rPr>
          <w:sz w:val="24"/>
          <w:szCs w:val="24"/>
        </w:rPr>
        <w:t>generation</w:t>
      </w:r>
      <w:r w:rsidR="005076AF" w:rsidRPr="008B6AED">
        <w:rPr>
          <w:sz w:val="24"/>
          <w:szCs w:val="24"/>
        </w:rPr>
        <w:t xml:space="preserve"> process. In </w:t>
      </w:r>
      <w:r w:rsidR="008B6AED" w:rsidRPr="008B6AED">
        <w:rPr>
          <w:sz w:val="24"/>
          <w:szCs w:val="24"/>
        </w:rPr>
        <w:t>the Ride Austin dataset</w:t>
      </w:r>
      <w:r w:rsidR="005076AF" w:rsidRPr="008B6AED">
        <w:rPr>
          <w:sz w:val="24"/>
          <w:szCs w:val="24"/>
        </w:rPr>
        <w:t xml:space="preserve">, 99.3% of all deadheading trips are less than 15 miles in length. </w:t>
      </w:r>
      <w:r w:rsidR="008B6AED">
        <w:rPr>
          <w:sz w:val="24"/>
          <w:szCs w:val="24"/>
        </w:rPr>
        <w:t>Therefore,</w:t>
      </w:r>
      <w:r w:rsidR="005076AF" w:rsidRPr="008B6AED">
        <w:rPr>
          <w:sz w:val="24"/>
          <w:szCs w:val="24"/>
        </w:rPr>
        <w:t xml:space="preserve"> 15 miles </w:t>
      </w:r>
      <w:r w:rsidR="008B6AED">
        <w:rPr>
          <w:sz w:val="24"/>
          <w:szCs w:val="24"/>
        </w:rPr>
        <w:t xml:space="preserve">is used </w:t>
      </w:r>
      <w:r w:rsidR="005076AF" w:rsidRPr="008B6AED">
        <w:rPr>
          <w:sz w:val="24"/>
          <w:szCs w:val="24"/>
        </w:rPr>
        <w:t xml:space="preserve">as the threshold distance </w:t>
      </w:r>
      <w:r w:rsidR="008B6AED">
        <w:rPr>
          <w:sz w:val="24"/>
          <w:szCs w:val="24"/>
        </w:rPr>
        <w:t xml:space="preserve">and </w:t>
      </w:r>
      <w:r w:rsidR="005076AF" w:rsidRPr="008B6AED">
        <w:rPr>
          <w:sz w:val="24"/>
          <w:szCs w:val="24"/>
        </w:rPr>
        <w:t>the very small number of deadheading trips that had a distance greater than 15 miles</w:t>
      </w:r>
      <w:r w:rsidR="008B6AED">
        <w:rPr>
          <w:sz w:val="24"/>
          <w:szCs w:val="24"/>
        </w:rPr>
        <w:t xml:space="preserve"> were removed</w:t>
      </w:r>
      <w:r w:rsidR="005076AF" w:rsidRPr="008B6AED">
        <w:rPr>
          <w:sz w:val="24"/>
          <w:szCs w:val="24"/>
        </w:rPr>
        <w:t xml:space="preserve">. Specifically, </w:t>
      </w:r>
      <w:r w:rsidR="00154AC1">
        <w:rPr>
          <w:sz w:val="24"/>
          <w:szCs w:val="24"/>
        </w:rPr>
        <w:t xml:space="preserve">for </w:t>
      </w:r>
      <w:r w:rsidR="00B128D3">
        <w:rPr>
          <w:sz w:val="24"/>
          <w:szCs w:val="24"/>
        </w:rPr>
        <w:t>a</w:t>
      </w:r>
      <w:r w:rsidR="00154AC1">
        <w:rPr>
          <w:sz w:val="24"/>
          <w:szCs w:val="24"/>
        </w:rPr>
        <w:t xml:space="preserve"> deadheading </w:t>
      </w:r>
      <w:r w:rsidR="00B128D3">
        <w:rPr>
          <w:sz w:val="24"/>
          <w:szCs w:val="24"/>
        </w:rPr>
        <w:t>originating in TAZ</w:t>
      </w:r>
      <w:r w:rsidR="00A17A93">
        <w:rPr>
          <w:sz w:val="24"/>
          <w:szCs w:val="24"/>
        </w:rPr>
        <w:t xml:space="preserve"> </w:t>
      </w:r>
      <w:proofErr w:type="spellStart"/>
      <w:r w:rsidR="00A17A93" w:rsidRPr="00A17A93">
        <w:rPr>
          <w:i/>
          <w:sz w:val="24"/>
          <w:szCs w:val="24"/>
        </w:rPr>
        <w:t>i</w:t>
      </w:r>
      <w:proofErr w:type="spellEnd"/>
      <w:r w:rsidR="00154AC1">
        <w:rPr>
          <w:sz w:val="24"/>
          <w:szCs w:val="24"/>
        </w:rPr>
        <w:t xml:space="preserve">, the choice set </w:t>
      </w:r>
      <w:r w:rsidR="00253156" w:rsidRPr="00AD6F13">
        <w:rPr>
          <w:noProof/>
          <w:position w:val="-12"/>
          <w:sz w:val="24"/>
          <w:szCs w:val="24"/>
        </w:rPr>
        <w:object w:dxaOrig="300" w:dyaOrig="360" w14:anchorId="1FC68584">
          <v:shape id="_x0000_i1043" type="#_x0000_t75" style="width:15pt;height:18pt" o:ole="" o:preferrelative="f">
            <v:imagedata r:id="rId52" o:title=""/>
            <o:lock v:ext="edit" aspectratio="f"/>
          </v:shape>
          <o:OLEObject Type="Embed" ProgID="Equation.DSMT4" ShapeID="_x0000_i1043" DrawAspect="Content" ObjectID="_1646040571" r:id="rId53"/>
        </w:object>
      </w:r>
      <w:r w:rsidR="00154AC1">
        <w:rPr>
          <w:sz w:val="24"/>
          <w:szCs w:val="24"/>
        </w:rPr>
        <w:t xml:space="preserve"> was formed by including </w:t>
      </w:r>
      <w:r w:rsidR="005076AF" w:rsidRPr="008B6AED">
        <w:rPr>
          <w:sz w:val="24"/>
          <w:szCs w:val="24"/>
        </w:rPr>
        <w:t xml:space="preserve">only those TAZs that are within a distance of 15 miles (shortest network distance) from the origin TAZ. </w:t>
      </w:r>
      <w:r w:rsidR="00154AC1">
        <w:rPr>
          <w:sz w:val="24"/>
          <w:szCs w:val="24"/>
        </w:rPr>
        <w:t>The sizes of the choice sets formed by applying this rule ranged between 12 and 949. The average choice set size</w:t>
      </w:r>
      <w:r w:rsidR="00B128D3">
        <w:rPr>
          <w:sz w:val="24"/>
          <w:szCs w:val="24"/>
        </w:rPr>
        <w:t xml:space="preserve"> for a deadheading trip</w:t>
      </w:r>
      <w:r w:rsidR="00154AC1">
        <w:rPr>
          <w:sz w:val="24"/>
          <w:szCs w:val="24"/>
        </w:rPr>
        <w:t xml:space="preserve"> was 865.41.</w:t>
      </w:r>
      <w:r w:rsidR="00007A50" w:rsidRPr="008B6AED">
        <w:rPr>
          <w:sz w:val="24"/>
          <w:szCs w:val="24"/>
        </w:rPr>
        <w:t xml:space="preserve"> </w:t>
      </w:r>
    </w:p>
    <w:p w14:paraId="63A0B6F7" w14:textId="6413394E" w:rsidR="00F12D37" w:rsidRPr="0007365E" w:rsidRDefault="00F12D37" w:rsidP="00876C25">
      <w:pPr>
        <w:spacing w:after="0" w:line="240" w:lineRule="auto"/>
        <w:ind w:firstLine="720"/>
        <w:rPr>
          <w:sz w:val="24"/>
          <w:szCs w:val="24"/>
        </w:rPr>
      </w:pPr>
      <w:r w:rsidRPr="009A1B6A">
        <w:rPr>
          <w:sz w:val="24"/>
          <w:szCs w:val="24"/>
        </w:rPr>
        <w:t xml:space="preserve">If the choice set </w:t>
      </w:r>
      <w:r w:rsidR="007A46BB">
        <w:rPr>
          <w:sz w:val="24"/>
          <w:szCs w:val="24"/>
        </w:rPr>
        <w:t xml:space="preserve">used for estimation </w:t>
      </w:r>
      <w:r w:rsidRPr="009A1B6A">
        <w:rPr>
          <w:sz w:val="24"/>
          <w:szCs w:val="24"/>
        </w:rPr>
        <w:t>has a large number of alternatives, there will be several TAZs that have a near zero probability of being selected. This creates issues with convergence when using a maximum likelihood framework for estimating the values of</w:t>
      </w:r>
      <w:r w:rsidR="00600AA5">
        <w:rPr>
          <w:sz w:val="24"/>
          <w:szCs w:val="24"/>
        </w:rPr>
        <w:t xml:space="preserve"> </w:t>
      </w:r>
      <w:r w:rsidR="00600AA5" w:rsidRPr="00600AA5">
        <w:rPr>
          <w:rFonts w:cs="Times New Roman"/>
          <w:i/>
          <w:sz w:val="24"/>
          <w:szCs w:val="24"/>
        </w:rPr>
        <w:t>β</w:t>
      </w:r>
      <w:r w:rsidR="00600AA5">
        <w:rPr>
          <w:sz w:val="24"/>
          <w:szCs w:val="24"/>
        </w:rPr>
        <w:t xml:space="preserve">, </w:t>
      </w:r>
      <w:r w:rsidR="00600AA5" w:rsidRPr="00600AA5">
        <w:rPr>
          <w:rFonts w:cs="Times New Roman"/>
          <w:i/>
          <w:sz w:val="24"/>
          <w:szCs w:val="24"/>
        </w:rPr>
        <w:t>δ</w:t>
      </w:r>
      <w:r w:rsidR="00600AA5">
        <w:rPr>
          <w:sz w:val="24"/>
          <w:szCs w:val="24"/>
        </w:rPr>
        <w:t xml:space="preserve">, and </w:t>
      </w:r>
      <w:r w:rsidR="00600AA5" w:rsidRPr="00600AA5">
        <w:rPr>
          <w:rFonts w:cs="Times New Roman"/>
          <w:i/>
          <w:sz w:val="24"/>
          <w:szCs w:val="24"/>
        </w:rPr>
        <w:t>η</w:t>
      </w:r>
      <w:r w:rsidR="00600AA5">
        <w:rPr>
          <w:sz w:val="24"/>
          <w:szCs w:val="24"/>
        </w:rPr>
        <w:t xml:space="preserve">. </w:t>
      </w:r>
      <w:r w:rsidRPr="009A1B6A">
        <w:rPr>
          <w:sz w:val="24"/>
          <w:szCs w:val="24"/>
        </w:rPr>
        <w:t>To avoid this issue</w:t>
      </w:r>
      <w:r w:rsidR="00FA47DC">
        <w:rPr>
          <w:sz w:val="24"/>
          <w:szCs w:val="24"/>
        </w:rPr>
        <w:t xml:space="preserve"> and to reduce computation time</w:t>
      </w:r>
      <w:r w:rsidR="009157EC">
        <w:rPr>
          <w:sz w:val="24"/>
          <w:szCs w:val="24"/>
        </w:rPr>
        <w:t>,</w:t>
      </w:r>
      <w:r w:rsidRPr="009A1B6A">
        <w:rPr>
          <w:sz w:val="24"/>
          <w:szCs w:val="24"/>
        </w:rPr>
        <w:t xml:space="preserve"> </w:t>
      </w:r>
      <w:r w:rsidR="005428A8">
        <w:rPr>
          <w:sz w:val="24"/>
          <w:szCs w:val="24"/>
        </w:rPr>
        <w:t>we use</w:t>
      </w:r>
      <w:r w:rsidR="008E3BCE">
        <w:rPr>
          <w:sz w:val="24"/>
          <w:szCs w:val="24"/>
        </w:rPr>
        <w:t>d</w:t>
      </w:r>
      <w:r w:rsidR="005428A8">
        <w:rPr>
          <w:sz w:val="24"/>
          <w:szCs w:val="24"/>
        </w:rPr>
        <w:t xml:space="preserve"> only </w:t>
      </w:r>
      <w:r w:rsidR="00DD51AF">
        <w:rPr>
          <w:sz w:val="24"/>
          <w:szCs w:val="24"/>
        </w:rPr>
        <w:t>sample</w:t>
      </w:r>
      <w:r w:rsidR="005428A8">
        <w:rPr>
          <w:sz w:val="24"/>
          <w:szCs w:val="24"/>
        </w:rPr>
        <w:t>s</w:t>
      </w:r>
      <w:r w:rsidR="00DD51AF">
        <w:rPr>
          <w:sz w:val="24"/>
          <w:szCs w:val="24"/>
        </w:rPr>
        <w:t xml:space="preserve"> of the complete choice </w:t>
      </w:r>
      <w:r w:rsidR="005428A8">
        <w:rPr>
          <w:sz w:val="24"/>
          <w:szCs w:val="24"/>
        </w:rPr>
        <w:t xml:space="preserve">sets </w:t>
      </w:r>
      <w:r w:rsidR="00DD51AF">
        <w:rPr>
          <w:sz w:val="24"/>
          <w:szCs w:val="24"/>
        </w:rPr>
        <w:t>for estimation</w:t>
      </w:r>
      <w:r w:rsidR="00591040">
        <w:rPr>
          <w:sz w:val="24"/>
          <w:szCs w:val="24"/>
        </w:rPr>
        <w:t xml:space="preserve">. </w:t>
      </w:r>
      <w:r w:rsidR="00591040" w:rsidRPr="00100D81">
        <w:rPr>
          <w:sz w:val="24"/>
          <w:szCs w:val="24"/>
        </w:rPr>
        <w:t xml:space="preserve">As discussed in detail in </w:t>
      </w:r>
      <w:r w:rsidR="005A2143" w:rsidRPr="00876C25">
        <w:rPr>
          <w:sz w:val="24"/>
          <w:szCs w:val="24"/>
        </w:rPr>
        <w:t>McFadden (</w:t>
      </w:r>
      <w:r w:rsidR="00591040" w:rsidRPr="00876C25">
        <w:rPr>
          <w:sz w:val="24"/>
          <w:szCs w:val="24"/>
        </w:rPr>
        <w:t>1978)</w:t>
      </w:r>
      <w:r w:rsidR="005A2143" w:rsidRPr="00876C25">
        <w:rPr>
          <w:sz w:val="24"/>
          <w:szCs w:val="24"/>
        </w:rPr>
        <w:t>,</w:t>
      </w:r>
      <w:r w:rsidR="00591040" w:rsidRPr="00876C25">
        <w:rPr>
          <w:sz w:val="24"/>
          <w:szCs w:val="24"/>
        </w:rPr>
        <w:t xml:space="preserve"> in the case of the multinomial logit model (MNL) (in its linear-in-parameters or nonlinear-in-parameters form), the parameters are consistently estimated from a sample of alternatives. </w:t>
      </w:r>
      <w:proofErr w:type="spellStart"/>
      <w:r w:rsidR="00591040" w:rsidRPr="00876C25">
        <w:rPr>
          <w:sz w:val="24"/>
          <w:szCs w:val="24"/>
        </w:rPr>
        <w:t>Nerella</w:t>
      </w:r>
      <w:proofErr w:type="spellEnd"/>
      <w:r w:rsidR="00591040" w:rsidRPr="00876C25">
        <w:rPr>
          <w:sz w:val="24"/>
          <w:szCs w:val="24"/>
        </w:rPr>
        <w:t xml:space="preserve"> and Bhat (200</w:t>
      </w:r>
      <w:r w:rsidR="000246C8">
        <w:rPr>
          <w:sz w:val="24"/>
          <w:szCs w:val="24"/>
        </w:rPr>
        <w:t>4</w:t>
      </w:r>
      <w:r w:rsidR="00591040" w:rsidRPr="00876C25">
        <w:rPr>
          <w:sz w:val="24"/>
          <w:szCs w:val="24"/>
        </w:rPr>
        <w:t xml:space="preserve">) further show that the true parameters are accurately recovered for the MNL even with a sample </w:t>
      </w:r>
      <w:r w:rsidR="005A2143" w:rsidRPr="00876C25">
        <w:rPr>
          <w:sz w:val="24"/>
          <w:szCs w:val="24"/>
        </w:rPr>
        <w:t xml:space="preserve">choice set </w:t>
      </w:r>
      <w:r w:rsidR="00591040" w:rsidRPr="00876C25">
        <w:rPr>
          <w:sz w:val="24"/>
          <w:szCs w:val="24"/>
        </w:rPr>
        <w:t xml:space="preserve">of 1/40 of the actual choice set. In our estimation, we used </w:t>
      </w:r>
      <w:r w:rsidR="005A2143" w:rsidRPr="00876C25">
        <w:rPr>
          <w:sz w:val="24"/>
          <w:szCs w:val="24"/>
        </w:rPr>
        <w:t xml:space="preserve">a sample choice set of about 1/30 of the actual choice set; that is, we used 30 randomly selected TAZs from those that are within 15 miles of the originating TAZ for the deadheading trip. Specifically, </w:t>
      </w:r>
      <w:r w:rsidR="005A2143" w:rsidRPr="00100D81">
        <w:rPr>
          <w:sz w:val="24"/>
          <w:szCs w:val="24"/>
        </w:rPr>
        <w:t>f</w:t>
      </w:r>
      <w:r w:rsidR="00F60704" w:rsidRPr="0007365E">
        <w:rPr>
          <w:sz w:val="24"/>
          <w:szCs w:val="24"/>
        </w:rPr>
        <w:t>or a trip</w:t>
      </w:r>
      <w:r w:rsidR="00600AA5" w:rsidRPr="0007365E">
        <w:rPr>
          <w:sz w:val="24"/>
          <w:szCs w:val="24"/>
        </w:rPr>
        <w:t xml:space="preserve"> </w:t>
      </w:r>
      <w:r w:rsidR="00600AA5" w:rsidRPr="0007365E">
        <w:rPr>
          <w:i/>
          <w:sz w:val="24"/>
          <w:szCs w:val="24"/>
        </w:rPr>
        <w:t>n</w:t>
      </w:r>
      <w:r w:rsidR="00F60704" w:rsidRPr="0007365E">
        <w:rPr>
          <w:sz w:val="24"/>
          <w:szCs w:val="24"/>
        </w:rPr>
        <w:t xml:space="preserve"> between</w:t>
      </w:r>
      <w:r w:rsidR="007B6CC1" w:rsidRPr="00C61CB8">
        <w:rPr>
          <w:sz w:val="24"/>
          <w:szCs w:val="24"/>
        </w:rPr>
        <w:t xml:space="preserve"> origin </w:t>
      </w:r>
      <w:proofErr w:type="spellStart"/>
      <w:r w:rsidR="00600AA5" w:rsidRPr="00C61CB8">
        <w:rPr>
          <w:i/>
          <w:sz w:val="24"/>
          <w:szCs w:val="24"/>
        </w:rPr>
        <w:t>i</w:t>
      </w:r>
      <w:proofErr w:type="spellEnd"/>
      <w:r w:rsidR="007B6CC1" w:rsidRPr="00C61CB8">
        <w:rPr>
          <w:sz w:val="24"/>
          <w:szCs w:val="24"/>
        </w:rPr>
        <w:t xml:space="preserve"> and </w:t>
      </w:r>
      <w:r w:rsidR="000D59A9" w:rsidRPr="00C61CB8">
        <w:rPr>
          <w:sz w:val="24"/>
          <w:szCs w:val="24"/>
        </w:rPr>
        <w:t>destination</w:t>
      </w:r>
      <w:r w:rsidR="00600AA5" w:rsidRPr="00C61CB8">
        <w:rPr>
          <w:rFonts w:cs="Times New Roman"/>
          <w:i/>
          <w:sz w:val="24"/>
          <w:szCs w:val="24"/>
        </w:rPr>
        <w:t xml:space="preserve"> j</w:t>
      </w:r>
      <w:r w:rsidR="007B6CC1" w:rsidRPr="001A3978">
        <w:rPr>
          <w:sz w:val="24"/>
          <w:szCs w:val="24"/>
        </w:rPr>
        <w:t xml:space="preserve">, </w:t>
      </w:r>
      <w:r w:rsidR="0008796D" w:rsidRPr="00975733">
        <w:rPr>
          <w:sz w:val="24"/>
          <w:szCs w:val="24"/>
        </w:rPr>
        <w:t xml:space="preserve">the </w:t>
      </w:r>
      <w:r w:rsidR="007B6CC1" w:rsidRPr="0070385E">
        <w:rPr>
          <w:sz w:val="24"/>
          <w:szCs w:val="24"/>
        </w:rPr>
        <w:t xml:space="preserve">choice set </w:t>
      </w:r>
      <w:r w:rsidR="00DD51AF" w:rsidRPr="0070385E">
        <w:rPr>
          <w:sz w:val="24"/>
          <w:szCs w:val="24"/>
        </w:rPr>
        <w:t xml:space="preserve">sample </w:t>
      </w:r>
      <w:r w:rsidR="00253156" w:rsidRPr="00100D81">
        <w:rPr>
          <w:noProof/>
          <w:position w:val="-12"/>
          <w:sz w:val="24"/>
          <w:szCs w:val="24"/>
        </w:rPr>
        <w:object w:dxaOrig="340" w:dyaOrig="380" w14:anchorId="680EBBA1">
          <v:shape id="_x0000_i1044" type="#_x0000_t75" style="width:17.25pt;height:18.75pt" o:ole="" o:preferrelative="f">
            <v:imagedata r:id="rId54" o:title=""/>
            <o:lock v:ext="edit" aspectratio="f"/>
          </v:shape>
          <o:OLEObject Type="Embed" ProgID="Equation.DSMT4" ShapeID="_x0000_i1044" DrawAspect="Content" ObjectID="_1646040572" r:id="rId55"/>
        </w:object>
      </w:r>
      <w:r w:rsidR="007B6CC1" w:rsidRPr="00100D81">
        <w:rPr>
          <w:sz w:val="24"/>
          <w:szCs w:val="24"/>
        </w:rPr>
        <w:t xml:space="preserve"> </w:t>
      </w:r>
      <w:r w:rsidR="008E3BCE" w:rsidRPr="00100D81">
        <w:rPr>
          <w:sz w:val="24"/>
          <w:szCs w:val="24"/>
        </w:rPr>
        <w:t xml:space="preserve">was </w:t>
      </w:r>
      <w:r w:rsidR="0008796D" w:rsidRPr="001F6056">
        <w:rPr>
          <w:sz w:val="24"/>
          <w:szCs w:val="24"/>
        </w:rPr>
        <w:t xml:space="preserve">generated </w:t>
      </w:r>
      <w:r w:rsidR="007B6CC1" w:rsidRPr="0007365E">
        <w:rPr>
          <w:sz w:val="24"/>
          <w:szCs w:val="24"/>
        </w:rPr>
        <w:t xml:space="preserve">by including the TAZ </w:t>
      </w:r>
      <w:r w:rsidR="00600AA5" w:rsidRPr="0007365E">
        <w:rPr>
          <w:rFonts w:cs="Times New Roman"/>
          <w:i/>
          <w:sz w:val="24"/>
          <w:szCs w:val="24"/>
        </w:rPr>
        <w:t>j</w:t>
      </w:r>
      <w:r w:rsidR="00ED3410" w:rsidRPr="0007365E">
        <w:rPr>
          <w:sz w:val="24"/>
          <w:szCs w:val="24"/>
        </w:rPr>
        <w:t xml:space="preserve"> and </w:t>
      </w:r>
      <w:r w:rsidR="00E370CD" w:rsidRPr="0007365E">
        <w:rPr>
          <w:sz w:val="24"/>
          <w:szCs w:val="24"/>
        </w:rPr>
        <w:t>twenty-nine</w:t>
      </w:r>
      <w:r w:rsidR="005A2143" w:rsidRPr="00100D81">
        <w:rPr>
          <w:sz w:val="24"/>
          <w:szCs w:val="24"/>
        </w:rPr>
        <w:t xml:space="preserve"> </w:t>
      </w:r>
      <w:r w:rsidR="007B6CC1" w:rsidRPr="001F6056">
        <w:rPr>
          <w:sz w:val="24"/>
          <w:szCs w:val="24"/>
        </w:rPr>
        <w:t xml:space="preserve">other TAZs chosen at random without replacement from </w:t>
      </w:r>
      <w:r w:rsidR="00DD51AF" w:rsidRPr="0007365E">
        <w:rPr>
          <w:sz w:val="24"/>
          <w:szCs w:val="24"/>
        </w:rPr>
        <w:t xml:space="preserve">the choice set </w:t>
      </w:r>
      <w:r w:rsidR="00253156" w:rsidRPr="00100D81">
        <w:rPr>
          <w:noProof/>
          <w:position w:val="-12"/>
          <w:sz w:val="24"/>
          <w:szCs w:val="24"/>
        </w:rPr>
        <w:object w:dxaOrig="300" w:dyaOrig="360" w14:anchorId="62CF6004">
          <v:shape id="_x0000_i1045" type="#_x0000_t75" style="width:15pt;height:18pt" o:ole="" o:preferrelative="f">
            <v:imagedata r:id="rId56" o:title=""/>
            <o:lock v:ext="edit" aspectratio="f"/>
          </v:shape>
          <o:OLEObject Type="Embed" ProgID="Equation.DSMT4" ShapeID="_x0000_i1045" DrawAspect="Content" ObjectID="_1646040573" r:id="rId57"/>
        </w:object>
      </w:r>
      <w:r w:rsidR="00E370CD" w:rsidRPr="00100D81">
        <w:rPr>
          <w:sz w:val="24"/>
          <w:szCs w:val="24"/>
        </w:rPr>
        <w:t>.</w:t>
      </w:r>
      <w:r w:rsidR="005A2143" w:rsidRPr="00A8552E">
        <w:rPr>
          <w:rStyle w:val="FootnoteReference"/>
        </w:rPr>
        <w:footnoteReference w:id="4"/>
      </w:r>
      <w:r w:rsidR="005A2143" w:rsidRPr="00100D81">
        <w:rPr>
          <w:sz w:val="24"/>
          <w:szCs w:val="24"/>
        </w:rPr>
        <w:t xml:space="preserve"> </w:t>
      </w:r>
      <w:r w:rsidR="00E370CD" w:rsidRPr="00100D81">
        <w:rPr>
          <w:sz w:val="24"/>
          <w:szCs w:val="24"/>
        </w:rPr>
        <w:t xml:space="preserve"> </w:t>
      </w:r>
      <w:bookmarkStart w:id="22" w:name="_Ref6166863"/>
    </w:p>
    <w:p w14:paraId="02A449BC" w14:textId="77777777" w:rsidR="006C129C" w:rsidRPr="00143377" w:rsidRDefault="006C129C" w:rsidP="00F7439A">
      <w:pPr>
        <w:tabs>
          <w:tab w:val="right" w:pos="9360"/>
        </w:tabs>
        <w:spacing w:after="0" w:line="240" w:lineRule="auto"/>
        <w:rPr>
          <w:sz w:val="24"/>
          <w:szCs w:val="24"/>
        </w:rPr>
      </w:pPr>
    </w:p>
    <w:p w14:paraId="6009AA7A" w14:textId="77777777" w:rsidR="00F12D37" w:rsidRPr="00143377" w:rsidRDefault="00F12D37" w:rsidP="00F7439A">
      <w:pPr>
        <w:pStyle w:val="Heading2"/>
        <w:spacing w:before="0" w:line="240" w:lineRule="auto"/>
        <w:rPr>
          <w:szCs w:val="24"/>
        </w:rPr>
      </w:pPr>
      <w:bookmarkStart w:id="23" w:name="_Ref12305456"/>
      <w:r w:rsidRPr="00143377">
        <w:rPr>
          <w:szCs w:val="24"/>
        </w:rPr>
        <w:t>Specification</w:t>
      </w:r>
      <w:bookmarkEnd w:id="23"/>
    </w:p>
    <w:p w14:paraId="6DDDF70A" w14:textId="1EAD0D2F" w:rsidR="00F12D37" w:rsidRPr="00143377" w:rsidRDefault="008F1AF3" w:rsidP="00F7439A">
      <w:pPr>
        <w:spacing w:after="0" w:line="240" w:lineRule="auto"/>
        <w:rPr>
          <w:sz w:val="24"/>
          <w:szCs w:val="24"/>
        </w:rPr>
      </w:pPr>
      <w:r>
        <w:rPr>
          <w:sz w:val="24"/>
          <w:szCs w:val="24"/>
        </w:rPr>
        <w:t>The m</w:t>
      </w:r>
      <w:r w:rsidR="00143377" w:rsidRPr="00143377">
        <w:rPr>
          <w:sz w:val="24"/>
          <w:szCs w:val="24"/>
        </w:rPr>
        <w:t>odel specification</w:t>
      </w:r>
      <w:r w:rsidR="00F12D37" w:rsidRPr="00143377">
        <w:rPr>
          <w:sz w:val="24"/>
          <w:szCs w:val="24"/>
        </w:rPr>
        <w:t xml:space="preserve"> was guided by the </w:t>
      </w:r>
      <w:r w:rsidR="00781B95">
        <w:rPr>
          <w:sz w:val="24"/>
          <w:szCs w:val="24"/>
        </w:rPr>
        <w:t>variables</w:t>
      </w:r>
      <w:r w:rsidR="00F12D37" w:rsidRPr="00143377">
        <w:rPr>
          <w:sz w:val="24"/>
          <w:szCs w:val="24"/>
        </w:rPr>
        <w:t xml:space="preserve"> that were found to be significant for predicting ride-hailing demand in earlier studies and the </w:t>
      </w:r>
      <w:r w:rsidR="00781B95">
        <w:rPr>
          <w:sz w:val="24"/>
          <w:szCs w:val="24"/>
        </w:rPr>
        <w:t>attributes</w:t>
      </w:r>
      <w:r w:rsidR="00F12D37" w:rsidRPr="00143377">
        <w:rPr>
          <w:sz w:val="24"/>
          <w:szCs w:val="24"/>
        </w:rPr>
        <w:t xml:space="preserve"> that were available through the ACS dataset and SLD. In addition</w:t>
      </w:r>
      <w:r w:rsidR="00143377" w:rsidRPr="00143377">
        <w:rPr>
          <w:sz w:val="24"/>
          <w:szCs w:val="24"/>
        </w:rPr>
        <w:t>,</w:t>
      </w:r>
      <w:r w:rsidR="00F12D37" w:rsidRPr="00143377">
        <w:rPr>
          <w:sz w:val="24"/>
          <w:szCs w:val="24"/>
        </w:rPr>
        <w:t xml:space="preserve"> </w:t>
      </w:r>
      <w:r w:rsidR="00143377" w:rsidRPr="00143377">
        <w:rPr>
          <w:sz w:val="24"/>
          <w:szCs w:val="24"/>
        </w:rPr>
        <w:t xml:space="preserve">the model specification included </w:t>
      </w:r>
      <w:r w:rsidR="00F12D37" w:rsidRPr="00143377">
        <w:rPr>
          <w:sz w:val="24"/>
          <w:szCs w:val="24"/>
        </w:rPr>
        <w:t xml:space="preserve">a measure of impedance between the origin and destination and a measure of </w:t>
      </w:r>
      <w:r w:rsidR="00143377" w:rsidRPr="00143377">
        <w:rPr>
          <w:sz w:val="24"/>
          <w:szCs w:val="24"/>
        </w:rPr>
        <w:t xml:space="preserve">the </w:t>
      </w:r>
      <w:r w:rsidR="00F12D37" w:rsidRPr="00143377">
        <w:rPr>
          <w:sz w:val="24"/>
          <w:szCs w:val="24"/>
        </w:rPr>
        <w:t>spatial accessibility of the destination.</w:t>
      </w:r>
      <w:r>
        <w:rPr>
          <w:sz w:val="24"/>
          <w:szCs w:val="24"/>
        </w:rPr>
        <w:t xml:space="preserve"> A healthy dose of intuitive/conceptual reasoning and expectations were considered during the specification to ensure basic face-validity of the results. </w:t>
      </w:r>
    </w:p>
    <w:p w14:paraId="325E485F" w14:textId="77777777" w:rsidR="00143377" w:rsidRPr="00143377" w:rsidRDefault="00143377" w:rsidP="00F7439A">
      <w:pPr>
        <w:spacing w:after="0" w:line="240" w:lineRule="auto"/>
        <w:rPr>
          <w:sz w:val="24"/>
          <w:szCs w:val="24"/>
        </w:rPr>
      </w:pPr>
    </w:p>
    <w:p w14:paraId="775B29F9" w14:textId="77777777" w:rsidR="00F12D37" w:rsidRPr="00633EB4" w:rsidRDefault="00F12D37" w:rsidP="00633EB4">
      <w:pPr>
        <w:pStyle w:val="Heading3"/>
        <w:spacing w:before="0" w:line="240" w:lineRule="auto"/>
      </w:pPr>
      <w:bookmarkStart w:id="24" w:name="_Ref26034323"/>
      <w:r w:rsidRPr="00633EB4">
        <w:lastRenderedPageBreak/>
        <w:t>Impedance measure</w:t>
      </w:r>
      <w:bookmarkEnd w:id="24"/>
    </w:p>
    <w:p w14:paraId="58241B5B" w14:textId="4E1906AC" w:rsidR="00781B95" w:rsidRPr="00633EB4" w:rsidRDefault="001D7149" w:rsidP="003140D3">
      <w:pPr>
        <w:spacing w:after="0" w:line="240" w:lineRule="auto"/>
        <w:rPr>
          <w:sz w:val="24"/>
          <w:szCs w:val="24"/>
        </w:rPr>
      </w:pPr>
      <w:r>
        <w:rPr>
          <w:sz w:val="24"/>
          <w:szCs w:val="24"/>
        </w:rPr>
        <w:t xml:space="preserve">The travel </w:t>
      </w:r>
      <w:r w:rsidR="000770D9">
        <w:rPr>
          <w:sz w:val="24"/>
          <w:szCs w:val="24"/>
        </w:rPr>
        <w:t>times between zones for the different time</w:t>
      </w:r>
      <w:r>
        <w:rPr>
          <w:sz w:val="24"/>
          <w:szCs w:val="24"/>
        </w:rPr>
        <w:t>s-of-day</w:t>
      </w:r>
      <w:r w:rsidR="000770D9">
        <w:rPr>
          <w:sz w:val="24"/>
          <w:szCs w:val="24"/>
        </w:rPr>
        <w:t xml:space="preserve"> were generated using CAMPO’s travel demand forecasting model. Any monoton</w:t>
      </w:r>
      <w:r>
        <w:rPr>
          <w:sz w:val="24"/>
          <w:szCs w:val="24"/>
        </w:rPr>
        <w:t xml:space="preserve">ic transformation of the travel </w:t>
      </w:r>
      <w:r w:rsidR="000770D9">
        <w:rPr>
          <w:sz w:val="24"/>
          <w:szCs w:val="24"/>
        </w:rPr>
        <w:t xml:space="preserve">time between </w:t>
      </w:r>
      <w:bookmarkStart w:id="25" w:name="_Hlk32618663"/>
      <w:r w:rsidR="00261173">
        <w:rPr>
          <w:sz w:val="24"/>
          <w:szCs w:val="24"/>
        </w:rPr>
        <w:t xml:space="preserve">an origin TAZ </w:t>
      </w:r>
      <w:proofErr w:type="spellStart"/>
      <w:r w:rsidR="00A17A93" w:rsidRPr="00F30499">
        <w:rPr>
          <w:i/>
          <w:sz w:val="24"/>
          <w:szCs w:val="24"/>
        </w:rPr>
        <w:t>i</w:t>
      </w:r>
      <w:proofErr w:type="spellEnd"/>
      <w:r w:rsidR="00261173">
        <w:rPr>
          <w:sz w:val="24"/>
          <w:szCs w:val="24"/>
        </w:rPr>
        <w:t xml:space="preserve"> and a destination TAZ </w:t>
      </w:r>
      <w:r w:rsidR="00A17A93" w:rsidRPr="00F30499">
        <w:rPr>
          <w:i/>
          <w:sz w:val="24"/>
          <w:szCs w:val="24"/>
        </w:rPr>
        <w:t>j</w:t>
      </w:r>
      <w:r w:rsidR="00261173">
        <w:rPr>
          <w:sz w:val="24"/>
          <w:szCs w:val="24"/>
        </w:rPr>
        <w:t xml:space="preserve"> can </w:t>
      </w:r>
      <w:r w:rsidR="002F7BC9">
        <w:rPr>
          <w:sz w:val="24"/>
          <w:szCs w:val="24"/>
        </w:rPr>
        <w:t xml:space="preserve">be </w:t>
      </w:r>
      <w:r w:rsidR="000770D9">
        <w:rPr>
          <w:sz w:val="24"/>
          <w:szCs w:val="24"/>
        </w:rPr>
        <w:t>used</w:t>
      </w:r>
      <w:r w:rsidR="00C45515">
        <w:rPr>
          <w:sz w:val="24"/>
          <w:szCs w:val="24"/>
        </w:rPr>
        <w:t xml:space="preserve"> as a measure of impedanc</w:t>
      </w:r>
      <w:r w:rsidR="003E4721">
        <w:rPr>
          <w:sz w:val="24"/>
          <w:szCs w:val="24"/>
        </w:rPr>
        <w:t xml:space="preserve">e. </w:t>
      </w:r>
      <w:bookmarkEnd w:id="25"/>
      <w:r w:rsidR="002F7BC9">
        <w:rPr>
          <w:sz w:val="24"/>
          <w:szCs w:val="24"/>
        </w:rPr>
        <w:t xml:space="preserve">In our final specification, we use the square root of the </w:t>
      </w:r>
      <w:r>
        <w:rPr>
          <w:sz w:val="24"/>
          <w:szCs w:val="24"/>
        </w:rPr>
        <w:t xml:space="preserve">travel </w:t>
      </w:r>
      <w:r w:rsidR="003140D3">
        <w:rPr>
          <w:sz w:val="24"/>
          <w:szCs w:val="24"/>
        </w:rPr>
        <w:t>time</w:t>
      </w:r>
      <w:r w:rsidR="00A31847">
        <w:rPr>
          <w:rStyle w:val="FootnoteReference"/>
          <w:sz w:val="24"/>
          <w:szCs w:val="24"/>
        </w:rPr>
        <w:footnoteReference w:id="5"/>
      </w:r>
      <w:r w:rsidR="002F7BC9">
        <w:rPr>
          <w:sz w:val="24"/>
          <w:szCs w:val="24"/>
        </w:rPr>
        <w:t xml:space="preserve"> between </w:t>
      </w:r>
      <w:r w:rsidR="00C25613">
        <w:rPr>
          <w:sz w:val="24"/>
          <w:szCs w:val="24"/>
        </w:rPr>
        <w:t xml:space="preserve">the </w:t>
      </w:r>
      <w:r w:rsidR="002F7BC9">
        <w:rPr>
          <w:sz w:val="24"/>
          <w:szCs w:val="24"/>
        </w:rPr>
        <w:t>TAZs (</w:t>
      </w:r>
      <w:r w:rsidR="003140D3" w:rsidRPr="00E55A34">
        <w:rPr>
          <w:position w:val="-16"/>
          <w:sz w:val="24"/>
          <w:szCs w:val="24"/>
        </w:rPr>
        <w:object w:dxaOrig="420" w:dyaOrig="440" w14:anchorId="33AE1720">
          <v:shape id="_x0000_i1046" type="#_x0000_t75" style="width:21pt;height:23.25pt" o:ole="" o:preferrelative="f">
            <v:imagedata r:id="rId58" o:title=""/>
            <o:lock v:ext="edit" aspectratio="f"/>
          </v:shape>
          <o:OLEObject Type="Embed" ProgID="Equation.DSMT4" ShapeID="_x0000_i1046" DrawAspect="Content" ObjectID="_1646040574" r:id="rId59"/>
        </w:object>
      </w:r>
      <w:r w:rsidR="002F7BC9">
        <w:rPr>
          <w:sz w:val="24"/>
          <w:szCs w:val="24"/>
        </w:rPr>
        <w:t xml:space="preserve">) as the impedance measure. This choice of impedance measure was arrived at by comparing the goodness of fit </w:t>
      </w:r>
      <w:r w:rsidR="00BC1E30">
        <w:rPr>
          <w:sz w:val="24"/>
          <w:szCs w:val="24"/>
        </w:rPr>
        <w:t xml:space="preserve">that would be obtained when using different impedance measures with a simplified specification on a sample of the dataset. Specifically, the impedance measures that we compared were </w:t>
      </w:r>
      <w:r w:rsidR="00740F16">
        <w:rPr>
          <w:position w:val="-16"/>
          <w:sz w:val="24"/>
          <w:szCs w:val="24"/>
        </w:rPr>
        <w:pict w14:anchorId="637C3ED6">
          <v:shape id="_x0000_i1047" type="#_x0000_t75" style="width:21pt;height:23.25pt" o:preferrelative="f">
            <v:imagedata r:id="rId60" o:title=""/>
            <o:lock v:ext="edit" aspectratio="f"/>
          </v:shape>
        </w:pict>
      </w:r>
      <w:r w:rsidR="00BC1E30" w:rsidRPr="00633EB4">
        <w:rPr>
          <w:sz w:val="24"/>
          <w:szCs w:val="24"/>
        </w:rPr>
        <w:t xml:space="preserve">, </w:t>
      </w:r>
      <w:r w:rsidR="003140D3" w:rsidRPr="00C82A96">
        <w:rPr>
          <w:noProof/>
          <w:position w:val="-14"/>
          <w:sz w:val="24"/>
          <w:szCs w:val="24"/>
        </w:rPr>
        <w:object w:dxaOrig="220" w:dyaOrig="400" w14:anchorId="32CCB308">
          <v:shape id="_x0000_i1048" type="#_x0000_t75" style="width:11.25pt;height:21pt" o:ole="" o:preferrelative="f">
            <v:imagedata r:id="rId61" o:title=""/>
            <o:lock v:ext="edit" aspectratio="f"/>
          </v:shape>
          <o:OLEObject Type="Embed" ProgID="Equation.DSMT4" ShapeID="_x0000_i1048" DrawAspect="Content" ObjectID="_1646040575" r:id="rId62"/>
        </w:object>
      </w:r>
      <w:r w:rsidR="00A31847">
        <w:rPr>
          <w:noProof/>
          <w:sz w:val="24"/>
          <w:szCs w:val="24"/>
        </w:rPr>
        <w:t>,</w:t>
      </w:r>
      <w:r w:rsidR="00A31847" w:rsidRPr="007C4BF7">
        <w:rPr>
          <w:noProof/>
          <w:position w:val="-14"/>
          <w:sz w:val="24"/>
          <w:szCs w:val="24"/>
        </w:rPr>
        <w:object w:dxaOrig="600" w:dyaOrig="380" w14:anchorId="122347AB">
          <v:shape id="_x0000_i1049" type="#_x0000_t75" style="width:30pt;height:19.5pt" o:ole="">
            <v:imagedata r:id="rId63" o:title=""/>
          </v:shape>
          <o:OLEObject Type="Embed" ProgID="Equation.DSMT4" ShapeID="_x0000_i1049" DrawAspect="Content" ObjectID="_1646040576" r:id="rId64"/>
        </w:object>
      </w:r>
      <w:r w:rsidR="00147D10">
        <w:rPr>
          <w:noProof/>
          <w:sz w:val="24"/>
          <w:szCs w:val="24"/>
        </w:rPr>
        <w:t xml:space="preserve">, </w:t>
      </w:r>
      <w:r w:rsidR="00BC1E30" w:rsidRPr="00633EB4">
        <w:rPr>
          <w:sz w:val="24"/>
          <w:szCs w:val="24"/>
        </w:rPr>
        <w:t xml:space="preserve">and </w:t>
      </w:r>
      <w:r w:rsidR="003140D3" w:rsidRPr="00C82A96">
        <w:rPr>
          <w:noProof/>
          <w:position w:val="-14"/>
          <w:sz w:val="24"/>
          <w:szCs w:val="24"/>
        </w:rPr>
        <w:object w:dxaOrig="220" w:dyaOrig="380" w14:anchorId="6CD40049">
          <v:shape id="_x0000_i1050" type="#_x0000_t75" style="width:11.25pt;height:18.75pt" o:ole="" o:preferrelative="f">
            <v:imagedata r:id="rId65" o:title=""/>
            <o:lock v:ext="edit" aspectratio="f"/>
          </v:shape>
          <o:OLEObject Type="Embed" ProgID="Equation.DSMT4" ShapeID="_x0000_i1050" DrawAspect="Content" ObjectID="_1646040577" r:id="rId66"/>
        </w:object>
      </w:r>
      <w:r w:rsidR="00BC1E30" w:rsidRPr="00633EB4">
        <w:rPr>
          <w:sz w:val="24"/>
          <w:szCs w:val="24"/>
        </w:rPr>
        <w:t xml:space="preserve"> itself</w:t>
      </w:r>
      <w:r w:rsidR="00BC1E30">
        <w:rPr>
          <w:sz w:val="24"/>
          <w:szCs w:val="24"/>
        </w:rPr>
        <w:t>.</w:t>
      </w:r>
      <w:r w:rsidR="00781B95" w:rsidRPr="00633EB4">
        <w:rPr>
          <w:sz w:val="24"/>
          <w:szCs w:val="24"/>
        </w:rPr>
        <w:t xml:space="preserve"> </w:t>
      </w:r>
      <w:r w:rsidR="00F12D37" w:rsidRPr="00633EB4">
        <w:rPr>
          <w:sz w:val="24"/>
          <w:szCs w:val="24"/>
        </w:rPr>
        <w:t xml:space="preserve">The impedance measures were </w:t>
      </w:r>
      <w:r w:rsidR="00855EF9" w:rsidRPr="00633EB4">
        <w:rPr>
          <w:sz w:val="24"/>
          <w:szCs w:val="24"/>
        </w:rPr>
        <w:t>evaluated</w:t>
      </w:r>
      <w:r w:rsidR="00F12D37" w:rsidRPr="00633EB4">
        <w:rPr>
          <w:sz w:val="24"/>
          <w:szCs w:val="24"/>
        </w:rPr>
        <w:t xml:space="preserve"> based on the log-likelihood at convergence of the specification provided </w:t>
      </w:r>
      <w:r w:rsidR="005B145C">
        <w:rPr>
          <w:sz w:val="24"/>
          <w:szCs w:val="24"/>
        </w:rPr>
        <w:t xml:space="preserve">below </w:t>
      </w:r>
      <w:r w:rsidR="00F12D37" w:rsidRPr="00633EB4">
        <w:rPr>
          <w:sz w:val="24"/>
          <w:szCs w:val="24"/>
        </w:rPr>
        <w:t>in</w:t>
      </w:r>
      <w:r w:rsidR="00342FB7">
        <w:rPr>
          <w:sz w:val="24"/>
          <w:szCs w:val="24"/>
        </w:rPr>
        <w:t xml:space="preserve"> Equation (</w:t>
      </w:r>
      <w:r w:rsidR="00F27FE7">
        <w:rPr>
          <w:sz w:val="24"/>
          <w:szCs w:val="24"/>
        </w:rPr>
        <w:t>4</w:t>
      </w:r>
      <w:r w:rsidR="00342FB7">
        <w:rPr>
          <w:sz w:val="24"/>
          <w:szCs w:val="24"/>
        </w:rPr>
        <w:t xml:space="preserve">), </w:t>
      </w:r>
      <w:r w:rsidR="00855EF9" w:rsidRPr="00633EB4">
        <w:rPr>
          <w:sz w:val="24"/>
          <w:szCs w:val="24"/>
        </w:rPr>
        <w:t xml:space="preserve">estimated </w:t>
      </w:r>
      <w:r w:rsidR="00F12D37" w:rsidRPr="00633EB4">
        <w:rPr>
          <w:sz w:val="24"/>
          <w:szCs w:val="24"/>
        </w:rPr>
        <w:t>on a sample dataset with 5000 observations from</w:t>
      </w:r>
      <w:r w:rsidR="00276182">
        <w:rPr>
          <w:sz w:val="24"/>
          <w:szCs w:val="24"/>
        </w:rPr>
        <w:t xml:space="preserve"> each of the four time periods:</w:t>
      </w:r>
    </w:p>
    <w:p w14:paraId="212D5DFB" w14:textId="476B6248" w:rsidR="00781B95" w:rsidRPr="00633EB4" w:rsidRDefault="00D377B9" w:rsidP="00D377B9">
      <w:pPr>
        <w:tabs>
          <w:tab w:val="right" w:pos="9360"/>
        </w:tabs>
        <w:spacing w:before="80" w:after="80" w:line="240" w:lineRule="auto"/>
        <w:rPr>
          <w:rFonts w:cs="Times New Roman"/>
          <w:noProof/>
          <w:sz w:val="24"/>
          <w:szCs w:val="24"/>
        </w:rPr>
      </w:pPr>
      <w:r w:rsidRPr="00C82A96">
        <w:rPr>
          <w:rFonts w:cs="Times New Roman"/>
          <w:noProof/>
          <w:position w:val="-14"/>
          <w:sz w:val="24"/>
          <w:szCs w:val="24"/>
        </w:rPr>
        <w:object w:dxaOrig="4660" w:dyaOrig="380" w14:anchorId="325FEEE6">
          <v:shape id="_x0000_i1051" type="#_x0000_t75" style="width:233.25pt;height:18.75pt" o:ole="" o:preferrelative="f">
            <v:imagedata r:id="rId67" o:title=""/>
            <o:lock v:ext="edit" aspectratio="f"/>
          </v:shape>
          <o:OLEObject Type="Embed" ProgID="Equation.DSMT4" ShapeID="_x0000_i1051" DrawAspect="Content" ObjectID="_1646040578" r:id="rId68"/>
        </w:object>
      </w:r>
      <w:r w:rsidR="00276182">
        <w:rPr>
          <w:rFonts w:cs="Times New Roman"/>
          <w:noProof/>
          <w:sz w:val="24"/>
          <w:szCs w:val="24"/>
        </w:rPr>
        <w:t>,</w:t>
      </w:r>
      <w:r w:rsidR="00F12D37" w:rsidRPr="00633EB4">
        <w:rPr>
          <w:rFonts w:cs="Times New Roman"/>
          <w:noProof/>
          <w:sz w:val="24"/>
          <w:szCs w:val="24"/>
        </w:rPr>
        <w:tab/>
      </w:r>
      <w:r w:rsidR="005B145C">
        <w:rPr>
          <w:rFonts w:cs="Times New Roman"/>
          <w:noProof/>
          <w:sz w:val="24"/>
          <w:szCs w:val="24"/>
        </w:rPr>
        <w:t>(</w:t>
      </w:r>
      <w:r w:rsidR="00F27FE7">
        <w:rPr>
          <w:rFonts w:cs="Times New Roman"/>
          <w:noProof/>
          <w:sz w:val="24"/>
          <w:szCs w:val="24"/>
        </w:rPr>
        <w:t>4</w:t>
      </w:r>
      <w:r w:rsidR="005B145C">
        <w:rPr>
          <w:rFonts w:cs="Times New Roman"/>
          <w:noProof/>
          <w:sz w:val="24"/>
          <w:szCs w:val="24"/>
        </w:rPr>
        <w:t>)</w:t>
      </w:r>
    </w:p>
    <w:p w14:paraId="072759C8" w14:textId="0F781C79" w:rsidR="00143377" w:rsidRPr="00633EB4" w:rsidRDefault="00F30499" w:rsidP="00633EB4">
      <w:pPr>
        <w:spacing w:after="0" w:line="240" w:lineRule="auto"/>
        <w:rPr>
          <w:sz w:val="24"/>
          <w:szCs w:val="24"/>
        </w:rPr>
      </w:pPr>
      <w:r>
        <w:rPr>
          <w:rFonts w:cs="Times New Roman"/>
          <w:noProof/>
          <w:sz w:val="24"/>
          <w:szCs w:val="24"/>
        </w:rPr>
        <w:t>w</w:t>
      </w:r>
      <w:r w:rsidR="00F12D37" w:rsidRPr="00633EB4">
        <w:rPr>
          <w:rFonts w:cs="Times New Roman"/>
          <w:noProof/>
          <w:sz w:val="24"/>
          <w:szCs w:val="24"/>
        </w:rPr>
        <w:t>here</w:t>
      </w:r>
      <w:r>
        <w:rPr>
          <w:rFonts w:cs="Times New Roman"/>
          <w:noProof/>
          <w:sz w:val="24"/>
          <w:szCs w:val="24"/>
        </w:rPr>
        <w:t xml:space="preserve"> </w:t>
      </w:r>
      <w:r w:rsidR="003140D3" w:rsidRPr="00C82A96">
        <w:rPr>
          <w:noProof/>
          <w:position w:val="-14"/>
          <w:sz w:val="24"/>
          <w:szCs w:val="24"/>
        </w:rPr>
        <w:object w:dxaOrig="520" w:dyaOrig="380" w14:anchorId="7D03EDFD">
          <v:shape id="_x0000_i1052" type="#_x0000_t75" style="width:26.25pt;height:18.75pt" o:ole="" o:preferrelative="f">
            <v:imagedata r:id="rId69" o:title=""/>
            <o:lock v:ext="edit" aspectratio="f"/>
          </v:shape>
          <o:OLEObject Type="Embed" ProgID="Equation.DSMT4" ShapeID="_x0000_i1052" DrawAspect="Content" ObjectID="_1646040579" r:id="rId70"/>
        </w:object>
      </w:r>
      <w:r w:rsidR="00F12D37" w:rsidRPr="00633EB4">
        <w:rPr>
          <w:sz w:val="24"/>
          <w:szCs w:val="24"/>
        </w:rPr>
        <w:t xml:space="preserve"> is the </w:t>
      </w:r>
      <w:r w:rsidR="00BC1E30">
        <w:rPr>
          <w:sz w:val="24"/>
          <w:szCs w:val="24"/>
        </w:rPr>
        <w:t xml:space="preserve">measure of </w:t>
      </w:r>
      <w:r w:rsidR="00F12D37" w:rsidRPr="00633EB4">
        <w:rPr>
          <w:sz w:val="24"/>
          <w:szCs w:val="24"/>
        </w:rPr>
        <w:t xml:space="preserve">impedance between TAZs </w:t>
      </w:r>
      <w:proofErr w:type="spellStart"/>
      <w:r w:rsidRPr="00F30499">
        <w:rPr>
          <w:i/>
          <w:sz w:val="24"/>
          <w:szCs w:val="24"/>
        </w:rPr>
        <w:t>i</w:t>
      </w:r>
      <w:proofErr w:type="spellEnd"/>
      <w:r w:rsidR="00F12D37" w:rsidRPr="00633EB4">
        <w:rPr>
          <w:sz w:val="24"/>
          <w:szCs w:val="24"/>
        </w:rPr>
        <w:t xml:space="preserve"> and </w:t>
      </w:r>
      <w:r w:rsidRPr="00F30499">
        <w:rPr>
          <w:i/>
          <w:sz w:val="24"/>
          <w:szCs w:val="24"/>
        </w:rPr>
        <w:t>j</w:t>
      </w:r>
      <w:r w:rsidR="00F12D37" w:rsidRPr="00633EB4">
        <w:rPr>
          <w:sz w:val="24"/>
          <w:szCs w:val="24"/>
        </w:rPr>
        <w:t xml:space="preserve">, </w:t>
      </w:r>
      <w:r w:rsidR="00253156" w:rsidRPr="00C82A96">
        <w:rPr>
          <w:noProof/>
          <w:position w:val="-12"/>
          <w:sz w:val="24"/>
          <w:szCs w:val="24"/>
        </w:rPr>
        <w:object w:dxaOrig="240" w:dyaOrig="360" w14:anchorId="7693EAFB">
          <v:shape id="_x0000_i1053" type="#_x0000_t75" style="width:12pt;height:18pt" o:ole="" o:preferrelative="f">
            <v:imagedata r:id="rId71" o:title=""/>
            <o:lock v:ext="edit" aspectratio="f"/>
          </v:shape>
          <o:OLEObject Type="Embed" ProgID="Equation.DSMT4" ShapeID="_x0000_i1053" DrawAspect="Content" ObjectID="_1646040580" r:id="rId72"/>
        </w:object>
      </w:r>
      <w:r w:rsidR="00F12D37" w:rsidRPr="00633EB4">
        <w:rPr>
          <w:sz w:val="24"/>
          <w:szCs w:val="24"/>
        </w:rPr>
        <w:t xml:space="preserve"> is an indicator of the origin </w:t>
      </w:r>
      <w:proofErr w:type="spellStart"/>
      <w:r w:rsidRPr="00F30499">
        <w:rPr>
          <w:i/>
          <w:sz w:val="24"/>
          <w:szCs w:val="24"/>
        </w:rPr>
        <w:t>i</w:t>
      </w:r>
      <w:proofErr w:type="spellEnd"/>
      <w:r w:rsidR="00F12D37" w:rsidRPr="00633EB4">
        <w:rPr>
          <w:sz w:val="24"/>
          <w:szCs w:val="24"/>
        </w:rPr>
        <w:t xml:space="preserve"> being urban</w:t>
      </w:r>
      <w:r w:rsidR="001A3978">
        <w:rPr>
          <w:sz w:val="24"/>
          <w:szCs w:val="24"/>
        </w:rPr>
        <w:t xml:space="preserve"> (takes a value of one if the origin TAZ is an urban</w:t>
      </w:r>
      <w:r w:rsidR="00F12D37" w:rsidRPr="00633EB4">
        <w:rPr>
          <w:sz w:val="24"/>
          <w:szCs w:val="24"/>
        </w:rPr>
        <w:t xml:space="preserve"> </w:t>
      </w:r>
      <w:r w:rsidR="001A3978">
        <w:rPr>
          <w:sz w:val="24"/>
          <w:szCs w:val="24"/>
        </w:rPr>
        <w:t xml:space="preserve">TAZ, and zero otherwise), </w:t>
      </w:r>
      <w:r w:rsidR="00253156" w:rsidRPr="00C82A96">
        <w:rPr>
          <w:noProof/>
          <w:position w:val="-12"/>
          <w:sz w:val="24"/>
          <w:szCs w:val="24"/>
        </w:rPr>
        <w:object w:dxaOrig="180" w:dyaOrig="360" w14:anchorId="1A485821">
          <v:shape id="_x0000_i1054" type="#_x0000_t75" style="width:9pt;height:18pt" o:ole="" o:preferrelative="f">
            <v:imagedata r:id="rId73" o:title=""/>
            <o:lock v:ext="edit" aspectratio="f"/>
          </v:shape>
          <o:OLEObject Type="Embed" ProgID="Equation.DSMT4" ShapeID="_x0000_i1054" DrawAspect="Content" ObjectID="_1646040581" r:id="rId74"/>
        </w:object>
      </w:r>
      <w:r w:rsidR="00F12D37" w:rsidRPr="00633EB4">
        <w:rPr>
          <w:sz w:val="24"/>
          <w:szCs w:val="24"/>
        </w:rPr>
        <w:t xml:space="preserve"> is</w:t>
      </w:r>
      <w:r w:rsidR="00855EF9" w:rsidRPr="00633EB4">
        <w:rPr>
          <w:sz w:val="24"/>
          <w:szCs w:val="24"/>
        </w:rPr>
        <w:t xml:space="preserve"> an</w:t>
      </w:r>
      <w:r w:rsidR="001A3978">
        <w:rPr>
          <w:sz w:val="24"/>
          <w:szCs w:val="24"/>
        </w:rPr>
        <w:t>other</w:t>
      </w:r>
      <w:r w:rsidR="00F12D37" w:rsidRPr="00633EB4">
        <w:rPr>
          <w:sz w:val="24"/>
          <w:szCs w:val="24"/>
        </w:rPr>
        <w:t xml:space="preserve"> indicator of the origin </w:t>
      </w:r>
      <w:proofErr w:type="spellStart"/>
      <w:r w:rsidRPr="00F30499">
        <w:rPr>
          <w:i/>
          <w:sz w:val="24"/>
          <w:szCs w:val="24"/>
        </w:rPr>
        <w:t>i</w:t>
      </w:r>
      <w:proofErr w:type="spellEnd"/>
      <w:r w:rsidR="00F12D37" w:rsidRPr="00633EB4">
        <w:rPr>
          <w:sz w:val="24"/>
          <w:szCs w:val="24"/>
        </w:rPr>
        <w:t xml:space="preserve"> being rural </w:t>
      </w:r>
      <w:r w:rsidR="001A3978">
        <w:rPr>
          <w:sz w:val="24"/>
          <w:szCs w:val="24"/>
        </w:rPr>
        <w:t>(takes a value of one if the origin TAZ is a suburban</w:t>
      </w:r>
      <w:r w:rsidR="001A3978" w:rsidRPr="00633EB4">
        <w:rPr>
          <w:sz w:val="24"/>
          <w:szCs w:val="24"/>
        </w:rPr>
        <w:t xml:space="preserve"> </w:t>
      </w:r>
      <w:r w:rsidR="001A3978">
        <w:rPr>
          <w:sz w:val="24"/>
          <w:szCs w:val="24"/>
        </w:rPr>
        <w:t xml:space="preserve">TAZ, and zero otherwise; </w:t>
      </w:r>
      <w:r w:rsidR="00D858C7">
        <w:rPr>
          <w:sz w:val="24"/>
          <w:szCs w:val="24"/>
        </w:rPr>
        <w:t>the origin being suburban is treated as the base</w:t>
      </w:r>
      <w:r w:rsidR="00F12D37" w:rsidRPr="00633EB4">
        <w:rPr>
          <w:sz w:val="24"/>
          <w:szCs w:val="24"/>
        </w:rPr>
        <w:t xml:space="preserve">), </w:t>
      </w:r>
      <w:r w:rsidR="00253156" w:rsidRPr="00C82A96">
        <w:rPr>
          <w:noProof/>
          <w:position w:val="-14"/>
          <w:sz w:val="24"/>
          <w:szCs w:val="24"/>
        </w:rPr>
        <w:object w:dxaOrig="279" w:dyaOrig="380" w14:anchorId="1FF8A6F5">
          <v:shape id="_x0000_i1055" type="#_x0000_t75" style="width:14.25pt;height:18.75pt" o:ole="" o:preferrelative="f">
            <v:imagedata r:id="rId75" o:title=""/>
            <o:lock v:ext="edit" aspectratio="f"/>
          </v:shape>
          <o:OLEObject Type="Embed" ProgID="Equation.DSMT4" ShapeID="_x0000_i1055" DrawAspect="Content" ObjectID="_1646040582" r:id="rId76"/>
        </w:object>
      </w:r>
      <w:r w:rsidR="00F12D37" w:rsidRPr="00633EB4">
        <w:rPr>
          <w:sz w:val="24"/>
          <w:szCs w:val="24"/>
        </w:rPr>
        <w:t xml:space="preserve"> is</w:t>
      </w:r>
      <w:r w:rsidR="00855EF9" w:rsidRPr="00633EB4">
        <w:rPr>
          <w:sz w:val="24"/>
          <w:szCs w:val="24"/>
        </w:rPr>
        <w:t xml:space="preserve"> an</w:t>
      </w:r>
      <w:r w:rsidR="00F12D37" w:rsidRPr="00633EB4">
        <w:rPr>
          <w:sz w:val="24"/>
          <w:szCs w:val="24"/>
        </w:rPr>
        <w:t xml:space="preserve"> indicator </w:t>
      </w:r>
      <w:r w:rsidR="00855EF9" w:rsidRPr="00633EB4">
        <w:rPr>
          <w:sz w:val="24"/>
          <w:szCs w:val="24"/>
        </w:rPr>
        <w:t xml:space="preserve">to denote </w:t>
      </w:r>
      <w:proofErr w:type="spellStart"/>
      <w:r w:rsidRPr="00F30499">
        <w:rPr>
          <w:i/>
          <w:sz w:val="24"/>
          <w:szCs w:val="24"/>
        </w:rPr>
        <w:t>i</w:t>
      </w:r>
      <w:proofErr w:type="spellEnd"/>
      <w:r w:rsidR="00F12D37" w:rsidRPr="00633EB4">
        <w:rPr>
          <w:sz w:val="24"/>
          <w:szCs w:val="24"/>
        </w:rPr>
        <w:t xml:space="preserve"> and </w:t>
      </w:r>
      <w:r w:rsidRPr="00F30499">
        <w:rPr>
          <w:i/>
          <w:sz w:val="24"/>
          <w:szCs w:val="24"/>
        </w:rPr>
        <w:t>j</w:t>
      </w:r>
      <w:r w:rsidR="00F12D37" w:rsidRPr="00633EB4">
        <w:rPr>
          <w:sz w:val="24"/>
          <w:szCs w:val="24"/>
        </w:rPr>
        <w:t xml:space="preserve"> being neighbors</w:t>
      </w:r>
      <w:r w:rsidR="009B4C70" w:rsidRPr="00633EB4">
        <w:rPr>
          <w:sz w:val="24"/>
          <w:szCs w:val="24"/>
        </w:rPr>
        <w:t xml:space="preserve"> (takes a value of 1 if the boundary of </w:t>
      </w:r>
      <w:r w:rsidR="001A3978">
        <w:rPr>
          <w:sz w:val="24"/>
          <w:szCs w:val="24"/>
        </w:rPr>
        <w:t xml:space="preserve">TAZ </w:t>
      </w:r>
      <w:proofErr w:type="spellStart"/>
      <w:r w:rsidRPr="00F30499">
        <w:rPr>
          <w:i/>
          <w:sz w:val="24"/>
          <w:szCs w:val="24"/>
        </w:rPr>
        <w:t>i</w:t>
      </w:r>
      <w:proofErr w:type="spellEnd"/>
      <w:r w:rsidR="009B4C70" w:rsidRPr="00633EB4">
        <w:rPr>
          <w:sz w:val="24"/>
          <w:szCs w:val="24"/>
        </w:rPr>
        <w:t xml:space="preserve"> touches the boundary of </w:t>
      </w:r>
      <w:r w:rsidR="001A3978">
        <w:rPr>
          <w:sz w:val="24"/>
          <w:szCs w:val="24"/>
        </w:rPr>
        <w:t xml:space="preserve">TAZ </w:t>
      </w:r>
      <w:r w:rsidRPr="00F30499">
        <w:rPr>
          <w:i/>
          <w:sz w:val="24"/>
          <w:szCs w:val="24"/>
        </w:rPr>
        <w:t>j</w:t>
      </w:r>
      <w:r w:rsidR="009B4C70" w:rsidRPr="00633EB4">
        <w:rPr>
          <w:sz w:val="24"/>
          <w:szCs w:val="24"/>
        </w:rPr>
        <w:t>)</w:t>
      </w:r>
      <w:r w:rsidR="00855EF9" w:rsidRPr="00633EB4">
        <w:rPr>
          <w:sz w:val="24"/>
          <w:szCs w:val="24"/>
        </w:rPr>
        <w:t>,</w:t>
      </w:r>
      <w:r w:rsidR="00F12D37" w:rsidRPr="00633EB4">
        <w:rPr>
          <w:sz w:val="24"/>
          <w:szCs w:val="24"/>
        </w:rPr>
        <w:t xml:space="preserve"> and </w:t>
      </w:r>
      <w:r w:rsidR="00253156" w:rsidRPr="00C82A96">
        <w:rPr>
          <w:noProof/>
          <w:position w:val="-14"/>
          <w:sz w:val="24"/>
          <w:szCs w:val="24"/>
        </w:rPr>
        <w:object w:dxaOrig="260" w:dyaOrig="380" w14:anchorId="5A8A1186">
          <v:shape id="_x0000_i1056" type="#_x0000_t75" style="width:13.5pt;height:18.75pt" o:ole="" o:preferrelative="f">
            <v:imagedata r:id="rId77" o:title=""/>
            <o:lock v:ext="edit" aspectratio="f"/>
          </v:shape>
          <o:OLEObject Type="Embed" ProgID="Equation.DSMT4" ShapeID="_x0000_i1056" DrawAspect="Content" ObjectID="_1646040583" r:id="rId78"/>
        </w:object>
      </w:r>
      <w:r w:rsidR="00F12D37" w:rsidRPr="00633EB4">
        <w:rPr>
          <w:sz w:val="24"/>
          <w:szCs w:val="24"/>
        </w:rPr>
        <w:t xml:space="preserve"> indicates </w:t>
      </w:r>
      <w:r w:rsidR="001A3978">
        <w:rPr>
          <w:sz w:val="24"/>
          <w:szCs w:val="24"/>
        </w:rPr>
        <w:t xml:space="preserve">whether or not a destination TAZ </w:t>
      </w:r>
      <w:r w:rsidR="001A3978" w:rsidRPr="00876C25">
        <w:rPr>
          <w:i/>
          <w:sz w:val="24"/>
          <w:szCs w:val="24"/>
        </w:rPr>
        <w:t>j</w:t>
      </w:r>
      <w:r w:rsidR="001A3978">
        <w:rPr>
          <w:sz w:val="24"/>
          <w:szCs w:val="24"/>
        </w:rPr>
        <w:t xml:space="preserve"> is the same as </w:t>
      </w:r>
      <w:r w:rsidR="001F05A9">
        <w:rPr>
          <w:sz w:val="24"/>
          <w:szCs w:val="24"/>
        </w:rPr>
        <w:t xml:space="preserve">the </w:t>
      </w:r>
      <w:r w:rsidR="001A3978">
        <w:rPr>
          <w:sz w:val="24"/>
          <w:szCs w:val="24"/>
        </w:rPr>
        <w:t xml:space="preserve">origin TAZ </w:t>
      </w:r>
      <w:proofErr w:type="spellStart"/>
      <w:r w:rsidR="001A3978" w:rsidRPr="00876C25">
        <w:rPr>
          <w:i/>
          <w:sz w:val="24"/>
          <w:szCs w:val="24"/>
        </w:rPr>
        <w:t>i</w:t>
      </w:r>
      <w:proofErr w:type="spellEnd"/>
      <w:r w:rsidR="001A3978">
        <w:rPr>
          <w:sz w:val="24"/>
          <w:szCs w:val="24"/>
        </w:rPr>
        <w:t xml:space="preserve">. </w:t>
      </w:r>
      <w:r w:rsidR="00253156" w:rsidRPr="00E55A34">
        <w:rPr>
          <w:position w:val="-12"/>
          <w:sz w:val="24"/>
          <w:szCs w:val="24"/>
        </w:rPr>
        <w:object w:dxaOrig="260" w:dyaOrig="360" w14:anchorId="4A91F702">
          <v:shape id="_x0000_i1057" type="#_x0000_t75" style="width:13.5pt;height:18pt" o:ole="" o:preferrelative="f">
            <v:imagedata r:id="rId79" o:title=""/>
            <o:lock v:ext="edit" aspectratio="f"/>
          </v:shape>
          <o:OLEObject Type="Embed" ProgID="Equation.DSMT4" ShapeID="_x0000_i1057" DrawAspect="Content" ObjectID="_1646040584" r:id="rId80"/>
        </w:object>
      </w:r>
      <w:r w:rsidR="00C45515">
        <w:rPr>
          <w:sz w:val="24"/>
          <w:szCs w:val="24"/>
        </w:rPr>
        <w:t xml:space="preserve"> captures the effect of impedance on utility if the origin TAZ is in a suburban area. </w:t>
      </w:r>
      <w:r w:rsidR="00253156" w:rsidRPr="00E55A34">
        <w:rPr>
          <w:position w:val="-12"/>
          <w:sz w:val="24"/>
          <w:szCs w:val="24"/>
        </w:rPr>
        <w:object w:dxaOrig="920" w:dyaOrig="360" w14:anchorId="1EF9AD2F">
          <v:shape id="_x0000_i1058" type="#_x0000_t75" style="width:45.75pt;height:18pt" o:ole="" o:preferrelative="f">
            <v:imagedata r:id="rId81" o:title=""/>
            <o:lock v:ext="edit" aspectratio="f"/>
          </v:shape>
          <o:OLEObject Type="Embed" ProgID="Equation.DSMT4" ShapeID="_x0000_i1058" DrawAspect="Content" ObjectID="_1646040585" r:id="rId82"/>
        </w:object>
      </w:r>
      <w:r w:rsidR="00C45515">
        <w:rPr>
          <w:sz w:val="24"/>
          <w:szCs w:val="24"/>
        </w:rPr>
        <w:t xml:space="preserve">and </w:t>
      </w:r>
      <w:r w:rsidR="00253156" w:rsidRPr="00E55A34">
        <w:rPr>
          <w:position w:val="-12"/>
          <w:sz w:val="24"/>
          <w:szCs w:val="24"/>
        </w:rPr>
        <w:object w:dxaOrig="900" w:dyaOrig="360" w14:anchorId="4062D24C">
          <v:shape id="_x0000_i1059" type="#_x0000_t75" style="width:45pt;height:18pt" o:ole="" o:preferrelative="f">
            <v:imagedata r:id="rId83" o:title=""/>
            <o:lock v:ext="edit" aspectratio="f"/>
          </v:shape>
          <o:OLEObject Type="Embed" ProgID="Equation.DSMT4" ShapeID="_x0000_i1059" DrawAspect="Content" ObjectID="_1646040586" r:id="rId84"/>
        </w:object>
      </w:r>
      <w:r w:rsidR="00C45515">
        <w:rPr>
          <w:sz w:val="24"/>
          <w:szCs w:val="24"/>
        </w:rPr>
        <w:t xml:space="preserve"> would be the effect of impedance </w:t>
      </w:r>
      <w:r w:rsidR="00BC1E30">
        <w:rPr>
          <w:sz w:val="24"/>
          <w:szCs w:val="24"/>
        </w:rPr>
        <w:t>on</w:t>
      </w:r>
      <w:r w:rsidR="00C45515">
        <w:rPr>
          <w:sz w:val="24"/>
          <w:szCs w:val="24"/>
        </w:rPr>
        <w:t xml:space="preserve"> utility if the origin TAZ is in an urban area and rural area</w:t>
      </w:r>
      <w:r w:rsidR="001F05A9">
        <w:rPr>
          <w:sz w:val="24"/>
          <w:szCs w:val="24"/>
        </w:rPr>
        <w:t>,</w:t>
      </w:r>
      <w:r w:rsidR="00C45515">
        <w:rPr>
          <w:sz w:val="24"/>
          <w:szCs w:val="24"/>
        </w:rPr>
        <w:t xml:space="preserve"> respectively. We expect the </w:t>
      </w:r>
      <w:r w:rsidR="003140D3">
        <w:rPr>
          <w:sz w:val="24"/>
          <w:szCs w:val="24"/>
        </w:rPr>
        <w:t>quantities</w:t>
      </w:r>
      <w:r w:rsidR="00253156" w:rsidRPr="00E55A34">
        <w:rPr>
          <w:position w:val="-12"/>
          <w:sz w:val="24"/>
          <w:szCs w:val="24"/>
        </w:rPr>
        <w:object w:dxaOrig="260" w:dyaOrig="360" w14:anchorId="3D928500">
          <v:shape id="_x0000_i1060" type="#_x0000_t75" style="width:13.5pt;height:18pt" o:ole="" o:preferrelative="f">
            <v:imagedata r:id="rId85" o:title=""/>
            <o:lock v:ext="edit" aspectratio="f"/>
          </v:shape>
          <o:OLEObject Type="Embed" ProgID="Equation.DSMT4" ShapeID="_x0000_i1060" DrawAspect="Content" ObjectID="_1646040587" r:id="rId86"/>
        </w:object>
      </w:r>
      <w:r w:rsidR="00C45515">
        <w:rPr>
          <w:sz w:val="24"/>
          <w:szCs w:val="24"/>
        </w:rPr>
        <w:t xml:space="preserve">, </w:t>
      </w:r>
      <w:r w:rsidR="00253156" w:rsidRPr="00E55A34">
        <w:rPr>
          <w:position w:val="-12"/>
          <w:sz w:val="24"/>
          <w:szCs w:val="24"/>
        </w:rPr>
        <w:object w:dxaOrig="920" w:dyaOrig="360" w14:anchorId="5C8F46FA">
          <v:shape id="_x0000_i1061" type="#_x0000_t75" style="width:45.75pt;height:18pt" o:ole="" o:preferrelative="f">
            <v:imagedata r:id="rId87" o:title=""/>
            <o:lock v:ext="edit" aspectratio="f"/>
          </v:shape>
          <o:OLEObject Type="Embed" ProgID="Equation.DSMT4" ShapeID="_x0000_i1061" DrawAspect="Content" ObjectID="_1646040588" r:id="rId88"/>
        </w:object>
      </w:r>
      <w:r w:rsidR="00C45515">
        <w:rPr>
          <w:sz w:val="24"/>
          <w:szCs w:val="24"/>
        </w:rPr>
        <w:t xml:space="preserve"> and </w:t>
      </w:r>
      <w:r w:rsidR="00253156" w:rsidRPr="00E55A34">
        <w:rPr>
          <w:position w:val="-12"/>
          <w:sz w:val="24"/>
          <w:szCs w:val="24"/>
        </w:rPr>
        <w:object w:dxaOrig="900" w:dyaOrig="360" w14:anchorId="6CC7D999">
          <v:shape id="_x0000_i1062" type="#_x0000_t75" style="width:45pt;height:18pt" o:ole="" o:preferrelative="f">
            <v:imagedata r:id="rId89" o:title=""/>
            <o:lock v:ext="edit" aspectratio="f"/>
          </v:shape>
          <o:OLEObject Type="Embed" ProgID="Equation.DSMT4" ShapeID="_x0000_i1062" DrawAspect="Content" ObjectID="_1646040589" r:id="rId90"/>
        </w:object>
      </w:r>
      <w:r w:rsidR="00C45515">
        <w:rPr>
          <w:sz w:val="24"/>
          <w:szCs w:val="24"/>
        </w:rPr>
        <w:t xml:space="preserve"> to be negative as drivers should be less likely to pick-up passengers from TAZs that are further away</w:t>
      </w:r>
      <w:r w:rsidR="00D858C7">
        <w:rPr>
          <w:sz w:val="24"/>
          <w:szCs w:val="24"/>
        </w:rPr>
        <w:t xml:space="preserve">. </w:t>
      </w:r>
      <w:r w:rsidR="00BC1E30">
        <w:rPr>
          <w:sz w:val="24"/>
          <w:szCs w:val="24"/>
        </w:rPr>
        <w:t>In the final specification, t</w:t>
      </w:r>
      <w:r w:rsidR="00F12D37" w:rsidRPr="00633EB4">
        <w:rPr>
          <w:sz w:val="24"/>
          <w:szCs w:val="24"/>
        </w:rPr>
        <w:t xml:space="preserve">he impedance measure is introduced into the size independent component (the </w:t>
      </w:r>
      <w:r w:rsidR="00253156" w:rsidRPr="00C82A96">
        <w:rPr>
          <w:noProof/>
          <w:position w:val="-14"/>
          <w:sz w:val="24"/>
          <w:szCs w:val="24"/>
        </w:rPr>
        <w:object w:dxaOrig="300" w:dyaOrig="380" w14:anchorId="304F92D8">
          <v:shape id="_x0000_i1063" type="#_x0000_t75" style="width:15pt;height:18.75pt" o:ole="" o:preferrelative="f">
            <v:imagedata r:id="rId91" o:title=""/>
            <o:lock v:ext="edit" aspectratio="f"/>
          </v:shape>
          <o:OLEObject Type="Embed" ProgID="Equation.DSMT4" ShapeID="_x0000_i1063" DrawAspect="Content" ObjectID="_1646040590" r:id="rId92"/>
        </w:object>
      </w:r>
      <w:r w:rsidR="00F12D37" w:rsidRPr="00633EB4">
        <w:rPr>
          <w:sz w:val="24"/>
          <w:szCs w:val="24"/>
        </w:rPr>
        <w:t xml:space="preserve"> vector in</w:t>
      </w:r>
      <w:r w:rsidR="00342FB7">
        <w:rPr>
          <w:sz w:val="24"/>
          <w:szCs w:val="24"/>
        </w:rPr>
        <w:t xml:space="preserve"> Equation (2)).</w:t>
      </w:r>
      <w:r w:rsidR="00176292">
        <w:rPr>
          <w:sz w:val="24"/>
          <w:szCs w:val="24"/>
        </w:rPr>
        <w:t xml:space="preserve"> </w:t>
      </w:r>
    </w:p>
    <w:p w14:paraId="0C6E3028" w14:textId="051EBC38" w:rsidR="00F12D37" w:rsidRPr="005F4DD6" w:rsidRDefault="00F12D37" w:rsidP="00F7439A">
      <w:pPr>
        <w:spacing w:after="0" w:line="240" w:lineRule="auto"/>
        <w:rPr>
          <w:sz w:val="24"/>
          <w:szCs w:val="24"/>
        </w:rPr>
      </w:pPr>
      <w:r w:rsidRPr="005F4DD6">
        <w:rPr>
          <w:sz w:val="24"/>
          <w:szCs w:val="24"/>
        </w:rPr>
        <w:t xml:space="preserve"> </w:t>
      </w:r>
    </w:p>
    <w:p w14:paraId="7A3A3184" w14:textId="77777777" w:rsidR="00F12D37" w:rsidRPr="005F4DD6" w:rsidRDefault="00F12D37" w:rsidP="00F7439A">
      <w:pPr>
        <w:pStyle w:val="Heading3"/>
        <w:spacing w:before="0" w:line="240" w:lineRule="auto"/>
      </w:pPr>
      <w:bookmarkStart w:id="26" w:name="_Ref12308799"/>
      <w:r w:rsidRPr="005F4DD6">
        <w:t>Accessibility measure</w:t>
      </w:r>
      <w:bookmarkEnd w:id="26"/>
    </w:p>
    <w:p w14:paraId="356E3B74" w14:textId="197F5D7E" w:rsidR="00975733" w:rsidRPr="005F4DD6" w:rsidRDefault="00F12D37" w:rsidP="00975733">
      <w:pPr>
        <w:spacing w:after="0" w:line="240" w:lineRule="auto"/>
        <w:rPr>
          <w:sz w:val="24"/>
          <w:szCs w:val="24"/>
        </w:rPr>
      </w:pPr>
      <w:r w:rsidRPr="005F4DD6">
        <w:rPr>
          <w:sz w:val="24"/>
          <w:szCs w:val="24"/>
        </w:rPr>
        <w:t xml:space="preserve">The retail and service accessibility of the destination zone is included in </w:t>
      </w:r>
      <w:r w:rsidR="005F4DD6" w:rsidRPr="005F4DD6">
        <w:rPr>
          <w:sz w:val="24"/>
          <w:szCs w:val="24"/>
        </w:rPr>
        <w:t xml:space="preserve">the model </w:t>
      </w:r>
      <w:r w:rsidRPr="005F4DD6">
        <w:rPr>
          <w:sz w:val="24"/>
          <w:szCs w:val="24"/>
        </w:rPr>
        <w:t xml:space="preserve">specification. This measure indicates the degree to which a </w:t>
      </w:r>
      <w:r w:rsidR="001F05A9">
        <w:rPr>
          <w:sz w:val="24"/>
          <w:szCs w:val="24"/>
        </w:rPr>
        <w:t xml:space="preserve">candidate destination </w:t>
      </w:r>
      <w:r w:rsidRPr="005F4DD6">
        <w:rPr>
          <w:sz w:val="24"/>
          <w:szCs w:val="24"/>
        </w:rPr>
        <w:t xml:space="preserve">zone </w:t>
      </w:r>
      <w:r w:rsidR="001F05A9">
        <w:rPr>
          <w:sz w:val="24"/>
          <w:szCs w:val="24"/>
        </w:rPr>
        <w:t xml:space="preserve">for a deadhead trip </w:t>
      </w:r>
      <w:r w:rsidRPr="005F4DD6">
        <w:rPr>
          <w:sz w:val="24"/>
          <w:szCs w:val="24"/>
        </w:rPr>
        <w:t xml:space="preserve">is </w:t>
      </w:r>
      <w:r w:rsidR="005F4DD6" w:rsidRPr="005F4DD6">
        <w:rPr>
          <w:sz w:val="24"/>
          <w:szCs w:val="24"/>
        </w:rPr>
        <w:t xml:space="preserve">close to </w:t>
      </w:r>
      <w:r w:rsidR="001F05A9">
        <w:rPr>
          <w:sz w:val="24"/>
          <w:szCs w:val="24"/>
        </w:rPr>
        <w:t xml:space="preserve">other candidate destination </w:t>
      </w:r>
      <w:r w:rsidRPr="005F4DD6">
        <w:rPr>
          <w:sz w:val="24"/>
          <w:szCs w:val="24"/>
        </w:rPr>
        <w:t xml:space="preserve">locations </w:t>
      </w:r>
      <w:r w:rsidR="001F05A9">
        <w:rPr>
          <w:sz w:val="24"/>
          <w:szCs w:val="24"/>
        </w:rPr>
        <w:t xml:space="preserve">with high </w:t>
      </w:r>
      <w:r w:rsidRPr="005F4DD6">
        <w:rPr>
          <w:sz w:val="24"/>
          <w:szCs w:val="24"/>
        </w:rPr>
        <w:t xml:space="preserve">retail and service opportunities. </w:t>
      </w:r>
      <w:r w:rsidR="00975733">
        <w:rPr>
          <w:sz w:val="24"/>
          <w:szCs w:val="24"/>
        </w:rPr>
        <w:t>In the current analysis, t</w:t>
      </w:r>
      <w:r w:rsidR="00975733" w:rsidRPr="005F4DD6">
        <w:rPr>
          <w:sz w:val="24"/>
          <w:szCs w:val="24"/>
        </w:rPr>
        <w:t xml:space="preserve">he retail and service accessibility of a </w:t>
      </w:r>
      <w:r w:rsidR="00975733">
        <w:rPr>
          <w:sz w:val="24"/>
          <w:szCs w:val="24"/>
        </w:rPr>
        <w:t xml:space="preserve">candidate destination </w:t>
      </w:r>
      <w:r w:rsidR="00975733" w:rsidRPr="005F4DD6">
        <w:rPr>
          <w:sz w:val="24"/>
          <w:szCs w:val="24"/>
        </w:rPr>
        <w:t>zone</w:t>
      </w:r>
      <w:r w:rsidR="00975733">
        <w:rPr>
          <w:sz w:val="24"/>
          <w:szCs w:val="24"/>
        </w:rPr>
        <w:t xml:space="preserve"> </w:t>
      </w:r>
      <w:r w:rsidR="00975733">
        <w:rPr>
          <w:i/>
          <w:sz w:val="24"/>
          <w:szCs w:val="24"/>
        </w:rPr>
        <w:t xml:space="preserve">j </w:t>
      </w:r>
      <w:r w:rsidR="00975733" w:rsidRPr="005F4DD6">
        <w:rPr>
          <w:sz w:val="24"/>
          <w:szCs w:val="24"/>
        </w:rPr>
        <w:t>is computed using the Hansen</w:t>
      </w:r>
      <w:r w:rsidR="00975733">
        <w:rPr>
          <w:sz w:val="24"/>
          <w:szCs w:val="24"/>
        </w:rPr>
        <w:t>-</w:t>
      </w:r>
      <w:r w:rsidR="00975733" w:rsidRPr="005F4DD6">
        <w:rPr>
          <w:sz w:val="24"/>
          <w:szCs w:val="24"/>
        </w:rPr>
        <w:t>type accessibility measure</w:t>
      </w:r>
      <w:r w:rsidR="00975733">
        <w:rPr>
          <w:sz w:val="24"/>
          <w:szCs w:val="24"/>
        </w:rPr>
        <w:t>:</w:t>
      </w:r>
    </w:p>
    <w:p w14:paraId="60EB8F2E" w14:textId="0DE8FA05" w:rsidR="00975733" w:rsidRDefault="009B53BF" w:rsidP="00D377B9">
      <w:pPr>
        <w:tabs>
          <w:tab w:val="right" w:pos="9360"/>
        </w:tabs>
        <w:spacing w:before="80" w:after="80" w:line="240" w:lineRule="auto"/>
        <w:rPr>
          <w:sz w:val="24"/>
          <w:szCs w:val="24"/>
        </w:rPr>
      </w:pPr>
      <w:r w:rsidRPr="00C82A96">
        <w:rPr>
          <w:noProof/>
          <w:position w:val="-32"/>
          <w:sz w:val="24"/>
          <w:szCs w:val="24"/>
        </w:rPr>
        <w:object w:dxaOrig="2060" w:dyaOrig="700" w14:anchorId="541047BA">
          <v:shape id="_x0000_i1064" type="#_x0000_t75" style="width:104.25pt;height:35.25pt" o:ole="" o:preferrelative="f">
            <v:imagedata r:id="rId93" o:title=""/>
            <o:lock v:ext="edit" aspectratio="f"/>
          </v:shape>
          <o:OLEObject Type="Embed" ProgID="Equation.DSMT4" ShapeID="_x0000_i1064" DrawAspect="Content" ObjectID="_1646040591" r:id="rId94"/>
        </w:object>
      </w:r>
      <w:r w:rsidR="00975733">
        <w:rPr>
          <w:sz w:val="24"/>
          <w:szCs w:val="24"/>
        </w:rPr>
        <w:t>,</w:t>
      </w:r>
      <w:r w:rsidR="00975733" w:rsidRPr="005F4DD6">
        <w:rPr>
          <w:sz w:val="24"/>
          <w:szCs w:val="24"/>
        </w:rPr>
        <w:t xml:space="preserve"> </w:t>
      </w:r>
      <w:r w:rsidR="00975733" w:rsidRPr="005F4DD6">
        <w:rPr>
          <w:sz w:val="24"/>
          <w:szCs w:val="24"/>
        </w:rPr>
        <w:tab/>
      </w:r>
      <w:r w:rsidR="005B145C">
        <w:rPr>
          <w:sz w:val="24"/>
          <w:szCs w:val="24"/>
        </w:rPr>
        <w:t>(</w:t>
      </w:r>
      <w:r w:rsidR="00F27FE7">
        <w:rPr>
          <w:sz w:val="24"/>
          <w:szCs w:val="24"/>
        </w:rPr>
        <w:t>5</w:t>
      </w:r>
      <w:r w:rsidR="005B145C">
        <w:rPr>
          <w:sz w:val="24"/>
          <w:szCs w:val="24"/>
        </w:rPr>
        <w:t>)</w:t>
      </w:r>
    </w:p>
    <w:p w14:paraId="067D502C" w14:textId="55F9F31E" w:rsidR="00253156" w:rsidRDefault="00975733" w:rsidP="00253156">
      <w:pPr>
        <w:spacing w:after="0" w:line="240" w:lineRule="auto"/>
        <w:rPr>
          <w:sz w:val="24"/>
          <w:szCs w:val="24"/>
        </w:rPr>
      </w:pPr>
      <w:r>
        <w:rPr>
          <w:sz w:val="24"/>
          <w:szCs w:val="24"/>
        </w:rPr>
        <w:t>w</w:t>
      </w:r>
      <w:r w:rsidRPr="005F4DD6">
        <w:rPr>
          <w:sz w:val="24"/>
          <w:szCs w:val="24"/>
        </w:rPr>
        <w:t>here</w:t>
      </w:r>
      <w:r>
        <w:rPr>
          <w:sz w:val="24"/>
          <w:szCs w:val="24"/>
        </w:rPr>
        <w:t xml:space="preserve"> </w:t>
      </w:r>
      <w:r w:rsidRPr="00F30499">
        <w:rPr>
          <w:i/>
          <w:sz w:val="24"/>
          <w:szCs w:val="24"/>
        </w:rPr>
        <w:t>N</w:t>
      </w:r>
      <w:r w:rsidRPr="005F4DD6">
        <w:rPr>
          <w:sz w:val="24"/>
          <w:szCs w:val="24"/>
        </w:rPr>
        <w:t xml:space="preserve"> is the total number of TAZs, </w:t>
      </w:r>
      <w:r w:rsidR="00253156" w:rsidRPr="004C6B9C">
        <w:rPr>
          <w:noProof/>
          <w:position w:val="-12"/>
          <w:sz w:val="24"/>
          <w:szCs w:val="24"/>
        </w:rPr>
        <w:object w:dxaOrig="260" w:dyaOrig="360" w14:anchorId="0F9C9832">
          <v:shape id="_x0000_i1065" type="#_x0000_t75" style="width:13.5pt;height:18pt" o:ole="" o:preferrelative="f">
            <v:imagedata r:id="rId95" o:title=""/>
            <o:lock v:ext="edit" aspectratio="f"/>
          </v:shape>
          <o:OLEObject Type="Embed" ProgID="Equation.DSMT4" ShapeID="_x0000_i1065" DrawAspect="Content" ObjectID="_1646040592" r:id="rId96"/>
        </w:object>
      </w:r>
      <w:r w:rsidRPr="005F4DD6">
        <w:rPr>
          <w:sz w:val="24"/>
          <w:szCs w:val="24"/>
        </w:rPr>
        <w:t xml:space="preserve"> and </w:t>
      </w:r>
      <w:r w:rsidR="00253156" w:rsidRPr="004C6B9C">
        <w:rPr>
          <w:noProof/>
          <w:position w:val="-12"/>
          <w:sz w:val="24"/>
          <w:szCs w:val="24"/>
        </w:rPr>
        <w:object w:dxaOrig="260" w:dyaOrig="360" w14:anchorId="05875FAE">
          <v:shape id="_x0000_i1066" type="#_x0000_t75" style="width:13.5pt;height:18pt" o:ole="" o:preferrelative="f">
            <v:imagedata r:id="rId97" o:title=""/>
            <o:lock v:ext="edit" aspectratio="f"/>
          </v:shape>
          <o:OLEObject Type="Embed" ProgID="Equation.DSMT4" ShapeID="_x0000_i1066" DrawAspect="Content" ObjectID="_1646040593" r:id="rId98"/>
        </w:object>
      </w:r>
      <w:r w:rsidRPr="005F4DD6">
        <w:rPr>
          <w:sz w:val="24"/>
          <w:szCs w:val="24"/>
        </w:rPr>
        <w:t xml:space="preserve"> are</w:t>
      </w:r>
      <w:r>
        <w:rPr>
          <w:sz w:val="24"/>
          <w:szCs w:val="24"/>
        </w:rPr>
        <w:t>,</w:t>
      </w:r>
      <w:r w:rsidRPr="005F4DD6">
        <w:rPr>
          <w:sz w:val="24"/>
          <w:szCs w:val="24"/>
        </w:rPr>
        <w:t xml:space="preserve"> respectively</w:t>
      </w:r>
      <w:r>
        <w:rPr>
          <w:sz w:val="24"/>
          <w:szCs w:val="24"/>
        </w:rPr>
        <w:t>,</w:t>
      </w:r>
      <w:r w:rsidRPr="005F4DD6">
        <w:rPr>
          <w:sz w:val="24"/>
          <w:szCs w:val="24"/>
        </w:rPr>
        <w:t xml:space="preserve"> the number of retail </w:t>
      </w:r>
      <w:r>
        <w:rPr>
          <w:sz w:val="24"/>
          <w:szCs w:val="24"/>
        </w:rPr>
        <w:t>and</w:t>
      </w:r>
      <w:r w:rsidRPr="005F4DD6">
        <w:rPr>
          <w:sz w:val="24"/>
          <w:szCs w:val="24"/>
        </w:rPr>
        <w:t xml:space="preserve"> service employment opportunities in TAZ </w:t>
      </w:r>
      <w:r>
        <w:rPr>
          <w:i/>
          <w:sz w:val="24"/>
          <w:szCs w:val="24"/>
        </w:rPr>
        <w:t>l</w:t>
      </w:r>
      <w:r>
        <w:rPr>
          <w:sz w:val="24"/>
          <w:szCs w:val="24"/>
        </w:rPr>
        <w:t xml:space="preserve">, </w:t>
      </w:r>
      <w:r w:rsidR="009B53BF" w:rsidRPr="008752DC">
        <w:rPr>
          <w:position w:val="-14"/>
          <w:sz w:val="24"/>
          <w:szCs w:val="24"/>
        </w:rPr>
        <w:object w:dxaOrig="260" w:dyaOrig="380" w14:anchorId="4E298A25">
          <v:shape id="_x0000_i1067" type="#_x0000_t75" style="width:13.5pt;height:18.75pt" o:ole="">
            <v:imagedata r:id="rId99" o:title=""/>
          </v:shape>
          <o:OLEObject Type="Embed" ProgID="Equation.DSMT4" ShapeID="_x0000_i1067" DrawAspect="Content" ObjectID="_1646040594" r:id="rId100"/>
        </w:object>
      </w:r>
      <w:r w:rsidR="003140D3">
        <w:rPr>
          <w:sz w:val="24"/>
          <w:szCs w:val="24"/>
        </w:rPr>
        <w:t xml:space="preserve">is the </w:t>
      </w:r>
      <w:r w:rsidR="001D7149">
        <w:rPr>
          <w:sz w:val="24"/>
          <w:szCs w:val="24"/>
        </w:rPr>
        <w:t xml:space="preserve">travel </w:t>
      </w:r>
      <w:r w:rsidR="00323017">
        <w:rPr>
          <w:sz w:val="24"/>
          <w:szCs w:val="24"/>
        </w:rPr>
        <w:t>time</w:t>
      </w:r>
      <w:r w:rsidR="003140D3">
        <w:rPr>
          <w:sz w:val="24"/>
          <w:szCs w:val="24"/>
        </w:rPr>
        <w:t xml:space="preserve"> from TAZ </w:t>
      </w:r>
      <w:r w:rsidR="003140D3" w:rsidRPr="008752DC">
        <w:rPr>
          <w:position w:val="-10"/>
          <w:sz w:val="24"/>
          <w:szCs w:val="24"/>
        </w:rPr>
        <w:object w:dxaOrig="200" w:dyaOrig="300" w14:anchorId="041D363E">
          <v:shape id="_x0000_i1068" type="#_x0000_t75" style="width:9.75pt;height:15pt" o:ole="">
            <v:imagedata r:id="rId101" o:title=""/>
          </v:shape>
          <o:OLEObject Type="Embed" ProgID="Equation.DSMT4" ShapeID="_x0000_i1068" DrawAspect="Content" ObjectID="_1646040595" r:id="rId102"/>
        </w:object>
      </w:r>
      <w:r w:rsidR="003140D3">
        <w:rPr>
          <w:sz w:val="24"/>
          <w:szCs w:val="24"/>
        </w:rPr>
        <w:t xml:space="preserve"> to TAZ </w:t>
      </w:r>
      <w:r w:rsidR="003140D3" w:rsidRPr="008752DC">
        <w:rPr>
          <w:position w:val="-6"/>
          <w:sz w:val="24"/>
          <w:szCs w:val="24"/>
        </w:rPr>
        <w:object w:dxaOrig="139" w:dyaOrig="279" w14:anchorId="14B6FAB2">
          <v:shape id="_x0000_i1069" type="#_x0000_t75" style="width:6.75pt;height:14.25pt" o:ole="">
            <v:imagedata r:id="rId103" o:title=""/>
          </v:shape>
          <o:OLEObject Type="Embed" ProgID="Equation.DSMT4" ShapeID="_x0000_i1069" DrawAspect="Content" ObjectID="_1646040596" r:id="rId104"/>
        </w:object>
      </w:r>
      <w:r w:rsidR="003140D3">
        <w:rPr>
          <w:sz w:val="24"/>
          <w:szCs w:val="24"/>
        </w:rPr>
        <w:t xml:space="preserve">, </w:t>
      </w:r>
      <w:r>
        <w:rPr>
          <w:sz w:val="24"/>
          <w:szCs w:val="24"/>
        </w:rPr>
        <w:t>and</w:t>
      </w:r>
      <w:r w:rsidRPr="005F4DD6">
        <w:rPr>
          <w:sz w:val="24"/>
          <w:szCs w:val="24"/>
        </w:rPr>
        <w:t xml:space="preserve"> </w:t>
      </w:r>
      <w:r w:rsidRPr="00F30499">
        <w:rPr>
          <w:rFonts w:cs="Times New Roman"/>
          <w:i/>
          <w:sz w:val="24"/>
          <w:szCs w:val="24"/>
        </w:rPr>
        <w:t>α</w:t>
      </w:r>
      <w:r w:rsidRPr="005F4DD6">
        <w:rPr>
          <w:sz w:val="24"/>
          <w:szCs w:val="24"/>
        </w:rPr>
        <w:t xml:space="preserve"> is a constant parameter</w:t>
      </w:r>
      <w:r>
        <w:rPr>
          <w:sz w:val="24"/>
          <w:szCs w:val="24"/>
        </w:rPr>
        <w:t xml:space="preserve"> (</w:t>
      </w:r>
      <w:r w:rsidRPr="00F30499">
        <w:rPr>
          <w:rFonts w:cs="Times New Roman"/>
          <w:i/>
          <w:sz w:val="24"/>
          <w:szCs w:val="24"/>
        </w:rPr>
        <w:t>α</w:t>
      </w:r>
      <w:r w:rsidRPr="00BA4CFC">
        <w:rPr>
          <w:rFonts w:cs="Times New Roman"/>
          <w:sz w:val="24"/>
          <w:szCs w:val="24"/>
        </w:rPr>
        <w:t>&gt;0)</w:t>
      </w:r>
      <w:r w:rsidRPr="005F4DD6">
        <w:rPr>
          <w:sz w:val="24"/>
          <w:szCs w:val="24"/>
        </w:rPr>
        <w:t xml:space="preserve">. </w:t>
      </w:r>
      <w:r w:rsidRPr="00F30499">
        <w:rPr>
          <w:rFonts w:cs="Times New Roman"/>
          <w:i/>
          <w:sz w:val="24"/>
          <w:szCs w:val="24"/>
        </w:rPr>
        <w:t>α</w:t>
      </w:r>
      <w:r>
        <w:rPr>
          <w:rFonts w:cs="Times New Roman"/>
          <w:iCs/>
          <w:sz w:val="24"/>
          <w:szCs w:val="24"/>
        </w:rPr>
        <w:t xml:space="preserve"> controls the extent to which </w:t>
      </w:r>
      <w:r w:rsidR="001D7149">
        <w:rPr>
          <w:rFonts w:cs="Times New Roman"/>
          <w:iCs/>
          <w:sz w:val="24"/>
          <w:szCs w:val="24"/>
        </w:rPr>
        <w:t xml:space="preserve">travel </w:t>
      </w:r>
      <w:r w:rsidR="007C4BF7">
        <w:rPr>
          <w:rFonts w:cs="Times New Roman"/>
          <w:iCs/>
          <w:sz w:val="24"/>
          <w:szCs w:val="24"/>
        </w:rPr>
        <w:t xml:space="preserve">time </w:t>
      </w:r>
      <w:r>
        <w:rPr>
          <w:rFonts w:cs="Times New Roman"/>
          <w:iCs/>
          <w:sz w:val="24"/>
          <w:szCs w:val="24"/>
        </w:rPr>
        <w:t>controls the effect of proximity to r</w:t>
      </w:r>
      <w:r w:rsidR="005B145C">
        <w:rPr>
          <w:rFonts w:cs="Times New Roman"/>
          <w:iCs/>
          <w:sz w:val="24"/>
          <w:szCs w:val="24"/>
        </w:rPr>
        <w:t>etail and service opportunities</w:t>
      </w:r>
      <w:r>
        <w:rPr>
          <w:rFonts w:cs="Times New Roman"/>
          <w:iCs/>
          <w:sz w:val="24"/>
          <w:szCs w:val="24"/>
        </w:rPr>
        <w:t xml:space="preserve">. As </w:t>
      </w:r>
      <w:r w:rsidRPr="00F30499">
        <w:rPr>
          <w:rFonts w:cs="Times New Roman"/>
          <w:i/>
          <w:sz w:val="24"/>
          <w:szCs w:val="24"/>
        </w:rPr>
        <w:t>α</w:t>
      </w:r>
      <w:r>
        <w:rPr>
          <w:rFonts w:cs="Times New Roman"/>
          <w:iCs/>
          <w:sz w:val="24"/>
          <w:szCs w:val="24"/>
        </w:rPr>
        <w:t xml:space="preserve"> increases in magnitude, it implies that the relative </w:t>
      </w:r>
      <w:r>
        <w:rPr>
          <w:rFonts w:cs="Times New Roman"/>
          <w:iCs/>
          <w:sz w:val="24"/>
          <w:szCs w:val="24"/>
        </w:rPr>
        <w:lastRenderedPageBreak/>
        <w:t xml:space="preserve">positioning of retail and service opportunities in space has a lesser and lesser impact on the attractiveness of any specific candidate destination zone.  </w:t>
      </w:r>
      <w:r>
        <w:rPr>
          <w:sz w:val="24"/>
          <w:szCs w:val="24"/>
        </w:rPr>
        <w:t xml:space="preserve">In our final model specification, we use an </w:t>
      </w:r>
      <w:r w:rsidRPr="00F30499">
        <w:rPr>
          <w:rFonts w:cs="Times New Roman"/>
          <w:i/>
          <w:sz w:val="24"/>
          <w:szCs w:val="24"/>
        </w:rPr>
        <w:t>α</w:t>
      </w:r>
      <w:r>
        <w:rPr>
          <w:rFonts w:cs="Times New Roman"/>
          <w:iCs/>
          <w:sz w:val="24"/>
          <w:szCs w:val="24"/>
        </w:rPr>
        <w:t xml:space="preserve"> value of</w:t>
      </w:r>
      <w:r>
        <w:rPr>
          <w:sz w:val="24"/>
          <w:szCs w:val="24"/>
        </w:rPr>
        <w:t xml:space="preserve"> 1.</w:t>
      </w:r>
      <w:r w:rsidR="00C368A4">
        <w:rPr>
          <w:sz w:val="24"/>
          <w:szCs w:val="24"/>
        </w:rPr>
        <w:t>2</w:t>
      </w:r>
      <w:r>
        <w:rPr>
          <w:sz w:val="24"/>
          <w:szCs w:val="24"/>
        </w:rPr>
        <w:t xml:space="preserve"> to compute accessibility. T</w:t>
      </w:r>
      <w:r w:rsidRPr="005F4DD6">
        <w:rPr>
          <w:sz w:val="24"/>
          <w:szCs w:val="24"/>
        </w:rPr>
        <w:t xml:space="preserve">his value was </w:t>
      </w:r>
      <w:r>
        <w:rPr>
          <w:sz w:val="24"/>
          <w:szCs w:val="24"/>
        </w:rPr>
        <w:t>arrived at</w:t>
      </w:r>
      <w:r w:rsidRPr="005F4DD6">
        <w:rPr>
          <w:sz w:val="24"/>
          <w:szCs w:val="24"/>
        </w:rPr>
        <w:t xml:space="preserve"> by systematically comparing several specifications with the accessibility measures calculated using different values of </w:t>
      </w:r>
      <w:r w:rsidRPr="00F30499">
        <w:rPr>
          <w:rFonts w:cs="Times New Roman"/>
          <w:i/>
          <w:sz w:val="24"/>
          <w:szCs w:val="24"/>
        </w:rPr>
        <w:t>α</w:t>
      </w:r>
      <w:r w:rsidRPr="005F4DD6">
        <w:rPr>
          <w:sz w:val="24"/>
          <w:szCs w:val="24"/>
        </w:rPr>
        <w:t xml:space="preserve"> ranging from 0.6 to 3.</w:t>
      </w:r>
      <w:r>
        <w:rPr>
          <w:sz w:val="24"/>
          <w:szCs w:val="24"/>
        </w:rPr>
        <w:t xml:space="preserve"> </w:t>
      </w:r>
      <w:r w:rsidR="0070385E" w:rsidRPr="0070385E">
        <w:rPr>
          <w:sz w:val="24"/>
          <w:szCs w:val="24"/>
        </w:rPr>
        <w:t xml:space="preserve">Overall, </w:t>
      </w:r>
      <w:r w:rsidR="0070385E" w:rsidRPr="00876C25">
        <w:rPr>
          <w:sz w:val="24"/>
          <w:szCs w:val="24"/>
        </w:rPr>
        <w:t xml:space="preserve">large values of the accessibility variable </w:t>
      </w:r>
      <w:r w:rsidR="00D377B9" w:rsidRPr="00BB414B">
        <w:rPr>
          <w:position w:val="-14"/>
          <w:sz w:val="24"/>
          <w:szCs w:val="24"/>
        </w:rPr>
        <w:object w:dxaOrig="380" w:dyaOrig="380" w14:anchorId="7ADCD4C6">
          <v:shape id="_x0000_i1070" type="#_x0000_t75" style="width:18.75pt;height:18.75pt" o:ole="" o:preferrelative="f">
            <v:imagedata r:id="rId105" o:title=""/>
            <o:lock v:ext="edit" aspectratio="f"/>
          </v:shape>
          <o:OLEObject Type="Embed" ProgID="Equation.DSMT4" ShapeID="_x0000_i1070" DrawAspect="Content" ObjectID="_1646040597" r:id="rId106"/>
        </w:object>
      </w:r>
      <w:r w:rsidR="0070385E" w:rsidRPr="00876C25">
        <w:rPr>
          <w:sz w:val="24"/>
          <w:szCs w:val="24"/>
        </w:rPr>
        <w:t xml:space="preserve"> indicate more retail/service opportunities in close proximity of zone </w:t>
      </w:r>
      <w:r w:rsidR="0070385E" w:rsidRPr="00876C25">
        <w:rPr>
          <w:i/>
          <w:sz w:val="24"/>
          <w:szCs w:val="24"/>
        </w:rPr>
        <w:t>j</w:t>
      </w:r>
      <w:r w:rsidR="0070385E" w:rsidRPr="00253156">
        <w:rPr>
          <w:sz w:val="24"/>
          <w:szCs w:val="24"/>
        </w:rPr>
        <w:t>,</w:t>
      </w:r>
      <w:r w:rsidR="0070385E" w:rsidRPr="00876C25">
        <w:rPr>
          <w:sz w:val="24"/>
          <w:szCs w:val="24"/>
        </w:rPr>
        <w:t xml:space="preserve"> and small values indicate zones that are spatially isolated from other retail/service opportunities.</w:t>
      </w:r>
    </w:p>
    <w:p w14:paraId="7140F1C5" w14:textId="68C59589" w:rsidR="005F4DD6" w:rsidRPr="00332008" w:rsidRDefault="00975733" w:rsidP="00253156">
      <w:pPr>
        <w:spacing w:after="0" w:line="240" w:lineRule="auto"/>
        <w:ind w:firstLine="720"/>
        <w:rPr>
          <w:sz w:val="24"/>
          <w:szCs w:val="24"/>
        </w:rPr>
      </w:pPr>
      <w:r>
        <w:rPr>
          <w:sz w:val="24"/>
          <w:szCs w:val="24"/>
        </w:rPr>
        <w:t>T</w:t>
      </w:r>
      <w:r w:rsidR="00F12D37" w:rsidRPr="005F4DD6">
        <w:rPr>
          <w:sz w:val="24"/>
          <w:szCs w:val="24"/>
        </w:rPr>
        <w:t xml:space="preserve">he coefficient of the accessibility measure </w:t>
      </w:r>
      <w:r>
        <w:rPr>
          <w:sz w:val="24"/>
          <w:szCs w:val="24"/>
        </w:rPr>
        <w:t xml:space="preserve">(say </w:t>
      </w:r>
      <w:r w:rsidR="00253156" w:rsidRPr="00253156">
        <w:rPr>
          <w:rFonts w:cs="Times New Roman"/>
          <w:i/>
          <w:sz w:val="24"/>
          <w:szCs w:val="24"/>
        </w:rPr>
        <w:t>λ</w:t>
      </w:r>
      <w:r w:rsidR="005B145C">
        <w:rPr>
          <w:noProof/>
          <w:sz w:val="24"/>
          <w:szCs w:val="24"/>
        </w:rPr>
        <w:t xml:space="preserve">, on the accessibility measure </w:t>
      </w:r>
      <w:r w:rsidR="00D377B9" w:rsidRPr="00876C25">
        <w:rPr>
          <w:noProof/>
          <w:position w:val="-14"/>
          <w:sz w:val="24"/>
          <w:szCs w:val="24"/>
        </w:rPr>
        <w:object w:dxaOrig="380" w:dyaOrig="380" w14:anchorId="0F1EA23C">
          <v:shape id="_x0000_i1071" type="#_x0000_t75" style="width:18.75pt;height:18.75pt" o:ole="" o:preferrelative="f">
            <v:imagedata r:id="rId107" o:title=""/>
            <o:lock v:ext="edit" aspectratio="f"/>
          </v:shape>
          <o:OLEObject Type="Embed" ProgID="Equation.DSMT4" ShapeID="_x0000_i1071" DrawAspect="Content" ObjectID="_1646040598" r:id="rId108"/>
        </w:object>
      </w:r>
      <w:r>
        <w:rPr>
          <w:noProof/>
          <w:sz w:val="24"/>
          <w:szCs w:val="24"/>
        </w:rPr>
        <w:t xml:space="preserve">) </w:t>
      </w:r>
      <w:r w:rsidR="00F12D37" w:rsidRPr="005F4DD6">
        <w:rPr>
          <w:sz w:val="24"/>
          <w:szCs w:val="24"/>
        </w:rPr>
        <w:t xml:space="preserve">captures the effect of the retail and service opportunities </w:t>
      </w:r>
      <w:r w:rsidR="005F4DD6" w:rsidRPr="005F4DD6">
        <w:rPr>
          <w:sz w:val="24"/>
          <w:szCs w:val="24"/>
        </w:rPr>
        <w:t>in</w:t>
      </w:r>
      <w:r w:rsidR="00F12D37" w:rsidRPr="005F4DD6">
        <w:rPr>
          <w:sz w:val="24"/>
          <w:szCs w:val="24"/>
        </w:rPr>
        <w:t xml:space="preserve"> nearby zones. A negative coefficient</w:t>
      </w:r>
      <w:proofErr w:type="gramStart"/>
      <w:r w:rsidR="00F12D37" w:rsidRPr="005F4DD6">
        <w:rPr>
          <w:sz w:val="24"/>
          <w:szCs w:val="24"/>
        </w:rPr>
        <w:t xml:space="preserve"> </w:t>
      </w:r>
      <w:r w:rsidR="00253156">
        <w:rPr>
          <w:sz w:val="24"/>
          <w:szCs w:val="24"/>
        </w:rPr>
        <w:t xml:space="preserve">  </w:t>
      </w:r>
      <w:r w:rsidR="0070385E">
        <w:rPr>
          <w:sz w:val="24"/>
          <w:szCs w:val="24"/>
        </w:rPr>
        <w:t>(</w:t>
      </w:r>
      <w:r w:rsidR="00253156" w:rsidRPr="00BB414B">
        <w:rPr>
          <w:noProof/>
          <w:position w:val="-10"/>
          <w:sz w:val="24"/>
          <w:szCs w:val="24"/>
        </w:rPr>
        <w:object w:dxaOrig="660" w:dyaOrig="320" w14:anchorId="1C90DB1E">
          <v:shape id="_x0000_i1072" type="#_x0000_t75" style="width:33pt;height:15.75pt" o:ole="" o:preferrelative="f">
            <v:imagedata r:id="rId109" o:title=""/>
            <o:lock v:ext="edit" aspectratio="f"/>
          </v:shape>
          <o:OLEObject Type="Embed" ProgID="Equation.DSMT4" ShapeID="_x0000_i1072" DrawAspect="Content" ObjectID="_1646040599" r:id="rId110"/>
        </w:object>
      </w:r>
      <w:proofErr w:type="gramEnd"/>
      <w:r w:rsidR="009B5A3C" w:rsidRPr="005F4DD6">
        <w:rPr>
          <w:sz w:val="24"/>
          <w:szCs w:val="24"/>
        </w:rPr>
        <w:t>would</w:t>
      </w:r>
      <w:r w:rsidR="00F12D37" w:rsidRPr="005F4DD6">
        <w:rPr>
          <w:sz w:val="24"/>
          <w:szCs w:val="24"/>
        </w:rPr>
        <w:t xml:space="preserve"> impl</w:t>
      </w:r>
      <w:r w:rsidR="009B5A3C" w:rsidRPr="005F4DD6">
        <w:rPr>
          <w:sz w:val="24"/>
          <w:szCs w:val="24"/>
        </w:rPr>
        <w:t>y</w:t>
      </w:r>
      <w:r w:rsidR="00F12D37" w:rsidRPr="005F4DD6">
        <w:rPr>
          <w:sz w:val="24"/>
          <w:szCs w:val="24"/>
        </w:rPr>
        <w:t xml:space="preserve"> that the retail and service opportunities </w:t>
      </w:r>
      <w:r w:rsidR="005F4DD6" w:rsidRPr="005F4DD6">
        <w:rPr>
          <w:sz w:val="24"/>
          <w:szCs w:val="24"/>
        </w:rPr>
        <w:t>in</w:t>
      </w:r>
      <w:r w:rsidR="00F12D37" w:rsidRPr="005F4DD6">
        <w:rPr>
          <w:sz w:val="24"/>
          <w:szCs w:val="24"/>
        </w:rPr>
        <w:t xml:space="preserve"> nearby zone</w:t>
      </w:r>
      <w:r w:rsidR="009B5A3C" w:rsidRPr="005F4DD6">
        <w:rPr>
          <w:sz w:val="24"/>
          <w:szCs w:val="24"/>
        </w:rPr>
        <w:t>s</w:t>
      </w:r>
      <w:r w:rsidR="00F12D37" w:rsidRPr="005F4DD6">
        <w:rPr>
          <w:sz w:val="24"/>
          <w:szCs w:val="24"/>
        </w:rPr>
        <w:t xml:space="preserve"> have a competing effect on the retail and service locations within the zone. </w:t>
      </w:r>
      <w:r w:rsidR="003F254E">
        <w:rPr>
          <w:sz w:val="24"/>
          <w:szCs w:val="24"/>
        </w:rPr>
        <w:t>That is, a TAZ that is not close to other TAZs with a high number of retail/service opportunities attracts more deadheading trips</w:t>
      </w:r>
      <w:r w:rsidR="005B145C">
        <w:rPr>
          <w:sz w:val="24"/>
          <w:szCs w:val="24"/>
        </w:rPr>
        <w:t>.</w:t>
      </w:r>
      <w:r w:rsidR="003F254E">
        <w:rPr>
          <w:sz w:val="24"/>
          <w:szCs w:val="24"/>
        </w:rPr>
        <w:t xml:space="preserve"> Equivalently, a TAZ that is close to other TAZs with a high number of retail/service opportunities would attract fewer deadheading trips</w:t>
      </w:r>
      <w:r w:rsidR="005B145C">
        <w:rPr>
          <w:sz w:val="24"/>
          <w:szCs w:val="24"/>
        </w:rPr>
        <w:t xml:space="preserve"> (this “competition” situation can happen because the lack of retail/service opportunities in close proximity to a specific zone can attract considerable shopping/retail activity of individuals who then want to be picked up from the zone after their activity there).</w:t>
      </w:r>
      <w:r w:rsidR="003F254E">
        <w:rPr>
          <w:sz w:val="24"/>
          <w:szCs w:val="24"/>
        </w:rPr>
        <w:t xml:space="preserve"> </w:t>
      </w:r>
      <w:r w:rsidR="00F12D37" w:rsidRPr="005F4DD6">
        <w:rPr>
          <w:sz w:val="24"/>
          <w:szCs w:val="24"/>
        </w:rPr>
        <w:t xml:space="preserve">On the other hand, a positive coefficient </w:t>
      </w:r>
      <w:r w:rsidR="0070385E">
        <w:rPr>
          <w:sz w:val="24"/>
          <w:szCs w:val="24"/>
        </w:rPr>
        <w:t>(</w:t>
      </w:r>
      <w:r w:rsidR="00253156" w:rsidRPr="00BA4CFC">
        <w:rPr>
          <w:noProof/>
          <w:position w:val="-10"/>
          <w:sz w:val="24"/>
          <w:szCs w:val="24"/>
        </w:rPr>
        <w:object w:dxaOrig="660" w:dyaOrig="320" w14:anchorId="06E09184">
          <v:shape id="_x0000_i1073" type="#_x0000_t75" style="width:33pt;height:15.75pt" o:ole="" o:preferrelative="f">
            <v:imagedata r:id="rId111" o:title=""/>
            <o:lock v:ext="edit" aspectratio="f"/>
          </v:shape>
          <o:OLEObject Type="Embed" ProgID="Equation.DSMT4" ShapeID="_x0000_i1073" DrawAspect="Content" ObjectID="_1646040600" r:id="rId112"/>
        </w:object>
      </w:r>
      <w:r w:rsidR="0070385E">
        <w:rPr>
          <w:noProof/>
          <w:sz w:val="24"/>
          <w:szCs w:val="24"/>
        </w:rPr>
        <w:t xml:space="preserve"> </w:t>
      </w:r>
      <w:r w:rsidR="00F12D37" w:rsidRPr="005F4DD6">
        <w:rPr>
          <w:sz w:val="24"/>
          <w:szCs w:val="24"/>
        </w:rPr>
        <w:t>suggest</w:t>
      </w:r>
      <w:r w:rsidR="009B5A3C" w:rsidRPr="005F4DD6">
        <w:rPr>
          <w:sz w:val="24"/>
          <w:szCs w:val="24"/>
        </w:rPr>
        <w:t>s</w:t>
      </w:r>
      <w:r w:rsidR="00F12D37" w:rsidRPr="005F4DD6">
        <w:rPr>
          <w:sz w:val="24"/>
          <w:szCs w:val="24"/>
        </w:rPr>
        <w:t xml:space="preserve"> that the agglomeration </w:t>
      </w:r>
      <w:r w:rsidR="003F254E">
        <w:rPr>
          <w:sz w:val="24"/>
          <w:szCs w:val="24"/>
        </w:rPr>
        <w:t xml:space="preserve">pattern </w:t>
      </w:r>
      <w:r w:rsidR="00F12D37" w:rsidRPr="005F4DD6">
        <w:rPr>
          <w:sz w:val="24"/>
          <w:szCs w:val="24"/>
        </w:rPr>
        <w:t>of retail and service opportunities enhances the attractiveness of individual locations</w:t>
      </w:r>
      <w:r w:rsidR="005B145C">
        <w:rPr>
          <w:sz w:val="24"/>
          <w:szCs w:val="24"/>
        </w:rPr>
        <w:t xml:space="preserve"> for activity participation</w:t>
      </w:r>
      <w:r w:rsidR="00F12D37" w:rsidRPr="005F4DD6">
        <w:rPr>
          <w:sz w:val="24"/>
          <w:szCs w:val="24"/>
        </w:rPr>
        <w:t xml:space="preserve">. </w:t>
      </w:r>
      <w:r>
        <w:rPr>
          <w:sz w:val="24"/>
          <w:szCs w:val="24"/>
        </w:rPr>
        <w:t xml:space="preserve">That is, a zone that is close to other zones with a high number of retail/service opportunities attracts a number of deadheading trips. </w:t>
      </w:r>
      <w:r w:rsidR="00F12D37" w:rsidRPr="005F4DD6">
        <w:rPr>
          <w:sz w:val="24"/>
          <w:szCs w:val="24"/>
        </w:rPr>
        <w:t xml:space="preserve">The effect of </w:t>
      </w:r>
      <w:r w:rsidR="003F254E">
        <w:rPr>
          <w:sz w:val="24"/>
          <w:szCs w:val="24"/>
        </w:rPr>
        <w:t xml:space="preserve">competition versus </w:t>
      </w:r>
      <w:r w:rsidR="00F12D37" w:rsidRPr="00332008">
        <w:rPr>
          <w:sz w:val="24"/>
          <w:szCs w:val="24"/>
        </w:rPr>
        <w:t xml:space="preserve">agglomeration of shopping locations was explored previously by </w:t>
      </w:r>
      <w:r w:rsidR="00F12D37" w:rsidRPr="00332008">
        <w:rPr>
          <w:sz w:val="24"/>
          <w:szCs w:val="24"/>
        </w:rPr>
        <w:fldChar w:fldCharType="begin"/>
      </w:r>
      <w:r w:rsidR="00B46899">
        <w:rPr>
          <w:sz w:val="24"/>
          <w:szCs w:val="24"/>
        </w:rPr>
        <w:instrText xml:space="preserve"> ADDIN ZOTERO_ITEM CSL_CITATION {"citationID":"7j38Chrf","properties":{"formattedCitation":"(Bhat et al., 1998)","plainCitation":"(Bhat et al., 1998)","dontUpdate":true,"noteIndex":0},"citationItems":[{"id":"pYE2dMDV/2Cmlk3T8","uris":["http://zotero.org/users/local/CJ2Dv405/items/RVXNZ7SV"],"uri":["http://zotero.org/users/local/CJ2Dv405/items/RVXNZ7SV"],"itemData":{"id":122,"type":"article-journal","container-title":"Transportation Research Record: Journal of the Transportation Research Board","DOI":"10.3141/1645-08","ISSN":"0361-1981, 2169-4052","issue":"1","language":"en","page":"60-68","source":"Crossref","title":"Disaggregate Attraction-End Choice Modeling: Formulation and Empirical Analysis","title-short":"Disaggregate Attraction-End Choice Modeling","volume":"1645","author":[{"family":"Bhat","given":"Chandra"},{"family":"Govindarajan","given":"Ajay"},{"family":"Pulugurta","given":"Vamsi"}],"issued":{"date-parts":[["1998",1]]}}}],"schema":"https://github.com/citation-style-language/schema/raw/master/csl-citation.json"} </w:instrText>
      </w:r>
      <w:r w:rsidR="00F12D37" w:rsidRPr="00332008">
        <w:rPr>
          <w:sz w:val="24"/>
          <w:szCs w:val="24"/>
        </w:rPr>
        <w:fldChar w:fldCharType="separate"/>
      </w:r>
      <w:r w:rsidR="00F12D37" w:rsidRPr="00332008">
        <w:rPr>
          <w:rFonts w:cs="Times New Roman"/>
          <w:sz w:val="24"/>
          <w:szCs w:val="24"/>
        </w:rPr>
        <w:t xml:space="preserve">Bhat </w:t>
      </w:r>
      <w:r w:rsidR="00F12D37" w:rsidRPr="00332008">
        <w:rPr>
          <w:rFonts w:cs="Times New Roman"/>
          <w:i/>
          <w:sz w:val="24"/>
          <w:szCs w:val="24"/>
        </w:rPr>
        <w:t>et al</w:t>
      </w:r>
      <w:r w:rsidR="00F12D37" w:rsidRPr="00332008">
        <w:rPr>
          <w:rFonts w:cs="Times New Roman"/>
          <w:sz w:val="24"/>
          <w:szCs w:val="24"/>
        </w:rPr>
        <w:t>. (1998)</w:t>
      </w:r>
      <w:r w:rsidR="00F12D37" w:rsidRPr="00332008">
        <w:rPr>
          <w:sz w:val="24"/>
          <w:szCs w:val="24"/>
        </w:rPr>
        <w:fldChar w:fldCharType="end"/>
      </w:r>
      <w:r w:rsidR="005F4DD6" w:rsidRPr="00332008">
        <w:rPr>
          <w:sz w:val="24"/>
          <w:szCs w:val="24"/>
        </w:rPr>
        <w:t>, who</w:t>
      </w:r>
      <w:r w:rsidR="00F12D37" w:rsidRPr="00332008">
        <w:rPr>
          <w:sz w:val="24"/>
          <w:szCs w:val="24"/>
        </w:rPr>
        <w:t xml:space="preserve"> find that the effect of having other shopping locations n</w:t>
      </w:r>
      <w:r w:rsidR="00830EB2" w:rsidRPr="00332008">
        <w:rPr>
          <w:sz w:val="24"/>
          <w:szCs w:val="24"/>
        </w:rPr>
        <w:t xml:space="preserve">earby is primarily competitive. </w:t>
      </w:r>
    </w:p>
    <w:p w14:paraId="637F52C4" w14:textId="17B40C1A" w:rsidR="00F12D37" w:rsidRPr="00332008" w:rsidRDefault="00F12D37" w:rsidP="00F7439A">
      <w:pPr>
        <w:tabs>
          <w:tab w:val="right" w:pos="9360"/>
        </w:tabs>
        <w:spacing w:after="0" w:line="240" w:lineRule="auto"/>
        <w:rPr>
          <w:sz w:val="24"/>
          <w:szCs w:val="24"/>
        </w:rPr>
      </w:pPr>
      <w:r w:rsidRPr="00332008">
        <w:rPr>
          <w:sz w:val="24"/>
          <w:szCs w:val="24"/>
        </w:rPr>
        <w:t xml:space="preserve"> </w:t>
      </w:r>
    </w:p>
    <w:p w14:paraId="269711A8" w14:textId="77777777" w:rsidR="00F12D37" w:rsidRPr="00332008" w:rsidRDefault="00F12D37" w:rsidP="00332008">
      <w:pPr>
        <w:pStyle w:val="Heading3"/>
        <w:spacing w:before="0" w:line="240" w:lineRule="auto"/>
      </w:pPr>
      <w:bookmarkStart w:id="27" w:name="_Ref12348193"/>
      <w:r w:rsidRPr="00332008">
        <w:t>Conditions for identification and validity of the likelihood function</w:t>
      </w:r>
      <w:bookmarkEnd w:id="27"/>
    </w:p>
    <w:p w14:paraId="55D42A80" w14:textId="16E23254" w:rsidR="0079078A" w:rsidRDefault="00F12D37" w:rsidP="0079078A">
      <w:pPr>
        <w:tabs>
          <w:tab w:val="right" w:pos="9360"/>
        </w:tabs>
        <w:spacing w:after="0" w:line="240" w:lineRule="auto"/>
        <w:rPr>
          <w:sz w:val="24"/>
          <w:szCs w:val="24"/>
        </w:rPr>
      </w:pPr>
      <w:r w:rsidRPr="00332008">
        <w:rPr>
          <w:sz w:val="24"/>
          <w:szCs w:val="24"/>
        </w:rPr>
        <w:t>As mentioned in</w:t>
      </w:r>
      <w:r w:rsidR="00342FB7" w:rsidRPr="00332008">
        <w:rPr>
          <w:sz w:val="24"/>
          <w:szCs w:val="24"/>
        </w:rPr>
        <w:t xml:space="preserve"> Section 4.2, </w:t>
      </w:r>
      <w:r w:rsidRPr="00332008">
        <w:rPr>
          <w:sz w:val="24"/>
          <w:szCs w:val="24"/>
        </w:rPr>
        <w:t>one of the coefficients of the variables used in size term (</w:t>
      </w:r>
      <w:r w:rsidR="006E7840" w:rsidRPr="00332008">
        <w:rPr>
          <w:rFonts w:cs="Times New Roman"/>
          <w:b/>
          <w:i/>
          <w:sz w:val="24"/>
          <w:szCs w:val="24"/>
        </w:rPr>
        <w:t>δ</w:t>
      </w:r>
      <w:r w:rsidRPr="00332008">
        <w:rPr>
          <w:sz w:val="24"/>
          <w:szCs w:val="24"/>
        </w:rPr>
        <w:t>) must be normalized</w:t>
      </w:r>
      <w:r w:rsidRPr="003937A0">
        <w:rPr>
          <w:sz w:val="24"/>
          <w:szCs w:val="24"/>
        </w:rPr>
        <w:t xml:space="preserve"> to </w:t>
      </w:r>
      <w:r w:rsidR="00891691" w:rsidRPr="00501016">
        <w:rPr>
          <w:sz w:val="24"/>
          <w:szCs w:val="24"/>
        </w:rPr>
        <w:t>a constant (</w:t>
      </w:r>
      <w:r w:rsidR="005F4DD6" w:rsidRPr="00501016">
        <w:rPr>
          <w:sz w:val="24"/>
          <w:szCs w:val="24"/>
        </w:rPr>
        <w:t>a value of</w:t>
      </w:r>
      <w:r w:rsidR="00891691" w:rsidRPr="00501016">
        <w:rPr>
          <w:sz w:val="24"/>
          <w:szCs w:val="24"/>
        </w:rPr>
        <w:t xml:space="preserve"> one</w:t>
      </w:r>
      <w:r w:rsidR="005F4DD6" w:rsidRPr="00501016">
        <w:rPr>
          <w:sz w:val="24"/>
          <w:szCs w:val="24"/>
        </w:rPr>
        <w:t xml:space="preserve"> is adopted here</w:t>
      </w:r>
      <w:r w:rsidR="00891691" w:rsidRPr="00501016">
        <w:rPr>
          <w:sz w:val="24"/>
          <w:szCs w:val="24"/>
        </w:rPr>
        <w:t>)</w:t>
      </w:r>
      <w:r w:rsidRPr="00501016">
        <w:rPr>
          <w:sz w:val="24"/>
          <w:szCs w:val="24"/>
        </w:rPr>
        <w:t xml:space="preserve"> to allow for the identification of all coefficients.</w:t>
      </w:r>
      <w:r w:rsidR="0070385E" w:rsidRPr="00501016">
        <w:rPr>
          <w:sz w:val="24"/>
          <w:szCs w:val="24"/>
        </w:rPr>
        <w:t xml:space="preserve"> </w:t>
      </w:r>
      <w:r w:rsidR="00E764DC" w:rsidRPr="00501016">
        <w:rPr>
          <w:sz w:val="24"/>
          <w:szCs w:val="24"/>
        </w:rPr>
        <w:t>The variable that is normalized must</w:t>
      </w:r>
      <w:r w:rsidR="00501016" w:rsidRPr="00501016">
        <w:rPr>
          <w:sz w:val="24"/>
          <w:szCs w:val="24"/>
        </w:rPr>
        <w:t xml:space="preserve"> have a statistically</w:t>
      </w:r>
      <w:r w:rsidR="00501016">
        <w:rPr>
          <w:sz w:val="24"/>
          <w:szCs w:val="24"/>
        </w:rPr>
        <w:t xml:space="preserve"> </w:t>
      </w:r>
      <w:r w:rsidR="00E764DC" w:rsidRPr="00955512">
        <w:rPr>
          <w:sz w:val="24"/>
          <w:szCs w:val="24"/>
        </w:rPr>
        <w:t xml:space="preserve">significant </w:t>
      </w:r>
      <w:r w:rsidR="00501016" w:rsidRPr="00955512">
        <w:rPr>
          <w:sz w:val="24"/>
          <w:szCs w:val="24"/>
        </w:rPr>
        <w:t xml:space="preserve">effect </w:t>
      </w:r>
      <w:r w:rsidR="00501016" w:rsidRPr="00876C25">
        <w:rPr>
          <w:sz w:val="24"/>
          <w:szCs w:val="24"/>
        </w:rPr>
        <w:t>on the size term, because we are pre-specifying it to have an impact on the size term. Experimentation with preliminary specifications revealed that the number of retail employment opportunities had a significant impact for all time-of-day periods. Therefore, this variable was used for normalization.</w:t>
      </w:r>
    </w:p>
    <w:p w14:paraId="6767A62A" w14:textId="0E5D8770" w:rsidR="005F4DD6" w:rsidRPr="005F4DD6" w:rsidRDefault="00F12D37" w:rsidP="0079078A">
      <w:pPr>
        <w:tabs>
          <w:tab w:val="right" w:pos="9360"/>
        </w:tabs>
        <w:spacing w:after="0" w:line="240" w:lineRule="auto"/>
        <w:ind w:firstLine="720"/>
        <w:rPr>
          <w:sz w:val="24"/>
          <w:szCs w:val="24"/>
        </w:rPr>
      </w:pPr>
      <w:r w:rsidRPr="005F4DD6">
        <w:rPr>
          <w:sz w:val="24"/>
          <w:szCs w:val="24"/>
        </w:rPr>
        <w:t xml:space="preserve">Another issue to be considered when building the specification is that the size term must always be strictly positive. It is possible that there are TAZs for which </w:t>
      </w:r>
      <w:r w:rsidR="00253156" w:rsidRPr="00C82A96">
        <w:rPr>
          <w:noProof/>
          <w:position w:val="-14"/>
          <w:sz w:val="24"/>
          <w:szCs w:val="24"/>
        </w:rPr>
        <w:object w:dxaOrig="260" w:dyaOrig="380" w14:anchorId="34BE0160">
          <v:shape id="_x0000_i1074" type="#_x0000_t75" style="width:13.5pt;height:18.75pt" o:ole="" o:preferrelative="f">
            <v:imagedata r:id="rId113" o:title=""/>
            <o:lock v:ext="edit" aspectratio="f"/>
          </v:shape>
          <o:OLEObject Type="Embed" ProgID="Equation.DSMT4" ShapeID="_x0000_i1074" DrawAspect="Content" ObjectID="_1646040601" r:id="rId114"/>
        </w:object>
      </w:r>
      <w:r w:rsidR="006E7840">
        <w:rPr>
          <w:sz w:val="24"/>
          <w:szCs w:val="24"/>
        </w:rPr>
        <w:t xml:space="preserve"> </w:t>
      </w:r>
      <w:r w:rsidRPr="005F4DD6">
        <w:rPr>
          <w:sz w:val="24"/>
          <w:szCs w:val="24"/>
        </w:rPr>
        <w:t xml:space="preserve">is a zero vector (it cannot be negative because </w:t>
      </w:r>
      <w:r w:rsidR="005F4DD6">
        <w:rPr>
          <w:sz w:val="24"/>
          <w:szCs w:val="24"/>
        </w:rPr>
        <w:t xml:space="preserve">of the </w:t>
      </w:r>
      <w:r w:rsidRPr="005F4DD6">
        <w:rPr>
          <w:sz w:val="24"/>
          <w:szCs w:val="24"/>
        </w:rPr>
        <w:t>nature of</w:t>
      </w:r>
      <w:r w:rsidR="005F4DD6">
        <w:rPr>
          <w:sz w:val="24"/>
          <w:szCs w:val="24"/>
        </w:rPr>
        <w:t xml:space="preserve"> </w:t>
      </w:r>
      <w:r w:rsidRPr="005F4DD6">
        <w:rPr>
          <w:sz w:val="24"/>
          <w:szCs w:val="24"/>
        </w:rPr>
        <w:t xml:space="preserve">variables in </w:t>
      </w:r>
      <w:r w:rsidR="00253156" w:rsidRPr="00C82A96">
        <w:rPr>
          <w:noProof/>
          <w:position w:val="-14"/>
          <w:sz w:val="24"/>
          <w:szCs w:val="24"/>
        </w:rPr>
        <w:object w:dxaOrig="260" w:dyaOrig="380" w14:anchorId="0FDFD3A2">
          <v:shape id="_x0000_i1075" type="#_x0000_t75" style="width:13.5pt;height:18.75pt" o:ole="" o:preferrelative="f">
            <v:imagedata r:id="rId115" o:title=""/>
            <o:lock v:ext="edit" aspectratio="f"/>
          </v:shape>
          <o:OLEObject Type="Embed" ProgID="Equation.DSMT4" ShapeID="_x0000_i1075" DrawAspect="Content" ObjectID="_1646040602" r:id="rId116"/>
        </w:object>
      </w:r>
      <w:r w:rsidRPr="005F4DD6">
        <w:rPr>
          <w:sz w:val="24"/>
          <w:szCs w:val="24"/>
        </w:rPr>
        <w:t>). Th</w:t>
      </w:r>
      <w:r w:rsidR="007D66DC" w:rsidRPr="005F4DD6">
        <w:rPr>
          <w:sz w:val="24"/>
          <w:szCs w:val="24"/>
        </w:rPr>
        <w:t>is would make the utility of those</w:t>
      </w:r>
      <w:r w:rsidRPr="005F4DD6">
        <w:rPr>
          <w:sz w:val="24"/>
          <w:szCs w:val="24"/>
        </w:rPr>
        <w:t xml:space="preserve"> TAZ</w:t>
      </w:r>
      <w:r w:rsidR="00B92053">
        <w:rPr>
          <w:sz w:val="24"/>
          <w:szCs w:val="24"/>
        </w:rPr>
        <w:t>s</w:t>
      </w:r>
      <w:r w:rsidRPr="005F4DD6">
        <w:rPr>
          <w:sz w:val="24"/>
          <w:szCs w:val="24"/>
        </w:rPr>
        <w:t xml:space="preserve"> undefined. To avoid this issue, </w:t>
      </w:r>
      <w:r w:rsidR="0070385E">
        <w:rPr>
          <w:sz w:val="24"/>
          <w:szCs w:val="24"/>
        </w:rPr>
        <w:t xml:space="preserve">the </w:t>
      </w:r>
      <w:r w:rsidRPr="005F4DD6">
        <w:rPr>
          <w:sz w:val="24"/>
          <w:szCs w:val="24"/>
        </w:rPr>
        <w:t xml:space="preserve">area of the TAZ </w:t>
      </w:r>
      <w:r w:rsidR="00B92053">
        <w:rPr>
          <w:sz w:val="24"/>
          <w:szCs w:val="24"/>
        </w:rPr>
        <w:t xml:space="preserve">is retained </w:t>
      </w:r>
      <w:r w:rsidRPr="005F4DD6">
        <w:rPr>
          <w:sz w:val="24"/>
          <w:szCs w:val="24"/>
        </w:rPr>
        <w:t xml:space="preserve">as one of the variables in the size term even when it is </w:t>
      </w:r>
      <w:r w:rsidR="0070385E">
        <w:rPr>
          <w:sz w:val="24"/>
          <w:szCs w:val="24"/>
        </w:rPr>
        <w:t xml:space="preserve">statistically </w:t>
      </w:r>
      <w:r w:rsidRPr="005F4DD6">
        <w:rPr>
          <w:sz w:val="24"/>
          <w:szCs w:val="24"/>
        </w:rPr>
        <w:t>insignificant. The presence of this variable ensures that the size term is positive.</w:t>
      </w:r>
    </w:p>
    <w:p w14:paraId="3C2E493A" w14:textId="4B5DC552" w:rsidR="009A7AE5" w:rsidRPr="00B92053" w:rsidRDefault="00F12D37" w:rsidP="0079078A">
      <w:pPr>
        <w:spacing w:after="0" w:line="240" w:lineRule="auto"/>
        <w:rPr>
          <w:sz w:val="24"/>
          <w:szCs w:val="24"/>
        </w:rPr>
      </w:pPr>
      <w:r w:rsidRPr="00B92053">
        <w:rPr>
          <w:sz w:val="24"/>
          <w:szCs w:val="24"/>
        </w:rPr>
        <w:t xml:space="preserve"> </w:t>
      </w:r>
    </w:p>
    <w:p w14:paraId="4C69192B" w14:textId="06B6E517" w:rsidR="00A92F32" w:rsidRPr="00B92053" w:rsidRDefault="00A92F32" w:rsidP="00F7439A">
      <w:pPr>
        <w:pStyle w:val="Heading1"/>
        <w:spacing w:before="0" w:after="0" w:line="240" w:lineRule="auto"/>
        <w:rPr>
          <w:szCs w:val="24"/>
        </w:rPr>
      </w:pPr>
      <w:bookmarkStart w:id="28" w:name="_Ref9800339"/>
      <w:r w:rsidRPr="00B92053">
        <w:rPr>
          <w:szCs w:val="24"/>
        </w:rPr>
        <w:t>Empirical Results</w:t>
      </w:r>
      <w:bookmarkEnd w:id="22"/>
      <w:bookmarkEnd w:id="28"/>
    </w:p>
    <w:p w14:paraId="295D5AC9" w14:textId="6D795718" w:rsidR="00243524" w:rsidRPr="00B92053" w:rsidRDefault="00FC4386" w:rsidP="00F7439A">
      <w:pPr>
        <w:spacing w:after="0" w:line="240" w:lineRule="auto"/>
        <w:rPr>
          <w:sz w:val="24"/>
          <w:szCs w:val="24"/>
        </w:rPr>
      </w:pPr>
      <w:r w:rsidRPr="00B92053">
        <w:rPr>
          <w:sz w:val="24"/>
          <w:szCs w:val="24"/>
        </w:rPr>
        <w:t xml:space="preserve">Deadheading trips were identified </w:t>
      </w:r>
      <w:r w:rsidR="00317979" w:rsidRPr="00B92053">
        <w:rPr>
          <w:sz w:val="24"/>
          <w:szCs w:val="24"/>
        </w:rPr>
        <w:t>for the</w:t>
      </w:r>
      <w:r w:rsidRPr="00B92053">
        <w:rPr>
          <w:sz w:val="24"/>
          <w:szCs w:val="24"/>
        </w:rPr>
        <w:t xml:space="preserve"> time periods of AM </w:t>
      </w:r>
      <w:r w:rsidR="00B92053">
        <w:rPr>
          <w:sz w:val="24"/>
          <w:szCs w:val="24"/>
        </w:rPr>
        <w:t>p</w:t>
      </w:r>
      <w:r w:rsidRPr="00B92053">
        <w:rPr>
          <w:sz w:val="24"/>
          <w:szCs w:val="24"/>
        </w:rPr>
        <w:t xml:space="preserve">eak, </w:t>
      </w:r>
      <w:r w:rsidR="00B92053">
        <w:rPr>
          <w:sz w:val="24"/>
          <w:szCs w:val="24"/>
        </w:rPr>
        <w:t>m</w:t>
      </w:r>
      <w:r w:rsidR="00830EB2" w:rsidRPr="00B92053">
        <w:rPr>
          <w:sz w:val="24"/>
          <w:szCs w:val="24"/>
        </w:rPr>
        <w:t xml:space="preserve">id-day, </w:t>
      </w:r>
      <w:r w:rsidRPr="00B92053">
        <w:rPr>
          <w:sz w:val="24"/>
          <w:szCs w:val="24"/>
        </w:rPr>
        <w:t xml:space="preserve">PM </w:t>
      </w:r>
      <w:r w:rsidR="00B92053">
        <w:rPr>
          <w:sz w:val="24"/>
          <w:szCs w:val="24"/>
        </w:rPr>
        <w:t>p</w:t>
      </w:r>
      <w:r w:rsidRPr="00B92053">
        <w:rPr>
          <w:sz w:val="24"/>
          <w:szCs w:val="24"/>
        </w:rPr>
        <w:t>eak</w:t>
      </w:r>
      <w:r w:rsidR="00B92053">
        <w:rPr>
          <w:sz w:val="24"/>
          <w:szCs w:val="24"/>
        </w:rPr>
        <w:t>,</w:t>
      </w:r>
      <w:r w:rsidRPr="00B92053">
        <w:rPr>
          <w:sz w:val="24"/>
          <w:szCs w:val="24"/>
        </w:rPr>
        <w:t xml:space="preserve"> and </w:t>
      </w:r>
      <w:r w:rsidR="00B92053">
        <w:rPr>
          <w:sz w:val="24"/>
          <w:szCs w:val="24"/>
        </w:rPr>
        <w:t>w</w:t>
      </w:r>
      <w:r w:rsidRPr="00B92053">
        <w:rPr>
          <w:sz w:val="24"/>
          <w:szCs w:val="24"/>
        </w:rPr>
        <w:t xml:space="preserve">eekend </w:t>
      </w:r>
      <w:r w:rsidR="00B92053">
        <w:rPr>
          <w:sz w:val="24"/>
          <w:szCs w:val="24"/>
        </w:rPr>
        <w:t>n</w:t>
      </w:r>
      <w:r w:rsidRPr="00B92053">
        <w:rPr>
          <w:sz w:val="24"/>
          <w:szCs w:val="24"/>
        </w:rPr>
        <w:t>ight u</w:t>
      </w:r>
      <w:r w:rsidR="00A92F32" w:rsidRPr="00B92053">
        <w:rPr>
          <w:sz w:val="24"/>
          <w:szCs w:val="24"/>
        </w:rPr>
        <w:t xml:space="preserve">sing the approach </w:t>
      </w:r>
      <w:r w:rsidR="00B92053">
        <w:rPr>
          <w:sz w:val="24"/>
          <w:szCs w:val="24"/>
        </w:rPr>
        <w:t>described</w:t>
      </w:r>
      <w:r w:rsidR="00A92F32" w:rsidRPr="00B92053">
        <w:rPr>
          <w:sz w:val="24"/>
          <w:szCs w:val="24"/>
        </w:rPr>
        <w:t xml:space="preserve"> in</w:t>
      </w:r>
      <w:r w:rsidR="00342FB7">
        <w:rPr>
          <w:sz w:val="24"/>
          <w:szCs w:val="24"/>
        </w:rPr>
        <w:t xml:space="preserve"> Section 4.1.</w:t>
      </w:r>
      <w:r w:rsidR="00A92F32" w:rsidRPr="00B92053">
        <w:rPr>
          <w:sz w:val="24"/>
          <w:szCs w:val="24"/>
        </w:rPr>
        <w:t xml:space="preserve"> </w:t>
      </w:r>
      <w:r w:rsidR="00B92053">
        <w:rPr>
          <w:sz w:val="24"/>
          <w:szCs w:val="24"/>
        </w:rPr>
        <w:t>T</w:t>
      </w:r>
      <w:r w:rsidR="003E609B" w:rsidRPr="00B92053">
        <w:rPr>
          <w:sz w:val="24"/>
          <w:szCs w:val="24"/>
        </w:rPr>
        <w:t>wo</w:t>
      </w:r>
      <w:r w:rsidR="00B92053">
        <w:rPr>
          <w:sz w:val="24"/>
          <w:szCs w:val="24"/>
        </w:rPr>
        <w:t>-</w:t>
      </w:r>
      <w:r w:rsidR="003E609B" w:rsidRPr="00B92053">
        <w:rPr>
          <w:sz w:val="24"/>
          <w:szCs w:val="24"/>
        </w:rPr>
        <w:t>third</w:t>
      </w:r>
      <w:r w:rsidR="00B92053">
        <w:rPr>
          <w:sz w:val="24"/>
          <w:szCs w:val="24"/>
        </w:rPr>
        <w:t>s</w:t>
      </w:r>
      <w:r w:rsidR="003E609B" w:rsidRPr="00B92053">
        <w:rPr>
          <w:sz w:val="24"/>
          <w:szCs w:val="24"/>
        </w:rPr>
        <w:t xml:space="preserve"> of the trips </w:t>
      </w:r>
      <w:r w:rsidR="00B92053">
        <w:rPr>
          <w:sz w:val="24"/>
          <w:szCs w:val="24"/>
        </w:rPr>
        <w:t xml:space="preserve">were used </w:t>
      </w:r>
      <w:r w:rsidR="003E609B" w:rsidRPr="00B92053">
        <w:rPr>
          <w:sz w:val="24"/>
          <w:szCs w:val="24"/>
        </w:rPr>
        <w:t>for estimation</w:t>
      </w:r>
      <w:r w:rsidR="00B92053">
        <w:rPr>
          <w:sz w:val="24"/>
          <w:szCs w:val="24"/>
        </w:rPr>
        <w:t>,</w:t>
      </w:r>
      <w:r w:rsidR="003E609B" w:rsidRPr="00B92053">
        <w:rPr>
          <w:sz w:val="24"/>
          <w:szCs w:val="24"/>
        </w:rPr>
        <w:t xml:space="preserve"> while the other one</w:t>
      </w:r>
      <w:r w:rsidR="00B92053">
        <w:rPr>
          <w:sz w:val="24"/>
          <w:szCs w:val="24"/>
        </w:rPr>
        <w:t>-</w:t>
      </w:r>
      <w:r w:rsidR="003E609B" w:rsidRPr="00B92053">
        <w:rPr>
          <w:sz w:val="24"/>
          <w:szCs w:val="24"/>
        </w:rPr>
        <w:t xml:space="preserve">third </w:t>
      </w:r>
      <w:r w:rsidR="00B92053">
        <w:rPr>
          <w:sz w:val="24"/>
          <w:szCs w:val="24"/>
        </w:rPr>
        <w:t>were</w:t>
      </w:r>
      <w:r w:rsidR="003E609B" w:rsidRPr="00B92053">
        <w:rPr>
          <w:sz w:val="24"/>
          <w:szCs w:val="24"/>
        </w:rPr>
        <w:t xml:space="preserve"> set aside for validation. </w:t>
      </w:r>
      <w:r w:rsidR="00D16B9D" w:rsidRPr="00B92053">
        <w:rPr>
          <w:sz w:val="24"/>
          <w:szCs w:val="24"/>
        </w:rPr>
        <w:t xml:space="preserve">The destination TAZs for each time period </w:t>
      </w:r>
      <w:r w:rsidR="00B92053">
        <w:rPr>
          <w:sz w:val="24"/>
          <w:szCs w:val="24"/>
        </w:rPr>
        <w:t>were</w:t>
      </w:r>
      <w:r w:rsidR="00D16B9D" w:rsidRPr="00B92053">
        <w:rPr>
          <w:sz w:val="24"/>
          <w:szCs w:val="24"/>
        </w:rPr>
        <w:t xml:space="preserve"> modeled separately.</w:t>
      </w:r>
      <w:r w:rsidR="00342FB7">
        <w:rPr>
          <w:sz w:val="24"/>
          <w:szCs w:val="24"/>
        </w:rPr>
        <w:t xml:space="preserve"> Section 5.1 </w:t>
      </w:r>
      <w:r w:rsidR="00B92053">
        <w:rPr>
          <w:sz w:val="24"/>
          <w:szCs w:val="24"/>
        </w:rPr>
        <w:t>presents</w:t>
      </w:r>
      <w:r w:rsidR="00243524" w:rsidRPr="00B92053">
        <w:rPr>
          <w:sz w:val="24"/>
          <w:szCs w:val="24"/>
        </w:rPr>
        <w:t xml:space="preserve"> the estimation results</w:t>
      </w:r>
      <w:r w:rsidR="00B92053">
        <w:rPr>
          <w:sz w:val="24"/>
          <w:szCs w:val="24"/>
        </w:rPr>
        <w:t xml:space="preserve"> for</w:t>
      </w:r>
      <w:r w:rsidR="00243524" w:rsidRPr="00B92053">
        <w:rPr>
          <w:sz w:val="24"/>
          <w:szCs w:val="24"/>
        </w:rPr>
        <w:t xml:space="preserve"> the </w:t>
      </w:r>
      <w:r w:rsidR="008A770A" w:rsidRPr="00B92053">
        <w:rPr>
          <w:sz w:val="24"/>
          <w:szCs w:val="24"/>
        </w:rPr>
        <w:t>NPMNL</w:t>
      </w:r>
      <w:r w:rsidR="00243524" w:rsidRPr="00B92053">
        <w:rPr>
          <w:sz w:val="24"/>
          <w:szCs w:val="24"/>
        </w:rPr>
        <w:t xml:space="preserve"> model</w:t>
      </w:r>
      <w:r w:rsidR="00D16B9D" w:rsidRPr="00B92053">
        <w:rPr>
          <w:sz w:val="24"/>
          <w:szCs w:val="24"/>
        </w:rPr>
        <w:t xml:space="preserve"> and inferences are drawn from the estimated coefficients.</w:t>
      </w:r>
      <w:r w:rsidR="00342FB7">
        <w:rPr>
          <w:sz w:val="24"/>
          <w:szCs w:val="24"/>
        </w:rPr>
        <w:t xml:space="preserve"> Section 5.2 </w:t>
      </w:r>
      <w:r w:rsidR="00B92053">
        <w:rPr>
          <w:sz w:val="24"/>
          <w:szCs w:val="24"/>
        </w:rPr>
        <w:t>presents a</w:t>
      </w:r>
      <w:r w:rsidR="00493DB8" w:rsidRPr="00B92053">
        <w:rPr>
          <w:sz w:val="24"/>
          <w:szCs w:val="24"/>
        </w:rPr>
        <w:t xml:space="preserve"> compar</w:t>
      </w:r>
      <w:r w:rsidR="00B92053">
        <w:rPr>
          <w:sz w:val="24"/>
          <w:szCs w:val="24"/>
        </w:rPr>
        <w:t>ison of</w:t>
      </w:r>
      <w:r w:rsidR="00493DB8" w:rsidRPr="00B92053">
        <w:rPr>
          <w:sz w:val="24"/>
          <w:szCs w:val="24"/>
        </w:rPr>
        <w:t xml:space="preserve"> the goodness</w:t>
      </w:r>
      <w:r w:rsidR="00B92053">
        <w:rPr>
          <w:sz w:val="24"/>
          <w:szCs w:val="24"/>
        </w:rPr>
        <w:t>-</w:t>
      </w:r>
      <w:r w:rsidR="00493DB8" w:rsidRPr="00B92053">
        <w:rPr>
          <w:sz w:val="24"/>
          <w:szCs w:val="24"/>
        </w:rPr>
        <w:t>of</w:t>
      </w:r>
      <w:r w:rsidR="00B92053">
        <w:rPr>
          <w:sz w:val="24"/>
          <w:szCs w:val="24"/>
        </w:rPr>
        <w:t>-</w:t>
      </w:r>
      <w:r w:rsidR="00493DB8" w:rsidRPr="00B92053">
        <w:rPr>
          <w:sz w:val="24"/>
          <w:szCs w:val="24"/>
        </w:rPr>
        <w:t xml:space="preserve">fit </w:t>
      </w:r>
      <w:r w:rsidR="00CE6DB7">
        <w:rPr>
          <w:sz w:val="24"/>
          <w:szCs w:val="24"/>
        </w:rPr>
        <w:t>between the</w:t>
      </w:r>
      <w:r w:rsidR="00493DB8" w:rsidRPr="00B92053">
        <w:rPr>
          <w:sz w:val="24"/>
          <w:szCs w:val="24"/>
        </w:rPr>
        <w:t xml:space="preserve"> NPMNL model </w:t>
      </w:r>
      <w:r w:rsidR="00CE6DB7">
        <w:rPr>
          <w:sz w:val="24"/>
          <w:szCs w:val="24"/>
        </w:rPr>
        <w:t>and a simple</w:t>
      </w:r>
      <w:r w:rsidR="00493DB8" w:rsidRPr="00B92053">
        <w:rPr>
          <w:sz w:val="24"/>
          <w:szCs w:val="24"/>
        </w:rPr>
        <w:t xml:space="preserve"> Multinomial Logit (MNL) model.</w:t>
      </w:r>
    </w:p>
    <w:p w14:paraId="464CCEBD" w14:textId="77777777" w:rsidR="00B92053" w:rsidRPr="00B92053" w:rsidRDefault="00B92053" w:rsidP="00F7439A">
      <w:pPr>
        <w:spacing w:after="0" w:line="240" w:lineRule="auto"/>
        <w:rPr>
          <w:sz w:val="24"/>
          <w:szCs w:val="24"/>
        </w:rPr>
      </w:pPr>
    </w:p>
    <w:p w14:paraId="4731CC5B" w14:textId="1CF2F6AE" w:rsidR="00654785" w:rsidRPr="00B92053" w:rsidRDefault="00B6142C" w:rsidP="00F7439A">
      <w:pPr>
        <w:pStyle w:val="Heading2"/>
        <w:spacing w:before="0" w:line="240" w:lineRule="auto"/>
        <w:rPr>
          <w:szCs w:val="24"/>
        </w:rPr>
      </w:pPr>
      <w:bookmarkStart w:id="29" w:name="_Ref6250186"/>
      <w:r w:rsidRPr="00B92053">
        <w:rPr>
          <w:szCs w:val="24"/>
        </w:rPr>
        <w:lastRenderedPageBreak/>
        <w:t>NP</w:t>
      </w:r>
      <w:r w:rsidR="00B104C4" w:rsidRPr="00B92053">
        <w:rPr>
          <w:szCs w:val="24"/>
        </w:rPr>
        <w:t xml:space="preserve">MNL </w:t>
      </w:r>
      <w:r w:rsidR="00765518">
        <w:rPr>
          <w:szCs w:val="24"/>
        </w:rPr>
        <w:t>M</w:t>
      </w:r>
      <w:r w:rsidR="00654785" w:rsidRPr="00B92053">
        <w:rPr>
          <w:szCs w:val="24"/>
        </w:rPr>
        <w:t xml:space="preserve">odel </w:t>
      </w:r>
      <w:r w:rsidR="00765518">
        <w:rPr>
          <w:szCs w:val="24"/>
        </w:rPr>
        <w:t>E</w:t>
      </w:r>
      <w:r w:rsidR="00654785" w:rsidRPr="00B92053">
        <w:rPr>
          <w:szCs w:val="24"/>
        </w:rPr>
        <w:t>stimation</w:t>
      </w:r>
      <w:bookmarkEnd w:id="29"/>
    </w:p>
    <w:p w14:paraId="324BB9F7" w14:textId="47600712" w:rsidR="00007A50" w:rsidRDefault="00CE1C8B" w:rsidP="00F7439A">
      <w:pPr>
        <w:spacing w:after="0" w:line="240" w:lineRule="auto"/>
        <w:rPr>
          <w:sz w:val="24"/>
          <w:szCs w:val="24"/>
        </w:rPr>
      </w:pPr>
      <w:r w:rsidRPr="00B92053">
        <w:rPr>
          <w:sz w:val="24"/>
          <w:szCs w:val="24"/>
        </w:rPr>
        <w:t>For the estimation of the NPMNL mode</w:t>
      </w:r>
      <w:r w:rsidR="00B92053">
        <w:rPr>
          <w:sz w:val="24"/>
          <w:szCs w:val="24"/>
        </w:rPr>
        <w:t>l</w:t>
      </w:r>
      <w:r w:rsidRPr="00B92053">
        <w:rPr>
          <w:sz w:val="24"/>
          <w:szCs w:val="24"/>
        </w:rPr>
        <w:t xml:space="preserve">, all </w:t>
      </w:r>
      <w:r w:rsidR="00B92053">
        <w:rPr>
          <w:sz w:val="24"/>
          <w:szCs w:val="24"/>
        </w:rPr>
        <w:t xml:space="preserve">of </w:t>
      </w:r>
      <w:r w:rsidR="00DE2B44">
        <w:rPr>
          <w:sz w:val="24"/>
          <w:szCs w:val="24"/>
        </w:rPr>
        <w:t xml:space="preserve">the variables provided in Table 1 </w:t>
      </w:r>
      <w:r w:rsidR="00840BA9" w:rsidRPr="00B92053">
        <w:rPr>
          <w:sz w:val="24"/>
          <w:szCs w:val="24"/>
        </w:rPr>
        <w:t>and the variables discussed in</w:t>
      </w:r>
      <w:r w:rsidR="00342FB7">
        <w:rPr>
          <w:sz w:val="24"/>
          <w:szCs w:val="24"/>
        </w:rPr>
        <w:t xml:space="preserve"> Section 4.4 </w:t>
      </w:r>
      <w:r w:rsidR="00874CCF" w:rsidRPr="00B92053">
        <w:rPr>
          <w:sz w:val="24"/>
          <w:szCs w:val="24"/>
        </w:rPr>
        <w:t>we</w:t>
      </w:r>
      <w:r w:rsidR="007643F9" w:rsidRPr="00B92053">
        <w:rPr>
          <w:sz w:val="24"/>
          <w:szCs w:val="24"/>
        </w:rPr>
        <w:t>re considered</w:t>
      </w:r>
      <w:r w:rsidR="00BA6ED0" w:rsidRPr="00B92053">
        <w:rPr>
          <w:sz w:val="24"/>
          <w:szCs w:val="24"/>
        </w:rPr>
        <w:t xml:space="preserve">. </w:t>
      </w:r>
      <w:r w:rsidR="00F80F0E" w:rsidRPr="00B92053">
        <w:rPr>
          <w:sz w:val="24"/>
          <w:szCs w:val="24"/>
        </w:rPr>
        <w:t xml:space="preserve">Additionally, </w:t>
      </w:r>
      <w:r w:rsidR="00BA6ED0" w:rsidRPr="00B92053">
        <w:rPr>
          <w:sz w:val="24"/>
          <w:szCs w:val="24"/>
        </w:rPr>
        <w:t xml:space="preserve">indicator variables </w:t>
      </w:r>
      <w:r w:rsidR="00B92053">
        <w:rPr>
          <w:sz w:val="24"/>
          <w:szCs w:val="24"/>
        </w:rPr>
        <w:t>denoting the</w:t>
      </w:r>
      <w:r w:rsidR="00BA6ED0" w:rsidRPr="00B92053">
        <w:rPr>
          <w:sz w:val="24"/>
          <w:szCs w:val="24"/>
        </w:rPr>
        <w:t xml:space="preserve"> area type of TAZs</w:t>
      </w:r>
      <w:r w:rsidR="00B92053">
        <w:rPr>
          <w:sz w:val="24"/>
          <w:szCs w:val="24"/>
        </w:rPr>
        <w:t xml:space="preserve"> (urban, suburban, or rural), whether an urban TAZ belongs to the Central Business District (CBD), and </w:t>
      </w:r>
      <w:r w:rsidR="007F28E3">
        <w:rPr>
          <w:sz w:val="24"/>
          <w:szCs w:val="24"/>
        </w:rPr>
        <w:t xml:space="preserve">TAZs corresponding to the airport (ABIA) and the University of Texas campus were included in the specification. </w:t>
      </w:r>
      <w:r w:rsidR="00103829" w:rsidRPr="00B92053">
        <w:rPr>
          <w:sz w:val="24"/>
          <w:szCs w:val="24"/>
        </w:rPr>
        <w:t xml:space="preserve">The final specification was </w:t>
      </w:r>
      <w:r w:rsidR="00CC711A">
        <w:rPr>
          <w:sz w:val="24"/>
          <w:szCs w:val="24"/>
        </w:rPr>
        <w:t>arrived at by sequentially dropping explanatory variables that were found to be insignificant</w:t>
      </w:r>
      <w:r w:rsidR="00103829" w:rsidRPr="00B92053">
        <w:rPr>
          <w:sz w:val="24"/>
          <w:szCs w:val="24"/>
        </w:rPr>
        <w:t>.</w:t>
      </w:r>
      <w:r w:rsidR="00342FB7">
        <w:rPr>
          <w:sz w:val="24"/>
          <w:szCs w:val="24"/>
        </w:rPr>
        <w:t xml:space="preserve"> Table 2 </w:t>
      </w:r>
      <w:r w:rsidR="00840BA9" w:rsidRPr="00B92053">
        <w:rPr>
          <w:sz w:val="24"/>
          <w:szCs w:val="24"/>
        </w:rPr>
        <w:t xml:space="preserve">shows </w:t>
      </w:r>
      <w:r w:rsidR="00BF69A4" w:rsidRPr="00B92053">
        <w:rPr>
          <w:sz w:val="24"/>
          <w:szCs w:val="24"/>
        </w:rPr>
        <w:t xml:space="preserve">the coefficients estimated using the NPMNL model for </w:t>
      </w:r>
      <w:r w:rsidR="00507A95" w:rsidRPr="00B92053">
        <w:rPr>
          <w:sz w:val="24"/>
          <w:szCs w:val="24"/>
        </w:rPr>
        <w:t>different</w:t>
      </w:r>
      <w:r w:rsidR="00BF69A4" w:rsidRPr="00B92053">
        <w:rPr>
          <w:sz w:val="24"/>
          <w:szCs w:val="24"/>
        </w:rPr>
        <w:t xml:space="preserve"> time periods in a day.</w:t>
      </w:r>
      <w:r w:rsidR="00C97973" w:rsidRPr="00B92053">
        <w:rPr>
          <w:sz w:val="24"/>
          <w:szCs w:val="24"/>
        </w:rPr>
        <w:t xml:space="preserve"> </w:t>
      </w:r>
      <w:r w:rsidR="00022138">
        <w:rPr>
          <w:sz w:val="24"/>
          <w:szCs w:val="24"/>
        </w:rPr>
        <w:t>The table also provides the t-stats of the estimated coefficients</w:t>
      </w:r>
      <w:r w:rsidR="005D477F">
        <w:rPr>
          <w:sz w:val="24"/>
          <w:szCs w:val="24"/>
        </w:rPr>
        <w:t>. The t-stat is the ratio of the deviation of the estimated coefficient from a hypothe</w:t>
      </w:r>
      <w:r w:rsidR="00501016">
        <w:rPr>
          <w:sz w:val="24"/>
          <w:szCs w:val="24"/>
        </w:rPr>
        <w:t>sized</w:t>
      </w:r>
      <w:r w:rsidR="005D477F">
        <w:rPr>
          <w:sz w:val="24"/>
          <w:szCs w:val="24"/>
        </w:rPr>
        <w:t xml:space="preserve"> value</w:t>
      </w:r>
      <w:r w:rsidR="00955512">
        <w:rPr>
          <w:sz w:val="24"/>
          <w:szCs w:val="24"/>
        </w:rPr>
        <w:t xml:space="preserve"> (the numerator)</w:t>
      </w:r>
      <w:r w:rsidR="005D477F">
        <w:rPr>
          <w:sz w:val="24"/>
          <w:szCs w:val="24"/>
        </w:rPr>
        <w:t xml:space="preserve"> </w:t>
      </w:r>
      <w:r w:rsidR="00501016">
        <w:rPr>
          <w:sz w:val="24"/>
          <w:szCs w:val="24"/>
        </w:rPr>
        <w:t>and</w:t>
      </w:r>
      <w:r w:rsidR="005D477F">
        <w:rPr>
          <w:sz w:val="24"/>
          <w:szCs w:val="24"/>
        </w:rPr>
        <w:t xml:space="preserve"> the standard error of the estimated coefficient</w:t>
      </w:r>
      <w:r w:rsidR="00955512">
        <w:rPr>
          <w:sz w:val="24"/>
          <w:szCs w:val="24"/>
        </w:rPr>
        <w:t xml:space="preserve"> (the denominator)</w:t>
      </w:r>
      <w:r w:rsidR="005D477F">
        <w:rPr>
          <w:sz w:val="24"/>
          <w:szCs w:val="24"/>
        </w:rPr>
        <w:t xml:space="preserve">. </w:t>
      </w:r>
      <w:r w:rsidR="00AD5AA5">
        <w:rPr>
          <w:sz w:val="24"/>
          <w:szCs w:val="24"/>
        </w:rPr>
        <w:t>The hypothe</w:t>
      </w:r>
      <w:r w:rsidR="00501016">
        <w:rPr>
          <w:sz w:val="24"/>
          <w:szCs w:val="24"/>
        </w:rPr>
        <w:t>sized</w:t>
      </w:r>
      <w:r w:rsidR="00AD5AA5">
        <w:rPr>
          <w:sz w:val="24"/>
          <w:szCs w:val="24"/>
        </w:rPr>
        <w:t xml:space="preserve"> value is set </w:t>
      </w:r>
      <w:r w:rsidR="00501016">
        <w:rPr>
          <w:sz w:val="24"/>
          <w:szCs w:val="24"/>
        </w:rPr>
        <w:t>to</w:t>
      </w:r>
      <w:r w:rsidR="00AD5AA5">
        <w:rPr>
          <w:sz w:val="24"/>
          <w:szCs w:val="24"/>
        </w:rPr>
        <w:t xml:space="preserve"> zero</w:t>
      </w:r>
      <w:r w:rsidR="005D477F">
        <w:rPr>
          <w:sz w:val="24"/>
          <w:szCs w:val="24"/>
        </w:rPr>
        <w:t xml:space="preserve"> for computing the t-stat for all coefficients except that of the logarithm of the size term. A high value of the t-stat for these coefficients </w:t>
      </w:r>
      <w:r w:rsidR="00955512">
        <w:rPr>
          <w:sz w:val="24"/>
          <w:szCs w:val="24"/>
        </w:rPr>
        <w:t xml:space="preserve">(say greater than 1.96) </w:t>
      </w:r>
      <w:r w:rsidR="005D477F">
        <w:rPr>
          <w:sz w:val="24"/>
          <w:szCs w:val="24"/>
        </w:rPr>
        <w:t>indicate</w:t>
      </w:r>
      <w:r w:rsidR="00955512">
        <w:rPr>
          <w:sz w:val="24"/>
          <w:szCs w:val="24"/>
        </w:rPr>
        <w:t>s</w:t>
      </w:r>
      <w:r w:rsidR="005D477F">
        <w:rPr>
          <w:sz w:val="24"/>
          <w:szCs w:val="24"/>
        </w:rPr>
        <w:t xml:space="preserve"> that the departure of the estimated coefficient from zero </w:t>
      </w:r>
      <w:r w:rsidR="00955512">
        <w:rPr>
          <w:sz w:val="24"/>
          <w:szCs w:val="24"/>
        </w:rPr>
        <w:t xml:space="preserve">was not simply a fluke because of the sample used (to be precise, if the t-stat is higher than 1.96, there is a 95% probability that we can reject the hypothesis that the coefficient is actually zero in the population; that is, the coefficient </w:t>
      </w:r>
      <w:r w:rsidR="005D477F">
        <w:rPr>
          <w:sz w:val="24"/>
          <w:szCs w:val="24"/>
        </w:rPr>
        <w:t>is statistically significant</w:t>
      </w:r>
      <w:r w:rsidR="00955512">
        <w:rPr>
          <w:sz w:val="24"/>
          <w:szCs w:val="24"/>
        </w:rPr>
        <w:t xml:space="preserve">, </w:t>
      </w:r>
      <w:r w:rsidR="00501016">
        <w:rPr>
          <w:sz w:val="24"/>
          <w:szCs w:val="24"/>
        </w:rPr>
        <w:t>or</w:t>
      </w:r>
      <w:r w:rsidR="00955512">
        <w:rPr>
          <w:sz w:val="24"/>
          <w:szCs w:val="24"/>
        </w:rPr>
        <w:t>,</w:t>
      </w:r>
      <w:r w:rsidR="00501016">
        <w:rPr>
          <w:sz w:val="24"/>
          <w:szCs w:val="24"/>
        </w:rPr>
        <w:t xml:space="preserve"> equivalently, that the corresponding </w:t>
      </w:r>
      <w:r w:rsidR="00955512">
        <w:rPr>
          <w:sz w:val="24"/>
          <w:szCs w:val="24"/>
        </w:rPr>
        <w:t xml:space="preserve">variable does </w:t>
      </w:r>
      <w:r w:rsidR="00501016">
        <w:rPr>
          <w:sz w:val="24"/>
          <w:szCs w:val="24"/>
        </w:rPr>
        <w:t>play a role in affecting the destination of deadheading trips)</w:t>
      </w:r>
      <w:r w:rsidR="005D477F">
        <w:rPr>
          <w:sz w:val="24"/>
          <w:szCs w:val="24"/>
        </w:rPr>
        <w:t>. For the coefficient of the logarithm of the size term, the t-stat is computed with respect to a hypothe</w:t>
      </w:r>
      <w:r w:rsidR="00501016">
        <w:rPr>
          <w:sz w:val="24"/>
          <w:szCs w:val="24"/>
        </w:rPr>
        <w:t>sized</w:t>
      </w:r>
      <w:r w:rsidR="005D477F">
        <w:rPr>
          <w:sz w:val="24"/>
          <w:szCs w:val="24"/>
        </w:rPr>
        <w:t xml:space="preserve"> value of </w:t>
      </w:r>
      <w:r w:rsidR="001946C5">
        <w:rPr>
          <w:sz w:val="24"/>
          <w:szCs w:val="24"/>
        </w:rPr>
        <w:t xml:space="preserve">one. As explained in Section </w:t>
      </w:r>
      <w:r w:rsidR="001946C5">
        <w:rPr>
          <w:sz w:val="24"/>
          <w:szCs w:val="24"/>
        </w:rPr>
        <w:fldChar w:fldCharType="begin"/>
      </w:r>
      <w:r w:rsidR="001946C5">
        <w:rPr>
          <w:sz w:val="24"/>
          <w:szCs w:val="24"/>
        </w:rPr>
        <w:instrText xml:space="preserve"> REF _Ref6211454 \r \h </w:instrText>
      </w:r>
      <w:r w:rsidR="001946C5">
        <w:rPr>
          <w:sz w:val="24"/>
          <w:szCs w:val="24"/>
        </w:rPr>
      </w:r>
      <w:r w:rsidR="001946C5">
        <w:rPr>
          <w:sz w:val="24"/>
          <w:szCs w:val="24"/>
        </w:rPr>
        <w:fldChar w:fldCharType="separate"/>
      </w:r>
      <w:r w:rsidR="00740F16">
        <w:rPr>
          <w:sz w:val="24"/>
          <w:szCs w:val="24"/>
        </w:rPr>
        <w:t>4.2</w:t>
      </w:r>
      <w:r w:rsidR="001946C5">
        <w:rPr>
          <w:sz w:val="24"/>
          <w:szCs w:val="24"/>
        </w:rPr>
        <w:fldChar w:fldCharType="end"/>
      </w:r>
      <w:r w:rsidR="001946C5">
        <w:rPr>
          <w:sz w:val="24"/>
          <w:szCs w:val="24"/>
        </w:rPr>
        <w:t>, a value of one for this coefficient would indicate that there is no competing influence between elementary destinations within the same TAZ.</w:t>
      </w:r>
    </w:p>
    <w:p w14:paraId="47E78C90" w14:textId="77777777" w:rsidR="00B92053" w:rsidRPr="00B92053" w:rsidRDefault="00B92053" w:rsidP="00F7439A">
      <w:pPr>
        <w:spacing w:after="0" w:line="240" w:lineRule="auto"/>
        <w:rPr>
          <w:rFonts w:eastAsiaTheme="majorEastAsia" w:cstheme="majorBidi"/>
          <w:b/>
          <w:spacing w:val="4"/>
          <w:sz w:val="24"/>
          <w:szCs w:val="24"/>
        </w:rPr>
      </w:pPr>
    </w:p>
    <w:p w14:paraId="43409652" w14:textId="4398BBB1" w:rsidR="00972E2B" w:rsidRPr="00B92053" w:rsidRDefault="00972E2B" w:rsidP="00F7439A">
      <w:pPr>
        <w:pStyle w:val="Heading3"/>
        <w:spacing w:before="0" w:line="240" w:lineRule="auto"/>
      </w:pPr>
      <w:bookmarkStart w:id="30" w:name="_Ref26109341"/>
      <w:r w:rsidRPr="00B92053">
        <w:t>Influence of impedance</w:t>
      </w:r>
      <w:bookmarkEnd w:id="30"/>
    </w:p>
    <w:p w14:paraId="05B45205" w14:textId="416EBD6C" w:rsidR="00FC1441" w:rsidRDefault="006B4B2C" w:rsidP="00752153">
      <w:pPr>
        <w:spacing w:after="0" w:line="240" w:lineRule="auto"/>
        <w:rPr>
          <w:sz w:val="24"/>
          <w:szCs w:val="24"/>
        </w:rPr>
      </w:pPr>
      <w:r>
        <w:rPr>
          <w:sz w:val="24"/>
          <w:szCs w:val="24"/>
        </w:rPr>
        <w:t>The model allows for the effect of impedance on deadheading trip destination to be different for different area types of the origin TAZ. In our model specification we considered the suburban</w:t>
      </w:r>
      <w:r w:rsidR="00D67112">
        <w:rPr>
          <w:sz w:val="24"/>
          <w:szCs w:val="24"/>
        </w:rPr>
        <w:t xml:space="preserve"> and rural</w:t>
      </w:r>
      <w:r>
        <w:rPr>
          <w:sz w:val="24"/>
          <w:szCs w:val="24"/>
        </w:rPr>
        <w:t xml:space="preserve"> area type</w:t>
      </w:r>
      <w:r w:rsidR="00D67112">
        <w:rPr>
          <w:sz w:val="24"/>
          <w:szCs w:val="24"/>
        </w:rPr>
        <w:t>s</w:t>
      </w:r>
      <w:r>
        <w:rPr>
          <w:sz w:val="24"/>
          <w:szCs w:val="24"/>
        </w:rPr>
        <w:t xml:space="preserve"> to be the base area type</w:t>
      </w:r>
      <w:r w:rsidR="001812BE">
        <w:rPr>
          <w:sz w:val="24"/>
          <w:szCs w:val="24"/>
        </w:rPr>
        <w:t xml:space="preserve"> for estimating the effect of impedance</w:t>
      </w:r>
      <w:r>
        <w:rPr>
          <w:sz w:val="24"/>
          <w:szCs w:val="24"/>
        </w:rPr>
        <w:t>. Therefore, the coefficient of “</w:t>
      </w:r>
      <w:r w:rsidR="001D7149">
        <w:rPr>
          <w:sz w:val="24"/>
          <w:szCs w:val="24"/>
        </w:rPr>
        <w:t xml:space="preserve">Travel </w:t>
      </w:r>
      <w:r w:rsidR="00C15477">
        <w:rPr>
          <w:sz w:val="24"/>
          <w:szCs w:val="24"/>
        </w:rPr>
        <w:t>Time</w:t>
      </w:r>
      <w:r w:rsidRPr="00797D96">
        <w:rPr>
          <w:sz w:val="24"/>
          <w:szCs w:val="24"/>
          <w:vertAlign w:val="superscript"/>
        </w:rPr>
        <w:t>½</w:t>
      </w:r>
      <w:r>
        <w:rPr>
          <w:sz w:val="24"/>
          <w:szCs w:val="24"/>
        </w:rPr>
        <w:t>” denotes the effect of impedance for trips originating from suburban</w:t>
      </w:r>
      <w:r w:rsidR="00D67112">
        <w:rPr>
          <w:sz w:val="24"/>
          <w:szCs w:val="24"/>
        </w:rPr>
        <w:t xml:space="preserve"> or rural</w:t>
      </w:r>
      <w:r>
        <w:rPr>
          <w:sz w:val="24"/>
          <w:szCs w:val="24"/>
        </w:rPr>
        <w:t xml:space="preserve"> areas. The coefficients of the interaction terms between the area type of the origin and the impedance capture the differential effect of impedance </w:t>
      </w:r>
      <w:r w:rsidR="00D81138">
        <w:rPr>
          <w:sz w:val="24"/>
          <w:szCs w:val="24"/>
        </w:rPr>
        <w:t>of</w:t>
      </w:r>
      <w:r>
        <w:rPr>
          <w:sz w:val="24"/>
          <w:szCs w:val="24"/>
        </w:rPr>
        <w:t xml:space="preserve"> trips starting from </w:t>
      </w:r>
      <w:r w:rsidR="00D81138">
        <w:rPr>
          <w:sz w:val="24"/>
          <w:szCs w:val="24"/>
        </w:rPr>
        <w:t>the other area types when compared to the trips starting from suburban</w:t>
      </w:r>
      <w:r w:rsidR="00D67112">
        <w:rPr>
          <w:sz w:val="24"/>
          <w:szCs w:val="24"/>
        </w:rPr>
        <w:t xml:space="preserve"> or rural</w:t>
      </w:r>
      <w:r w:rsidR="00D81138">
        <w:rPr>
          <w:sz w:val="24"/>
          <w:szCs w:val="24"/>
        </w:rPr>
        <w:t xml:space="preserve"> areas</w:t>
      </w:r>
      <w:r>
        <w:rPr>
          <w:sz w:val="24"/>
          <w:szCs w:val="24"/>
        </w:rPr>
        <w:t>.</w:t>
      </w:r>
      <w:r w:rsidR="00AE461A">
        <w:rPr>
          <w:sz w:val="24"/>
          <w:szCs w:val="24"/>
        </w:rPr>
        <w:t xml:space="preserve"> Also note that since TAZs inside the CBD </w:t>
      </w:r>
      <w:r w:rsidR="009F7D0F">
        <w:rPr>
          <w:sz w:val="24"/>
          <w:szCs w:val="24"/>
        </w:rPr>
        <w:t>are</w:t>
      </w:r>
      <w:r w:rsidR="00AE461A">
        <w:rPr>
          <w:sz w:val="24"/>
          <w:szCs w:val="24"/>
        </w:rPr>
        <w:t xml:space="preserve"> all urban, the coefficient of the interaction between the origin being inside the CBD and the impedance term gives the differential impact of impedance </w:t>
      </w:r>
      <w:r w:rsidR="004114A4">
        <w:rPr>
          <w:sz w:val="24"/>
          <w:szCs w:val="24"/>
        </w:rPr>
        <w:t xml:space="preserve">of trips starting in the CBD when </w:t>
      </w:r>
      <w:r w:rsidR="00AE461A">
        <w:rPr>
          <w:sz w:val="24"/>
          <w:szCs w:val="24"/>
        </w:rPr>
        <w:t xml:space="preserve">compared to </w:t>
      </w:r>
      <w:r w:rsidR="004114A4">
        <w:rPr>
          <w:sz w:val="24"/>
          <w:szCs w:val="24"/>
        </w:rPr>
        <w:t>that of trips originating in urban areas</w:t>
      </w:r>
      <w:r w:rsidR="00FB3A07">
        <w:rPr>
          <w:sz w:val="24"/>
          <w:szCs w:val="24"/>
        </w:rPr>
        <w:t>.</w:t>
      </w:r>
      <w:r w:rsidR="007409BF">
        <w:rPr>
          <w:sz w:val="24"/>
          <w:szCs w:val="24"/>
        </w:rPr>
        <w:t xml:space="preserve"> </w:t>
      </w:r>
      <w:r w:rsidR="00C169A7">
        <w:rPr>
          <w:sz w:val="24"/>
          <w:szCs w:val="24"/>
        </w:rPr>
        <w:t>To illustrate, the effect of impedance for deadheading trips originating from suburban</w:t>
      </w:r>
      <w:r w:rsidR="00C26990">
        <w:rPr>
          <w:sz w:val="24"/>
          <w:szCs w:val="24"/>
        </w:rPr>
        <w:t>/rural</w:t>
      </w:r>
      <w:r w:rsidR="00C169A7">
        <w:rPr>
          <w:sz w:val="24"/>
          <w:szCs w:val="24"/>
        </w:rPr>
        <w:t>, urban and CBD areas in the Weekend Night p</w:t>
      </w:r>
      <w:r w:rsidR="00C26990">
        <w:rPr>
          <w:sz w:val="24"/>
          <w:szCs w:val="24"/>
        </w:rPr>
        <w:t xml:space="preserve">eriod are </w:t>
      </w:r>
      <w:r w:rsidR="00C169A7">
        <w:rPr>
          <w:sz w:val="24"/>
          <w:szCs w:val="24"/>
        </w:rPr>
        <w:t>-1.</w:t>
      </w:r>
      <w:r w:rsidR="007A4DD2">
        <w:rPr>
          <w:sz w:val="24"/>
          <w:szCs w:val="24"/>
        </w:rPr>
        <w:t>4249</w:t>
      </w:r>
      <w:r w:rsidR="00C169A7">
        <w:rPr>
          <w:sz w:val="24"/>
          <w:szCs w:val="24"/>
        </w:rPr>
        <w:t>, -1.</w:t>
      </w:r>
      <w:r w:rsidR="007A4DD2">
        <w:rPr>
          <w:sz w:val="24"/>
          <w:szCs w:val="24"/>
        </w:rPr>
        <w:t>4249</w:t>
      </w:r>
      <w:r w:rsidR="00D377B9">
        <w:rPr>
          <w:sz w:val="24"/>
          <w:szCs w:val="24"/>
        </w:rPr>
        <w:t xml:space="preserve"> </w:t>
      </w:r>
      <w:r w:rsidR="00C169A7">
        <w:rPr>
          <w:sz w:val="24"/>
          <w:szCs w:val="24"/>
        </w:rPr>
        <w:t>–</w:t>
      </w:r>
      <w:r w:rsidR="00D377B9">
        <w:rPr>
          <w:sz w:val="24"/>
          <w:szCs w:val="24"/>
        </w:rPr>
        <w:t xml:space="preserve"> </w:t>
      </w:r>
      <w:r w:rsidR="00C26990">
        <w:rPr>
          <w:sz w:val="24"/>
          <w:szCs w:val="24"/>
        </w:rPr>
        <w:t>0.5</w:t>
      </w:r>
      <w:r w:rsidR="007A4DD2">
        <w:rPr>
          <w:sz w:val="24"/>
          <w:szCs w:val="24"/>
        </w:rPr>
        <w:t>621</w:t>
      </w:r>
      <w:r w:rsidR="00C169A7">
        <w:rPr>
          <w:sz w:val="24"/>
          <w:szCs w:val="24"/>
        </w:rPr>
        <w:t xml:space="preserve"> = </w:t>
      </w:r>
      <w:r w:rsidR="007A4DD2" w:rsidRPr="007A4DD2">
        <w:rPr>
          <w:sz w:val="24"/>
          <w:szCs w:val="24"/>
        </w:rPr>
        <w:t>-1.987</w:t>
      </w:r>
      <w:r w:rsidR="00C26990">
        <w:rPr>
          <w:sz w:val="24"/>
          <w:szCs w:val="24"/>
        </w:rPr>
        <w:t xml:space="preserve"> </w:t>
      </w:r>
      <w:r w:rsidR="00C169A7">
        <w:rPr>
          <w:sz w:val="24"/>
          <w:szCs w:val="24"/>
        </w:rPr>
        <w:t>and -1.</w:t>
      </w:r>
      <w:r w:rsidR="007A4DD2">
        <w:rPr>
          <w:sz w:val="24"/>
          <w:szCs w:val="24"/>
        </w:rPr>
        <w:t xml:space="preserve">4249 </w:t>
      </w:r>
      <w:r w:rsidR="00C169A7">
        <w:rPr>
          <w:sz w:val="24"/>
          <w:szCs w:val="24"/>
        </w:rPr>
        <w:t>– 0.</w:t>
      </w:r>
      <w:r w:rsidR="00C26990">
        <w:rPr>
          <w:sz w:val="24"/>
          <w:szCs w:val="24"/>
        </w:rPr>
        <w:t>5</w:t>
      </w:r>
      <w:r w:rsidR="007A4DD2">
        <w:rPr>
          <w:sz w:val="24"/>
          <w:szCs w:val="24"/>
        </w:rPr>
        <w:t>621</w:t>
      </w:r>
      <w:r w:rsidR="00C169A7">
        <w:rPr>
          <w:sz w:val="24"/>
          <w:szCs w:val="24"/>
        </w:rPr>
        <w:t xml:space="preserve"> + 0.</w:t>
      </w:r>
      <w:r w:rsidR="007A4DD2">
        <w:rPr>
          <w:sz w:val="24"/>
          <w:szCs w:val="24"/>
        </w:rPr>
        <w:t xml:space="preserve">2787 </w:t>
      </w:r>
      <w:r w:rsidR="00C169A7">
        <w:rPr>
          <w:sz w:val="24"/>
          <w:szCs w:val="24"/>
        </w:rPr>
        <w:t xml:space="preserve">= </w:t>
      </w:r>
      <w:r w:rsidR="007A4DD2" w:rsidRPr="007A4DD2">
        <w:rPr>
          <w:sz w:val="24"/>
          <w:szCs w:val="24"/>
        </w:rPr>
        <w:t>-1.7083</w:t>
      </w:r>
      <w:r w:rsidR="00C169A7">
        <w:rPr>
          <w:sz w:val="24"/>
          <w:szCs w:val="24"/>
        </w:rPr>
        <w:t xml:space="preserve"> respectively. </w:t>
      </w:r>
      <w:r w:rsidR="00C97973" w:rsidRPr="00B92053">
        <w:rPr>
          <w:sz w:val="24"/>
          <w:szCs w:val="24"/>
        </w:rPr>
        <w:t xml:space="preserve">The </w:t>
      </w:r>
      <w:r w:rsidR="00FB3A07">
        <w:rPr>
          <w:sz w:val="24"/>
          <w:szCs w:val="24"/>
        </w:rPr>
        <w:t>effect of impedance is negative for all area types</w:t>
      </w:r>
      <w:r w:rsidR="00C97973" w:rsidRPr="00B92053">
        <w:rPr>
          <w:sz w:val="24"/>
          <w:szCs w:val="24"/>
        </w:rPr>
        <w:t xml:space="preserve"> indicating that passenger pick-ups are more likely to be made closer to the origin of the deadheading trip. </w:t>
      </w:r>
      <w:r w:rsidR="005B145C">
        <w:rPr>
          <w:sz w:val="24"/>
          <w:szCs w:val="24"/>
        </w:rPr>
        <w:t>The relative magnitudes of these impedance coefficients indicate that d</w:t>
      </w:r>
      <w:r w:rsidR="00C97973" w:rsidRPr="00B92053">
        <w:rPr>
          <w:sz w:val="24"/>
          <w:szCs w:val="24"/>
        </w:rPr>
        <w:t>eadheading trips originat</w:t>
      </w:r>
      <w:r w:rsidR="005B145C">
        <w:rPr>
          <w:sz w:val="24"/>
          <w:szCs w:val="24"/>
        </w:rPr>
        <w:t>ing</w:t>
      </w:r>
      <w:r w:rsidR="00C97973" w:rsidRPr="00B92053">
        <w:rPr>
          <w:sz w:val="24"/>
          <w:szCs w:val="24"/>
        </w:rPr>
        <w:t xml:space="preserve"> in urban areas are likely to be shorter </w:t>
      </w:r>
      <w:r w:rsidR="00710AC2">
        <w:rPr>
          <w:sz w:val="24"/>
          <w:szCs w:val="24"/>
        </w:rPr>
        <w:t>than those</w:t>
      </w:r>
      <w:r w:rsidR="00C97973" w:rsidRPr="00B92053">
        <w:rPr>
          <w:sz w:val="24"/>
          <w:szCs w:val="24"/>
        </w:rPr>
        <w:t xml:space="preserve"> originat</w:t>
      </w:r>
      <w:r w:rsidR="005B145C">
        <w:rPr>
          <w:sz w:val="24"/>
          <w:szCs w:val="24"/>
        </w:rPr>
        <w:t>ing</w:t>
      </w:r>
      <w:r w:rsidR="00C97973" w:rsidRPr="00B92053">
        <w:rPr>
          <w:sz w:val="24"/>
          <w:szCs w:val="24"/>
        </w:rPr>
        <w:t xml:space="preserve"> in suburban or rural areas. </w:t>
      </w:r>
      <w:r w:rsidR="00710AC2">
        <w:rPr>
          <w:sz w:val="24"/>
          <w:szCs w:val="24"/>
        </w:rPr>
        <w:t>This is likely due to</w:t>
      </w:r>
      <w:r w:rsidR="00C97973" w:rsidRPr="00B92053">
        <w:rPr>
          <w:sz w:val="24"/>
          <w:szCs w:val="24"/>
        </w:rPr>
        <w:t xml:space="preserve"> higher demand for ride-hailing in denser urban areas</w:t>
      </w:r>
      <w:r w:rsidR="00710AC2">
        <w:rPr>
          <w:sz w:val="24"/>
          <w:szCs w:val="24"/>
        </w:rPr>
        <w:t>, leading to shorter distances between drop-off and pick-up locations</w:t>
      </w:r>
      <w:r w:rsidR="00C97973" w:rsidRPr="00B92053">
        <w:rPr>
          <w:sz w:val="24"/>
          <w:szCs w:val="24"/>
        </w:rPr>
        <w:t>.</w:t>
      </w:r>
      <w:r w:rsidR="007409BF">
        <w:rPr>
          <w:sz w:val="24"/>
          <w:szCs w:val="24"/>
        </w:rPr>
        <w:t xml:space="preserve"> </w:t>
      </w:r>
      <w:r w:rsidR="000F794A" w:rsidRPr="00B92053">
        <w:rPr>
          <w:sz w:val="24"/>
          <w:szCs w:val="24"/>
        </w:rPr>
        <w:t xml:space="preserve">The effect of impedance on </w:t>
      </w:r>
      <w:r w:rsidR="000F794A">
        <w:rPr>
          <w:sz w:val="24"/>
          <w:szCs w:val="24"/>
        </w:rPr>
        <w:t xml:space="preserve">deadheading </w:t>
      </w:r>
      <w:r w:rsidR="000F794A" w:rsidRPr="00B92053">
        <w:rPr>
          <w:sz w:val="24"/>
          <w:szCs w:val="24"/>
        </w:rPr>
        <w:t>trips originating within CBD</w:t>
      </w:r>
      <w:r w:rsidR="000F794A">
        <w:rPr>
          <w:sz w:val="24"/>
          <w:szCs w:val="24"/>
        </w:rPr>
        <w:t xml:space="preserve"> zones</w:t>
      </w:r>
      <w:r w:rsidR="000F794A" w:rsidRPr="00B92053">
        <w:rPr>
          <w:sz w:val="24"/>
          <w:szCs w:val="24"/>
        </w:rPr>
        <w:t xml:space="preserve"> in comparison to the effect on</w:t>
      </w:r>
      <w:r w:rsidR="000F794A">
        <w:rPr>
          <w:sz w:val="24"/>
          <w:szCs w:val="24"/>
        </w:rPr>
        <w:t xml:space="preserve"> </w:t>
      </w:r>
      <w:r w:rsidR="000F794A" w:rsidRPr="00B92053">
        <w:rPr>
          <w:sz w:val="24"/>
          <w:szCs w:val="24"/>
        </w:rPr>
        <w:t>trip</w:t>
      </w:r>
      <w:r w:rsidR="000F794A">
        <w:rPr>
          <w:sz w:val="24"/>
          <w:szCs w:val="24"/>
        </w:rPr>
        <w:t>s</w:t>
      </w:r>
      <w:r w:rsidR="000F794A" w:rsidRPr="00B92053">
        <w:rPr>
          <w:sz w:val="24"/>
          <w:szCs w:val="24"/>
        </w:rPr>
        <w:t xml:space="preserve"> originating in urban area</w:t>
      </w:r>
      <w:r w:rsidR="000F794A">
        <w:rPr>
          <w:sz w:val="24"/>
          <w:szCs w:val="24"/>
        </w:rPr>
        <w:t>s</w:t>
      </w:r>
      <w:r w:rsidR="000F794A" w:rsidRPr="00B92053">
        <w:rPr>
          <w:sz w:val="24"/>
          <w:szCs w:val="24"/>
        </w:rPr>
        <w:t xml:space="preserve"> outside the CBD is not consistent across time periods. Deadheading trips originating in the CBD are shorter in the PM </w:t>
      </w:r>
      <w:r w:rsidR="000F794A">
        <w:rPr>
          <w:sz w:val="24"/>
          <w:szCs w:val="24"/>
        </w:rPr>
        <w:t>p</w:t>
      </w:r>
      <w:r w:rsidR="000F794A" w:rsidRPr="00B92053">
        <w:rPr>
          <w:sz w:val="24"/>
          <w:szCs w:val="24"/>
        </w:rPr>
        <w:t>eak period</w:t>
      </w:r>
      <w:r w:rsidR="000F794A">
        <w:rPr>
          <w:sz w:val="24"/>
          <w:szCs w:val="24"/>
        </w:rPr>
        <w:t>, but</w:t>
      </w:r>
      <w:r w:rsidR="000F794A" w:rsidRPr="00B92053">
        <w:rPr>
          <w:sz w:val="24"/>
          <w:szCs w:val="24"/>
        </w:rPr>
        <w:t xml:space="preserve"> longer </w:t>
      </w:r>
      <w:r w:rsidR="000F794A">
        <w:rPr>
          <w:sz w:val="24"/>
          <w:szCs w:val="24"/>
        </w:rPr>
        <w:t>i</w:t>
      </w:r>
      <w:r w:rsidR="000F794A" w:rsidRPr="00B92053">
        <w:rPr>
          <w:sz w:val="24"/>
          <w:szCs w:val="24"/>
        </w:rPr>
        <w:t xml:space="preserve">n the </w:t>
      </w:r>
      <w:r w:rsidR="000F794A">
        <w:rPr>
          <w:sz w:val="24"/>
          <w:szCs w:val="24"/>
        </w:rPr>
        <w:t>m</w:t>
      </w:r>
      <w:r w:rsidR="000F794A" w:rsidRPr="00B92053">
        <w:rPr>
          <w:sz w:val="24"/>
          <w:szCs w:val="24"/>
        </w:rPr>
        <w:t xml:space="preserve">id-day and </w:t>
      </w:r>
      <w:r w:rsidR="000F794A">
        <w:rPr>
          <w:sz w:val="24"/>
          <w:szCs w:val="24"/>
        </w:rPr>
        <w:t>w</w:t>
      </w:r>
      <w:r w:rsidR="000F794A" w:rsidRPr="00B92053">
        <w:rPr>
          <w:sz w:val="24"/>
          <w:szCs w:val="24"/>
        </w:rPr>
        <w:t xml:space="preserve">eekend </w:t>
      </w:r>
      <w:r w:rsidR="000F794A">
        <w:rPr>
          <w:sz w:val="24"/>
          <w:szCs w:val="24"/>
        </w:rPr>
        <w:t>n</w:t>
      </w:r>
      <w:r w:rsidR="000F794A" w:rsidRPr="00B92053">
        <w:rPr>
          <w:sz w:val="24"/>
          <w:szCs w:val="24"/>
        </w:rPr>
        <w:t xml:space="preserve">ight period. This may be </w:t>
      </w:r>
      <w:r w:rsidR="000F794A">
        <w:rPr>
          <w:sz w:val="24"/>
          <w:szCs w:val="24"/>
        </w:rPr>
        <w:t>due to a larger number of work-based ride-hailing</w:t>
      </w:r>
      <w:r w:rsidR="000F794A" w:rsidRPr="00B92053">
        <w:rPr>
          <w:sz w:val="24"/>
          <w:szCs w:val="24"/>
        </w:rPr>
        <w:t xml:space="preserve"> trips </w:t>
      </w:r>
      <w:r w:rsidR="000F794A">
        <w:rPr>
          <w:sz w:val="24"/>
          <w:szCs w:val="24"/>
        </w:rPr>
        <w:t xml:space="preserve">occurring in </w:t>
      </w:r>
      <w:r w:rsidR="000F794A" w:rsidRPr="00B92053">
        <w:rPr>
          <w:sz w:val="24"/>
          <w:szCs w:val="24"/>
        </w:rPr>
        <w:t xml:space="preserve">the PM </w:t>
      </w:r>
      <w:r w:rsidR="00DE2B44">
        <w:rPr>
          <w:sz w:val="24"/>
          <w:szCs w:val="24"/>
        </w:rPr>
        <w:t>p</w:t>
      </w:r>
      <w:r w:rsidR="000F794A" w:rsidRPr="00B92053">
        <w:rPr>
          <w:sz w:val="24"/>
          <w:szCs w:val="24"/>
        </w:rPr>
        <w:t>eak period</w:t>
      </w:r>
      <w:r w:rsidR="000F794A">
        <w:rPr>
          <w:sz w:val="24"/>
          <w:szCs w:val="24"/>
        </w:rPr>
        <w:t xml:space="preserve">, </w:t>
      </w:r>
      <w:r w:rsidR="000F794A" w:rsidRPr="00B92053">
        <w:rPr>
          <w:sz w:val="24"/>
          <w:szCs w:val="24"/>
        </w:rPr>
        <w:t>consistent with what Lavieri and Bhat</w:t>
      </w:r>
      <w:r w:rsidR="000F794A">
        <w:rPr>
          <w:sz w:val="24"/>
          <w:szCs w:val="24"/>
        </w:rPr>
        <w:t xml:space="preserve"> (</w:t>
      </w:r>
      <w:r w:rsidR="000F794A" w:rsidRPr="00B92053">
        <w:rPr>
          <w:sz w:val="24"/>
          <w:szCs w:val="24"/>
        </w:rPr>
        <w:t>2019</w:t>
      </w:r>
      <w:r w:rsidR="000F794A">
        <w:rPr>
          <w:sz w:val="24"/>
          <w:szCs w:val="24"/>
        </w:rPr>
        <w:t>)</w:t>
      </w:r>
      <w:r w:rsidR="000F794A" w:rsidRPr="00B92053">
        <w:rPr>
          <w:sz w:val="24"/>
          <w:szCs w:val="24"/>
        </w:rPr>
        <w:t xml:space="preserve"> </w:t>
      </w:r>
      <w:r w:rsidR="000F794A">
        <w:rPr>
          <w:sz w:val="24"/>
          <w:szCs w:val="24"/>
        </w:rPr>
        <w:t>found</w:t>
      </w:r>
      <w:r w:rsidR="000F794A" w:rsidRPr="00B92053">
        <w:rPr>
          <w:sz w:val="24"/>
          <w:szCs w:val="24"/>
        </w:rPr>
        <w:t xml:space="preserve"> </w:t>
      </w:r>
      <w:r w:rsidR="001737C3" w:rsidRPr="00B92053">
        <w:rPr>
          <w:sz w:val="24"/>
          <w:szCs w:val="24"/>
        </w:rPr>
        <w:t xml:space="preserve">for the Dallas-Fort Worth region. Since the CBD has </w:t>
      </w:r>
      <w:r w:rsidR="001737C3">
        <w:rPr>
          <w:sz w:val="24"/>
          <w:szCs w:val="24"/>
        </w:rPr>
        <w:t xml:space="preserve">a relatively high employment density (the highest ratio of average total number of </w:t>
      </w:r>
      <w:proofErr w:type="gramStart"/>
      <w:r w:rsidR="001737C3">
        <w:rPr>
          <w:sz w:val="24"/>
          <w:szCs w:val="24"/>
        </w:rPr>
        <w:t>employment</w:t>
      </w:r>
      <w:proofErr w:type="gramEnd"/>
      <w:r w:rsidR="001737C3">
        <w:rPr>
          <w:sz w:val="24"/>
          <w:szCs w:val="24"/>
        </w:rPr>
        <w:t xml:space="preserve"> to average TAZ area according </w:t>
      </w:r>
      <w:r w:rsidR="001737C3">
        <w:rPr>
          <w:sz w:val="24"/>
          <w:szCs w:val="24"/>
        </w:rPr>
        <w:lastRenderedPageBreak/>
        <w:t>to</w:t>
      </w:r>
      <w:r w:rsidR="00DE2B44">
        <w:rPr>
          <w:sz w:val="24"/>
          <w:szCs w:val="24"/>
        </w:rPr>
        <w:t xml:space="preserve"> Table 1</w:t>
      </w:r>
      <w:r w:rsidR="001737C3">
        <w:rPr>
          <w:sz w:val="24"/>
          <w:szCs w:val="24"/>
        </w:rPr>
        <w:t>)</w:t>
      </w:r>
      <w:r w:rsidR="001737C3" w:rsidRPr="00B92053">
        <w:rPr>
          <w:sz w:val="24"/>
          <w:szCs w:val="24"/>
        </w:rPr>
        <w:t xml:space="preserve">, the higher demand for ride-hailing in the CBD region in the PM </w:t>
      </w:r>
      <w:r w:rsidR="00DE2B44">
        <w:rPr>
          <w:sz w:val="24"/>
          <w:szCs w:val="24"/>
        </w:rPr>
        <w:t>p</w:t>
      </w:r>
      <w:r w:rsidR="001737C3" w:rsidRPr="00B92053">
        <w:rPr>
          <w:sz w:val="24"/>
          <w:szCs w:val="24"/>
        </w:rPr>
        <w:t xml:space="preserve">eak period will result in lower deadheading distances. The effect of impedance is further nuanced by </w:t>
      </w:r>
      <w:r w:rsidR="001737C3">
        <w:rPr>
          <w:sz w:val="24"/>
          <w:szCs w:val="24"/>
        </w:rPr>
        <w:t>the intrazonal and neighboring zone indicators. T</w:t>
      </w:r>
      <w:r w:rsidR="001737C3" w:rsidRPr="00B92053">
        <w:rPr>
          <w:sz w:val="24"/>
          <w:szCs w:val="24"/>
        </w:rPr>
        <w:t xml:space="preserve">hese variables </w:t>
      </w:r>
      <w:r w:rsidR="001737C3">
        <w:rPr>
          <w:sz w:val="24"/>
          <w:szCs w:val="24"/>
        </w:rPr>
        <w:t>help</w:t>
      </w:r>
      <w:r w:rsidR="001737C3" w:rsidRPr="00B92053">
        <w:rPr>
          <w:sz w:val="24"/>
          <w:szCs w:val="24"/>
        </w:rPr>
        <w:t xml:space="preserve"> capture the possible non-linearities in the effect of impedance on the utility of a TAZ. </w:t>
      </w:r>
      <w:r w:rsidR="001737C3">
        <w:rPr>
          <w:sz w:val="24"/>
          <w:szCs w:val="24"/>
        </w:rPr>
        <w:t xml:space="preserve"> These indicators depict differential effects by time-of-day.  It appears that deadheading trips in the peak periods (which are more likely to be associated with work-based passenger trips) are less likely to be within the same zone or in neighboring zones. On the other hand, weekend night deadheading trips are more likely to have origins and destinations within the same vicinity of one </w:t>
      </w:r>
      <w:r w:rsidR="006C0D2E">
        <w:rPr>
          <w:sz w:val="24"/>
          <w:szCs w:val="24"/>
        </w:rPr>
        <w:t>another</w:t>
      </w:r>
      <w:r w:rsidR="00750FED">
        <w:rPr>
          <w:sz w:val="24"/>
          <w:szCs w:val="24"/>
        </w:rPr>
        <w:t>. Interestingly, for the mid-day period, deadheading trips seem to be less likely to be within the same zone but more likely to be between adjacent zones</w:t>
      </w:r>
      <w:r w:rsidR="00FE5367">
        <w:rPr>
          <w:sz w:val="24"/>
          <w:szCs w:val="24"/>
        </w:rPr>
        <w:t xml:space="preserve">. </w:t>
      </w:r>
      <w:r w:rsidR="006C0D2E">
        <w:rPr>
          <w:sz w:val="24"/>
          <w:szCs w:val="24"/>
        </w:rPr>
        <w:t>Further exploration of ride-hailing passenger trip patterns and characteristics would provide additional insights on the reasons for these findings</w:t>
      </w:r>
      <w:r w:rsidR="00FC1441">
        <w:rPr>
          <w:sz w:val="24"/>
          <w:szCs w:val="24"/>
        </w:rPr>
        <w:t>.</w:t>
      </w:r>
    </w:p>
    <w:p w14:paraId="2390D8E2" w14:textId="77777777" w:rsidR="00FC1441" w:rsidRDefault="00FC1441" w:rsidP="00F7439A">
      <w:pPr>
        <w:spacing w:after="0" w:line="240" w:lineRule="auto"/>
        <w:rPr>
          <w:sz w:val="24"/>
          <w:szCs w:val="24"/>
        </w:rPr>
      </w:pPr>
    </w:p>
    <w:p w14:paraId="353F2DDF" w14:textId="77777777" w:rsidR="00FC1441" w:rsidRPr="005F7F21" w:rsidRDefault="00FC1441" w:rsidP="00FC1441">
      <w:pPr>
        <w:pStyle w:val="Heading3"/>
        <w:spacing w:before="0" w:line="240" w:lineRule="auto"/>
      </w:pPr>
      <w:r w:rsidRPr="000129A0">
        <w:t xml:space="preserve">Influence of </w:t>
      </w:r>
      <w:r>
        <w:t>built environment attributes</w:t>
      </w:r>
    </w:p>
    <w:p w14:paraId="53CF90E3" w14:textId="5065B572" w:rsidR="00FC1441" w:rsidRPr="007978E9" w:rsidRDefault="00FC1441" w:rsidP="00FC1441">
      <w:pPr>
        <w:spacing w:after="0" w:line="240" w:lineRule="auto"/>
        <w:rPr>
          <w:sz w:val="24"/>
          <w:szCs w:val="24"/>
        </w:rPr>
      </w:pPr>
      <w:r>
        <w:rPr>
          <w:sz w:val="24"/>
          <w:szCs w:val="24"/>
        </w:rPr>
        <w:t xml:space="preserve">The area types of destination alternatives were included in the specification. The suburban area type was treated as the base by assuming its coefficient to be zero. The estimation results indicate that deadheading destinations (that is, </w:t>
      </w:r>
      <w:r w:rsidRPr="00464E94">
        <w:rPr>
          <w:sz w:val="24"/>
          <w:szCs w:val="24"/>
        </w:rPr>
        <w:t>passenger pick-ups</w:t>
      </w:r>
      <w:r>
        <w:rPr>
          <w:sz w:val="24"/>
          <w:szCs w:val="24"/>
        </w:rPr>
        <w:t>)</w:t>
      </w:r>
      <w:r w:rsidRPr="00464E94">
        <w:rPr>
          <w:sz w:val="24"/>
          <w:szCs w:val="24"/>
        </w:rPr>
        <w:t xml:space="preserve"> are more likely to </w:t>
      </w:r>
      <w:r>
        <w:rPr>
          <w:sz w:val="24"/>
          <w:szCs w:val="24"/>
        </w:rPr>
        <w:t xml:space="preserve">be </w:t>
      </w:r>
      <w:r w:rsidRPr="00464E94">
        <w:rPr>
          <w:sz w:val="24"/>
          <w:szCs w:val="24"/>
        </w:rPr>
        <w:t xml:space="preserve">in urban areas </w:t>
      </w:r>
      <w:r>
        <w:rPr>
          <w:sz w:val="24"/>
          <w:szCs w:val="24"/>
        </w:rPr>
        <w:t>than in CBD and suburban areas</w:t>
      </w:r>
      <w:r w:rsidRPr="00464E94">
        <w:rPr>
          <w:sz w:val="24"/>
          <w:szCs w:val="24"/>
        </w:rPr>
        <w:t>. Similarly</w:t>
      </w:r>
      <w:r>
        <w:rPr>
          <w:sz w:val="24"/>
          <w:szCs w:val="24"/>
        </w:rPr>
        <w:t>,</w:t>
      </w:r>
      <w:r w:rsidRPr="00464E94">
        <w:rPr>
          <w:sz w:val="24"/>
          <w:szCs w:val="24"/>
        </w:rPr>
        <w:t xml:space="preserve"> </w:t>
      </w:r>
      <w:r>
        <w:rPr>
          <w:sz w:val="24"/>
          <w:szCs w:val="24"/>
        </w:rPr>
        <w:t>deadheading destinations (</w:t>
      </w:r>
      <w:r w:rsidRPr="00464E94">
        <w:rPr>
          <w:sz w:val="24"/>
          <w:szCs w:val="24"/>
        </w:rPr>
        <w:t>passenger pick-ups</w:t>
      </w:r>
      <w:r>
        <w:rPr>
          <w:sz w:val="24"/>
          <w:szCs w:val="24"/>
        </w:rPr>
        <w:t>)</w:t>
      </w:r>
      <w:r w:rsidRPr="00464E94">
        <w:rPr>
          <w:sz w:val="24"/>
          <w:szCs w:val="24"/>
        </w:rPr>
        <w:t xml:space="preserve"> are more likely to occur in suburban areas than in the rural areas. </w:t>
      </w:r>
      <w:r>
        <w:rPr>
          <w:sz w:val="24"/>
          <w:szCs w:val="24"/>
        </w:rPr>
        <w:t xml:space="preserve">Urban areas are the most likely destinations for deadheading trips (markets for ride-hailing passenger pick-ups). </w:t>
      </w:r>
      <w:r w:rsidRPr="00A31707">
        <w:rPr>
          <w:sz w:val="24"/>
          <w:szCs w:val="24"/>
        </w:rPr>
        <w:t xml:space="preserve">This could be because </w:t>
      </w:r>
      <w:r>
        <w:rPr>
          <w:sz w:val="24"/>
          <w:szCs w:val="24"/>
        </w:rPr>
        <w:t>urban</w:t>
      </w:r>
      <w:r w:rsidRPr="00A31707">
        <w:rPr>
          <w:sz w:val="24"/>
          <w:szCs w:val="24"/>
        </w:rPr>
        <w:t xml:space="preserve"> areas </w:t>
      </w:r>
      <w:r w:rsidRPr="00876C25">
        <w:rPr>
          <w:sz w:val="24"/>
          <w:szCs w:val="24"/>
        </w:rPr>
        <w:t>have a higher population den</w:t>
      </w:r>
      <w:r w:rsidRPr="0065282A">
        <w:rPr>
          <w:sz w:val="24"/>
          <w:szCs w:val="24"/>
        </w:rPr>
        <w:t xml:space="preserve">sity relative to </w:t>
      </w:r>
      <w:r w:rsidRPr="00876C25">
        <w:rPr>
          <w:sz w:val="24"/>
          <w:szCs w:val="24"/>
        </w:rPr>
        <w:t>other areas (the average population density of the urban TAZs</w:t>
      </w:r>
      <w:r>
        <w:rPr>
          <w:sz w:val="24"/>
          <w:szCs w:val="24"/>
        </w:rPr>
        <w:t xml:space="preserve"> outside the CBD</w:t>
      </w:r>
      <w:r w:rsidRPr="00876C25">
        <w:rPr>
          <w:sz w:val="24"/>
          <w:szCs w:val="24"/>
        </w:rPr>
        <w:t xml:space="preserve"> is </w:t>
      </w:r>
      <w:r>
        <w:rPr>
          <w:sz w:val="24"/>
          <w:szCs w:val="24"/>
        </w:rPr>
        <w:t>5002.7</w:t>
      </w:r>
      <w:r w:rsidRPr="00876C25">
        <w:rPr>
          <w:sz w:val="24"/>
          <w:szCs w:val="24"/>
        </w:rPr>
        <w:t xml:space="preserve"> while that of the CBD TAZs is </w:t>
      </w:r>
      <w:r>
        <w:rPr>
          <w:sz w:val="24"/>
          <w:szCs w:val="24"/>
        </w:rPr>
        <w:t>4780.7</w:t>
      </w:r>
      <w:r w:rsidRPr="00876C25">
        <w:rPr>
          <w:sz w:val="24"/>
          <w:szCs w:val="24"/>
        </w:rPr>
        <w:t>).</w:t>
      </w:r>
      <w:r>
        <w:t xml:space="preserve"> </w:t>
      </w:r>
      <w:r w:rsidRPr="0083753C">
        <w:rPr>
          <w:sz w:val="24"/>
          <w:szCs w:val="24"/>
        </w:rPr>
        <w:t xml:space="preserve">Previous studies have also found ride-hailing </w:t>
      </w:r>
      <w:r>
        <w:rPr>
          <w:sz w:val="24"/>
          <w:szCs w:val="24"/>
        </w:rPr>
        <w:t xml:space="preserve">passenger </w:t>
      </w:r>
      <w:r w:rsidRPr="0083753C">
        <w:rPr>
          <w:sz w:val="24"/>
          <w:szCs w:val="24"/>
        </w:rPr>
        <w:t>demand to be higher in urban areas (</w:t>
      </w:r>
      <w:proofErr w:type="spellStart"/>
      <w:r w:rsidRPr="0083753C">
        <w:rPr>
          <w:sz w:val="24"/>
          <w:szCs w:val="24"/>
        </w:rPr>
        <w:t>Clewlow</w:t>
      </w:r>
      <w:proofErr w:type="spellEnd"/>
      <w:r w:rsidRPr="0083753C">
        <w:rPr>
          <w:sz w:val="24"/>
          <w:szCs w:val="24"/>
        </w:rPr>
        <w:t xml:space="preserve"> and Mishra, 2017). Lavieri </w:t>
      </w:r>
      <w:r w:rsidRPr="00797D96">
        <w:rPr>
          <w:i/>
          <w:sz w:val="24"/>
          <w:szCs w:val="24"/>
        </w:rPr>
        <w:t>et al.</w:t>
      </w:r>
      <w:r w:rsidRPr="0083753C">
        <w:rPr>
          <w:sz w:val="24"/>
          <w:szCs w:val="24"/>
        </w:rPr>
        <w:t xml:space="preserve"> (2018) has shown that ride-hailing demand tends to be more in densely populated areas. </w:t>
      </w:r>
    </w:p>
    <w:p w14:paraId="5CF63C3D" w14:textId="77777777" w:rsidR="00FC1441" w:rsidRPr="007978E9" w:rsidRDefault="00FC1441" w:rsidP="00FC1441">
      <w:pPr>
        <w:spacing w:after="0" w:line="240" w:lineRule="auto"/>
        <w:rPr>
          <w:sz w:val="24"/>
          <w:szCs w:val="24"/>
        </w:rPr>
      </w:pPr>
      <w:r w:rsidRPr="007978E9">
        <w:rPr>
          <w:sz w:val="24"/>
          <w:szCs w:val="24"/>
        </w:rPr>
        <w:tab/>
        <w:t xml:space="preserve">There is a higher propensity for </w:t>
      </w:r>
      <w:r>
        <w:rPr>
          <w:sz w:val="24"/>
          <w:szCs w:val="24"/>
        </w:rPr>
        <w:t xml:space="preserve">deadheading trip destinations to be in the TAZ that houses </w:t>
      </w:r>
      <w:r w:rsidRPr="007978E9">
        <w:rPr>
          <w:sz w:val="24"/>
          <w:szCs w:val="24"/>
        </w:rPr>
        <w:t xml:space="preserve">the </w:t>
      </w:r>
      <w:r>
        <w:rPr>
          <w:sz w:val="24"/>
          <w:szCs w:val="24"/>
        </w:rPr>
        <w:t>airport (ABIA)</w:t>
      </w:r>
      <w:r w:rsidRPr="007978E9">
        <w:rPr>
          <w:sz w:val="24"/>
          <w:szCs w:val="24"/>
        </w:rPr>
        <w:t xml:space="preserve">. Previous studies have already established that ride-hailing is a popular mode for airport </w:t>
      </w:r>
      <w:r>
        <w:rPr>
          <w:sz w:val="24"/>
          <w:szCs w:val="24"/>
        </w:rPr>
        <w:t xml:space="preserve">access/egress passenger </w:t>
      </w:r>
      <w:r w:rsidRPr="007978E9">
        <w:rPr>
          <w:sz w:val="24"/>
          <w:szCs w:val="24"/>
        </w:rPr>
        <w:t xml:space="preserve">trips (Lavieri </w:t>
      </w:r>
      <w:r w:rsidRPr="006E7840">
        <w:rPr>
          <w:i/>
          <w:sz w:val="24"/>
          <w:szCs w:val="24"/>
        </w:rPr>
        <w:t>et al</w:t>
      </w:r>
      <w:r w:rsidRPr="007978E9">
        <w:rPr>
          <w:sz w:val="24"/>
          <w:szCs w:val="24"/>
        </w:rPr>
        <w:t xml:space="preserve">., 2018; </w:t>
      </w:r>
      <w:proofErr w:type="spellStart"/>
      <w:r w:rsidRPr="007978E9">
        <w:rPr>
          <w:sz w:val="24"/>
          <w:szCs w:val="24"/>
        </w:rPr>
        <w:t>Rayle</w:t>
      </w:r>
      <w:proofErr w:type="spellEnd"/>
      <w:r w:rsidRPr="007978E9">
        <w:rPr>
          <w:sz w:val="24"/>
          <w:szCs w:val="24"/>
        </w:rPr>
        <w:t xml:space="preserve"> </w:t>
      </w:r>
      <w:r w:rsidRPr="006E7840">
        <w:rPr>
          <w:i/>
          <w:sz w:val="24"/>
          <w:szCs w:val="24"/>
        </w:rPr>
        <w:t>et al</w:t>
      </w:r>
      <w:r w:rsidRPr="007978E9">
        <w:rPr>
          <w:sz w:val="24"/>
          <w:szCs w:val="24"/>
        </w:rPr>
        <w:t xml:space="preserve">., 2016). </w:t>
      </w:r>
      <w:r>
        <w:rPr>
          <w:sz w:val="24"/>
          <w:szCs w:val="24"/>
        </w:rPr>
        <w:t xml:space="preserve">Also, the likelihood of a deadheading trip destination in the TAZ housing </w:t>
      </w:r>
      <w:r w:rsidRPr="007978E9">
        <w:rPr>
          <w:sz w:val="24"/>
          <w:szCs w:val="24"/>
        </w:rPr>
        <w:t xml:space="preserve">the </w:t>
      </w:r>
      <w:r>
        <w:rPr>
          <w:sz w:val="24"/>
          <w:szCs w:val="24"/>
        </w:rPr>
        <w:t xml:space="preserve">University of Texas </w:t>
      </w:r>
      <w:r w:rsidRPr="007978E9">
        <w:rPr>
          <w:sz w:val="24"/>
          <w:szCs w:val="24"/>
        </w:rPr>
        <w:t xml:space="preserve">campus </w:t>
      </w:r>
      <w:r>
        <w:rPr>
          <w:sz w:val="24"/>
          <w:szCs w:val="24"/>
        </w:rPr>
        <w:t xml:space="preserve">is higher than from other TAZs </w:t>
      </w:r>
      <w:r w:rsidRPr="007978E9">
        <w:rPr>
          <w:sz w:val="24"/>
          <w:szCs w:val="24"/>
        </w:rPr>
        <w:t xml:space="preserve">during the </w:t>
      </w:r>
      <w:r>
        <w:rPr>
          <w:sz w:val="24"/>
          <w:szCs w:val="24"/>
        </w:rPr>
        <w:t xml:space="preserve">mid-day and </w:t>
      </w:r>
      <w:r w:rsidRPr="007978E9">
        <w:rPr>
          <w:sz w:val="24"/>
          <w:szCs w:val="24"/>
        </w:rPr>
        <w:t xml:space="preserve">PM peak </w:t>
      </w:r>
      <w:r>
        <w:rPr>
          <w:sz w:val="24"/>
          <w:szCs w:val="24"/>
        </w:rPr>
        <w:t xml:space="preserve">periods, and lower than from other TAZs during </w:t>
      </w:r>
      <w:r w:rsidRPr="007978E9">
        <w:rPr>
          <w:sz w:val="24"/>
          <w:szCs w:val="24"/>
        </w:rPr>
        <w:t xml:space="preserve">the AM </w:t>
      </w:r>
      <w:r>
        <w:rPr>
          <w:sz w:val="24"/>
          <w:szCs w:val="24"/>
        </w:rPr>
        <w:t>p</w:t>
      </w:r>
      <w:r w:rsidRPr="007978E9">
        <w:rPr>
          <w:sz w:val="24"/>
          <w:szCs w:val="24"/>
        </w:rPr>
        <w:t xml:space="preserve">eak and </w:t>
      </w:r>
      <w:r>
        <w:rPr>
          <w:sz w:val="24"/>
          <w:szCs w:val="24"/>
        </w:rPr>
        <w:t>w</w:t>
      </w:r>
      <w:r w:rsidRPr="007978E9">
        <w:rPr>
          <w:sz w:val="24"/>
          <w:szCs w:val="24"/>
        </w:rPr>
        <w:t xml:space="preserve">eekend </w:t>
      </w:r>
      <w:r>
        <w:rPr>
          <w:sz w:val="24"/>
          <w:szCs w:val="24"/>
        </w:rPr>
        <w:t>n</w:t>
      </w:r>
      <w:r w:rsidRPr="007978E9">
        <w:rPr>
          <w:sz w:val="24"/>
          <w:szCs w:val="24"/>
        </w:rPr>
        <w:t>ight period</w:t>
      </w:r>
      <w:r>
        <w:rPr>
          <w:sz w:val="24"/>
          <w:szCs w:val="24"/>
        </w:rPr>
        <w:t xml:space="preserve">s. The last result is not surprising, because passenger pick-ups are unlikely to happen at the University of Texas campus on weekend nights (the campus itself is not the hub of activity over the weekend nights). </w:t>
      </w:r>
    </w:p>
    <w:p w14:paraId="3B6FAC5F" w14:textId="77777777" w:rsidR="00FC1441" w:rsidRDefault="00FC1441" w:rsidP="00F7439A">
      <w:pPr>
        <w:spacing w:after="0" w:line="240" w:lineRule="auto"/>
        <w:rPr>
          <w:sz w:val="24"/>
          <w:szCs w:val="24"/>
        </w:rPr>
      </w:pPr>
    </w:p>
    <w:p w14:paraId="587A67FF" w14:textId="6F6873C5" w:rsidR="00570C43" w:rsidRPr="00B92053" w:rsidRDefault="00570C43" w:rsidP="00F7439A">
      <w:pPr>
        <w:spacing w:after="0" w:line="240" w:lineRule="auto"/>
        <w:rPr>
          <w:sz w:val="24"/>
          <w:szCs w:val="24"/>
        </w:rPr>
        <w:sectPr w:rsidR="00570C43" w:rsidRPr="00B92053" w:rsidSect="009E0008">
          <w:footerReference w:type="first" r:id="rId117"/>
          <w:pgSz w:w="12240" w:h="15840"/>
          <w:pgMar w:top="1440" w:right="1440" w:bottom="1440" w:left="1440" w:header="720" w:footer="720" w:gutter="0"/>
          <w:pgNumType w:start="1"/>
          <w:cols w:space="720"/>
          <w:titlePg/>
          <w:docGrid w:linePitch="299"/>
        </w:sectPr>
      </w:pPr>
    </w:p>
    <w:p w14:paraId="485DF307" w14:textId="6A2A1DCD" w:rsidR="00E058BD" w:rsidRPr="007978E9" w:rsidRDefault="00E058BD" w:rsidP="00096C6C">
      <w:pPr>
        <w:pStyle w:val="Caption"/>
        <w:spacing w:after="0" w:line="240" w:lineRule="auto"/>
        <w:jc w:val="center"/>
        <w:rPr>
          <w:sz w:val="24"/>
          <w:szCs w:val="22"/>
        </w:rPr>
      </w:pPr>
      <w:bookmarkStart w:id="31" w:name="_Ref26140592"/>
      <w:r w:rsidRPr="007978E9">
        <w:rPr>
          <w:sz w:val="24"/>
          <w:szCs w:val="22"/>
        </w:rPr>
        <w:lastRenderedPageBreak/>
        <w:t xml:space="preserve">Table </w:t>
      </w:r>
      <w:r w:rsidR="00EA2C01" w:rsidRPr="007978E9">
        <w:rPr>
          <w:sz w:val="24"/>
          <w:szCs w:val="22"/>
        </w:rPr>
        <w:fldChar w:fldCharType="begin"/>
      </w:r>
      <w:r w:rsidR="00EA2C01" w:rsidRPr="007978E9">
        <w:rPr>
          <w:sz w:val="24"/>
          <w:szCs w:val="22"/>
        </w:rPr>
        <w:instrText xml:space="preserve"> SEQ Table \* ARABIC </w:instrText>
      </w:r>
      <w:r w:rsidR="00EA2C01" w:rsidRPr="007978E9">
        <w:rPr>
          <w:sz w:val="24"/>
          <w:szCs w:val="22"/>
        </w:rPr>
        <w:fldChar w:fldCharType="separate"/>
      </w:r>
      <w:r w:rsidR="00740F16">
        <w:rPr>
          <w:noProof/>
          <w:sz w:val="24"/>
          <w:szCs w:val="22"/>
        </w:rPr>
        <w:t>2</w:t>
      </w:r>
      <w:r w:rsidR="00EA2C01" w:rsidRPr="007978E9">
        <w:rPr>
          <w:noProof/>
          <w:sz w:val="24"/>
          <w:szCs w:val="22"/>
        </w:rPr>
        <w:fldChar w:fldCharType="end"/>
      </w:r>
      <w:bookmarkEnd w:id="31"/>
      <w:r w:rsidRPr="007978E9">
        <w:rPr>
          <w:sz w:val="24"/>
          <w:szCs w:val="22"/>
        </w:rPr>
        <w:t xml:space="preserve">  </w:t>
      </w:r>
      <w:r w:rsidR="007978E9">
        <w:rPr>
          <w:sz w:val="24"/>
          <w:szCs w:val="22"/>
        </w:rPr>
        <w:t xml:space="preserve">Estimation Results for </w:t>
      </w:r>
      <w:r w:rsidRPr="007978E9">
        <w:rPr>
          <w:sz w:val="24"/>
          <w:szCs w:val="22"/>
        </w:rPr>
        <w:t xml:space="preserve">NPMNL </w:t>
      </w:r>
      <w:r w:rsidR="007978E9">
        <w:rPr>
          <w:sz w:val="24"/>
          <w:szCs w:val="22"/>
        </w:rPr>
        <w:t>M</w:t>
      </w:r>
      <w:r w:rsidRPr="007978E9">
        <w:rPr>
          <w:sz w:val="24"/>
          <w:szCs w:val="22"/>
        </w:rPr>
        <w:t>odel</w:t>
      </w:r>
      <w:r w:rsidR="007978E9">
        <w:rPr>
          <w:sz w:val="24"/>
          <w:szCs w:val="22"/>
        </w:rPr>
        <w:t xml:space="preserve"> of Deadheading Trip Destination (Next Passenger Pick-up Location)</w:t>
      </w:r>
    </w:p>
    <w:tbl>
      <w:tblPr>
        <w:tblW w:w="12914" w:type="dxa"/>
        <w:jc w:val="center"/>
        <w:tblLayout w:type="fixed"/>
        <w:tblLook w:val="04A0" w:firstRow="1" w:lastRow="0" w:firstColumn="1" w:lastColumn="0" w:noHBand="0" w:noVBand="1"/>
      </w:tblPr>
      <w:tblGrid>
        <w:gridCol w:w="4027"/>
        <w:gridCol w:w="1110"/>
        <w:gridCol w:w="1111"/>
        <w:gridCol w:w="1111"/>
        <w:gridCol w:w="1111"/>
        <w:gridCol w:w="1111"/>
        <w:gridCol w:w="1111"/>
        <w:gridCol w:w="1111"/>
        <w:gridCol w:w="1111"/>
      </w:tblGrid>
      <w:tr w:rsidR="000167FD" w:rsidRPr="004A5770" w14:paraId="024B76E8" w14:textId="77777777" w:rsidTr="000167FD">
        <w:trPr>
          <w:trHeight w:val="233"/>
          <w:jc w:val="center"/>
        </w:trPr>
        <w:tc>
          <w:tcPr>
            <w:tcW w:w="4027" w:type="dxa"/>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14:paraId="1B946C17" w14:textId="77777777" w:rsidR="00E058BD" w:rsidRPr="000167FD" w:rsidRDefault="00E058BD" w:rsidP="00F7439A">
            <w:pPr>
              <w:spacing w:after="0" w:line="240" w:lineRule="auto"/>
              <w:rPr>
                <w:rFonts w:eastAsia="Times New Roman" w:cs="Times New Roman"/>
                <w:b/>
                <w:bCs/>
                <w:color w:val="000000"/>
                <w:sz w:val="20"/>
                <w:szCs w:val="20"/>
              </w:rPr>
            </w:pPr>
            <w:r w:rsidRPr="000167FD">
              <w:rPr>
                <w:rFonts w:eastAsia="Times New Roman" w:cs="Times New Roman"/>
                <w:b/>
                <w:bCs/>
                <w:color w:val="000000"/>
                <w:sz w:val="20"/>
                <w:szCs w:val="20"/>
              </w:rPr>
              <w:t>Variable</w:t>
            </w:r>
          </w:p>
        </w:tc>
        <w:tc>
          <w:tcPr>
            <w:tcW w:w="2221" w:type="dxa"/>
            <w:gridSpan w:val="2"/>
            <w:tcBorders>
              <w:top w:val="double" w:sz="6" w:space="0" w:color="auto"/>
              <w:left w:val="nil"/>
              <w:bottom w:val="nil"/>
              <w:right w:val="single" w:sz="4" w:space="0" w:color="000000"/>
            </w:tcBorders>
            <w:shd w:val="clear" w:color="auto" w:fill="auto"/>
            <w:noWrap/>
            <w:vAlign w:val="center"/>
            <w:hideMark/>
          </w:tcPr>
          <w:p w14:paraId="28036115" w14:textId="45F37DE7" w:rsidR="00E058BD" w:rsidRPr="00323017" w:rsidRDefault="00F127B4" w:rsidP="007978E9">
            <w:pPr>
              <w:spacing w:after="0" w:line="240" w:lineRule="auto"/>
              <w:jc w:val="center"/>
              <w:rPr>
                <w:rFonts w:eastAsia="Times New Roman" w:cs="Times New Roman"/>
                <w:b/>
                <w:bCs/>
                <w:color w:val="000000"/>
                <w:sz w:val="20"/>
                <w:szCs w:val="20"/>
              </w:rPr>
            </w:pPr>
            <w:r w:rsidRPr="00323017">
              <w:rPr>
                <w:rFonts w:eastAsia="Times New Roman" w:cs="Times New Roman"/>
                <w:b/>
                <w:bCs/>
                <w:color w:val="000000"/>
                <w:sz w:val="20"/>
                <w:szCs w:val="20"/>
              </w:rPr>
              <w:t xml:space="preserve">  </w:t>
            </w:r>
            <w:r w:rsidR="00E058BD" w:rsidRPr="00323017">
              <w:rPr>
                <w:rFonts w:eastAsia="Times New Roman" w:cs="Times New Roman"/>
                <w:b/>
                <w:bCs/>
                <w:color w:val="000000"/>
                <w:sz w:val="20"/>
                <w:szCs w:val="20"/>
              </w:rPr>
              <w:t>AM Peak</w:t>
            </w:r>
          </w:p>
        </w:tc>
        <w:tc>
          <w:tcPr>
            <w:tcW w:w="2222" w:type="dxa"/>
            <w:gridSpan w:val="2"/>
            <w:tcBorders>
              <w:top w:val="double" w:sz="6" w:space="0" w:color="auto"/>
              <w:left w:val="nil"/>
              <w:bottom w:val="nil"/>
              <w:right w:val="single" w:sz="4" w:space="0" w:color="000000"/>
            </w:tcBorders>
            <w:shd w:val="clear" w:color="auto" w:fill="auto"/>
            <w:noWrap/>
            <w:vAlign w:val="center"/>
            <w:hideMark/>
          </w:tcPr>
          <w:p w14:paraId="24B03B59" w14:textId="77777777" w:rsidR="00E058BD" w:rsidRPr="000770D9" w:rsidRDefault="00E058BD" w:rsidP="007978E9">
            <w:pPr>
              <w:spacing w:after="0" w:line="240" w:lineRule="auto"/>
              <w:jc w:val="center"/>
              <w:rPr>
                <w:rFonts w:eastAsia="Times New Roman" w:cs="Times New Roman"/>
                <w:b/>
                <w:bCs/>
                <w:color w:val="000000"/>
                <w:sz w:val="20"/>
                <w:szCs w:val="20"/>
              </w:rPr>
            </w:pPr>
            <w:r w:rsidRPr="000770D9">
              <w:rPr>
                <w:rFonts w:eastAsia="Times New Roman" w:cs="Times New Roman"/>
                <w:b/>
                <w:bCs/>
                <w:color w:val="000000"/>
                <w:sz w:val="20"/>
                <w:szCs w:val="20"/>
              </w:rPr>
              <w:t>Mid-day</w:t>
            </w:r>
          </w:p>
        </w:tc>
        <w:tc>
          <w:tcPr>
            <w:tcW w:w="2222" w:type="dxa"/>
            <w:gridSpan w:val="2"/>
            <w:tcBorders>
              <w:top w:val="double" w:sz="6" w:space="0" w:color="auto"/>
              <w:left w:val="nil"/>
              <w:bottom w:val="nil"/>
              <w:right w:val="single" w:sz="4" w:space="0" w:color="000000"/>
            </w:tcBorders>
            <w:shd w:val="clear" w:color="auto" w:fill="auto"/>
            <w:noWrap/>
            <w:vAlign w:val="center"/>
            <w:hideMark/>
          </w:tcPr>
          <w:p w14:paraId="17E17B35" w14:textId="77777777" w:rsidR="00E058BD" w:rsidRPr="00A31847" w:rsidRDefault="00E058BD" w:rsidP="007978E9">
            <w:pPr>
              <w:spacing w:after="0" w:line="240" w:lineRule="auto"/>
              <w:jc w:val="center"/>
              <w:rPr>
                <w:rFonts w:eastAsia="Times New Roman" w:cs="Times New Roman"/>
                <w:b/>
                <w:bCs/>
                <w:color w:val="000000"/>
                <w:sz w:val="20"/>
                <w:szCs w:val="20"/>
              </w:rPr>
            </w:pPr>
            <w:r w:rsidRPr="00A31847">
              <w:rPr>
                <w:rFonts w:eastAsia="Times New Roman" w:cs="Times New Roman"/>
                <w:b/>
                <w:bCs/>
                <w:color w:val="000000"/>
                <w:sz w:val="20"/>
                <w:szCs w:val="20"/>
              </w:rPr>
              <w:t>PM Peak</w:t>
            </w:r>
          </w:p>
        </w:tc>
        <w:tc>
          <w:tcPr>
            <w:tcW w:w="2222" w:type="dxa"/>
            <w:gridSpan w:val="2"/>
            <w:tcBorders>
              <w:top w:val="double" w:sz="6" w:space="0" w:color="auto"/>
              <w:left w:val="nil"/>
              <w:bottom w:val="nil"/>
              <w:right w:val="double" w:sz="6" w:space="0" w:color="000000"/>
            </w:tcBorders>
            <w:shd w:val="clear" w:color="auto" w:fill="auto"/>
            <w:noWrap/>
            <w:vAlign w:val="center"/>
            <w:hideMark/>
          </w:tcPr>
          <w:p w14:paraId="40406ABC" w14:textId="77777777" w:rsidR="00E058BD" w:rsidRPr="009E0FF1" w:rsidRDefault="00E058BD" w:rsidP="007978E9">
            <w:pPr>
              <w:spacing w:after="0" w:line="240" w:lineRule="auto"/>
              <w:jc w:val="center"/>
              <w:rPr>
                <w:rFonts w:eastAsia="Times New Roman" w:cs="Times New Roman"/>
                <w:b/>
                <w:bCs/>
                <w:color w:val="000000"/>
                <w:sz w:val="20"/>
                <w:szCs w:val="20"/>
              </w:rPr>
            </w:pPr>
            <w:r w:rsidRPr="009E0FF1">
              <w:rPr>
                <w:rFonts w:eastAsia="Times New Roman" w:cs="Times New Roman"/>
                <w:b/>
                <w:bCs/>
                <w:color w:val="000000"/>
                <w:sz w:val="20"/>
                <w:szCs w:val="20"/>
              </w:rPr>
              <w:t>Weekend Night</w:t>
            </w:r>
          </w:p>
        </w:tc>
      </w:tr>
      <w:tr w:rsidR="000167FD" w:rsidRPr="004A5770" w14:paraId="2549C22D" w14:textId="77777777" w:rsidTr="00873B6F">
        <w:trPr>
          <w:trHeight w:val="233"/>
          <w:jc w:val="center"/>
        </w:trPr>
        <w:tc>
          <w:tcPr>
            <w:tcW w:w="4027" w:type="dxa"/>
            <w:vMerge/>
            <w:tcBorders>
              <w:top w:val="double" w:sz="6" w:space="0" w:color="auto"/>
              <w:left w:val="double" w:sz="6" w:space="0" w:color="auto"/>
              <w:bottom w:val="double" w:sz="6" w:space="0" w:color="000000"/>
              <w:right w:val="single" w:sz="4" w:space="0" w:color="auto"/>
            </w:tcBorders>
            <w:vAlign w:val="center"/>
            <w:hideMark/>
          </w:tcPr>
          <w:p w14:paraId="241D5622" w14:textId="77777777" w:rsidR="00E058BD" w:rsidRPr="000167FD" w:rsidRDefault="00E058BD" w:rsidP="00F7439A">
            <w:pPr>
              <w:spacing w:after="0" w:line="240" w:lineRule="auto"/>
              <w:rPr>
                <w:rFonts w:eastAsia="Times New Roman" w:cs="Times New Roman"/>
                <w:b/>
                <w:bCs/>
                <w:color w:val="000000"/>
                <w:sz w:val="20"/>
                <w:szCs w:val="20"/>
              </w:rPr>
            </w:pPr>
          </w:p>
        </w:tc>
        <w:tc>
          <w:tcPr>
            <w:tcW w:w="1110" w:type="dxa"/>
            <w:tcBorders>
              <w:top w:val="nil"/>
              <w:left w:val="nil"/>
              <w:bottom w:val="double" w:sz="6" w:space="0" w:color="auto"/>
              <w:right w:val="nil"/>
            </w:tcBorders>
            <w:shd w:val="clear" w:color="auto" w:fill="auto"/>
            <w:noWrap/>
            <w:vAlign w:val="center"/>
            <w:hideMark/>
          </w:tcPr>
          <w:p w14:paraId="147E2482" w14:textId="75EFAEB6" w:rsidR="00E058BD" w:rsidRPr="00323017" w:rsidRDefault="00E058BD" w:rsidP="00F7439A">
            <w:pPr>
              <w:spacing w:after="0" w:line="240" w:lineRule="auto"/>
              <w:jc w:val="right"/>
              <w:rPr>
                <w:rFonts w:eastAsia="Times New Roman" w:cs="Times New Roman"/>
                <w:b/>
                <w:bCs/>
                <w:color w:val="000000"/>
                <w:sz w:val="20"/>
                <w:szCs w:val="20"/>
              </w:rPr>
            </w:pPr>
            <w:proofErr w:type="spellStart"/>
            <w:r w:rsidRPr="00323017">
              <w:rPr>
                <w:rFonts w:eastAsia="Times New Roman" w:cs="Times New Roman"/>
                <w:b/>
                <w:bCs/>
                <w:color w:val="000000"/>
                <w:sz w:val="20"/>
                <w:szCs w:val="20"/>
              </w:rPr>
              <w:t>Coef</w:t>
            </w:r>
            <w:proofErr w:type="spellEnd"/>
          </w:p>
        </w:tc>
        <w:tc>
          <w:tcPr>
            <w:tcW w:w="1111" w:type="dxa"/>
            <w:tcBorders>
              <w:top w:val="nil"/>
              <w:left w:val="nil"/>
              <w:bottom w:val="double" w:sz="6" w:space="0" w:color="auto"/>
              <w:right w:val="single" w:sz="4" w:space="0" w:color="auto"/>
            </w:tcBorders>
            <w:shd w:val="clear" w:color="auto" w:fill="auto"/>
            <w:noWrap/>
            <w:vAlign w:val="center"/>
            <w:hideMark/>
          </w:tcPr>
          <w:p w14:paraId="464B44A6" w14:textId="77777777" w:rsidR="00E058BD" w:rsidRPr="000770D9" w:rsidRDefault="00E058BD" w:rsidP="00F7439A">
            <w:pPr>
              <w:spacing w:after="0" w:line="240" w:lineRule="auto"/>
              <w:jc w:val="right"/>
              <w:rPr>
                <w:rFonts w:eastAsia="Times New Roman" w:cs="Times New Roman"/>
                <w:b/>
                <w:bCs/>
                <w:color w:val="000000"/>
                <w:sz w:val="20"/>
                <w:szCs w:val="20"/>
              </w:rPr>
            </w:pPr>
            <w:r w:rsidRPr="000770D9">
              <w:rPr>
                <w:rFonts w:eastAsia="Times New Roman" w:cs="Times New Roman"/>
                <w:b/>
                <w:bCs/>
                <w:color w:val="000000"/>
                <w:sz w:val="20"/>
                <w:szCs w:val="20"/>
              </w:rPr>
              <w:t>t-stat</w:t>
            </w:r>
          </w:p>
        </w:tc>
        <w:tc>
          <w:tcPr>
            <w:tcW w:w="1111" w:type="dxa"/>
            <w:tcBorders>
              <w:top w:val="nil"/>
              <w:left w:val="nil"/>
              <w:bottom w:val="double" w:sz="6" w:space="0" w:color="auto"/>
              <w:right w:val="nil"/>
            </w:tcBorders>
            <w:shd w:val="clear" w:color="auto" w:fill="auto"/>
            <w:noWrap/>
            <w:vAlign w:val="center"/>
            <w:hideMark/>
          </w:tcPr>
          <w:p w14:paraId="509581B3" w14:textId="070E66AB" w:rsidR="00E058BD" w:rsidRPr="00A31847" w:rsidRDefault="00E058BD" w:rsidP="00F7439A">
            <w:pPr>
              <w:spacing w:after="0" w:line="240" w:lineRule="auto"/>
              <w:jc w:val="right"/>
              <w:rPr>
                <w:rFonts w:eastAsia="Times New Roman" w:cs="Times New Roman"/>
                <w:b/>
                <w:bCs/>
                <w:color w:val="000000"/>
                <w:sz w:val="20"/>
                <w:szCs w:val="20"/>
              </w:rPr>
            </w:pPr>
            <w:proofErr w:type="spellStart"/>
            <w:r w:rsidRPr="00A31847">
              <w:rPr>
                <w:rFonts w:eastAsia="Times New Roman" w:cs="Times New Roman"/>
                <w:b/>
                <w:bCs/>
                <w:color w:val="000000"/>
                <w:sz w:val="20"/>
                <w:szCs w:val="20"/>
              </w:rPr>
              <w:t>Coef</w:t>
            </w:r>
            <w:proofErr w:type="spellEnd"/>
          </w:p>
        </w:tc>
        <w:tc>
          <w:tcPr>
            <w:tcW w:w="1111" w:type="dxa"/>
            <w:tcBorders>
              <w:top w:val="nil"/>
              <w:left w:val="nil"/>
              <w:bottom w:val="double" w:sz="6" w:space="0" w:color="auto"/>
              <w:right w:val="single" w:sz="4" w:space="0" w:color="auto"/>
            </w:tcBorders>
            <w:shd w:val="clear" w:color="auto" w:fill="auto"/>
            <w:noWrap/>
            <w:vAlign w:val="center"/>
            <w:hideMark/>
          </w:tcPr>
          <w:p w14:paraId="129D915D" w14:textId="77777777" w:rsidR="00E058BD" w:rsidRPr="009E0FF1" w:rsidRDefault="00E058BD" w:rsidP="00F7439A">
            <w:pPr>
              <w:spacing w:after="0" w:line="240" w:lineRule="auto"/>
              <w:jc w:val="right"/>
              <w:rPr>
                <w:rFonts w:eastAsia="Times New Roman" w:cs="Times New Roman"/>
                <w:b/>
                <w:bCs/>
                <w:color w:val="000000"/>
                <w:sz w:val="20"/>
                <w:szCs w:val="20"/>
              </w:rPr>
            </w:pPr>
            <w:r w:rsidRPr="009E0FF1">
              <w:rPr>
                <w:rFonts w:eastAsia="Times New Roman" w:cs="Times New Roman"/>
                <w:b/>
                <w:bCs/>
                <w:color w:val="000000"/>
                <w:sz w:val="20"/>
                <w:szCs w:val="20"/>
              </w:rPr>
              <w:t>t-stat</w:t>
            </w:r>
          </w:p>
        </w:tc>
        <w:tc>
          <w:tcPr>
            <w:tcW w:w="1111" w:type="dxa"/>
            <w:tcBorders>
              <w:top w:val="nil"/>
              <w:left w:val="nil"/>
              <w:bottom w:val="double" w:sz="6" w:space="0" w:color="auto"/>
              <w:right w:val="nil"/>
            </w:tcBorders>
            <w:shd w:val="clear" w:color="auto" w:fill="auto"/>
            <w:noWrap/>
            <w:vAlign w:val="center"/>
            <w:hideMark/>
          </w:tcPr>
          <w:p w14:paraId="41DE4E63" w14:textId="4E856CFC" w:rsidR="00E058BD" w:rsidRPr="006B42BA" w:rsidRDefault="00E058BD" w:rsidP="00F7439A">
            <w:pPr>
              <w:spacing w:after="0" w:line="240" w:lineRule="auto"/>
              <w:jc w:val="right"/>
              <w:rPr>
                <w:rFonts w:eastAsia="Times New Roman" w:cs="Times New Roman"/>
                <w:b/>
                <w:bCs/>
                <w:color w:val="000000"/>
                <w:sz w:val="20"/>
                <w:szCs w:val="20"/>
              </w:rPr>
            </w:pPr>
            <w:proofErr w:type="spellStart"/>
            <w:r w:rsidRPr="006B42BA">
              <w:rPr>
                <w:rFonts w:eastAsia="Times New Roman" w:cs="Times New Roman"/>
                <w:b/>
                <w:bCs/>
                <w:color w:val="000000"/>
                <w:sz w:val="20"/>
                <w:szCs w:val="20"/>
              </w:rPr>
              <w:t>Coef</w:t>
            </w:r>
            <w:proofErr w:type="spellEnd"/>
          </w:p>
        </w:tc>
        <w:tc>
          <w:tcPr>
            <w:tcW w:w="1111" w:type="dxa"/>
            <w:tcBorders>
              <w:top w:val="nil"/>
              <w:left w:val="nil"/>
              <w:bottom w:val="double" w:sz="6" w:space="0" w:color="auto"/>
              <w:right w:val="single" w:sz="4" w:space="0" w:color="auto"/>
            </w:tcBorders>
            <w:shd w:val="clear" w:color="auto" w:fill="auto"/>
            <w:noWrap/>
            <w:vAlign w:val="center"/>
            <w:hideMark/>
          </w:tcPr>
          <w:p w14:paraId="08720F40" w14:textId="77777777" w:rsidR="00E058BD" w:rsidRPr="006B42BA" w:rsidRDefault="00E058BD" w:rsidP="00F7439A">
            <w:pPr>
              <w:spacing w:after="0" w:line="240" w:lineRule="auto"/>
              <w:jc w:val="right"/>
              <w:rPr>
                <w:rFonts w:eastAsia="Times New Roman" w:cs="Times New Roman"/>
                <w:b/>
                <w:bCs/>
                <w:color w:val="000000"/>
                <w:sz w:val="20"/>
                <w:szCs w:val="20"/>
              </w:rPr>
            </w:pPr>
            <w:r w:rsidRPr="006B42BA">
              <w:rPr>
                <w:rFonts w:eastAsia="Times New Roman" w:cs="Times New Roman"/>
                <w:b/>
                <w:bCs/>
                <w:color w:val="000000"/>
                <w:sz w:val="20"/>
                <w:szCs w:val="20"/>
              </w:rPr>
              <w:t>t-stat</w:t>
            </w:r>
          </w:p>
        </w:tc>
        <w:tc>
          <w:tcPr>
            <w:tcW w:w="1111" w:type="dxa"/>
            <w:tcBorders>
              <w:top w:val="nil"/>
              <w:left w:val="nil"/>
              <w:bottom w:val="double" w:sz="6" w:space="0" w:color="auto"/>
              <w:right w:val="nil"/>
            </w:tcBorders>
            <w:shd w:val="clear" w:color="auto" w:fill="auto"/>
            <w:noWrap/>
            <w:vAlign w:val="center"/>
            <w:hideMark/>
          </w:tcPr>
          <w:p w14:paraId="1ABFB137" w14:textId="6FB2E898" w:rsidR="00E058BD" w:rsidRPr="006B42BA" w:rsidRDefault="00E058BD" w:rsidP="00F7439A">
            <w:pPr>
              <w:spacing w:after="0" w:line="240" w:lineRule="auto"/>
              <w:jc w:val="right"/>
              <w:rPr>
                <w:rFonts w:eastAsia="Times New Roman" w:cs="Times New Roman"/>
                <w:b/>
                <w:bCs/>
                <w:color w:val="000000"/>
                <w:sz w:val="20"/>
                <w:szCs w:val="20"/>
              </w:rPr>
            </w:pPr>
            <w:proofErr w:type="spellStart"/>
            <w:r w:rsidRPr="006B42BA">
              <w:rPr>
                <w:rFonts w:eastAsia="Times New Roman" w:cs="Times New Roman"/>
                <w:b/>
                <w:bCs/>
                <w:color w:val="000000"/>
                <w:sz w:val="20"/>
                <w:szCs w:val="20"/>
              </w:rPr>
              <w:t>Coef</w:t>
            </w:r>
            <w:proofErr w:type="spellEnd"/>
          </w:p>
        </w:tc>
        <w:tc>
          <w:tcPr>
            <w:tcW w:w="1111" w:type="dxa"/>
            <w:tcBorders>
              <w:top w:val="nil"/>
              <w:left w:val="nil"/>
              <w:bottom w:val="double" w:sz="6" w:space="0" w:color="auto"/>
              <w:right w:val="double" w:sz="6" w:space="0" w:color="auto"/>
            </w:tcBorders>
            <w:shd w:val="clear" w:color="auto" w:fill="auto"/>
            <w:noWrap/>
            <w:vAlign w:val="center"/>
            <w:hideMark/>
          </w:tcPr>
          <w:p w14:paraId="46FE4FD7" w14:textId="77777777" w:rsidR="00E058BD" w:rsidRPr="006B42BA" w:rsidRDefault="00E058BD" w:rsidP="00F7439A">
            <w:pPr>
              <w:spacing w:after="0" w:line="240" w:lineRule="auto"/>
              <w:jc w:val="right"/>
              <w:rPr>
                <w:rFonts w:eastAsia="Times New Roman" w:cs="Times New Roman"/>
                <w:b/>
                <w:bCs/>
                <w:color w:val="000000"/>
                <w:sz w:val="20"/>
                <w:szCs w:val="20"/>
              </w:rPr>
            </w:pPr>
            <w:r w:rsidRPr="006B42BA">
              <w:rPr>
                <w:rFonts w:eastAsia="Times New Roman" w:cs="Times New Roman"/>
                <w:b/>
                <w:bCs/>
                <w:color w:val="000000"/>
                <w:sz w:val="20"/>
                <w:szCs w:val="20"/>
              </w:rPr>
              <w:t>t-stat</w:t>
            </w:r>
          </w:p>
        </w:tc>
      </w:tr>
      <w:tr w:rsidR="000167FD" w:rsidRPr="004A5770" w14:paraId="711AEADD" w14:textId="77777777" w:rsidTr="00873B6F">
        <w:trPr>
          <w:trHeight w:val="233"/>
          <w:jc w:val="center"/>
        </w:trPr>
        <w:tc>
          <w:tcPr>
            <w:tcW w:w="4027" w:type="dxa"/>
            <w:tcBorders>
              <w:top w:val="nil"/>
              <w:left w:val="double" w:sz="6" w:space="0" w:color="auto"/>
              <w:bottom w:val="single" w:sz="4" w:space="0" w:color="auto"/>
              <w:right w:val="nil"/>
            </w:tcBorders>
            <w:shd w:val="clear" w:color="auto" w:fill="auto"/>
            <w:noWrap/>
            <w:vAlign w:val="center"/>
            <w:hideMark/>
          </w:tcPr>
          <w:p w14:paraId="19AAEE60" w14:textId="120BEA79" w:rsidR="00E058BD" w:rsidRPr="000167FD" w:rsidRDefault="006E7840" w:rsidP="00F7439A">
            <w:pPr>
              <w:spacing w:after="0" w:line="240" w:lineRule="auto"/>
              <w:rPr>
                <w:rFonts w:eastAsia="Times New Roman" w:cs="Times New Roman"/>
                <w:b/>
                <w:bCs/>
                <w:color w:val="000000"/>
                <w:sz w:val="20"/>
                <w:szCs w:val="20"/>
              </w:rPr>
            </w:pPr>
            <w:r w:rsidRPr="000167FD">
              <w:rPr>
                <w:rFonts w:eastAsia="Times New Roman" w:cs="Times New Roman"/>
                <w:b/>
                <w:bCs/>
                <w:color w:val="000000"/>
                <w:sz w:val="20"/>
                <w:szCs w:val="20"/>
              </w:rPr>
              <w:t>TAZ Size Independent A</w:t>
            </w:r>
            <w:r w:rsidR="00E058BD" w:rsidRPr="000167FD">
              <w:rPr>
                <w:rFonts w:eastAsia="Times New Roman" w:cs="Times New Roman"/>
                <w:b/>
                <w:bCs/>
                <w:color w:val="000000"/>
                <w:sz w:val="20"/>
                <w:szCs w:val="20"/>
              </w:rPr>
              <w:t>ttributes</w:t>
            </w:r>
          </w:p>
        </w:tc>
        <w:tc>
          <w:tcPr>
            <w:tcW w:w="1110" w:type="dxa"/>
            <w:tcBorders>
              <w:top w:val="nil"/>
              <w:left w:val="single" w:sz="4" w:space="0" w:color="auto"/>
              <w:bottom w:val="single" w:sz="4" w:space="0" w:color="auto"/>
              <w:right w:val="nil"/>
            </w:tcBorders>
            <w:shd w:val="clear" w:color="auto" w:fill="auto"/>
            <w:noWrap/>
            <w:vAlign w:val="center"/>
            <w:hideMark/>
          </w:tcPr>
          <w:p w14:paraId="4D878AED" w14:textId="77777777" w:rsidR="00E058BD" w:rsidRPr="00323017" w:rsidRDefault="00E058BD" w:rsidP="00F7439A">
            <w:pPr>
              <w:spacing w:after="0" w:line="240" w:lineRule="auto"/>
              <w:jc w:val="right"/>
              <w:rPr>
                <w:rFonts w:eastAsia="Times New Roman" w:cs="Times New Roman"/>
                <w:b/>
                <w:bCs/>
                <w:color w:val="000000"/>
                <w:sz w:val="20"/>
                <w:szCs w:val="20"/>
              </w:rPr>
            </w:pPr>
            <w:r w:rsidRPr="00323017">
              <w:rPr>
                <w:rFonts w:eastAsia="Times New Roman" w:cs="Times New Roman"/>
                <w:b/>
                <w:bCs/>
                <w:color w:val="000000"/>
                <w:sz w:val="20"/>
                <w:szCs w:val="20"/>
              </w:rPr>
              <w:t> </w:t>
            </w:r>
          </w:p>
        </w:tc>
        <w:tc>
          <w:tcPr>
            <w:tcW w:w="1111" w:type="dxa"/>
            <w:tcBorders>
              <w:top w:val="nil"/>
              <w:left w:val="nil"/>
              <w:bottom w:val="single" w:sz="4" w:space="0" w:color="auto"/>
              <w:right w:val="single" w:sz="4" w:space="0" w:color="auto"/>
            </w:tcBorders>
            <w:shd w:val="clear" w:color="auto" w:fill="auto"/>
            <w:noWrap/>
            <w:vAlign w:val="center"/>
            <w:hideMark/>
          </w:tcPr>
          <w:p w14:paraId="63E98CD3" w14:textId="77777777" w:rsidR="00E058BD" w:rsidRPr="000770D9" w:rsidRDefault="00E058BD" w:rsidP="00F7439A">
            <w:pPr>
              <w:spacing w:after="0" w:line="240" w:lineRule="auto"/>
              <w:jc w:val="right"/>
              <w:rPr>
                <w:rFonts w:eastAsia="Times New Roman" w:cs="Times New Roman"/>
                <w:b/>
                <w:bCs/>
                <w:color w:val="000000"/>
                <w:sz w:val="20"/>
                <w:szCs w:val="20"/>
              </w:rPr>
            </w:pPr>
            <w:r w:rsidRPr="000770D9">
              <w:rPr>
                <w:rFonts w:eastAsia="Times New Roman" w:cs="Times New Roman"/>
                <w:b/>
                <w:bCs/>
                <w:color w:val="000000"/>
                <w:sz w:val="20"/>
                <w:szCs w:val="20"/>
              </w:rPr>
              <w:t> </w:t>
            </w:r>
          </w:p>
        </w:tc>
        <w:tc>
          <w:tcPr>
            <w:tcW w:w="1111" w:type="dxa"/>
            <w:tcBorders>
              <w:top w:val="nil"/>
              <w:left w:val="nil"/>
              <w:bottom w:val="single" w:sz="4" w:space="0" w:color="auto"/>
              <w:right w:val="nil"/>
            </w:tcBorders>
            <w:shd w:val="clear" w:color="auto" w:fill="auto"/>
            <w:noWrap/>
            <w:vAlign w:val="center"/>
            <w:hideMark/>
          </w:tcPr>
          <w:p w14:paraId="11CC559E" w14:textId="77777777" w:rsidR="00E058BD" w:rsidRPr="00A31847" w:rsidRDefault="00E058BD" w:rsidP="00F7439A">
            <w:pPr>
              <w:spacing w:after="0" w:line="240" w:lineRule="auto"/>
              <w:jc w:val="right"/>
              <w:rPr>
                <w:rFonts w:eastAsia="Times New Roman" w:cs="Times New Roman"/>
                <w:b/>
                <w:bCs/>
                <w:color w:val="000000"/>
                <w:sz w:val="20"/>
                <w:szCs w:val="20"/>
              </w:rPr>
            </w:pPr>
            <w:r w:rsidRPr="00A31847">
              <w:rPr>
                <w:rFonts w:eastAsia="Times New Roman" w:cs="Times New Roman"/>
                <w:b/>
                <w:bCs/>
                <w:color w:val="000000"/>
                <w:sz w:val="20"/>
                <w:szCs w:val="20"/>
              </w:rPr>
              <w:t> </w:t>
            </w:r>
          </w:p>
        </w:tc>
        <w:tc>
          <w:tcPr>
            <w:tcW w:w="1111" w:type="dxa"/>
            <w:tcBorders>
              <w:top w:val="nil"/>
              <w:left w:val="nil"/>
              <w:bottom w:val="single" w:sz="4" w:space="0" w:color="auto"/>
              <w:right w:val="nil"/>
            </w:tcBorders>
            <w:shd w:val="clear" w:color="auto" w:fill="auto"/>
            <w:noWrap/>
            <w:vAlign w:val="center"/>
            <w:hideMark/>
          </w:tcPr>
          <w:p w14:paraId="66FD5581" w14:textId="77777777" w:rsidR="00E058BD" w:rsidRPr="009E0FF1" w:rsidRDefault="00E058BD" w:rsidP="00F7439A">
            <w:pPr>
              <w:spacing w:after="0" w:line="240" w:lineRule="auto"/>
              <w:jc w:val="right"/>
              <w:rPr>
                <w:rFonts w:eastAsia="Times New Roman" w:cs="Times New Roman"/>
                <w:b/>
                <w:bCs/>
                <w:color w:val="000000"/>
                <w:sz w:val="20"/>
                <w:szCs w:val="20"/>
              </w:rPr>
            </w:pPr>
            <w:r w:rsidRPr="009E0FF1">
              <w:rPr>
                <w:rFonts w:eastAsia="Times New Roman" w:cs="Times New Roman"/>
                <w:b/>
                <w:bCs/>
                <w:color w:val="000000"/>
                <w:sz w:val="20"/>
                <w:szCs w:val="20"/>
              </w:rPr>
              <w:t> </w:t>
            </w:r>
          </w:p>
        </w:tc>
        <w:tc>
          <w:tcPr>
            <w:tcW w:w="1111" w:type="dxa"/>
            <w:tcBorders>
              <w:top w:val="nil"/>
              <w:left w:val="single" w:sz="4" w:space="0" w:color="auto"/>
              <w:bottom w:val="single" w:sz="4" w:space="0" w:color="auto"/>
              <w:right w:val="nil"/>
            </w:tcBorders>
            <w:shd w:val="clear" w:color="auto" w:fill="auto"/>
            <w:noWrap/>
            <w:vAlign w:val="center"/>
            <w:hideMark/>
          </w:tcPr>
          <w:p w14:paraId="1FC61E2A" w14:textId="77777777" w:rsidR="00E058BD" w:rsidRPr="006B42BA" w:rsidRDefault="00E058BD" w:rsidP="00F7439A">
            <w:pPr>
              <w:spacing w:after="0" w:line="240" w:lineRule="auto"/>
              <w:jc w:val="right"/>
              <w:rPr>
                <w:rFonts w:eastAsia="Times New Roman" w:cs="Times New Roman"/>
                <w:b/>
                <w:bCs/>
                <w:color w:val="000000"/>
                <w:sz w:val="20"/>
                <w:szCs w:val="20"/>
              </w:rPr>
            </w:pPr>
            <w:r w:rsidRPr="006B42BA">
              <w:rPr>
                <w:rFonts w:eastAsia="Times New Roman" w:cs="Times New Roman"/>
                <w:b/>
                <w:bCs/>
                <w:color w:val="000000"/>
                <w:sz w:val="20"/>
                <w:szCs w:val="20"/>
              </w:rPr>
              <w:t> </w:t>
            </w:r>
          </w:p>
        </w:tc>
        <w:tc>
          <w:tcPr>
            <w:tcW w:w="1111" w:type="dxa"/>
            <w:tcBorders>
              <w:top w:val="nil"/>
              <w:left w:val="nil"/>
              <w:bottom w:val="single" w:sz="4" w:space="0" w:color="auto"/>
              <w:right w:val="single" w:sz="4" w:space="0" w:color="auto"/>
            </w:tcBorders>
            <w:shd w:val="clear" w:color="auto" w:fill="auto"/>
            <w:noWrap/>
            <w:vAlign w:val="center"/>
            <w:hideMark/>
          </w:tcPr>
          <w:p w14:paraId="0E80051B" w14:textId="77777777" w:rsidR="00E058BD" w:rsidRPr="006B42BA" w:rsidRDefault="00E058BD" w:rsidP="00F7439A">
            <w:pPr>
              <w:spacing w:after="0" w:line="240" w:lineRule="auto"/>
              <w:jc w:val="right"/>
              <w:rPr>
                <w:rFonts w:eastAsia="Times New Roman" w:cs="Times New Roman"/>
                <w:b/>
                <w:bCs/>
                <w:color w:val="000000"/>
                <w:sz w:val="20"/>
                <w:szCs w:val="20"/>
              </w:rPr>
            </w:pPr>
            <w:r w:rsidRPr="006B42BA">
              <w:rPr>
                <w:rFonts w:eastAsia="Times New Roman" w:cs="Times New Roman"/>
                <w:b/>
                <w:bCs/>
                <w:color w:val="000000"/>
                <w:sz w:val="20"/>
                <w:szCs w:val="20"/>
              </w:rPr>
              <w:t> </w:t>
            </w:r>
          </w:p>
        </w:tc>
        <w:tc>
          <w:tcPr>
            <w:tcW w:w="1111" w:type="dxa"/>
            <w:tcBorders>
              <w:top w:val="nil"/>
              <w:left w:val="nil"/>
              <w:bottom w:val="single" w:sz="4" w:space="0" w:color="auto"/>
              <w:right w:val="nil"/>
            </w:tcBorders>
            <w:shd w:val="clear" w:color="auto" w:fill="auto"/>
            <w:noWrap/>
            <w:vAlign w:val="center"/>
            <w:hideMark/>
          </w:tcPr>
          <w:p w14:paraId="60509A19" w14:textId="77777777" w:rsidR="00E058BD" w:rsidRPr="006B42BA" w:rsidRDefault="00E058BD" w:rsidP="00F7439A">
            <w:pPr>
              <w:spacing w:after="0" w:line="240" w:lineRule="auto"/>
              <w:jc w:val="right"/>
              <w:rPr>
                <w:rFonts w:eastAsia="Times New Roman" w:cs="Times New Roman"/>
                <w:b/>
                <w:bCs/>
                <w:color w:val="000000"/>
                <w:sz w:val="20"/>
                <w:szCs w:val="20"/>
              </w:rPr>
            </w:pPr>
            <w:r w:rsidRPr="006B42BA">
              <w:rPr>
                <w:rFonts w:eastAsia="Times New Roman" w:cs="Times New Roman"/>
                <w:b/>
                <w:bCs/>
                <w:color w:val="000000"/>
                <w:sz w:val="20"/>
                <w:szCs w:val="20"/>
              </w:rPr>
              <w:t> </w:t>
            </w:r>
          </w:p>
        </w:tc>
        <w:tc>
          <w:tcPr>
            <w:tcW w:w="1111" w:type="dxa"/>
            <w:tcBorders>
              <w:top w:val="nil"/>
              <w:left w:val="nil"/>
              <w:bottom w:val="single" w:sz="4" w:space="0" w:color="auto"/>
              <w:right w:val="double" w:sz="6" w:space="0" w:color="auto"/>
            </w:tcBorders>
            <w:shd w:val="clear" w:color="auto" w:fill="auto"/>
            <w:noWrap/>
            <w:vAlign w:val="center"/>
            <w:hideMark/>
          </w:tcPr>
          <w:p w14:paraId="0F34A141" w14:textId="77777777" w:rsidR="00E058BD" w:rsidRPr="006B42BA" w:rsidRDefault="00E058BD" w:rsidP="00F7439A">
            <w:pPr>
              <w:spacing w:after="0" w:line="240" w:lineRule="auto"/>
              <w:jc w:val="right"/>
              <w:rPr>
                <w:rFonts w:eastAsia="Times New Roman" w:cs="Times New Roman"/>
                <w:b/>
                <w:bCs/>
                <w:color w:val="000000"/>
                <w:sz w:val="20"/>
                <w:szCs w:val="20"/>
              </w:rPr>
            </w:pPr>
            <w:r w:rsidRPr="006B42BA">
              <w:rPr>
                <w:rFonts w:eastAsia="Times New Roman" w:cs="Times New Roman"/>
                <w:b/>
                <w:bCs/>
                <w:color w:val="000000"/>
                <w:sz w:val="20"/>
                <w:szCs w:val="20"/>
              </w:rPr>
              <w:t> </w:t>
            </w:r>
          </w:p>
        </w:tc>
      </w:tr>
      <w:tr w:rsidR="000167FD" w:rsidRPr="004A5770" w14:paraId="7EA08D95" w14:textId="77777777" w:rsidTr="00873B6F">
        <w:trPr>
          <w:trHeight w:val="262"/>
          <w:jc w:val="center"/>
        </w:trPr>
        <w:tc>
          <w:tcPr>
            <w:tcW w:w="4027" w:type="dxa"/>
            <w:tcBorders>
              <w:top w:val="nil"/>
              <w:left w:val="double" w:sz="6" w:space="0" w:color="auto"/>
              <w:bottom w:val="nil"/>
              <w:right w:val="nil"/>
            </w:tcBorders>
            <w:shd w:val="clear" w:color="auto" w:fill="auto"/>
            <w:noWrap/>
            <w:vAlign w:val="center"/>
            <w:hideMark/>
          </w:tcPr>
          <w:p w14:paraId="30B11F97" w14:textId="5B204C00" w:rsidR="00E058BD" w:rsidRPr="000167FD" w:rsidRDefault="00E058BD" w:rsidP="00F7439A">
            <w:pPr>
              <w:spacing w:after="0" w:line="240" w:lineRule="auto"/>
              <w:rPr>
                <w:rFonts w:eastAsia="Times New Roman" w:cs="Times New Roman"/>
                <w:i/>
                <w:color w:val="000000"/>
                <w:sz w:val="20"/>
                <w:szCs w:val="20"/>
              </w:rPr>
            </w:pPr>
            <w:r w:rsidRPr="000167FD">
              <w:rPr>
                <w:rFonts w:eastAsia="Times New Roman" w:cs="Times New Roman"/>
                <w:i/>
                <w:color w:val="000000"/>
                <w:sz w:val="20"/>
                <w:szCs w:val="20"/>
              </w:rPr>
              <w:t>Impedance (mi</w:t>
            </w:r>
            <w:r w:rsidRPr="000167FD">
              <w:rPr>
                <w:rFonts w:eastAsia="Times New Roman" w:cs="Times New Roman"/>
                <w:i/>
                <w:color w:val="000000"/>
                <w:sz w:val="20"/>
                <w:szCs w:val="20"/>
                <w:vertAlign w:val="superscript"/>
              </w:rPr>
              <w:t>½</w:t>
            </w:r>
            <w:r w:rsidRPr="000167FD">
              <w:rPr>
                <w:rFonts w:eastAsia="Times New Roman" w:cs="Times New Roman"/>
                <w:i/>
                <w:color w:val="000000"/>
                <w:sz w:val="20"/>
                <w:szCs w:val="20"/>
              </w:rPr>
              <w:t>)</w:t>
            </w:r>
            <w:r w:rsidR="005B145C" w:rsidRPr="000167FD">
              <w:rPr>
                <w:rFonts w:eastAsia="Times New Roman" w:cs="Times New Roman"/>
                <w:i/>
                <w:color w:val="000000"/>
                <w:sz w:val="20"/>
                <w:szCs w:val="20"/>
              </w:rPr>
              <w:t xml:space="preserve"> measures</w:t>
            </w:r>
          </w:p>
        </w:tc>
        <w:tc>
          <w:tcPr>
            <w:tcW w:w="1110" w:type="dxa"/>
            <w:tcBorders>
              <w:top w:val="nil"/>
              <w:left w:val="single" w:sz="4" w:space="0" w:color="auto"/>
              <w:bottom w:val="nil"/>
              <w:right w:val="nil"/>
            </w:tcBorders>
            <w:shd w:val="clear" w:color="auto" w:fill="auto"/>
            <w:noWrap/>
            <w:vAlign w:val="center"/>
            <w:hideMark/>
          </w:tcPr>
          <w:p w14:paraId="1615AEB6" w14:textId="77777777" w:rsidR="00E058BD" w:rsidRPr="00323017" w:rsidRDefault="00E058BD" w:rsidP="00F7439A">
            <w:pPr>
              <w:spacing w:after="0" w:line="240" w:lineRule="auto"/>
              <w:jc w:val="right"/>
              <w:rPr>
                <w:rFonts w:eastAsia="Times New Roman" w:cs="Times New Roman"/>
                <w:b/>
                <w:bCs/>
                <w:color w:val="000000"/>
                <w:sz w:val="20"/>
                <w:szCs w:val="20"/>
              </w:rPr>
            </w:pPr>
            <w:r w:rsidRPr="00323017">
              <w:rPr>
                <w:rFonts w:eastAsia="Times New Roman" w:cs="Times New Roman"/>
                <w:b/>
                <w:bCs/>
                <w:color w:val="000000"/>
                <w:sz w:val="20"/>
                <w:szCs w:val="20"/>
              </w:rPr>
              <w:t> </w:t>
            </w:r>
          </w:p>
        </w:tc>
        <w:tc>
          <w:tcPr>
            <w:tcW w:w="1111" w:type="dxa"/>
            <w:tcBorders>
              <w:top w:val="nil"/>
              <w:left w:val="nil"/>
              <w:bottom w:val="nil"/>
              <w:right w:val="single" w:sz="4" w:space="0" w:color="auto"/>
            </w:tcBorders>
            <w:shd w:val="clear" w:color="auto" w:fill="auto"/>
            <w:noWrap/>
            <w:vAlign w:val="center"/>
            <w:hideMark/>
          </w:tcPr>
          <w:p w14:paraId="58DC4133" w14:textId="77777777" w:rsidR="00E058BD" w:rsidRPr="000770D9" w:rsidRDefault="00E058BD" w:rsidP="00F7439A">
            <w:pPr>
              <w:spacing w:after="0" w:line="240" w:lineRule="auto"/>
              <w:jc w:val="right"/>
              <w:rPr>
                <w:rFonts w:eastAsia="Times New Roman" w:cs="Times New Roman"/>
                <w:b/>
                <w:bCs/>
                <w:color w:val="000000"/>
                <w:sz w:val="20"/>
                <w:szCs w:val="20"/>
              </w:rPr>
            </w:pPr>
            <w:r w:rsidRPr="000770D9">
              <w:rPr>
                <w:rFonts w:eastAsia="Times New Roman" w:cs="Times New Roman"/>
                <w:b/>
                <w:bCs/>
                <w:color w:val="000000"/>
                <w:sz w:val="20"/>
                <w:szCs w:val="20"/>
              </w:rPr>
              <w:t> </w:t>
            </w:r>
          </w:p>
        </w:tc>
        <w:tc>
          <w:tcPr>
            <w:tcW w:w="1111" w:type="dxa"/>
            <w:tcBorders>
              <w:top w:val="nil"/>
              <w:left w:val="nil"/>
              <w:bottom w:val="nil"/>
              <w:right w:val="nil"/>
            </w:tcBorders>
            <w:shd w:val="clear" w:color="auto" w:fill="auto"/>
            <w:noWrap/>
            <w:vAlign w:val="center"/>
            <w:hideMark/>
          </w:tcPr>
          <w:p w14:paraId="14BE2D81" w14:textId="77777777" w:rsidR="00E058BD" w:rsidRPr="00A31847" w:rsidRDefault="00E058BD" w:rsidP="00F7439A">
            <w:pPr>
              <w:spacing w:after="0" w:line="240" w:lineRule="auto"/>
              <w:jc w:val="right"/>
              <w:rPr>
                <w:rFonts w:eastAsia="Times New Roman" w:cs="Times New Roman"/>
                <w:b/>
                <w:bCs/>
                <w:color w:val="000000"/>
                <w:sz w:val="20"/>
                <w:szCs w:val="20"/>
              </w:rPr>
            </w:pPr>
          </w:p>
        </w:tc>
        <w:tc>
          <w:tcPr>
            <w:tcW w:w="1111" w:type="dxa"/>
            <w:tcBorders>
              <w:top w:val="nil"/>
              <w:left w:val="nil"/>
              <w:bottom w:val="nil"/>
              <w:right w:val="nil"/>
            </w:tcBorders>
            <w:shd w:val="clear" w:color="auto" w:fill="auto"/>
            <w:noWrap/>
            <w:vAlign w:val="center"/>
            <w:hideMark/>
          </w:tcPr>
          <w:p w14:paraId="5EE45786" w14:textId="77777777" w:rsidR="00E058BD" w:rsidRPr="009E0FF1" w:rsidRDefault="00E058BD" w:rsidP="00F7439A">
            <w:pPr>
              <w:spacing w:after="0" w:line="240" w:lineRule="auto"/>
              <w:jc w:val="right"/>
              <w:rPr>
                <w:rFonts w:eastAsia="Times New Roman" w:cs="Times New Roman"/>
                <w:sz w:val="20"/>
                <w:szCs w:val="20"/>
              </w:rPr>
            </w:pPr>
          </w:p>
        </w:tc>
        <w:tc>
          <w:tcPr>
            <w:tcW w:w="1111" w:type="dxa"/>
            <w:tcBorders>
              <w:top w:val="nil"/>
              <w:left w:val="single" w:sz="4" w:space="0" w:color="auto"/>
              <w:bottom w:val="nil"/>
              <w:right w:val="nil"/>
            </w:tcBorders>
            <w:shd w:val="clear" w:color="auto" w:fill="auto"/>
            <w:noWrap/>
            <w:vAlign w:val="center"/>
            <w:hideMark/>
          </w:tcPr>
          <w:p w14:paraId="78FE8937" w14:textId="77777777" w:rsidR="00E058BD" w:rsidRPr="006B42BA" w:rsidRDefault="00E058BD" w:rsidP="00F7439A">
            <w:pPr>
              <w:spacing w:after="0" w:line="240" w:lineRule="auto"/>
              <w:jc w:val="right"/>
              <w:rPr>
                <w:rFonts w:eastAsia="Times New Roman" w:cs="Times New Roman"/>
                <w:b/>
                <w:bCs/>
                <w:color w:val="000000"/>
                <w:sz w:val="20"/>
                <w:szCs w:val="20"/>
              </w:rPr>
            </w:pPr>
            <w:r w:rsidRPr="006B42BA">
              <w:rPr>
                <w:rFonts w:eastAsia="Times New Roman" w:cs="Times New Roman"/>
                <w:b/>
                <w:bCs/>
                <w:color w:val="000000"/>
                <w:sz w:val="20"/>
                <w:szCs w:val="20"/>
              </w:rPr>
              <w:t> </w:t>
            </w:r>
          </w:p>
        </w:tc>
        <w:tc>
          <w:tcPr>
            <w:tcW w:w="1111" w:type="dxa"/>
            <w:tcBorders>
              <w:top w:val="nil"/>
              <w:left w:val="nil"/>
              <w:bottom w:val="nil"/>
              <w:right w:val="single" w:sz="4" w:space="0" w:color="auto"/>
            </w:tcBorders>
            <w:shd w:val="clear" w:color="auto" w:fill="auto"/>
            <w:noWrap/>
            <w:vAlign w:val="center"/>
            <w:hideMark/>
          </w:tcPr>
          <w:p w14:paraId="57E30581" w14:textId="77777777" w:rsidR="00E058BD" w:rsidRPr="006B42BA" w:rsidRDefault="00E058BD" w:rsidP="00F7439A">
            <w:pPr>
              <w:spacing w:after="0" w:line="240" w:lineRule="auto"/>
              <w:jc w:val="right"/>
              <w:rPr>
                <w:rFonts w:eastAsia="Times New Roman" w:cs="Times New Roman"/>
                <w:b/>
                <w:bCs/>
                <w:color w:val="000000"/>
                <w:sz w:val="20"/>
                <w:szCs w:val="20"/>
              </w:rPr>
            </w:pPr>
            <w:r w:rsidRPr="006B42BA">
              <w:rPr>
                <w:rFonts w:eastAsia="Times New Roman" w:cs="Times New Roman"/>
                <w:b/>
                <w:bCs/>
                <w:color w:val="000000"/>
                <w:sz w:val="20"/>
                <w:szCs w:val="20"/>
              </w:rPr>
              <w:t> </w:t>
            </w:r>
          </w:p>
        </w:tc>
        <w:tc>
          <w:tcPr>
            <w:tcW w:w="1111" w:type="dxa"/>
            <w:tcBorders>
              <w:top w:val="nil"/>
              <w:left w:val="nil"/>
              <w:bottom w:val="nil"/>
              <w:right w:val="nil"/>
            </w:tcBorders>
            <w:shd w:val="clear" w:color="auto" w:fill="auto"/>
            <w:noWrap/>
            <w:vAlign w:val="center"/>
            <w:hideMark/>
          </w:tcPr>
          <w:p w14:paraId="3B570FE3" w14:textId="77777777" w:rsidR="00E058BD" w:rsidRPr="006B42BA" w:rsidRDefault="00E058BD" w:rsidP="00F7439A">
            <w:pPr>
              <w:spacing w:after="0" w:line="240" w:lineRule="auto"/>
              <w:jc w:val="right"/>
              <w:rPr>
                <w:rFonts w:eastAsia="Times New Roman" w:cs="Times New Roman"/>
                <w:b/>
                <w:bCs/>
                <w:color w:val="000000"/>
                <w:sz w:val="20"/>
                <w:szCs w:val="20"/>
              </w:rPr>
            </w:pPr>
          </w:p>
        </w:tc>
        <w:tc>
          <w:tcPr>
            <w:tcW w:w="1111" w:type="dxa"/>
            <w:tcBorders>
              <w:top w:val="nil"/>
              <w:left w:val="nil"/>
              <w:bottom w:val="nil"/>
              <w:right w:val="double" w:sz="6" w:space="0" w:color="auto"/>
            </w:tcBorders>
            <w:shd w:val="clear" w:color="auto" w:fill="auto"/>
            <w:noWrap/>
            <w:vAlign w:val="center"/>
            <w:hideMark/>
          </w:tcPr>
          <w:p w14:paraId="16095222" w14:textId="77777777" w:rsidR="00E058BD" w:rsidRPr="006B42BA" w:rsidRDefault="00E058BD" w:rsidP="00F7439A">
            <w:pPr>
              <w:spacing w:after="0" w:line="240" w:lineRule="auto"/>
              <w:jc w:val="right"/>
              <w:rPr>
                <w:rFonts w:eastAsia="Times New Roman" w:cs="Times New Roman"/>
                <w:b/>
                <w:bCs/>
                <w:color w:val="000000"/>
                <w:sz w:val="20"/>
                <w:szCs w:val="20"/>
              </w:rPr>
            </w:pPr>
            <w:r w:rsidRPr="006B42BA">
              <w:rPr>
                <w:rFonts w:eastAsia="Times New Roman" w:cs="Times New Roman"/>
                <w:b/>
                <w:bCs/>
                <w:color w:val="000000"/>
                <w:sz w:val="20"/>
                <w:szCs w:val="20"/>
              </w:rPr>
              <w:t> </w:t>
            </w:r>
          </w:p>
        </w:tc>
      </w:tr>
      <w:tr w:rsidR="006B42BA" w:rsidRPr="004A5770" w14:paraId="6E0C4557" w14:textId="77777777" w:rsidTr="00873B6F">
        <w:trPr>
          <w:trHeight w:val="262"/>
          <w:jc w:val="center"/>
        </w:trPr>
        <w:tc>
          <w:tcPr>
            <w:tcW w:w="4027" w:type="dxa"/>
            <w:tcBorders>
              <w:top w:val="nil"/>
              <w:left w:val="double" w:sz="6" w:space="0" w:color="auto"/>
              <w:bottom w:val="nil"/>
              <w:right w:val="nil"/>
            </w:tcBorders>
            <w:shd w:val="clear" w:color="auto" w:fill="auto"/>
            <w:noWrap/>
            <w:vAlign w:val="center"/>
            <w:hideMark/>
          </w:tcPr>
          <w:p w14:paraId="706485E9" w14:textId="107F2A03" w:rsidR="006B42BA" w:rsidRPr="000167FD" w:rsidRDefault="001D7149" w:rsidP="006B42BA">
            <w:pPr>
              <w:spacing w:after="0" w:line="240" w:lineRule="auto"/>
              <w:ind w:firstLineChars="100" w:firstLine="200"/>
              <w:rPr>
                <w:rFonts w:eastAsia="Times New Roman" w:cs="Times New Roman"/>
                <w:color w:val="000000"/>
                <w:sz w:val="20"/>
                <w:szCs w:val="20"/>
              </w:rPr>
            </w:pPr>
            <w:r>
              <w:rPr>
                <w:rFonts w:eastAsia="Times New Roman" w:cs="Times New Roman"/>
                <w:color w:val="000000"/>
                <w:sz w:val="20"/>
                <w:szCs w:val="20"/>
              </w:rPr>
              <w:t xml:space="preserve">Travel </w:t>
            </w:r>
            <w:r w:rsidR="006B42BA" w:rsidRPr="000167FD">
              <w:rPr>
                <w:rFonts w:eastAsia="Times New Roman" w:cs="Times New Roman"/>
                <w:color w:val="000000"/>
                <w:sz w:val="20"/>
                <w:szCs w:val="20"/>
              </w:rPr>
              <w:t>Time</w:t>
            </w:r>
            <w:r w:rsidR="006B42BA" w:rsidRPr="000167FD">
              <w:rPr>
                <w:rFonts w:eastAsia="Times New Roman" w:cs="Times New Roman"/>
                <w:color w:val="000000"/>
                <w:sz w:val="20"/>
                <w:szCs w:val="20"/>
                <w:vertAlign w:val="superscript"/>
              </w:rPr>
              <w:t>½</w:t>
            </w:r>
          </w:p>
        </w:tc>
        <w:tc>
          <w:tcPr>
            <w:tcW w:w="1110" w:type="dxa"/>
            <w:tcBorders>
              <w:top w:val="nil"/>
              <w:left w:val="single" w:sz="4" w:space="0" w:color="auto"/>
              <w:bottom w:val="nil"/>
              <w:right w:val="nil"/>
            </w:tcBorders>
            <w:shd w:val="clear" w:color="auto" w:fill="auto"/>
            <w:noWrap/>
            <w:vAlign w:val="center"/>
            <w:hideMark/>
          </w:tcPr>
          <w:p w14:paraId="5B72345A" w14:textId="62EBB78B"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-1.6436</w:t>
            </w:r>
          </w:p>
        </w:tc>
        <w:tc>
          <w:tcPr>
            <w:tcW w:w="1111" w:type="dxa"/>
            <w:tcBorders>
              <w:top w:val="nil"/>
              <w:left w:val="nil"/>
              <w:bottom w:val="nil"/>
              <w:right w:val="single" w:sz="4" w:space="0" w:color="auto"/>
            </w:tcBorders>
            <w:shd w:val="clear" w:color="auto" w:fill="auto"/>
            <w:noWrap/>
            <w:vAlign w:val="center"/>
            <w:hideMark/>
          </w:tcPr>
          <w:p w14:paraId="474F5283" w14:textId="07ED35C7"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-64.89</w:t>
            </w:r>
          </w:p>
        </w:tc>
        <w:tc>
          <w:tcPr>
            <w:tcW w:w="1111" w:type="dxa"/>
            <w:tcBorders>
              <w:top w:val="nil"/>
              <w:left w:val="nil"/>
              <w:bottom w:val="nil"/>
              <w:right w:val="nil"/>
            </w:tcBorders>
            <w:shd w:val="clear" w:color="auto" w:fill="auto"/>
            <w:noWrap/>
            <w:vAlign w:val="center"/>
            <w:hideMark/>
          </w:tcPr>
          <w:p w14:paraId="491D420F" w14:textId="3234C472"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-1.5137</w:t>
            </w:r>
          </w:p>
        </w:tc>
        <w:tc>
          <w:tcPr>
            <w:tcW w:w="1111" w:type="dxa"/>
            <w:tcBorders>
              <w:top w:val="nil"/>
              <w:left w:val="nil"/>
              <w:bottom w:val="nil"/>
              <w:right w:val="nil"/>
            </w:tcBorders>
            <w:shd w:val="clear" w:color="auto" w:fill="auto"/>
            <w:noWrap/>
            <w:vAlign w:val="center"/>
            <w:hideMark/>
          </w:tcPr>
          <w:p w14:paraId="027C0475" w14:textId="2D612940"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-90.25</w:t>
            </w:r>
          </w:p>
        </w:tc>
        <w:tc>
          <w:tcPr>
            <w:tcW w:w="1111" w:type="dxa"/>
            <w:tcBorders>
              <w:top w:val="nil"/>
              <w:left w:val="single" w:sz="4" w:space="0" w:color="auto"/>
              <w:bottom w:val="nil"/>
              <w:right w:val="nil"/>
            </w:tcBorders>
            <w:shd w:val="clear" w:color="auto" w:fill="auto"/>
            <w:noWrap/>
            <w:vAlign w:val="center"/>
            <w:hideMark/>
          </w:tcPr>
          <w:p w14:paraId="6AC3A929" w14:textId="03783BF1"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-1.5947</w:t>
            </w:r>
          </w:p>
        </w:tc>
        <w:tc>
          <w:tcPr>
            <w:tcW w:w="1111" w:type="dxa"/>
            <w:tcBorders>
              <w:top w:val="nil"/>
              <w:left w:val="nil"/>
              <w:bottom w:val="nil"/>
              <w:right w:val="single" w:sz="4" w:space="0" w:color="auto"/>
            </w:tcBorders>
            <w:shd w:val="clear" w:color="auto" w:fill="auto"/>
            <w:noWrap/>
            <w:vAlign w:val="center"/>
            <w:hideMark/>
          </w:tcPr>
          <w:p w14:paraId="6F3D6DA0" w14:textId="36A04F2A"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-79.39</w:t>
            </w:r>
          </w:p>
        </w:tc>
        <w:tc>
          <w:tcPr>
            <w:tcW w:w="1111" w:type="dxa"/>
            <w:tcBorders>
              <w:top w:val="nil"/>
              <w:left w:val="nil"/>
              <w:bottom w:val="nil"/>
              <w:right w:val="nil"/>
            </w:tcBorders>
            <w:shd w:val="clear" w:color="auto" w:fill="auto"/>
            <w:noWrap/>
            <w:vAlign w:val="center"/>
            <w:hideMark/>
          </w:tcPr>
          <w:p w14:paraId="22A37AE7" w14:textId="3F09C417"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-1.4249</w:t>
            </w:r>
          </w:p>
        </w:tc>
        <w:tc>
          <w:tcPr>
            <w:tcW w:w="1111" w:type="dxa"/>
            <w:tcBorders>
              <w:top w:val="nil"/>
              <w:left w:val="nil"/>
              <w:bottom w:val="nil"/>
              <w:right w:val="double" w:sz="6" w:space="0" w:color="auto"/>
            </w:tcBorders>
            <w:shd w:val="clear" w:color="auto" w:fill="auto"/>
            <w:noWrap/>
            <w:vAlign w:val="center"/>
            <w:hideMark/>
          </w:tcPr>
          <w:p w14:paraId="74AEB96B" w14:textId="74B48B48"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-72.79</w:t>
            </w:r>
          </w:p>
        </w:tc>
      </w:tr>
      <w:tr w:rsidR="006B42BA" w:rsidRPr="004A5770" w14:paraId="4003003B" w14:textId="77777777" w:rsidTr="00873B6F">
        <w:trPr>
          <w:trHeight w:val="262"/>
          <w:jc w:val="center"/>
        </w:trPr>
        <w:tc>
          <w:tcPr>
            <w:tcW w:w="4027" w:type="dxa"/>
            <w:tcBorders>
              <w:top w:val="nil"/>
              <w:left w:val="double" w:sz="6" w:space="0" w:color="auto"/>
              <w:bottom w:val="nil"/>
              <w:right w:val="nil"/>
            </w:tcBorders>
            <w:shd w:val="clear" w:color="auto" w:fill="auto"/>
            <w:noWrap/>
            <w:vAlign w:val="center"/>
            <w:hideMark/>
          </w:tcPr>
          <w:p w14:paraId="0FDEEBA6" w14:textId="669E1842" w:rsidR="006B42BA" w:rsidRPr="000167FD" w:rsidRDefault="001D7149" w:rsidP="006B42BA">
            <w:pPr>
              <w:spacing w:after="0" w:line="240" w:lineRule="auto"/>
              <w:ind w:firstLineChars="100" w:firstLine="200"/>
              <w:rPr>
                <w:rFonts w:eastAsia="Times New Roman" w:cs="Times New Roman"/>
                <w:color w:val="000000"/>
                <w:sz w:val="20"/>
                <w:szCs w:val="20"/>
              </w:rPr>
            </w:pPr>
            <w:r>
              <w:rPr>
                <w:rFonts w:eastAsia="Times New Roman" w:cs="Times New Roman"/>
                <w:color w:val="000000"/>
                <w:sz w:val="20"/>
                <w:szCs w:val="20"/>
              </w:rPr>
              <w:t xml:space="preserve">Travel </w:t>
            </w:r>
            <w:r w:rsidR="006B42BA" w:rsidRPr="000167FD">
              <w:rPr>
                <w:rFonts w:eastAsia="Times New Roman" w:cs="Times New Roman"/>
                <w:color w:val="000000"/>
                <w:sz w:val="20"/>
                <w:szCs w:val="20"/>
              </w:rPr>
              <w:t>Time</w:t>
            </w:r>
            <w:r w:rsidR="006B42BA" w:rsidRPr="000167FD">
              <w:rPr>
                <w:rFonts w:eastAsia="Times New Roman" w:cs="Times New Roman"/>
                <w:color w:val="000000"/>
                <w:sz w:val="20"/>
                <w:szCs w:val="20"/>
                <w:vertAlign w:val="superscript"/>
              </w:rPr>
              <w:t>½</w:t>
            </w:r>
            <w:r w:rsidR="006B42BA" w:rsidRPr="000167FD">
              <w:rPr>
                <w:rFonts w:eastAsia="Times New Roman" w:cs="Times New Roman"/>
                <w:color w:val="000000"/>
                <w:sz w:val="20"/>
                <w:szCs w:val="20"/>
              </w:rPr>
              <w:t xml:space="preserve"> × Origin is </w:t>
            </w:r>
            <w:proofErr w:type="spellStart"/>
            <w:r w:rsidR="006B42BA" w:rsidRPr="000167FD">
              <w:rPr>
                <w:rFonts w:eastAsia="Times New Roman" w:cs="Times New Roman"/>
                <w:color w:val="000000"/>
                <w:sz w:val="20"/>
                <w:szCs w:val="20"/>
              </w:rPr>
              <w:t>urban</w:t>
            </w:r>
            <w:r w:rsidR="006B42BA" w:rsidRPr="000167FD">
              <w:rPr>
                <w:rFonts w:eastAsia="Times New Roman" w:cs="Times New Roman"/>
                <w:color w:val="000000"/>
                <w:sz w:val="20"/>
                <w:szCs w:val="20"/>
                <w:vertAlign w:val="superscript"/>
              </w:rPr>
              <w:t>a</w:t>
            </w:r>
            <w:proofErr w:type="spellEnd"/>
          </w:p>
        </w:tc>
        <w:tc>
          <w:tcPr>
            <w:tcW w:w="1110" w:type="dxa"/>
            <w:tcBorders>
              <w:top w:val="nil"/>
              <w:left w:val="single" w:sz="4" w:space="0" w:color="auto"/>
              <w:bottom w:val="nil"/>
              <w:right w:val="nil"/>
            </w:tcBorders>
            <w:shd w:val="clear" w:color="auto" w:fill="auto"/>
            <w:noWrap/>
            <w:vAlign w:val="center"/>
            <w:hideMark/>
          </w:tcPr>
          <w:p w14:paraId="7602E7C3" w14:textId="1A35561A"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-0.2974</w:t>
            </w:r>
          </w:p>
        </w:tc>
        <w:tc>
          <w:tcPr>
            <w:tcW w:w="1111" w:type="dxa"/>
            <w:tcBorders>
              <w:top w:val="nil"/>
              <w:left w:val="nil"/>
              <w:bottom w:val="nil"/>
              <w:right w:val="single" w:sz="4" w:space="0" w:color="auto"/>
            </w:tcBorders>
            <w:shd w:val="clear" w:color="auto" w:fill="auto"/>
            <w:noWrap/>
            <w:vAlign w:val="center"/>
            <w:hideMark/>
          </w:tcPr>
          <w:p w14:paraId="68822756" w14:textId="0B34EA55" w:rsidR="006B42BA" w:rsidRPr="000770D9"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-10.73</w:t>
            </w:r>
          </w:p>
        </w:tc>
        <w:tc>
          <w:tcPr>
            <w:tcW w:w="1111" w:type="dxa"/>
            <w:tcBorders>
              <w:top w:val="nil"/>
              <w:left w:val="nil"/>
              <w:bottom w:val="nil"/>
              <w:right w:val="nil"/>
            </w:tcBorders>
            <w:shd w:val="clear" w:color="auto" w:fill="auto"/>
            <w:noWrap/>
            <w:vAlign w:val="center"/>
            <w:hideMark/>
          </w:tcPr>
          <w:p w14:paraId="642C060D" w14:textId="080E6BEA"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-0.2473</w:t>
            </w:r>
          </w:p>
        </w:tc>
        <w:tc>
          <w:tcPr>
            <w:tcW w:w="1111" w:type="dxa"/>
            <w:tcBorders>
              <w:top w:val="nil"/>
              <w:left w:val="nil"/>
              <w:bottom w:val="nil"/>
              <w:right w:val="nil"/>
            </w:tcBorders>
            <w:shd w:val="clear" w:color="auto" w:fill="auto"/>
            <w:noWrap/>
            <w:vAlign w:val="center"/>
            <w:hideMark/>
          </w:tcPr>
          <w:p w14:paraId="07F10B93" w14:textId="2C4EA9DB"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-13.74</w:t>
            </w:r>
          </w:p>
        </w:tc>
        <w:tc>
          <w:tcPr>
            <w:tcW w:w="1111" w:type="dxa"/>
            <w:tcBorders>
              <w:top w:val="nil"/>
              <w:left w:val="single" w:sz="4" w:space="0" w:color="auto"/>
              <w:bottom w:val="nil"/>
              <w:right w:val="nil"/>
            </w:tcBorders>
            <w:shd w:val="clear" w:color="auto" w:fill="auto"/>
            <w:noWrap/>
            <w:vAlign w:val="center"/>
            <w:hideMark/>
          </w:tcPr>
          <w:p w14:paraId="4555BAA1" w14:textId="60D6F2B9"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-0.3289</w:t>
            </w:r>
          </w:p>
        </w:tc>
        <w:tc>
          <w:tcPr>
            <w:tcW w:w="1111" w:type="dxa"/>
            <w:tcBorders>
              <w:top w:val="nil"/>
              <w:left w:val="nil"/>
              <w:bottom w:val="nil"/>
              <w:right w:val="single" w:sz="4" w:space="0" w:color="auto"/>
            </w:tcBorders>
            <w:shd w:val="clear" w:color="auto" w:fill="auto"/>
            <w:noWrap/>
            <w:vAlign w:val="center"/>
            <w:hideMark/>
          </w:tcPr>
          <w:p w14:paraId="04E57D1F" w14:textId="312A9DF1"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-15.52</w:t>
            </w:r>
          </w:p>
        </w:tc>
        <w:tc>
          <w:tcPr>
            <w:tcW w:w="1111" w:type="dxa"/>
            <w:tcBorders>
              <w:top w:val="nil"/>
              <w:left w:val="nil"/>
              <w:bottom w:val="nil"/>
              <w:right w:val="nil"/>
            </w:tcBorders>
            <w:shd w:val="clear" w:color="auto" w:fill="auto"/>
            <w:noWrap/>
            <w:vAlign w:val="center"/>
            <w:hideMark/>
          </w:tcPr>
          <w:p w14:paraId="72FDBE70" w14:textId="4AF9EE42"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-0.5621</w:t>
            </w:r>
          </w:p>
        </w:tc>
        <w:tc>
          <w:tcPr>
            <w:tcW w:w="1111" w:type="dxa"/>
            <w:tcBorders>
              <w:top w:val="nil"/>
              <w:left w:val="nil"/>
              <w:bottom w:val="nil"/>
              <w:right w:val="double" w:sz="6" w:space="0" w:color="auto"/>
            </w:tcBorders>
            <w:shd w:val="clear" w:color="auto" w:fill="auto"/>
            <w:noWrap/>
            <w:vAlign w:val="center"/>
            <w:hideMark/>
          </w:tcPr>
          <w:p w14:paraId="0B7FC707" w14:textId="71362D4B"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-27.56</w:t>
            </w:r>
          </w:p>
        </w:tc>
      </w:tr>
      <w:tr w:rsidR="009E0FF1" w:rsidRPr="004A5770" w14:paraId="5AD4C0E9" w14:textId="77777777" w:rsidTr="00873B6F">
        <w:trPr>
          <w:trHeight w:val="262"/>
          <w:jc w:val="center"/>
        </w:trPr>
        <w:tc>
          <w:tcPr>
            <w:tcW w:w="4027" w:type="dxa"/>
            <w:tcBorders>
              <w:top w:val="nil"/>
              <w:left w:val="double" w:sz="6" w:space="0" w:color="auto"/>
              <w:bottom w:val="nil"/>
              <w:right w:val="nil"/>
            </w:tcBorders>
            <w:shd w:val="clear" w:color="auto" w:fill="auto"/>
            <w:noWrap/>
            <w:vAlign w:val="center"/>
            <w:hideMark/>
          </w:tcPr>
          <w:p w14:paraId="4E2CA31C" w14:textId="24A84455" w:rsidR="009E0FF1" w:rsidRPr="000167FD" w:rsidRDefault="001D7149" w:rsidP="009E0FF1">
            <w:pPr>
              <w:spacing w:after="0" w:line="240" w:lineRule="auto"/>
              <w:ind w:firstLineChars="100" w:firstLine="200"/>
              <w:rPr>
                <w:rFonts w:eastAsia="Times New Roman" w:cs="Times New Roman"/>
                <w:color w:val="000000"/>
                <w:sz w:val="20"/>
                <w:szCs w:val="20"/>
              </w:rPr>
            </w:pPr>
            <w:r>
              <w:rPr>
                <w:rFonts w:eastAsia="Times New Roman" w:cs="Times New Roman"/>
                <w:color w:val="000000"/>
                <w:sz w:val="20"/>
                <w:szCs w:val="20"/>
              </w:rPr>
              <w:t xml:space="preserve">Travel </w:t>
            </w:r>
            <w:r w:rsidR="009E0FF1" w:rsidRPr="000167FD">
              <w:rPr>
                <w:rFonts w:eastAsia="Times New Roman" w:cs="Times New Roman"/>
                <w:color w:val="000000"/>
                <w:sz w:val="20"/>
                <w:szCs w:val="20"/>
              </w:rPr>
              <w:t>Time</w:t>
            </w:r>
            <w:r w:rsidR="009E0FF1" w:rsidRPr="000167FD">
              <w:rPr>
                <w:rFonts w:eastAsia="Times New Roman" w:cs="Times New Roman"/>
                <w:color w:val="000000"/>
                <w:sz w:val="20"/>
                <w:szCs w:val="20"/>
                <w:vertAlign w:val="superscript"/>
              </w:rPr>
              <w:t>½</w:t>
            </w:r>
            <w:r w:rsidR="009E0FF1" w:rsidRPr="000167FD">
              <w:rPr>
                <w:rFonts w:eastAsia="Times New Roman" w:cs="Times New Roman"/>
                <w:color w:val="000000"/>
                <w:sz w:val="20"/>
                <w:szCs w:val="20"/>
              </w:rPr>
              <w:t xml:space="preserve"> × Origin is in </w:t>
            </w:r>
            <w:proofErr w:type="spellStart"/>
            <w:r w:rsidR="009E0FF1" w:rsidRPr="000167FD">
              <w:rPr>
                <w:rFonts w:eastAsia="Times New Roman" w:cs="Times New Roman"/>
                <w:color w:val="000000"/>
                <w:sz w:val="20"/>
                <w:szCs w:val="20"/>
              </w:rPr>
              <w:t>CBD</w:t>
            </w:r>
            <w:r w:rsidR="009E0FF1" w:rsidRPr="000167FD">
              <w:rPr>
                <w:rFonts w:eastAsia="Times New Roman" w:cs="Times New Roman"/>
                <w:color w:val="000000"/>
                <w:sz w:val="20"/>
                <w:szCs w:val="20"/>
                <w:vertAlign w:val="superscript"/>
              </w:rPr>
              <w:t>a</w:t>
            </w:r>
            <w:proofErr w:type="spellEnd"/>
          </w:p>
        </w:tc>
        <w:tc>
          <w:tcPr>
            <w:tcW w:w="1110" w:type="dxa"/>
            <w:tcBorders>
              <w:top w:val="nil"/>
              <w:left w:val="single" w:sz="4" w:space="0" w:color="auto"/>
              <w:bottom w:val="nil"/>
              <w:right w:val="nil"/>
            </w:tcBorders>
            <w:shd w:val="clear" w:color="auto" w:fill="auto"/>
            <w:noWrap/>
            <w:vAlign w:val="center"/>
            <w:hideMark/>
          </w:tcPr>
          <w:p w14:paraId="217A548C" w14:textId="01A58C90" w:rsidR="009E0FF1" w:rsidRPr="00323017" w:rsidRDefault="009E0FF1" w:rsidP="009E0FF1">
            <w:pPr>
              <w:spacing w:after="0" w:line="240" w:lineRule="auto"/>
              <w:jc w:val="right"/>
              <w:rPr>
                <w:rFonts w:eastAsia="Times New Roman" w:cs="Times New Roman"/>
                <w:color w:val="000000"/>
                <w:sz w:val="20"/>
                <w:szCs w:val="20"/>
              </w:rPr>
            </w:pPr>
            <w:r w:rsidRPr="00873B6F">
              <w:rPr>
                <w:color w:val="000000"/>
                <w:sz w:val="20"/>
                <w:szCs w:val="20"/>
              </w:rPr>
              <w:t>--</w:t>
            </w:r>
          </w:p>
        </w:tc>
        <w:tc>
          <w:tcPr>
            <w:tcW w:w="1111" w:type="dxa"/>
            <w:tcBorders>
              <w:top w:val="nil"/>
              <w:left w:val="nil"/>
              <w:bottom w:val="nil"/>
              <w:right w:val="single" w:sz="4" w:space="0" w:color="auto"/>
            </w:tcBorders>
            <w:shd w:val="clear" w:color="auto" w:fill="auto"/>
            <w:noWrap/>
            <w:vAlign w:val="center"/>
            <w:hideMark/>
          </w:tcPr>
          <w:p w14:paraId="6D0A3D7F" w14:textId="470E24E9" w:rsidR="009E0FF1" w:rsidRPr="00323017" w:rsidRDefault="009E0FF1" w:rsidP="009E0FF1">
            <w:pPr>
              <w:spacing w:after="0" w:line="240" w:lineRule="auto"/>
              <w:jc w:val="right"/>
              <w:rPr>
                <w:rFonts w:eastAsia="Times New Roman" w:cs="Times New Roman"/>
                <w:color w:val="000000"/>
                <w:sz w:val="20"/>
                <w:szCs w:val="20"/>
              </w:rPr>
            </w:pPr>
            <w:r w:rsidRPr="00873B6F">
              <w:rPr>
                <w:color w:val="000000"/>
                <w:sz w:val="20"/>
                <w:szCs w:val="20"/>
              </w:rPr>
              <w:t>--</w:t>
            </w:r>
          </w:p>
        </w:tc>
        <w:tc>
          <w:tcPr>
            <w:tcW w:w="1111" w:type="dxa"/>
            <w:tcBorders>
              <w:top w:val="nil"/>
              <w:left w:val="nil"/>
              <w:bottom w:val="nil"/>
              <w:right w:val="nil"/>
            </w:tcBorders>
            <w:shd w:val="clear" w:color="auto" w:fill="auto"/>
            <w:noWrap/>
            <w:vAlign w:val="center"/>
            <w:hideMark/>
          </w:tcPr>
          <w:p w14:paraId="3CE62BA5" w14:textId="04AAEC1F" w:rsidR="009E0FF1" w:rsidRPr="00323017" w:rsidRDefault="009E0FF1" w:rsidP="009E0FF1">
            <w:pPr>
              <w:spacing w:after="0" w:line="240" w:lineRule="auto"/>
              <w:jc w:val="right"/>
              <w:rPr>
                <w:rFonts w:eastAsia="Times New Roman" w:cs="Times New Roman"/>
                <w:color w:val="000000"/>
                <w:sz w:val="20"/>
                <w:szCs w:val="20"/>
              </w:rPr>
            </w:pPr>
            <w:r w:rsidRPr="00873B6F">
              <w:rPr>
                <w:color w:val="000000"/>
                <w:sz w:val="20"/>
                <w:szCs w:val="20"/>
              </w:rPr>
              <w:t>0.1731</w:t>
            </w:r>
          </w:p>
        </w:tc>
        <w:tc>
          <w:tcPr>
            <w:tcW w:w="1111" w:type="dxa"/>
            <w:tcBorders>
              <w:top w:val="nil"/>
              <w:left w:val="nil"/>
              <w:bottom w:val="nil"/>
              <w:right w:val="nil"/>
            </w:tcBorders>
            <w:shd w:val="clear" w:color="auto" w:fill="auto"/>
            <w:noWrap/>
            <w:vAlign w:val="center"/>
            <w:hideMark/>
          </w:tcPr>
          <w:p w14:paraId="6525322E" w14:textId="2C31084D" w:rsidR="009E0FF1" w:rsidRPr="00323017" w:rsidRDefault="009E0FF1" w:rsidP="009E0FF1">
            <w:pPr>
              <w:spacing w:after="0" w:line="240" w:lineRule="auto"/>
              <w:jc w:val="right"/>
              <w:rPr>
                <w:rFonts w:eastAsia="Times New Roman" w:cs="Times New Roman"/>
                <w:color w:val="000000"/>
                <w:sz w:val="20"/>
                <w:szCs w:val="20"/>
              </w:rPr>
            </w:pPr>
            <w:r w:rsidRPr="00873B6F">
              <w:rPr>
                <w:color w:val="000000"/>
                <w:sz w:val="20"/>
                <w:szCs w:val="20"/>
              </w:rPr>
              <w:t>12.56</w:t>
            </w:r>
          </w:p>
        </w:tc>
        <w:tc>
          <w:tcPr>
            <w:tcW w:w="1111" w:type="dxa"/>
            <w:tcBorders>
              <w:top w:val="nil"/>
              <w:left w:val="single" w:sz="4" w:space="0" w:color="auto"/>
              <w:bottom w:val="nil"/>
              <w:right w:val="nil"/>
            </w:tcBorders>
            <w:shd w:val="clear" w:color="auto" w:fill="auto"/>
            <w:noWrap/>
            <w:hideMark/>
          </w:tcPr>
          <w:p w14:paraId="5F02F55C" w14:textId="70183DCC" w:rsidR="009E0FF1" w:rsidRPr="009E0FF1" w:rsidRDefault="009E0FF1" w:rsidP="009E0FF1">
            <w:pPr>
              <w:spacing w:after="0" w:line="240" w:lineRule="auto"/>
              <w:jc w:val="right"/>
              <w:rPr>
                <w:rFonts w:eastAsia="Times New Roman" w:cs="Times New Roman"/>
                <w:color w:val="000000"/>
                <w:sz w:val="20"/>
                <w:szCs w:val="20"/>
              </w:rPr>
            </w:pPr>
            <w:r w:rsidRPr="00873B6F">
              <w:rPr>
                <w:sz w:val="20"/>
              </w:rPr>
              <w:t>-0.1021</w:t>
            </w:r>
          </w:p>
        </w:tc>
        <w:tc>
          <w:tcPr>
            <w:tcW w:w="1111" w:type="dxa"/>
            <w:tcBorders>
              <w:top w:val="nil"/>
              <w:left w:val="nil"/>
              <w:bottom w:val="nil"/>
              <w:right w:val="single" w:sz="4" w:space="0" w:color="auto"/>
            </w:tcBorders>
            <w:shd w:val="clear" w:color="auto" w:fill="auto"/>
            <w:noWrap/>
            <w:hideMark/>
          </w:tcPr>
          <w:p w14:paraId="0F8BC4C8" w14:textId="6D07B46A" w:rsidR="009E0FF1" w:rsidRPr="009E0FF1" w:rsidRDefault="009E0FF1" w:rsidP="009E0FF1">
            <w:pPr>
              <w:spacing w:after="0" w:line="240" w:lineRule="auto"/>
              <w:jc w:val="right"/>
              <w:rPr>
                <w:rFonts w:eastAsia="Times New Roman" w:cs="Times New Roman"/>
                <w:color w:val="000000"/>
                <w:sz w:val="20"/>
                <w:szCs w:val="20"/>
              </w:rPr>
            </w:pPr>
            <w:r w:rsidRPr="00873B6F">
              <w:rPr>
                <w:sz w:val="20"/>
              </w:rPr>
              <w:t>-4.12</w:t>
            </w:r>
          </w:p>
        </w:tc>
        <w:tc>
          <w:tcPr>
            <w:tcW w:w="1111" w:type="dxa"/>
            <w:tcBorders>
              <w:top w:val="nil"/>
              <w:left w:val="nil"/>
              <w:bottom w:val="nil"/>
              <w:right w:val="nil"/>
            </w:tcBorders>
            <w:shd w:val="clear" w:color="auto" w:fill="auto"/>
            <w:noWrap/>
            <w:vAlign w:val="center"/>
            <w:hideMark/>
          </w:tcPr>
          <w:p w14:paraId="0008F7E3" w14:textId="5BA149B5" w:rsidR="009E0FF1" w:rsidRPr="00323017" w:rsidRDefault="009E0FF1" w:rsidP="009E0FF1">
            <w:pPr>
              <w:spacing w:after="0" w:line="240" w:lineRule="auto"/>
              <w:jc w:val="right"/>
              <w:rPr>
                <w:rFonts w:eastAsia="Times New Roman" w:cs="Times New Roman"/>
                <w:color w:val="000000"/>
                <w:sz w:val="20"/>
                <w:szCs w:val="20"/>
              </w:rPr>
            </w:pPr>
            <w:r w:rsidRPr="00873B6F">
              <w:rPr>
                <w:color w:val="000000"/>
                <w:sz w:val="20"/>
                <w:szCs w:val="20"/>
              </w:rPr>
              <w:t>0.2787</w:t>
            </w:r>
          </w:p>
        </w:tc>
        <w:tc>
          <w:tcPr>
            <w:tcW w:w="1111" w:type="dxa"/>
            <w:tcBorders>
              <w:top w:val="nil"/>
              <w:left w:val="nil"/>
              <w:bottom w:val="nil"/>
              <w:right w:val="double" w:sz="6" w:space="0" w:color="auto"/>
            </w:tcBorders>
            <w:shd w:val="clear" w:color="auto" w:fill="auto"/>
            <w:noWrap/>
            <w:vAlign w:val="center"/>
            <w:hideMark/>
          </w:tcPr>
          <w:p w14:paraId="731A8106" w14:textId="559580B1" w:rsidR="009E0FF1" w:rsidRPr="00323017" w:rsidRDefault="009E0FF1" w:rsidP="009E0FF1">
            <w:pPr>
              <w:spacing w:after="0" w:line="240" w:lineRule="auto"/>
              <w:jc w:val="right"/>
              <w:rPr>
                <w:rFonts w:eastAsia="Times New Roman" w:cs="Times New Roman"/>
                <w:color w:val="000000"/>
                <w:sz w:val="20"/>
                <w:szCs w:val="20"/>
              </w:rPr>
            </w:pPr>
            <w:r w:rsidRPr="00873B6F">
              <w:rPr>
                <w:color w:val="000000"/>
                <w:sz w:val="20"/>
                <w:szCs w:val="20"/>
              </w:rPr>
              <w:t>22.31</w:t>
            </w:r>
          </w:p>
        </w:tc>
      </w:tr>
      <w:tr w:rsidR="006B42BA" w:rsidRPr="004A5770" w14:paraId="5BE9F24E" w14:textId="77777777" w:rsidTr="00873B6F">
        <w:trPr>
          <w:trHeight w:val="224"/>
          <w:jc w:val="center"/>
        </w:trPr>
        <w:tc>
          <w:tcPr>
            <w:tcW w:w="4027" w:type="dxa"/>
            <w:tcBorders>
              <w:top w:val="nil"/>
              <w:left w:val="double" w:sz="6" w:space="0" w:color="auto"/>
              <w:bottom w:val="nil"/>
              <w:right w:val="nil"/>
            </w:tcBorders>
            <w:shd w:val="clear" w:color="auto" w:fill="auto"/>
            <w:noWrap/>
            <w:vAlign w:val="center"/>
            <w:hideMark/>
          </w:tcPr>
          <w:p w14:paraId="2EF98A54" w14:textId="77777777" w:rsidR="006B42BA" w:rsidRPr="000167FD" w:rsidRDefault="006B42BA" w:rsidP="006B42BA">
            <w:pPr>
              <w:spacing w:after="0" w:line="240" w:lineRule="auto"/>
              <w:rPr>
                <w:rFonts w:eastAsia="Times New Roman" w:cs="Times New Roman"/>
                <w:color w:val="000000"/>
                <w:sz w:val="20"/>
                <w:szCs w:val="20"/>
              </w:rPr>
            </w:pPr>
            <w:r w:rsidRPr="000167FD">
              <w:rPr>
                <w:rFonts w:eastAsia="Times New Roman" w:cs="Times New Roman"/>
                <w:color w:val="000000"/>
                <w:sz w:val="20"/>
                <w:szCs w:val="20"/>
              </w:rPr>
              <w:t>Destination same as origin</w:t>
            </w:r>
          </w:p>
        </w:tc>
        <w:tc>
          <w:tcPr>
            <w:tcW w:w="1110" w:type="dxa"/>
            <w:tcBorders>
              <w:top w:val="nil"/>
              <w:left w:val="single" w:sz="4" w:space="0" w:color="auto"/>
              <w:bottom w:val="nil"/>
              <w:right w:val="nil"/>
            </w:tcBorders>
            <w:shd w:val="clear" w:color="auto" w:fill="auto"/>
            <w:noWrap/>
            <w:vAlign w:val="center"/>
            <w:hideMark/>
          </w:tcPr>
          <w:p w14:paraId="363C90A2" w14:textId="6376DB45"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-0.7931</w:t>
            </w:r>
          </w:p>
        </w:tc>
        <w:tc>
          <w:tcPr>
            <w:tcW w:w="1111" w:type="dxa"/>
            <w:tcBorders>
              <w:top w:val="nil"/>
              <w:left w:val="nil"/>
              <w:bottom w:val="nil"/>
              <w:right w:val="single" w:sz="4" w:space="0" w:color="auto"/>
            </w:tcBorders>
            <w:shd w:val="clear" w:color="auto" w:fill="auto"/>
            <w:noWrap/>
            <w:vAlign w:val="center"/>
            <w:hideMark/>
          </w:tcPr>
          <w:p w14:paraId="4C8561B4" w14:textId="61C6BF28" w:rsidR="006B42BA" w:rsidRPr="000770D9"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-15.14</w:t>
            </w:r>
          </w:p>
        </w:tc>
        <w:tc>
          <w:tcPr>
            <w:tcW w:w="1111" w:type="dxa"/>
            <w:tcBorders>
              <w:top w:val="nil"/>
              <w:left w:val="nil"/>
              <w:bottom w:val="nil"/>
              <w:right w:val="nil"/>
            </w:tcBorders>
            <w:shd w:val="clear" w:color="auto" w:fill="auto"/>
            <w:noWrap/>
            <w:vAlign w:val="center"/>
            <w:hideMark/>
          </w:tcPr>
          <w:p w14:paraId="340221D7" w14:textId="20A03A40"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-0.1145</w:t>
            </w:r>
          </w:p>
        </w:tc>
        <w:tc>
          <w:tcPr>
            <w:tcW w:w="1111" w:type="dxa"/>
            <w:tcBorders>
              <w:top w:val="nil"/>
              <w:left w:val="nil"/>
              <w:bottom w:val="nil"/>
              <w:right w:val="nil"/>
            </w:tcBorders>
            <w:shd w:val="clear" w:color="auto" w:fill="auto"/>
            <w:noWrap/>
            <w:vAlign w:val="center"/>
            <w:hideMark/>
          </w:tcPr>
          <w:p w14:paraId="50D8FAB7" w14:textId="3DE75F20"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-3.75</w:t>
            </w:r>
          </w:p>
        </w:tc>
        <w:tc>
          <w:tcPr>
            <w:tcW w:w="1111" w:type="dxa"/>
            <w:tcBorders>
              <w:top w:val="nil"/>
              <w:left w:val="single" w:sz="4" w:space="0" w:color="auto"/>
              <w:bottom w:val="nil"/>
              <w:right w:val="nil"/>
            </w:tcBorders>
            <w:shd w:val="clear" w:color="auto" w:fill="auto"/>
            <w:noWrap/>
            <w:vAlign w:val="center"/>
            <w:hideMark/>
          </w:tcPr>
          <w:p w14:paraId="2F170E81" w14:textId="7039191A"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-0.5169</w:t>
            </w:r>
          </w:p>
        </w:tc>
        <w:tc>
          <w:tcPr>
            <w:tcW w:w="1111" w:type="dxa"/>
            <w:tcBorders>
              <w:top w:val="nil"/>
              <w:left w:val="nil"/>
              <w:bottom w:val="nil"/>
              <w:right w:val="single" w:sz="4" w:space="0" w:color="auto"/>
            </w:tcBorders>
            <w:shd w:val="clear" w:color="auto" w:fill="auto"/>
            <w:noWrap/>
            <w:vAlign w:val="center"/>
            <w:hideMark/>
          </w:tcPr>
          <w:p w14:paraId="22944468" w14:textId="5984E96A" w:rsidR="006B42BA" w:rsidRPr="000770D9"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-15.54</w:t>
            </w:r>
          </w:p>
        </w:tc>
        <w:tc>
          <w:tcPr>
            <w:tcW w:w="1111" w:type="dxa"/>
            <w:tcBorders>
              <w:top w:val="nil"/>
              <w:left w:val="nil"/>
              <w:bottom w:val="nil"/>
              <w:right w:val="nil"/>
            </w:tcBorders>
            <w:shd w:val="clear" w:color="auto" w:fill="auto"/>
            <w:noWrap/>
            <w:vAlign w:val="center"/>
            <w:hideMark/>
          </w:tcPr>
          <w:p w14:paraId="2D10FF95" w14:textId="5AFB61CC"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0.3193</w:t>
            </w:r>
          </w:p>
        </w:tc>
        <w:tc>
          <w:tcPr>
            <w:tcW w:w="1111" w:type="dxa"/>
            <w:tcBorders>
              <w:top w:val="nil"/>
              <w:left w:val="nil"/>
              <w:bottom w:val="nil"/>
              <w:right w:val="double" w:sz="6" w:space="0" w:color="auto"/>
            </w:tcBorders>
            <w:shd w:val="clear" w:color="auto" w:fill="auto"/>
            <w:noWrap/>
            <w:vAlign w:val="center"/>
            <w:hideMark/>
          </w:tcPr>
          <w:p w14:paraId="0029BAA5" w14:textId="78E3A43A"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13.65</w:t>
            </w:r>
          </w:p>
        </w:tc>
      </w:tr>
      <w:tr w:rsidR="006B42BA" w:rsidRPr="004A5770" w14:paraId="4B2A1FD5" w14:textId="77777777" w:rsidTr="00873B6F">
        <w:trPr>
          <w:trHeight w:val="224"/>
          <w:jc w:val="center"/>
        </w:trPr>
        <w:tc>
          <w:tcPr>
            <w:tcW w:w="4027" w:type="dxa"/>
            <w:tcBorders>
              <w:top w:val="nil"/>
              <w:left w:val="double" w:sz="6" w:space="0" w:color="auto"/>
              <w:bottom w:val="single" w:sz="4" w:space="0" w:color="auto"/>
              <w:right w:val="nil"/>
            </w:tcBorders>
            <w:shd w:val="clear" w:color="auto" w:fill="auto"/>
            <w:noWrap/>
            <w:vAlign w:val="center"/>
            <w:hideMark/>
          </w:tcPr>
          <w:p w14:paraId="3901742D" w14:textId="77777777" w:rsidR="006B42BA" w:rsidRPr="000167FD" w:rsidRDefault="006B42BA" w:rsidP="006B42BA">
            <w:pPr>
              <w:spacing w:after="0" w:line="240" w:lineRule="auto"/>
              <w:rPr>
                <w:rFonts w:eastAsia="Times New Roman" w:cs="Times New Roman"/>
                <w:color w:val="000000"/>
                <w:sz w:val="20"/>
                <w:szCs w:val="20"/>
              </w:rPr>
            </w:pPr>
            <w:r w:rsidRPr="000167FD">
              <w:rPr>
                <w:rFonts w:eastAsia="Times New Roman" w:cs="Times New Roman"/>
                <w:color w:val="000000"/>
                <w:sz w:val="20"/>
                <w:szCs w:val="20"/>
              </w:rPr>
              <w:t>Destination is a neighbor of origin</w:t>
            </w:r>
          </w:p>
        </w:tc>
        <w:tc>
          <w:tcPr>
            <w:tcW w:w="1110" w:type="dxa"/>
            <w:tcBorders>
              <w:top w:val="nil"/>
              <w:left w:val="single" w:sz="4" w:space="0" w:color="auto"/>
              <w:bottom w:val="single" w:sz="4" w:space="0" w:color="auto"/>
              <w:right w:val="nil"/>
            </w:tcBorders>
            <w:shd w:val="clear" w:color="auto" w:fill="auto"/>
            <w:noWrap/>
            <w:vAlign w:val="center"/>
            <w:hideMark/>
          </w:tcPr>
          <w:p w14:paraId="07D2C269" w14:textId="50202C19"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-0.2977</w:t>
            </w:r>
          </w:p>
        </w:tc>
        <w:tc>
          <w:tcPr>
            <w:tcW w:w="1111" w:type="dxa"/>
            <w:tcBorders>
              <w:top w:val="nil"/>
              <w:left w:val="nil"/>
              <w:bottom w:val="single" w:sz="4" w:space="0" w:color="auto"/>
              <w:right w:val="single" w:sz="4" w:space="0" w:color="auto"/>
            </w:tcBorders>
            <w:shd w:val="clear" w:color="auto" w:fill="auto"/>
            <w:noWrap/>
            <w:vAlign w:val="center"/>
            <w:hideMark/>
          </w:tcPr>
          <w:p w14:paraId="3B78E460" w14:textId="7D488BA0" w:rsidR="006B42BA" w:rsidRPr="000770D9"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-11.23</w:t>
            </w:r>
          </w:p>
        </w:tc>
        <w:tc>
          <w:tcPr>
            <w:tcW w:w="1111" w:type="dxa"/>
            <w:tcBorders>
              <w:top w:val="nil"/>
              <w:left w:val="nil"/>
              <w:bottom w:val="single" w:sz="4" w:space="0" w:color="auto"/>
              <w:right w:val="nil"/>
            </w:tcBorders>
            <w:shd w:val="clear" w:color="auto" w:fill="auto"/>
            <w:noWrap/>
            <w:vAlign w:val="center"/>
            <w:hideMark/>
          </w:tcPr>
          <w:p w14:paraId="27DE137D" w14:textId="63218371"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0.0357</w:t>
            </w:r>
          </w:p>
        </w:tc>
        <w:tc>
          <w:tcPr>
            <w:tcW w:w="1111" w:type="dxa"/>
            <w:tcBorders>
              <w:top w:val="nil"/>
              <w:left w:val="nil"/>
              <w:bottom w:val="single" w:sz="4" w:space="0" w:color="auto"/>
              <w:right w:val="nil"/>
            </w:tcBorders>
            <w:shd w:val="clear" w:color="auto" w:fill="auto"/>
            <w:noWrap/>
            <w:vAlign w:val="center"/>
            <w:hideMark/>
          </w:tcPr>
          <w:p w14:paraId="0D9E695F" w14:textId="17BC6BE2"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2.15</w:t>
            </w:r>
          </w:p>
        </w:tc>
        <w:tc>
          <w:tcPr>
            <w:tcW w:w="1111" w:type="dxa"/>
            <w:tcBorders>
              <w:top w:val="nil"/>
              <w:left w:val="single" w:sz="4" w:space="0" w:color="auto"/>
              <w:bottom w:val="single" w:sz="4" w:space="0" w:color="auto"/>
              <w:right w:val="nil"/>
            </w:tcBorders>
            <w:shd w:val="clear" w:color="auto" w:fill="auto"/>
            <w:noWrap/>
            <w:vAlign w:val="center"/>
            <w:hideMark/>
          </w:tcPr>
          <w:p w14:paraId="113D1584" w14:textId="32836ACF"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-0.0773</w:t>
            </w:r>
          </w:p>
        </w:tc>
        <w:tc>
          <w:tcPr>
            <w:tcW w:w="1111" w:type="dxa"/>
            <w:tcBorders>
              <w:top w:val="nil"/>
              <w:left w:val="nil"/>
              <w:bottom w:val="single" w:sz="4" w:space="0" w:color="auto"/>
              <w:right w:val="single" w:sz="4" w:space="0" w:color="auto"/>
            </w:tcBorders>
            <w:shd w:val="clear" w:color="auto" w:fill="auto"/>
            <w:noWrap/>
            <w:vAlign w:val="center"/>
            <w:hideMark/>
          </w:tcPr>
          <w:p w14:paraId="6F6F1EAD" w14:textId="76A55964"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-4.35</w:t>
            </w:r>
          </w:p>
        </w:tc>
        <w:tc>
          <w:tcPr>
            <w:tcW w:w="1111" w:type="dxa"/>
            <w:tcBorders>
              <w:top w:val="nil"/>
              <w:left w:val="nil"/>
              <w:bottom w:val="single" w:sz="4" w:space="0" w:color="auto"/>
              <w:right w:val="nil"/>
            </w:tcBorders>
            <w:shd w:val="clear" w:color="auto" w:fill="auto"/>
            <w:noWrap/>
            <w:vAlign w:val="center"/>
            <w:hideMark/>
          </w:tcPr>
          <w:p w14:paraId="14F8B5C2" w14:textId="40635B7F"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0.0814</w:t>
            </w:r>
          </w:p>
        </w:tc>
        <w:tc>
          <w:tcPr>
            <w:tcW w:w="1111" w:type="dxa"/>
            <w:tcBorders>
              <w:top w:val="nil"/>
              <w:left w:val="nil"/>
              <w:bottom w:val="single" w:sz="4" w:space="0" w:color="auto"/>
              <w:right w:val="double" w:sz="6" w:space="0" w:color="auto"/>
            </w:tcBorders>
            <w:shd w:val="clear" w:color="auto" w:fill="auto"/>
            <w:noWrap/>
            <w:vAlign w:val="center"/>
            <w:hideMark/>
          </w:tcPr>
          <w:p w14:paraId="24617DF7" w14:textId="3EB9EEE1"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6.30</w:t>
            </w:r>
          </w:p>
        </w:tc>
      </w:tr>
      <w:tr w:rsidR="000167FD" w:rsidRPr="004A5770" w14:paraId="6BF4128B" w14:textId="77777777" w:rsidTr="00873B6F">
        <w:trPr>
          <w:trHeight w:val="224"/>
          <w:jc w:val="center"/>
        </w:trPr>
        <w:tc>
          <w:tcPr>
            <w:tcW w:w="4027" w:type="dxa"/>
            <w:tcBorders>
              <w:top w:val="nil"/>
              <w:left w:val="double" w:sz="6" w:space="0" w:color="auto"/>
              <w:bottom w:val="nil"/>
              <w:right w:val="nil"/>
            </w:tcBorders>
            <w:shd w:val="clear" w:color="auto" w:fill="auto"/>
            <w:noWrap/>
            <w:vAlign w:val="center"/>
            <w:hideMark/>
          </w:tcPr>
          <w:p w14:paraId="2A140393" w14:textId="7941F554" w:rsidR="00403410" w:rsidRPr="000167FD" w:rsidRDefault="005B145C" w:rsidP="00403410">
            <w:pPr>
              <w:spacing w:after="0" w:line="240" w:lineRule="auto"/>
              <w:rPr>
                <w:rFonts w:eastAsia="Times New Roman" w:cs="Times New Roman"/>
                <w:i/>
                <w:color w:val="000000"/>
                <w:sz w:val="20"/>
                <w:szCs w:val="20"/>
              </w:rPr>
            </w:pPr>
            <w:r w:rsidRPr="000167FD">
              <w:rPr>
                <w:rFonts w:eastAsia="Times New Roman" w:cs="Times New Roman"/>
                <w:i/>
                <w:color w:val="000000"/>
                <w:sz w:val="20"/>
                <w:szCs w:val="20"/>
              </w:rPr>
              <w:t>Built environment attributes</w:t>
            </w:r>
          </w:p>
        </w:tc>
        <w:tc>
          <w:tcPr>
            <w:tcW w:w="1110" w:type="dxa"/>
            <w:tcBorders>
              <w:top w:val="nil"/>
              <w:left w:val="single" w:sz="4" w:space="0" w:color="auto"/>
              <w:bottom w:val="nil"/>
              <w:right w:val="nil"/>
            </w:tcBorders>
            <w:shd w:val="clear" w:color="auto" w:fill="auto"/>
            <w:noWrap/>
            <w:vAlign w:val="center"/>
            <w:hideMark/>
          </w:tcPr>
          <w:p w14:paraId="5CD9E608" w14:textId="77777777" w:rsidR="00403410" w:rsidRPr="00323017" w:rsidRDefault="00403410" w:rsidP="00403410">
            <w:pPr>
              <w:spacing w:after="0" w:line="240" w:lineRule="auto"/>
              <w:jc w:val="right"/>
              <w:rPr>
                <w:rFonts w:eastAsia="Times New Roman" w:cs="Times New Roman"/>
                <w:color w:val="000000"/>
                <w:sz w:val="20"/>
                <w:szCs w:val="20"/>
              </w:rPr>
            </w:pPr>
            <w:r w:rsidRPr="00323017">
              <w:rPr>
                <w:rFonts w:eastAsia="Times New Roman" w:cs="Times New Roman"/>
                <w:color w:val="000000"/>
                <w:sz w:val="20"/>
                <w:szCs w:val="20"/>
              </w:rPr>
              <w:t> </w:t>
            </w:r>
          </w:p>
        </w:tc>
        <w:tc>
          <w:tcPr>
            <w:tcW w:w="1111" w:type="dxa"/>
            <w:tcBorders>
              <w:top w:val="nil"/>
              <w:left w:val="nil"/>
              <w:bottom w:val="nil"/>
              <w:right w:val="single" w:sz="4" w:space="0" w:color="auto"/>
            </w:tcBorders>
            <w:shd w:val="clear" w:color="auto" w:fill="auto"/>
            <w:noWrap/>
            <w:vAlign w:val="center"/>
            <w:hideMark/>
          </w:tcPr>
          <w:p w14:paraId="2E5AB39F" w14:textId="77777777" w:rsidR="00403410" w:rsidRPr="000770D9" w:rsidRDefault="00403410" w:rsidP="00403410">
            <w:pPr>
              <w:spacing w:after="0" w:line="240" w:lineRule="auto"/>
              <w:jc w:val="right"/>
              <w:rPr>
                <w:rFonts w:eastAsia="Times New Roman" w:cs="Times New Roman"/>
                <w:color w:val="000000"/>
                <w:sz w:val="20"/>
                <w:szCs w:val="20"/>
              </w:rPr>
            </w:pPr>
            <w:r w:rsidRPr="000770D9">
              <w:rPr>
                <w:rFonts w:eastAsia="Times New Roman" w:cs="Times New Roman"/>
                <w:color w:val="000000"/>
                <w:sz w:val="20"/>
                <w:szCs w:val="20"/>
              </w:rPr>
              <w:t> </w:t>
            </w:r>
          </w:p>
        </w:tc>
        <w:tc>
          <w:tcPr>
            <w:tcW w:w="1111" w:type="dxa"/>
            <w:tcBorders>
              <w:top w:val="nil"/>
              <w:left w:val="nil"/>
              <w:bottom w:val="nil"/>
              <w:right w:val="nil"/>
            </w:tcBorders>
            <w:shd w:val="clear" w:color="auto" w:fill="auto"/>
            <w:noWrap/>
            <w:vAlign w:val="center"/>
            <w:hideMark/>
          </w:tcPr>
          <w:p w14:paraId="68A9B81F" w14:textId="77777777" w:rsidR="00403410" w:rsidRPr="00A31847" w:rsidRDefault="00403410" w:rsidP="00403410">
            <w:pPr>
              <w:spacing w:after="0" w:line="240" w:lineRule="auto"/>
              <w:jc w:val="right"/>
              <w:rPr>
                <w:rFonts w:eastAsia="Times New Roman" w:cs="Times New Roman"/>
                <w:color w:val="000000"/>
                <w:sz w:val="20"/>
                <w:szCs w:val="20"/>
              </w:rPr>
            </w:pPr>
          </w:p>
        </w:tc>
        <w:tc>
          <w:tcPr>
            <w:tcW w:w="1111" w:type="dxa"/>
            <w:tcBorders>
              <w:top w:val="nil"/>
              <w:left w:val="nil"/>
              <w:bottom w:val="nil"/>
              <w:right w:val="nil"/>
            </w:tcBorders>
            <w:shd w:val="clear" w:color="auto" w:fill="auto"/>
            <w:noWrap/>
            <w:vAlign w:val="center"/>
            <w:hideMark/>
          </w:tcPr>
          <w:p w14:paraId="5209638A" w14:textId="77777777" w:rsidR="00403410" w:rsidRPr="009E0FF1" w:rsidRDefault="00403410" w:rsidP="00403410">
            <w:pPr>
              <w:spacing w:after="0" w:line="240" w:lineRule="auto"/>
              <w:jc w:val="right"/>
              <w:rPr>
                <w:rFonts w:eastAsia="Times New Roman" w:cs="Times New Roman"/>
                <w:sz w:val="20"/>
                <w:szCs w:val="20"/>
              </w:rPr>
            </w:pPr>
          </w:p>
        </w:tc>
        <w:tc>
          <w:tcPr>
            <w:tcW w:w="1111" w:type="dxa"/>
            <w:tcBorders>
              <w:top w:val="nil"/>
              <w:left w:val="single" w:sz="4" w:space="0" w:color="auto"/>
              <w:bottom w:val="nil"/>
              <w:right w:val="nil"/>
            </w:tcBorders>
            <w:shd w:val="clear" w:color="auto" w:fill="auto"/>
            <w:noWrap/>
            <w:vAlign w:val="center"/>
            <w:hideMark/>
          </w:tcPr>
          <w:p w14:paraId="4D3C7CA6" w14:textId="6D03345D" w:rsidR="00403410" w:rsidRPr="006B42BA" w:rsidRDefault="00403410" w:rsidP="00403410">
            <w:pPr>
              <w:spacing w:after="0" w:line="240" w:lineRule="auto"/>
              <w:jc w:val="right"/>
              <w:rPr>
                <w:rFonts w:eastAsia="Times New Roman" w:cs="Times New Roman"/>
                <w:color w:val="000000"/>
                <w:sz w:val="20"/>
                <w:szCs w:val="20"/>
              </w:rPr>
            </w:pPr>
            <w:r w:rsidRPr="006B42BA">
              <w:rPr>
                <w:rFonts w:eastAsia="Times New Roman" w:cs="Times New Roman"/>
                <w:color w:val="000000"/>
                <w:sz w:val="20"/>
                <w:szCs w:val="20"/>
              </w:rPr>
              <w:t> </w:t>
            </w:r>
          </w:p>
        </w:tc>
        <w:tc>
          <w:tcPr>
            <w:tcW w:w="1111" w:type="dxa"/>
            <w:tcBorders>
              <w:top w:val="nil"/>
              <w:left w:val="nil"/>
              <w:bottom w:val="nil"/>
              <w:right w:val="single" w:sz="4" w:space="0" w:color="auto"/>
            </w:tcBorders>
            <w:shd w:val="clear" w:color="auto" w:fill="auto"/>
            <w:noWrap/>
            <w:vAlign w:val="center"/>
            <w:hideMark/>
          </w:tcPr>
          <w:p w14:paraId="2486CC24" w14:textId="2EFCB8DD" w:rsidR="00403410" w:rsidRPr="006B42BA" w:rsidRDefault="00403410" w:rsidP="00403410">
            <w:pPr>
              <w:spacing w:after="0" w:line="240" w:lineRule="auto"/>
              <w:jc w:val="right"/>
              <w:rPr>
                <w:rFonts w:eastAsia="Times New Roman" w:cs="Times New Roman"/>
                <w:color w:val="000000"/>
                <w:sz w:val="20"/>
                <w:szCs w:val="20"/>
              </w:rPr>
            </w:pPr>
            <w:r w:rsidRPr="006B42BA">
              <w:rPr>
                <w:rFonts w:eastAsia="Times New Roman" w:cs="Times New Roman"/>
                <w:color w:val="000000"/>
                <w:sz w:val="20"/>
                <w:szCs w:val="20"/>
              </w:rPr>
              <w:t> </w:t>
            </w:r>
          </w:p>
        </w:tc>
        <w:tc>
          <w:tcPr>
            <w:tcW w:w="1111" w:type="dxa"/>
            <w:tcBorders>
              <w:top w:val="nil"/>
              <w:left w:val="nil"/>
              <w:bottom w:val="nil"/>
              <w:right w:val="nil"/>
            </w:tcBorders>
            <w:shd w:val="clear" w:color="auto" w:fill="auto"/>
            <w:noWrap/>
            <w:vAlign w:val="center"/>
            <w:hideMark/>
          </w:tcPr>
          <w:p w14:paraId="625240C4" w14:textId="77777777" w:rsidR="00403410" w:rsidRPr="006B42BA" w:rsidRDefault="00403410" w:rsidP="00403410">
            <w:pPr>
              <w:spacing w:after="0" w:line="240" w:lineRule="auto"/>
              <w:jc w:val="right"/>
              <w:rPr>
                <w:rFonts w:eastAsia="Times New Roman" w:cs="Times New Roman"/>
                <w:color w:val="000000"/>
                <w:sz w:val="20"/>
                <w:szCs w:val="20"/>
              </w:rPr>
            </w:pPr>
          </w:p>
        </w:tc>
        <w:tc>
          <w:tcPr>
            <w:tcW w:w="1111" w:type="dxa"/>
            <w:tcBorders>
              <w:top w:val="nil"/>
              <w:left w:val="nil"/>
              <w:bottom w:val="nil"/>
              <w:right w:val="double" w:sz="6" w:space="0" w:color="auto"/>
            </w:tcBorders>
            <w:shd w:val="clear" w:color="auto" w:fill="auto"/>
            <w:noWrap/>
            <w:vAlign w:val="center"/>
            <w:hideMark/>
          </w:tcPr>
          <w:p w14:paraId="088B882E" w14:textId="77777777" w:rsidR="00403410" w:rsidRPr="006B42BA" w:rsidRDefault="00403410" w:rsidP="00403410">
            <w:pPr>
              <w:spacing w:after="0" w:line="240" w:lineRule="auto"/>
              <w:jc w:val="right"/>
              <w:rPr>
                <w:rFonts w:eastAsia="Times New Roman" w:cs="Times New Roman"/>
                <w:color w:val="000000"/>
                <w:sz w:val="20"/>
                <w:szCs w:val="20"/>
              </w:rPr>
            </w:pPr>
            <w:r w:rsidRPr="006B42BA">
              <w:rPr>
                <w:rFonts w:eastAsia="Times New Roman" w:cs="Times New Roman"/>
                <w:color w:val="000000"/>
                <w:sz w:val="20"/>
                <w:szCs w:val="20"/>
              </w:rPr>
              <w:t> </w:t>
            </w:r>
          </w:p>
        </w:tc>
      </w:tr>
      <w:tr w:rsidR="006B42BA" w:rsidRPr="004A5770" w14:paraId="48E602D4" w14:textId="77777777" w:rsidTr="00873B6F">
        <w:trPr>
          <w:trHeight w:val="224"/>
          <w:jc w:val="center"/>
        </w:trPr>
        <w:tc>
          <w:tcPr>
            <w:tcW w:w="4027" w:type="dxa"/>
            <w:tcBorders>
              <w:top w:val="nil"/>
              <w:left w:val="double" w:sz="6" w:space="0" w:color="auto"/>
              <w:bottom w:val="nil"/>
              <w:right w:val="nil"/>
            </w:tcBorders>
            <w:shd w:val="clear" w:color="auto" w:fill="auto"/>
            <w:noWrap/>
            <w:vAlign w:val="center"/>
            <w:hideMark/>
          </w:tcPr>
          <w:p w14:paraId="0D78436E" w14:textId="7E0DFC1C" w:rsidR="006B42BA" w:rsidRPr="000167FD" w:rsidRDefault="006B42BA" w:rsidP="006B42BA">
            <w:pPr>
              <w:spacing w:after="0" w:line="240" w:lineRule="auto"/>
              <w:ind w:firstLineChars="100" w:firstLine="200"/>
              <w:rPr>
                <w:rFonts w:eastAsia="Times New Roman" w:cs="Times New Roman"/>
                <w:color w:val="000000"/>
                <w:sz w:val="20"/>
                <w:szCs w:val="20"/>
              </w:rPr>
            </w:pPr>
            <w:proofErr w:type="spellStart"/>
            <w:r w:rsidRPr="000167FD">
              <w:rPr>
                <w:rFonts w:eastAsia="Times New Roman" w:cs="Times New Roman"/>
                <w:color w:val="000000"/>
                <w:sz w:val="20"/>
                <w:szCs w:val="20"/>
              </w:rPr>
              <w:t>Rural</w:t>
            </w:r>
            <w:r w:rsidRPr="000167FD">
              <w:rPr>
                <w:rFonts w:eastAsia="Times New Roman" w:cs="Times New Roman"/>
                <w:color w:val="000000"/>
                <w:sz w:val="20"/>
                <w:szCs w:val="20"/>
                <w:vertAlign w:val="superscript"/>
              </w:rPr>
              <w:t>b</w:t>
            </w:r>
            <w:proofErr w:type="spellEnd"/>
          </w:p>
        </w:tc>
        <w:tc>
          <w:tcPr>
            <w:tcW w:w="1110" w:type="dxa"/>
            <w:tcBorders>
              <w:top w:val="nil"/>
              <w:left w:val="single" w:sz="4" w:space="0" w:color="auto"/>
              <w:bottom w:val="nil"/>
              <w:right w:val="nil"/>
            </w:tcBorders>
            <w:shd w:val="clear" w:color="auto" w:fill="auto"/>
            <w:noWrap/>
            <w:vAlign w:val="center"/>
            <w:hideMark/>
          </w:tcPr>
          <w:p w14:paraId="59BF79D9" w14:textId="798DBE39"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-1.5254</w:t>
            </w:r>
          </w:p>
        </w:tc>
        <w:tc>
          <w:tcPr>
            <w:tcW w:w="1111" w:type="dxa"/>
            <w:tcBorders>
              <w:top w:val="nil"/>
              <w:left w:val="nil"/>
              <w:bottom w:val="nil"/>
              <w:right w:val="single" w:sz="4" w:space="0" w:color="auto"/>
            </w:tcBorders>
            <w:shd w:val="clear" w:color="auto" w:fill="auto"/>
            <w:noWrap/>
            <w:vAlign w:val="center"/>
            <w:hideMark/>
          </w:tcPr>
          <w:p w14:paraId="21B25E17" w14:textId="4DC77AE1"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-6.24</w:t>
            </w:r>
          </w:p>
        </w:tc>
        <w:tc>
          <w:tcPr>
            <w:tcW w:w="1111" w:type="dxa"/>
            <w:tcBorders>
              <w:top w:val="nil"/>
              <w:left w:val="nil"/>
              <w:bottom w:val="nil"/>
              <w:right w:val="nil"/>
            </w:tcBorders>
            <w:shd w:val="clear" w:color="auto" w:fill="auto"/>
            <w:noWrap/>
            <w:vAlign w:val="center"/>
            <w:hideMark/>
          </w:tcPr>
          <w:p w14:paraId="52D04D2E" w14:textId="78C1F269"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-0.8879</w:t>
            </w:r>
          </w:p>
        </w:tc>
        <w:tc>
          <w:tcPr>
            <w:tcW w:w="1111" w:type="dxa"/>
            <w:tcBorders>
              <w:top w:val="nil"/>
              <w:left w:val="nil"/>
              <w:bottom w:val="nil"/>
              <w:right w:val="nil"/>
            </w:tcBorders>
            <w:shd w:val="clear" w:color="auto" w:fill="auto"/>
            <w:noWrap/>
            <w:vAlign w:val="center"/>
            <w:hideMark/>
          </w:tcPr>
          <w:p w14:paraId="1C2DB9BA" w14:textId="437D9CD5"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-7.55</w:t>
            </w:r>
          </w:p>
        </w:tc>
        <w:tc>
          <w:tcPr>
            <w:tcW w:w="1111" w:type="dxa"/>
            <w:tcBorders>
              <w:top w:val="nil"/>
              <w:left w:val="single" w:sz="4" w:space="0" w:color="auto"/>
              <w:bottom w:val="nil"/>
              <w:right w:val="nil"/>
            </w:tcBorders>
            <w:shd w:val="clear" w:color="auto" w:fill="auto"/>
            <w:noWrap/>
            <w:vAlign w:val="center"/>
            <w:hideMark/>
          </w:tcPr>
          <w:p w14:paraId="213ACA25" w14:textId="44F6666E"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-0.5101</w:t>
            </w:r>
          </w:p>
        </w:tc>
        <w:tc>
          <w:tcPr>
            <w:tcW w:w="1111" w:type="dxa"/>
            <w:tcBorders>
              <w:top w:val="nil"/>
              <w:left w:val="nil"/>
              <w:bottom w:val="nil"/>
              <w:right w:val="single" w:sz="4" w:space="0" w:color="auto"/>
            </w:tcBorders>
            <w:shd w:val="clear" w:color="auto" w:fill="auto"/>
            <w:noWrap/>
            <w:vAlign w:val="center"/>
            <w:hideMark/>
          </w:tcPr>
          <w:p w14:paraId="6769C268" w14:textId="76163996"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-4.50</w:t>
            </w:r>
          </w:p>
        </w:tc>
        <w:tc>
          <w:tcPr>
            <w:tcW w:w="1111" w:type="dxa"/>
            <w:tcBorders>
              <w:top w:val="nil"/>
              <w:left w:val="nil"/>
              <w:bottom w:val="nil"/>
              <w:right w:val="nil"/>
            </w:tcBorders>
            <w:shd w:val="clear" w:color="auto" w:fill="auto"/>
            <w:noWrap/>
            <w:vAlign w:val="center"/>
            <w:hideMark/>
          </w:tcPr>
          <w:p w14:paraId="5F540F3C" w14:textId="4DAC147F"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w:t>
            </w:r>
          </w:p>
        </w:tc>
        <w:tc>
          <w:tcPr>
            <w:tcW w:w="1111" w:type="dxa"/>
            <w:tcBorders>
              <w:top w:val="nil"/>
              <w:left w:val="nil"/>
              <w:bottom w:val="nil"/>
              <w:right w:val="double" w:sz="6" w:space="0" w:color="auto"/>
            </w:tcBorders>
            <w:shd w:val="clear" w:color="auto" w:fill="auto"/>
            <w:noWrap/>
            <w:vAlign w:val="center"/>
            <w:hideMark/>
          </w:tcPr>
          <w:p w14:paraId="36D94983" w14:textId="5D9B2048"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w:t>
            </w:r>
          </w:p>
        </w:tc>
      </w:tr>
      <w:tr w:rsidR="006B42BA" w:rsidRPr="004A5770" w14:paraId="5F1D0226" w14:textId="77777777" w:rsidTr="00873B6F">
        <w:trPr>
          <w:trHeight w:val="224"/>
          <w:jc w:val="center"/>
        </w:trPr>
        <w:tc>
          <w:tcPr>
            <w:tcW w:w="4027" w:type="dxa"/>
            <w:tcBorders>
              <w:top w:val="nil"/>
              <w:left w:val="double" w:sz="6" w:space="0" w:color="auto"/>
              <w:bottom w:val="nil"/>
              <w:right w:val="nil"/>
            </w:tcBorders>
            <w:shd w:val="clear" w:color="auto" w:fill="auto"/>
            <w:noWrap/>
            <w:vAlign w:val="center"/>
            <w:hideMark/>
          </w:tcPr>
          <w:p w14:paraId="3B07497F" w14:textId="23324353" w:rsidR="006B42BA" w:rsidRPr="000167FD" w:rsidRDefault="006B42BA" w:rsidP="006B42BA">
            <w:pPr>
              <w:spacing w:after="0" w:line="240" w:lineRule="auto"/>
              <w:ind w:firstLineChars="100" w:firstLine="200"/>
              <w:rPr>
                <w:rFonts w:eastAsia="Times New Roman" w:cs="Times New Roman"/>
                <w:color w:val="000000"/>
                <w:sz w:val="20"/>
                <w:szCs w:val="20"/>
              </w:rPr>
            </w:pPr>
            <w:proofErr w:type="spellStart"/>
            <w:r w:rsidRPr="000167FD">
              <w:rPr>
                <w:rFonts w:eastAsia="Times New Roman" w:cs="Times New Roman"/>
                <w:color w:val="000000"/>
                <w:sz w:val="20"/>
                <w:szCs w:val="20"/>
              </w:rPr>
              <w:t>Urban</w:t>
            </w:r>
            <w:r w:rsidRPr="000167FD">
              <w:rPr>
                <w:rFonts w:eastAsia="Times New Roman" w:cs="Times New Roman"/>
                <w:color w:val="000000"/>
                <w:sz w:val="20"/>
                <w:szCs w:val="20"/>
                <w:vertAlign w:val="superscript"/>
              </w:rPr>
              <w:t>b</w:t>
            </w:r>
            <w:proofErr w:type="spellEnd"/>
          </w:p>
        </w:tc>
        <w:tc>
          <w:tcPr>
            <w:tcW w:w="1110" w:type="dxa"/>
            <w:tcBorders>
              <w:top w:val="nil"/>
              <w:left w:val="single" w:sz="4" w:space="0" w:color="auto"/>
              <w:bottom w:val="nil"/>
              <w:right w:val="nil"/>
            </w:tcBorders>
            <w:shd w:val="clear" w:color="auto" w:fill="auto"/>
            <w:noWrap/>
            <w:vAlign w:val="center"/>
            <w:hideMark/>
          </w:tcPr>
          <w:p w14:paraId="219B55BF" w14:textId="5A4D8079"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1.0448</w:t>
            </w:r>
          </w:p>
        </w:tc>
        <w:tc>
          <w:tcPr>
            <w:tcW w:w="1111" w:type="dxa"/>
            <w:tcBorders>
              <w:top w:val="nil"/>
              <w:left w:val="nil"/>
              <w:bottom w:val="nil"/>
              <w:right w:val="single" w:sz="4" w:space="0" w:color="auto"/>
            </w:tcBorders>
            <w:shd w:val="clear" w:color="auto" w:fill="auto"/>
            <w:noWrap/>
            <w:vAlign w:val="center"/>
            <w:hideMark/>
          </w:tcPr>
          <w:p w14:paraId="5F35343C" w14:textId="6A467A12"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29.62</w:t>
            </w:r>
          </w:p>
        </w:tc>
        <w:tc>
          <w:tcPr>
            <w:tcW w:w="1111" w:type="dxa"/>
            <w:tcBorders>
              <w:top w:val="nil"/>
              <w:left w:val="nil"/>
              <w:bottom w:val="nil"/>
              <w:right w:val="nil"/>
            </w:tcBorders>
            <w:shd w:val="clear" w:color="auto" w:fill="auto"/>
            <w:noWrap/>
            <w:vAlign w:val="center"/>
            <w:hideMark/>
          </w:tcPr>
          <w:p w14:paraId="1721D650" w14:textId="2CC5F5C2"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0.7437</w:t>
            </w:r>
          </w:p>
        </w:tc>
        <w:tc>
          <w:tcPr>
            <w:tcW w:w="1111" w:type="dxa"/>
            <w:tcBorders>
              <w:top w:val="nil"/>
              <w:left w:val="nil"/>
              <w:bottom w:val="nil"/>
              <w:right w:val="nil"/>
            </w:tcBorders>
            <w:shd w:val="clear" w:color="auto" w:fill="auto"/>
            <w:noWrap/>
            <w:vAlign w:val="center"/>
            <w:hideMark/>
          </w:tcPr>
          <w:p w14:paraId="08277FDA" w14:textId="4171D890"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31.71</w:t>
            </w:r>
          </w:p>
        </w:tc>
        <w:tc>
          <w:tcPr>
            <w:tcW w:w="1111" w:type="dxa"/>
            <w:tcBorders>
              <w:top w:val="nil"/>
              <w:left w:val="single" w:sz="4" w:space="0" w:color="auto"/>
              <w:bottom w:val="nil"/>
              <w:right w:val="nil"/>
            </w:tcBorders>
            <w:shd w:val="clear" w:color="auto" w:fill="auto"/>
            <w:noWrap/>
            <w:vAlign w:val="center"/>
            <w:hideMark/>
          </w:tcPr>
          <w:p w14:paraId="6E6077EE" w14:textId="478DD1EC"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0.4323</w:t>
            </w:r>
          </w:p>
        </w:tc>
        <w:tc>
          <w:tcPr>
            <w:tcW w:w="1111" w:type="dxa"/>
            <w:tcBorders>
              <w:top w:val="nil"/>
              <w:left w:val="nil"/>
              <w:bottom w:val="nil"/>
              <w:right w:val="single" w:sz="4" w:space="0" w:color="auto"/>
            </w:tcBorders>
            <w:shd w:val="clear" w:color="auto" w:fill="auto"/>
            <w:noWrap/>
            <w:vAlign w:val="center"/>
            <w:hideMark/>
          </w:tcPr>
          <w:p w14:paraId="05E5C5F9" w14:textId="26BB1AC2"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17.11</w:t>
            </w:r>
          </w:p>
        </w:tc>
        <w:tc>
          <w:tcPr>
            <w:tcW w:w="1111" w:type="dxa"/>
            <w:tcBorders>
              <w:top w:val="nil"/>
              <w:left w:val="nil"/>
              <w:bottom w:val="nil"/>
              <w:right w:val="nil"/>
            </w:tcBorders>
            <w:shd w:val="clear" w:color="auto" w:fill="auto"/>
            <w:noWrap/>
            <w:vAlign w:val="center"/>
            <w:hideMark/>
          </w:tcPr>
          <w:p w14:paraId="5AE89322" w14:textId="72FE5E03"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0.9780</w:t>
            </w:r>
          </w:p>
        </w:tc>
        <w:tc>
          <w:tcPr>
            <w:tcW w:w="1111" w:type="dxa"/>
            <w:tcBorders>
              <w:top w:val="nil"/>
              <w:left w:val="nil"/>
              <w:bottom w:val="nil"/>
              <w:right w:val="double" w:sz="6" w:space="0" w:color="auto"/>
            </w:tcBorders>
            <w:shd w:val="clear" w:color="auto" w:fill="auto"/>
            <w:noWrap/>
            <w:vAlign w:val="center"/>
            <w:hideMark/>
          </w:tcPr>
          <w:p w14:paraId="2761699A" w14:textId="23699B9E"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41.90</w:t>
            </w:r>
          </w:p>
        </w:tc>
      </w:tr>
      <w:tr w:rsidR="006B42BA" w:rsidRPr="004A5770" w14:paraId="2C11D91E" w14:textId="77777777" w:rsidTr="00873B6F">
        <w:trPr>
          <w:trHeight w:val="224"/>
          <w:jc w:val="center"/>
        </w:trPr>
        <w:tc>
          <w:tcPr>
            <w:tcW w:w="4027" w:type="dxa"/>
            <w:tcBorders>
              <w:top w:val="nil"/>
              <w:left w:val="double" w:sz="6" w:space="0" w:color="auto"/>
              <w:bottom w:val="nil"/>
              <w:right w:val="nil"/>
            </w:tcBorders>
            <w:shd w:val="clear" w:color="auto" w:fill="auto"/>
            <w:noWrap/>
            <w:vAlign w:val="center"/>
            <w:hideMark/>
          </w:tcPr>
          <w:p w14:paraId="76E85766" w14:textId="2583C010" w:rsidR="006B42BA" w:rsidRPr="000167FD" w:rsidRDefault="006B42BA" w:rsidP="006B42BA">
            <w:pPr>
              <w:spacing w:after="0" w:line="240" w:lineRule="auto"/>
              <w:ind w:firstLineChars="100" w:firstLine="200"/>
              <w:rPr>
                <w:rFonts w:eastAsia="Times New Roman" w:cs="Times New Roman"/>
                <w:color w:val="000000"/>
                <w:sz w:val="20"/>
                <w:szCs w:val="20"/>
              </w:rPr>
            </w:pPr>
            <w:r w:rsidRPr="000167FD">
              <w:rPr>
                <w:rFonts w:eastAsia="Times New Roman" w:cs="Times New Roman"/>
                <w:color w:val="000000"/>
                <w:sz w:val="20"/>
                <w:szCs w:val="20"/>
              </w:rPr>
              <w:t>Central business district (CBD)</w:t>
            </w:r>
            <w:r w:rsidRPr="000167FD">
              <w:rPr>
                <w:rFonts w:eastAsia="Times New Roman" w:cs="Times New Roman"/>
                <w:color w:val="000000"/>
                <w:sz w:val="20"/>
                <w:szCs w:val="20"/>
                <w:vertAlign w:val="superscript"/>
              </w:rPr>
              <w:t xml:space="preserve"> b</w:t>
            </w:r>
          </w:p>
        </w:tc>
        <w:tc>
          <w:tcPr>
            <w:tcW w:w="1110" w:type="dxa"/>
            <w:tcBorders>
              <w:top w:val="nil"/>
              <w:left w:val="single" w:sz="4" w:space="0" w:color="auto"/>
              <w:bottom w:val="nil"/>
              <w:right w:val="nil"/>
            </w:tcBorders>
            <w:shd w:val="clear" w:color="auto" w:fill="auto"/>
            <w:noWrap/>
            <w:vAlign w:val="center"/>
            <w:hideMark/>
          </w:tcPr>
          <w:p w14:paraId="4A6DDDF6" w14:textId="4A6BDA1D"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-0.6734</w:t>
            </w:r>
          </w:p>
        </w:tc>
        <w:tc>
          <w:tcPr>
            <w:tcW w:w="1111" w:type="dxa"/>
            <w:tcBorders>
              <w:top w:val="nil"/>
              <w:left w:val="nil"/>
              <w:bottom w:val="nil"/>
              <w:right w:val="single" w:sz="4" w:space="0" w:color="auto"/>
            </w:tcBorders>
            <w:shd w:val="clear" w:color="auto" w:fill="auto"/>
            <w:noWrap/>
            <w:vAlign w:val="center"/>
            <w:hideMark/>
          </w:tcPr>
          <w:p w14:paraId="73E91495" w14:textId="269B5C22"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-23.62</w:t>
            </w:r>
          </w:p>
        </w:tc>
        <w:tc>
          <w:tcPr>
            <w:tcW w:w="1111" w:type="dxa"/>
            <w:tcBorders>
              <w:top w:val="nil"/>
              <w:left w:val="nil"/>
              <w:bottom w:val="nil"/>
              <w:right w:val="nil"/>
            </w:tcBorders>
            <w:shd w:val="clear" w:color="auto" w:fill="auto"/>
            <w:noWrap/>
            <w:vAlign w:val="center"/>
            <w:hideMark/>
          </w:tcPr>
          <w:p w14:paraId="4FC79FC0" w14:textId="312A56C6"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-0.1636</w:t>
            </w:r>
          </w:p>
        </w:tc>
        <w:tc>
          <w:tcPr>
            <w:tcW w:w="1111" w:type="dxa"/>
            <w:tcBorders>
              <w:top w:val="nil"/>
              <w:left w:val="nil"/>
              <w:bottom w:val="nil"/>
              <w:right w:val="nil"/>
            </w:tcBorders>
            <w:shd w:val="clear" w:color="auto" w:fill="auto"/>
            <w:noWrap/>
            <w:vAlign w:val="center"/>
            <w:hideMark/>
          </w:tcPr>
          <w:p w14:paraId="384859E6" w14:textId="404FBC47" w:rsidR="006B42BA" w:rsidRPr="000770D9"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-9.52</w:t>
            </w:r>
          </w:p>
        </w:tc>
        <w:tc>
          <w:tcPr>
            <w:tcW w:w="1111" w:type="dxa"/>
            <w:tcBorders>
              <w:top w:val="nil"/>
              <w:left w:val="single" w:sz="4" w:space="0" w:color="auto"/>
              <w:bottom w:val="nil"/>
              <w:right w:val="nil"/>
            </w:tcBorders>
            <w:shd w:val="clear" w:color="auto" w:fill="auto"/>
            <w:noWrap/>
            <w:vAlign w:val="center"/>
            <w:hideMark/>
          </w:tcPr>
          <w:p w14:paraId="4AAD9B87" w14:textId="4DF6BB2C"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-0.5067</w:t>
            </w:r>
          </w:p>
        </w:tc>
        <w:tc>
          <w:tcPr>
            <w:tcW w:w="1111" w:type="dxa"/>
            <w:tcBorders>
              <w:top w:val="nil"/>
              <w:left w:val="nil"/>
              <w:bottom w:val="nil"/>
              <w:right w:val="single" w:sz="4" w:space="0" w:color="auto"/>
            </w:tcBorders>
            <w:shd w:val="clear" w:color="auto" w:fill="auto"/>
            <w:noWrap/>
            <w:vAlign w:val="center"/>
            <w:hideMark/>
          </w:tcPr>
          <w:p w14:paraId="0134751F" w14:textId="0D77567D"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-27.10</w:t>
            </w:r>
          </w:p>
        </w:tc>
        <w:tc>
          <w:tcPr>
            <w:tcW w:w="1111" w:type="dxa"/>
            <w:tcBorders>
              <w:top w:val="nil"/>
              <w:left w:val="nil"/>
              <w:bottom w:val="nil"/>
              <w:right w:val="nil"/>
            </w:tcBorders>
            <w:shd w:val="clear" w:color="auto" w:fill="auto"/>
            <w:noWrap/>
            <w:vAlign w:val="center"/>
            <w:hideMark/>
          </w:tcPr>
          <w:p w14:paraId="547DC907" w14:textId="363DA22C" w:rsidR="006B42BA" w:rsidRPr="00323017" w:rsidRDefault="00EC61ED" w:rsidP="006B42BA">
            <w:pPr>
              <w:spacing w:after="0" w:line="240" w:lineRule="auto"/>
              <w:jc w:val="right"/>
              <w:rPr>
                <w:rFonts w:eastAsia="Times New Roman" w:cs="Times New Roman"/>
                <w:color w:val="000000"/>
                <w:sz w:val="20"/>
                <w:szCs w:val="20"/>
              </w:rPr>
            </w:pPr>
            <w:r>
              <w:rPr>
                <w:color w:val="000000"/>
                <w:sz w:val="20"/>
                <w:szCs w:val="20"/>
              </w:rPr>
              <w:t>-</w:t>
            </w:r>
            <w:r w:rsidR="006B42BA" w:rsidRPr="00873B6F">
              <w:rPr>
                <w:color w:val="000000"/>
                <w:sz w:val="20"/>
                <w:szCs w:val="20"/>
              </w:rPr>
              <w:t>0.4683</w:t>
            </w:r>
          </w:p>
        </w:tc>
        <w:tc>
          <w:tcPr>
            <w:tcW w:w="1111" w:type="dxa"/>
            <w:tcBorders>
              <w:top w:val="nil"/>
              <w:left w:val="nil"/>
              <w:bottom w:val="nil"/>
              <w:right w:val="double" w:sz="6" w:space="0" w:color="auto"/>
            </w:tcBorders>
            <w:shd w:val="clear" w:color="auto" w:fill="auto"/>
            <w:noWrap/>
            <w:vAlign w:val="center"/>
            <w:hideMark/>
          </w:tcPr>
          <w:p w14:paraId="7895F62B" w14:textId="758344A1" w:rsidR="006B42BA" w:rsidRPr="00323017" w:rsidRDefault="00EC61ED" w:rsidP="006B42BA">
            <w:pPr>
              <w:spacing w:after="0" w:line="240" w:lineRule="auto"/>
              <w:jc w:val="right"/>
              <w:rPr>
                <w:rFonts w:eastAsia="Times New Roman" w:cs="Times New Roman"/>
                <w:color w:val="000000"/>
                <w:sz w:val="20"/>
                <w:szCs w:val="20"/>
              </w:rPr>
            </w:pPr>
            <w:r>
              <w:rPr>
                <w:color w:val="000000"/>
                <w:sz w:val="20"/>
                <w:szCs w:val="20"/>
              </w:rPr>
              <w:t>-</w:t>
            </w:r>
            <w:r w:rsidR="006B42BA" w:rsidRPr="00873B6F">
              <w:rPr>
                <w:color w:val="000000"/>
                <w:sz w:val="20"/>
                <w:szCs w:val="20"/>
              </w:rPr>
              <w:t>46.86</w:t>
            </w:r>
          </w:p>
        </w:tc>
      </w:tr>
      <w:tr w:rsidR="006B42BA" w:rsidRPr="004A5770" w14:paraId="21803B83" w14:textId="77777777" w:rsidTr="00873B6F">
        <w:trPr>
          <w:trHeight w:val="224"/>
          <w:jc w:val="center"/>
        </w:trPr>
        <w:tc>
          <w:tcPr>
            <w:tcW w:w="4027" w:type="dxa"/>
            <w:tcBorders>
              <w:top w:val="nil"/>
              <w:left w:val="double" w:sz="6" w:space="0" w:color="auto"/>
              <w:bottom w:val="nil"/>
              <w:right w:val="single" w:sz="4" w:space="0" w:color="auto"/>
            </w:tcBorders>
            <w:shd w:val="clear" w:color="auto" w:fill="auto"/>
            <w:noWrap/>
            <w:vAlign w:val="center"/>
            <w:hideMark/>
          </w:tcPr>
          <w:p w14:paraId="43C3135D" w14:textId="77777777" w:rsidR="006B42BA" w:rsidRPr="000167FD" w:rsidRDefault="006B42BA" w:rsidP="006B42BA">
            <w:pPr>
              <w:spacing w:after="0" w:line="240" w:lineRule="auto"/>
              <w:ind w:firstLineChars="100" w:firstLine="200"/>
              <w:rPr>
                <w:rFonts w:eastAsia="Times New Roman" w:cs="Times New Roman"/>
                <w:color w:val="000000"/>
                <w:sz w:val="20"/>
                <w:szCs w:val="20"/>
              </w:rPr>
            </w:pPr>
            <w:r w:rsidRPr="000167FD">
              <w:rPr>
                <w:rFonts w:eastAsia="Times New Roman" w:cs="Times New Roman"/>
                <w:color w:val="000000"/>
                <w:sz w:val="20"/>
                <w:szCs w:val="20"/>
              </w:rPr>
              <w:t>Presence of ABIA</w:t>
            </w:r>
          </w:p>
        </w:tc>
        <w:tc>
          <w:tcPr>
            <w:tcW w:w="1110" w:type="dxa"/>
            <w:tcBorders>
              <w:top w:val="nil"/>
              <w:left w:val="nil"/>
              <w:bottom w:val="nil"/>
              <w:right w:val="nil"/>
            </w:tcBorders>
            <w:shd w:val="clear" w:color="auto" w:fill="auto"/>
            <w:noWrap/>
            <w:vAlign w:val="center"/>
            <w:hideMark/>
          </w:tcPr>
          <w:p w14:paraId="2DCAAADB" w14:textId="47ECBBBD"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1.6627</w:t>
            </w:r>
          </w:p>
        </w:tc>
        <w:tc>
          <w:tcPr>
            <w:tcW w:w="1111" w:type="dxa"/>
            <w:tcBorders>
              <w:top w:val="nil"/>
              <w:left w:val="nil"/>
              <w:bottom w:val="nil"/>
              <w:right w:val="single" w:sz="4" w:space="0" w:color="auto"/>
            </w:tcBorders>
            <w:shd w:val="clear" w:color="auto" w:fill="auto"/>
            <w:noWrap/>
            <w:vAlign w:val="center"/>
            <w:hideMark/>
          </w:tcPr>
          <w:p w14:paraId="530965C1" w14:textId="5FEB2730"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15.22</w:t>
            </w:r>
          </w:p>
        </w:tc>
        <w:tc>
          <w:tcPr>
            <w:tcW w:w="1111" w:type="dxa"/>
            <w:tcBorders>
              <w:top w:val="nil"/>
              <w:left w:val="nil"/>
              <w:bottom w:val="nil"/>
              <w:right w:val="nil"/>
            </w:tcBorders>
            <w:shd w:val="clear" w:color="auto" w:fill="auto"/>
            <w:noWrap/>
            <w:vAlign w:val="center"/>
            <w:hideMark/>
          </w:tcPr>
          <w:p w14:paraId="2A9180EB" w14:textId="5B4B3AFF"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3.4996</w:t>
            </w:r>
          </w:p>
        </w:tc>
        <w:tc>
          <w:tcPr>
            <w:tcW w:w="1111" w:type="dxa"/>
            <w:tcBorders>
              <w:top w:val="nil"/>
              <w:left w:val="nil"/>
              <w:bottom w:val="nil"/>
              <w:right w:val="nil"/>
            </w:tcBorders>
            <w:shd w:val="clear" w:color="auto" w:fill="auto"/>
            <w:noWrap/>
            <w:vAlign w:val="center"/>
            <w:hideMark/>
          </w:tcPr>
          <w:p w14:paraId="2B0B8F1D" w14:textId="70232B51"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72.31</w:t>
            </w:r>
          </w:p>
        </w:tc>
        <w:tc>
          <w:tcPr>
            <w:tcW w:w="1111" w:type="dxa"/>
            <w:tcBorders>
              <w:top w:val="nil"/>
              <w:left w:val="single" w:sz="4" w:space="0" w:color="auto"/>
              <w:bottom w:val="nil"/>
              <w:right w:val="nil"/>
            </w:tcBorders>
            <w:shd w:val="clear" w:color="auto" w:fill="auto"/>
            <w:noWrap/>
            <w:vAlign w:val="center"/>
            <w:hideMark/>
          </w:tcPr>
          <w:p w14:paraId="757E19E8" w14:textId="1041A4BC"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3.9906</w:t>
            </w:r>
          </w:p>
        </w:tc>
        <w:tc>
          <w:tcPr>
            <w:tcW w:w="1111" w:type="dxa"/>
            <w:tcBorders>
              <w:top w:val="nil"/>
              <w:left w:val="nil"/>
              <w:bottom w:val="nil"/>
              <w:right w:val="single" w:sz="4" w:space="0" w:color="auto"/>
            </w:tcBorders>
            <w:shd w:val="clear" w:color="auto" w:fill="auto"/>
            <w:noWrap/>
            <w:vAlign w:val="center"/>
            <w:hideMark/>
          </w:tcPr>
          <w:p w14:paraId="01B4D956" w14:textId="41597FC3"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69.63</w:t>
            </w:r>
          </w:p>
        </w:tc>
        <w:tc>
          <w:tcPr>
            <w:tcW w:w="1111" w:type="dxa"/>
            <w:tcBorders>
              <w:top w:val="nil"/>
              <w:left w:val="nil"/>
              <w:bottom w:val="nil"/>
              <w:right w:val="nil"/>
            </w:tcBorders>
            <w:shd w:val="clear" w:color="auto" w:fill="auto"/>
            <w:noWrap/>
            <w:vAlign w:val="center"/>
            <w:hideMark/>
          </w:tcPr>
          <w:p w14:paraId="12027C0E" w14:textId="21872FE9"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5.5956</w:t>
            </w:r>
          </w:p>
        </w:tc>
        <w:tc>
          <w:tcPr>
            <w:tcW w:w="1111" w:type="dxa"/>
            <w:tcBorders>
              <w:top w:val="nil"/>
              <w:left w:val="nil"/>
              <w:bottom w:val="nil"/>
              <w:right w:val="double" w:sz="6" w:space="0" w:color="auto"/>
            </w:tcBorders>
            <w:shd w:val="clear" w:color="auto" w:fill="auto"/>
            <w:noWrap/>
            <w:vAlign w:val="center"/>
            <w:hideMark/>
          </w:tcPr>
          <w:p w14:paraId="045DE754" w14:textId="5A45CFD7"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147.52</w:t>
            </w:r>
          </w:p>
        </w:tc>
      </w:tr>
      <w:tr w:rsidR="006B42BA" w:rsidRPr="004A5770" w14:paraId="27C9608D" w14:textId="77777777" w:rsidTr="00873B6F">
        <w:trPr>
          <w:trHeight w:val="224"/>
          <w:jc w:val="center"/>
        </w:trPr>
        <w:tc>
          <w:tcPr>
            <w:tcW w:w="4027" w:type="dxa"/>
            <w:tcBorders>
              <w:top w:val="nil"/>
              <w:left w:val="double" w:sz="6" w:space="0" w:color="auto"/>
              <w:bottom w:val="nil"/>
              <w:right w:val="nil"/>
            </w:tcBorders>
            <w:shd w:val="clear" w:color="auto" w:fill="auto"/>
            <w:noWrap/>
            <w:vAlign w:val="center"/>
            <w:hideMark/>
          </w:tcPr>
          <w:p w14:paraId="4F77DAB1" w14:textId="77777777" w:rsidR="006B42BA" w:rsidRPr="000167FD" w:rsidRDefault="006B42BA" w:rsidP="006B42BA">
            <w:pPr>
              <w:spacing w:after="0" w:line="240" w:lineRule="auto"/>
              <w:ind w:firstLineChars="100" w:firstLine="200"/>
              <w:rPr>
                <w:rFonts w:eastAsia="Times New Roman" w:cs="Times New Roman"/>
                <w:color w:val="000000"/>
                <w:sz w:val="20"/>
                <w:szCs w:val="20"/>
              </w:rPr>
            </w:pPr>
            <w:r w:rsidRPr="000167FD">
              <w:rPr>
                <w:rFonts w:eastAsia="Times New Roman" w:cs="Times New Roman"/>
                <w:color w:val="000000"/>
                <w:sz w:val="20"/>
                <w:szCs w:val="20"/>
              </w:rPr>
              <w:t>Presence of UT main campus</w:t>
            </w:r>
          </w:p>
        </w:tc>
        <w:tc>
          <w:tcPr>
            <w:tcW w:w="1110" w:type="dxa"/>
            <w:tcBorders>
              <w:top w:val="nil"/>
              <w:left w:val="single" w:sz="4" w:space="0" w:color="auto"/>
              <w:bottom w:val="nil"/>
              <w:right w:val="nil"/>
            </w:tcBorders>
            <w:shd w:val="clear" w:color="auto" w:fill="auto"/>
            <w:noWrap/>
            <w:vAlign w:val="center"/>
            <w:hideMark/>
          </w:tcPr>
          <w:p w14:paraId="440DAACB" w14:textId="43434EE9"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-0.6007</w:t>
            </w:r>
          </w:p>
        </w:tc>
        <w:tc>
          <w:tcPr>
            <w:tcW w:w="1111" w:type="dxa"/>
            <w:tcBorders>
              <w:top w:val="nil"/>
              <w:left w:val="nil"/>
              <w:bottom w:val="nil"/>
              <w:right w:val="single" w:sz="4" w:space="0" w:color="auto"/>
            </w:tcBorders>
            <w:shd w:val="clear" w:color="auto" w:fill="auto"/>
            <w:noWrap/>
            <w:vAlign w:val="center"/>
            <w:hideMark/>
          </w:tcPr>
          <w:p w14:paraId="5B5DF633" w14:textId="08371864"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-10.54</w:t>
            </w:r>
          </w:p>
        </w:tc>
        <w:tc>
          <w:tcPr>
            <w:tcW w:w="1111" w:type="dxa"/>
            <w:tcBorders>
              <w:top w:val="nil"/>
              <w:left w:val="nil"/>
              <w:bottom w:val="nil"/>
              <w:right w:val="nil"/>
            </w:tcBorders>
            <w:shd w:val="clear" w:color="auto" w:fill="auto"/>
            <w:noWrap/>
            <w:vAlign w:val="center"/>
            <w:hideMark/>
          </w:tcPr>
          <w:p w14:paraId="3EBAF52B" w14:textId="44AF5C57"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0.5594</w:t>
            </w:r>
          </w:p>
        </w:tc>
        <w:tc>
          <w:tcPr>
            <w:tcW w:w="1111" w:type="dxa"/>
            <w:tcBorders>
              <w:top w:val="nil"/>
              <w:left w:val="nil"/>
              <w:bottom w:val="nil"/>
              <w:right w:val="nil"/>
            </w:tcBorders>
            <w:shd w:val="clear" w:color="auto" w:fill="auto"/>
            <w:noWrap/>
            <w:vAlign w:val="center"/>
            <w:hideMark/>
          </w:tcPr>
          <w:p w14:paraId="255C4904" w14:textId="16764F4C"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20.44</w:t>
            </w:r>
          </w:p>
        </w:tc>
        <w:tc>
          <w:tcPr>
            <w:tcW w:w="1111" w:type="dxa"/>
            <w:tcBorders>
              <w:top w:val="nil"/>
              <w:left w:val="single" w:sz="4" w:space="0" w:color="auto"/>
              <w:bottom w:val="nil"/>
              <w:right w:val="nil"/>
            </w:tcBorders>
            <w:shd w:val="clear" w:color="auto" w:fill="auto"/>
            <w:noWrap/>
            <w:vAlign w:val="center"/>
            <w:hideMark/>
          </w:tcPr>
          <w:p w14:paraId="6069E27D" w14:textId="53CCDA58"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0.5589</w:t>
            </w:r>
          </w:p>
        </w:tc>
        <w:tc>
          <w:tcPr>
            <w:tcW w:w="1111" w:type="dxa"/>
            <w:tcBorders>
              <w:top w:val="nil"/>
              <w:left w:val="nil"/>
              <w:bottom w:val="nil"/>
              <w:right w:val="single" w:sz="4" w:space="0" w:color="auto"/>
            </w:tcBorders>
            <w:shd w:val="clear" w:color="auto" w:fill="auto"/>
            <w:noWrap/>
            <w:vAlign w:val="center"/>
            <w:hideMark/>
          </w:tcPr>
          <w:p w14:paraId="5922AC8D" w14:textId="74E14399"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16.21</w:t>
            </w:r>
          </w:p>
        </w:tc>
        <w:tc>
          <w:tcPr>
            <w:tcW w:w="1111" w:type="dxa"/>
            <w:tcBorders>
              <w:top w:val="nil"/>
              <w:left w:val="nil"/>
              <w:bottom w:val="nil"/>
              <w:right w:val="nil"/>
            </w:tcBorders>
            <w:shd w:val="clear" w:color="auto" w:fill="auto"/>
            <w:noWrap/>
            <w:vAlign w:val="center"/>
            <w:hideMark/>
          </w:tcPr>
          <w:p w14:paraId="22428094" w14:textId="00EB386D"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-0.0420</w:t>
            </w:r>
          </w:p>
        </w:tc>
        <w:tc>
          <w:tcPr>
            <w:tcW w:w="1111" w:type="dxa"/>
            <w:tcBorders>
              <w:top w:val="nil"/>
              <w:left w:val="nil"/>
              <w:bottom w:val="nil"/>
              <w:right w:val="double" w:sz="6" w:space="0" w:color="auto"/>
            </w:tcBorders>
            <w:shd w:val="clear" w:color="auto" w:fill="auto"/>
            <w:noWrap/>
            <w:vAlign w:val="center"/>
            <w:hideMark/>
          </w:tcPr>
          <w:p w14:paraId="6C4B820F" w14:textId="5AE05A2E"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-1.68</w:t>
            </w:r>
          </w:p>
        </w:tc>
      </w:tr>
      <w:tr w:rsidR="006B42BA" w:rsidRPr="004A5770" w14:paraId="72958098" w14:textId="77777777" w:rsidTr="00873B6F">
        <w:trPr>
          <w:trHeight w:val="233"/>
          <w:jc w:val="center"/>
        </w:trPr>
        <w:tc>
          <w:tcPr>
            <w:tcW w:w="4027" w:type="dxa"/>
            <w:tcBorders>
              <w:top w:val="nil"/>
              <w:left w:val="double" w:sz="6" w:space="0" w:color="auto"/>
              <w:bottom w:val="double" w:sz="6" w:space="0" w:color="auto"/>
              <w:right w:val="single" w:sz="4" w:space="0" w:color="auto"/>
            </w:tcBorders>
            <w:shd w:val="clear" w:color="auto" w:fill="auto"/>
            <w:noWrap/>
            <w:vAlign w:val="center"/>
            <w:hideMark/>
          </w:tcPr>
          <w:p w14:paraId="6A395013" w14:textId="77777777" w:rsidR="006B42BA" w:rsidRPr="000167FD" w:rsidRDefault="006B42BA" w:rsidP="006B42BA">
            <w:pPr>
              <w:spacing w:after="0" w:line="240" w:lineRule="auto"/>
              <w:rPr>
                <w:rFonts w:eastAsia="Times New Roman" w:cs="Times New Roman"/>
                <w:color w:val="000000"/>
                <w:sz w:val="20"/>
                <w:szCs w:val="20"/>
              </w:rPr>
            </w:pPr>
            <w:r w:rsidRPr="000167FD">
              <w:rPr>
                <w:rFonts w:eastAsia="Times New Roman" w:cs="Times New Roman"/>
                <w:color w:val="000000"/>
                <w:sz w:val="20"/>
                <w:szCs w:val="20"/>
              </w:rPr>
              <w:t>Transit frequency at PM peak (mi</w:t>
            </w:r>
            <w:r w:rsidRPr="000167FD">
              <w:rPr>
                <w:rFonts w:eastAsia="Times New Roman" w:cs="Times New Roman"/>
                <w:color w:val="000000"/>
                <w:sz w:val="20"/>
                <w:szCs w:val="20"/>
                <w:vertAlign w:val="superscript"/>
              </w:rPr>
              <w:t>-2</w:t>
            </w:r>
            <w:r w:rsidRPr="000167FD">
              <w:rPr>
                <w:rFonts w:eastAsia="Times New Roman" w:cs="Times New Roman"/>
                <w:color w:val="000000"/>
                <w:sz w:val="20"/>
                <w:szCs w:val="20"/>
              </w:rPr>
              <w:t>h</w:t>
            </w:r>
            <w:r w:rsidRPr="000167FD">
              <w:rPr>
                <w:rFonts w:eastAsia="Times New Roman" w:cs="Times New Roman"/>
                <w:color w:val="000000"/>
                <w:sz w:val="20"/>
                <w:szCs w:val="20"/>
                <w:vertAlign w:val="superscript"/>
              </w:rPr>
              <w:t>-1</w:t>
            </w:r>
            <w:r w:rsidRPr="000167FD">
              <w:rPr>
                <w:rFonts w:eastAsia="Times New Roman" w:cs="Times New Roman"/>
                <w:color w:val="000000"/>
                <w:sz w:val="20"/>
                <w:szCs w:val="20"/>
              </w:rPr>
              <w:t>) (/1000)</w:t>
            </w:r>
          </w:p>
        </w:tc>
        <w:tc>
          <w:tcPr>
            <w:tcW w:w="1110" w:type="dxa"/>
            <w:tcBorders>
              <w:top w:val="nil"/>
              <w:left w:val="nil"/>
              <w:bottom w:val="double" w:sz="6" w:space="0" w:color="auto"/>
              <w:right w:val="nil"/>
            </w:tcBorders>
            <w:shd w:val="clear" w:color="auto" w:fill="auto"/>
            <w:noWrap/>
            <w:vAlign w:val="center"/>
            <w:hideMark/>
          </w:tcPr>
          <w:p w14:paraId="33C1D2B4" w14:textId="6BF07379"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0.5893</w:t>
            </w:r>
          </w:p>
        </w:tc>
        <w:tc>
          <w:tcPr>
            <w:tcW w:w="1111" w:type="dxa"/>
            <w:tcBorders>
              <w:top w:val="nil"/>
              <w:left w:val="nil"/>
              <w:bottom w:val="double" w:sz="6" w:space="0" w:color="auto"/>
              <w:right w:val="single" w:sz="4" w:space="0" w:color="auto"/>
            </w:tcBorders>
            <w:shd w:val="clear" w:color="auto" w:fill="auto"/>
            <w:noWrap/>
            <w:vAlign w:val="center"/>
            <w:hideMark/>
          </w:tcPr>
          <w:p w14:paraId="2DBD0926" w14:textId="028AC952"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12.21</w:t>
            </w:r>
          </w:p>
        </w:tc>
        <w:tc>
          <w:tcPr>
            <w:tcW w:w="1111" w:type="dxa"/>
            <w:tcBorders>
              <w:top w:val="nil"/>
              <w:left w:val="nil"/>
              <w:bottom w:val="double" w:sz="6" w:space="0" w:color="auto"/>
              <w:right w:val="nil"/>
            </w:tcBorders>
            <w:shd w:val="clear" w:color="auto" w:fill="auto"/>
            <w:noWrap/>
            <w:vAlign w:val="center"/>
            <w:hideMark/>
          </w:tcPr>
          <w:p w14:paraId="4814D4C4" w14:textId="2159F2AF"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0.6132</w:t>
            </w:r>
          </w:p>
        </w:tc>
        <w:tc>
          <w:tcPr>
            <w:tcW w:w="1111" w:type="dxa"/>
            <w:tcBorders>
              <w:top w:val="nil"/>
              <w:left w:val="nil"/>
              <w:bottom w:val="double" w:sz="6" w:space="0" w:color="auto"/>
              <w:right w:val="nil"/>
            </w:tcBorders>
            <w:shd w:val="clear" w:color="auto" w:fill="auto"/>
            <w:noWrap/>
            <w:vAlign w:val="center"/>
            <w:hideMark/>
          </w:tcPr>
          <w:p w14:paraId="62333480" w14:textId="12BFD748"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19.68</w:t>
            </w:r>
          </w:p>
        </w:tc>
        <w:tc>
          <w:tcPr>
            <w:tcW w:w="1111" w:type="dxa"/>
            <w:tcBorders>
              <w:top w:val="nil"/>
              <w:left w:val="single" w:sz="4" w:space="0" w:color="auto"/>
              <w:bottom w:val="double" w:sz="6" w:space="0" w:color="auto"/>
              <w:right w:val="nil"/>
            </w:tcBorders>
            <w:shd w:val="clear" w:color="auto" w:fill="auto"/>
            <w:noWrap/>
            <w:vAlign w:val="center"/>
            <w:hideMark/>
          </w:tcPr>
          <w:p w14:paraId="6171EF69" w14:textId="64B29602"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0.2608</w:t>
            </w:r>
          </w:p>
        </w:tc>
        <w:tc>
          <w:tcPr>
            <w:tcW w:w="1111" w:type="dxa"/>
            <w:tcBorders>
              <w:top w:val="nil"/>
              <w:left w:val="nil"/>
              <w:bottom w:val="double" w:sz="6" w:space="0" w:color="auto"/>
              <w:right w:val="single" w:sz="4" w:space="0" w:color="auto"/>
            </w:tcBorders>
            <w:shd w:val="clear" w:color="auto" w:fill="auto"/>
            <w:noWrap/>
            <w:vAlign w:val="center"/>
            <w:hideMark/>
          </w:tcPr>
          <w:p w14:paraId="6AFA71F9" w14:textId="3231B50D"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6.74</w:t>
            </w:r>
          </w:p>
        </w:tc>
        <w:tc>
          <w:tcPr>
            <w:tcW w:w="1111" w:type="dxa"/>
            <w:tcBorders>
              <w:top w:val="nil"/>
              <w:left w:val="nil"/>
              <w:bottom w:val="double" w:sz="6" w:space="0" w:color="auto"/>
              <w:right w:val="nil"/>
            </w:tcBorders>
            <w:shd w:val="clear" w:color="auto" w:fill="auto"/>
            <w:noWrap/>
            <w:vAlign w:val="center"/>
            <w:hideMark/>
          </w:tcPr>
          <w:p w14:paraId="24F34DB4" w14:textId="37FB83E6"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0.9708</w:t>
            </w:r>
          </w:p>
        </w:tc>
        <w:tc>
          <w:tcPr>
            <w:tcW w:w="1111" w:type="dxa"/>
            <w:tcBorders>
              <w:top w:val="nil"/>
              <w:left w:val="nil"/>
              <w:bottom w:val="double" w:sz="6" w:space="0" w:color="auto"/>
              <w:right w:val="double" w:sz="6" w:space="0" w:color="auto"/>
            </w:tcBorders>
            <w:shd w:val="clear" w:color="auto" w:fill="auto"/>
            <w:noWrap/>
            <w:vAlign w:val="center"/>
            <w:hideMark/>
          </w:tcPr>
          <w:p w14:paraId="24F8A9C4" w14:textId="46FFCFAB"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39.64</w:t>
            </w:r>
          </w:p>
        </w:tc>
      </w:tr>
      <w:tr w:rsidR="000167FD" w:rsidRPr="004A5770" w14:paraId="50C75506" w14:textId="77777777" w:rsidTr="00873B6F">
        <w:trPr>
          <w:trHeight w:val="233"/>
          <w:jc w:val="center"/>
        </w:trPr>
        <w:tc>
          <w:tcPr>
            <w:tcW w:w="4027" w:type="dxa"/>
            <w:tcBorders>
              <w:top w:val="nil"/>
              <w:left w:val="double" w:sz="6" w:space="0" w:color="auto"/>
              <w:bottom w:val="single" w:sz="4" w:space="0" w:color="auto"/>
              <w:right w:val="nil"/>
            </w:tcBorders>
            <w:shd w:val="clear" w:color="auto" w:fill="auto"/>
            <w:noWrap/>
            <w:vAlign w:val="center"/>
            <w:hideMark/>
          </w:tcPr>
          <w:p w14:paraId="6C73307E" w14:textId="23ED6DBD" w:rsidR="00403410" w:rsidRPr="000167FD" w:rsidRDefault="00403410" w:rsidP="00387D7B">
            <w:pPr>
              <w:spacing w:after="0" w:line="240" w:lineRule="auto"/>
              <w:jc w:val="left"/>
              <w:rPr>
                <w:rFonts w:eastAsia="Times New Roman" w:cs="Times New Roman"/>
                <w:b/>
                <w:bCs/>
                <w:color w:val="000000"/>
                <w:sz w:val="20"/>
                <w:szCs w:val="20"/>
              </w:rPr>
            </w:pPr>
            <w:r w:rsidRPr="000167FD">
              <w:rPr>
                <w:rFonts w:eastAsia="Times New Roman" w:cs="Times New Roman"/>
                <w:b/>
                <w:bCs/>
                <w:color w:val="000000"/>
                <w:sz w:val="20"/>
                <w:szCs w:val="20"/>
              </w:rPr>
              <w:t>TAZ</w:t>
            </w:r>
            <w:r w:rsidR="005514D6" w:rsidRPr="000167FD">
              <w:rPr>
                <w:rFonts w:eastAsia="Times New Roman" w:cs="Times New Roman"/>
                <w:b/>
                <w:bCs/>
                <w:color w:val="000000"/>
                <w:sz w:val="20"/>
                <w:szCs w:val="20"/>
              </w:rPr>
              <w:t xml:space="preserve"> </w:t>
            </w:r>
            <w:r w:rsidR="005B145C" w:rsidRPr="000167FD">
              <w:rPr>
                <w:rFonts w:eastAsia="Times New Roman" w:cs="Times New Roman"/>
                <w:b/>
                <w:bCs/>
                <w:color w:val="000000"/>
                <w:sz w:val="20"/>
                <w:szCs w:val="20"/>
              </w:rPr>
              <w:t>Accessibility/</w:t>
            </w:r>
            <w:r w:rsidR="00FC3281" w:rsidRPr="000167FD">
              <w:rPr>
                <w:rFonts w:eastAsia="Times New Roman" w:cs="Times New Roman"/>
                <w:b/>
                <w:bCs/>
                <w:color w:val="000000"/>
                <w:sz w:val="20"/>
                <w:szCs w:val="20"/>
              </w:rPr>
              <w:t>Size</w:t>
            </w:r>
            <w:r w:rsidRPr="000167FD">
              <w:rPr>
                <w:rFonts w:eastAsia="Times New Roman" w:cs="Times New Roman"/>
                <w:b/>
                <w:bCs/>
                <w:color w:val="000000"/>
                <w:sz w:val="20"/>
                <w:szCs w:val="20"/>
              </w:rPr>
              <w:t xml:space="preserve"> Attributes</w:t>
            </w:r>
          </w:p>
        </w:tc>
        <w:tc>
          <w:tcPr>
            <w:tcW w:w="1110" w:type="dxa"/>
            <w:tcBorders>
              <w:top w:val="nil"/>
              <w:left w:val="single" w:sz="4" w:space="0" w:color="auto"/>
              <w:bottom w:val="single" w:sz="4" w:space="0" w:color="auto"/>
              <w:right w:val="nil"/>
            </w:tcBorders>
            <w:shd w:val="clear" w:color="auto" w:fill="auto"/>
            <w:noWrap/>
            <w:vAlign w:val="center"/>
            <w:hideMark/>
          </w:tcPr>
          <w:p w14:paraId="1A18338F" w14:textId="77777777" w:rsidR="00403410" w:rsidRPr="00323017" w:rsidRDefault="00403410" w:rsidP="00403410">
            <w:pPr>
              <w:spacing w:after="0" w:line="240" w:lineRule="auto"/>
              <w:jc w:val="right"/>
              <w:rPr>
                <w:rFonts w:eastAsia="Times New Roman" w:cs="Times New Roman"/>
                <w:color w:val="000000"/>
                <w:sz w:val="20"/>
                <w:szCs w:val="20"/>
              </w:rPr>
            </w:pPr>
            <w:r w:rsidRPr="00323017">
              <w:rPr>
                <w:rFonts w:eastAsia="Times New Roman" w:cs="Times New Roman"/>
                <w:color w:val="000000"/>
                <w:sz w:val="20"/>
                <w:szCs w:val="20"/>
              </w:rPr>
              <w:t> </w:t>
            </w:r>
          </w:p>
        </w:tc>
        <w:tc>
          <w:tcPr>
            <w:tcW w:w="1111" w:type="dxa"/>
            <w:tcBorders>
              <w:top w:val="nil"/>
              <w:left w:val="nil"/>
              <w:bottom w:val="single" w:sz="4" w:space="0" w:color="auto"/>
              <w:right w:val="single" w:sz="4" w:space="0" w:color="auto"/>
            </w:tcBorders>
            <w:shd w:val="clear" w:color="auto" w:fill="auto"/>
            <w:noWrap/>
            <w:vAlign w:val="center"/>
            <w:hideMark/>
          </w:tcPr>
          <w:p w14:paraId="2D7EAA13" w14:textId="77777777" w:rsidR="00403410" w:rsidRPr="000770D9" w:rsidRDefault="00403410" w:rsidP="00403410">
            <w:pPr>
              <w:spacing w:after="0" w:line="240" w:lineRule="auto"/>
              <w:jc w:val="right"/>
              <w:rPr>
                <w:rFonts w:eastAsia="Times New Roman" w:cs="Times New Roman"/>
                <w:color w:val="000000"/>
                <w:sz w:val="20"/>
                <w:szCs w:val="20"/>
              </w:rPr>
            </w:pPr>
            <w:r w:rsidRPr="000770D9">
              <w:rPr>
                <w:rFonts w:eastAsia="Times New Roman" w:cs="Times New Roman"/>
                <w:color w:val="000000"/>
                <w:sz w:val="20"/>
                <w:szCs w:val="20"/>
              </w:rPr>
              <w:t> </w:t>
            </w:r>
          </w:p>
        </w:tc>
        <w:tc>
          <w:tcPr>
            <w:tcW w:w="1111" w:type="dxa"/>
            <w:tcBorders>
              <w:top w:val="nil"/>
              <w:left w:val="nil"/>
              <w:bottom w:val="single" w:sz="4" w:space="0" w:color="auto"/>
              <w:right w:val="nil"/>
            </w:tcBorders>
            <w:shd w:val="clear" w:color="auto" w:fill="auto"/>
            <w:noWrap/>
            <w:vAlign w:val="center"/>
            <w:hideMark/>
          </w:tcPr>
          <w:p w14:paraId="6F4F6C6C" w14:textId="02327743" w:rsidR="00403410" w:rsidRPr="00A31847" w:rsidRDefault="00403410" w:rsidP="00403410">
            <w:pPr>
              <w:spacing w:after="0" w:line="240" w:lineRule="auto"/>
              <w:jc w:val="right"/>
              <w:rPr>
                <w:rFonts w:eastAsia="Times New Roman" w:cs="Times New Roman"/>
                <w:color w:val="000000"/>
                <w:sz w:val="20"/>
                <w:szCs w:val="20"/>
              </w:rPr>
            </w:pPr>
            <w:r w:rsidRPr="00A31847">
              <w:rPr>
                <w:rFonts w:eastAsia="Times New Roman" w:cs="Times New Roman"/>
                <w:color w:val="000000"/>
                <w:sz w:val="20"/>
                <w:szCs w:val="20"/>
              </w:rPr>
              <w:t> </w:t>
            </w:r>
          </w:p>
        </w:tc>
        <w:tc>
          <w:tcPr>
            <w:tcW w:w="1111" w:type="dxa"/>
            <w:tcBorders>
              <w:top w:val="nil"/>
              <w:left w:val="nil"/>
              <w:bottom w:val="single" w:sz="4" w:space="0" w:color="auto"/>
              <w:right w:val="nil"/>
            </w:tcBorders>
            <w:shd w:val="clear" w:color="auto" w:fill="auto"/>
            <w:noWrap/>
            <w:vAlign w:val="center"/>
            <w:hideMark/>
          </w:tcPr>
          <w:p w14:paraId="54FF5D0D" w14:textId="6515EB54" w:rsidR="00403410" w:rsidRPr="009E0FF1" w:rsidRDefault="00403410" w:rsidP="00403410">
            <w:pPr>
              <w:spacing w:after="0" w:line="240" w:lineRule="auto"/>
              <w:jc w:val="right"/>
              <w:rPr>
                <w:rFonts w:eastAsia="Times New Roman" w:cs="Times New Roman"/>
                <w:color w:val="000000"/>
                <w:sz w:val="20"/>
                <w:szCs w:val="20"/>
              </w:rPr>
            </w:pPr>
            <w:r w:rsidRPr="009E0FF1">
              <w:rPr>
                <w:rFonts w:eastAsia="Times New Roman" w:cs="Times New Roman"/>
                <w:color w:val="000000"/>
                <w:sz w:val="20"/>
                <w:szCs w:val="20"/>
              </w:rPr>
              <w:t> </w:t>
            </w:r>
          </w:p>
        </w:tc>
        <w:tc>
          <w:tcPr>
            <w:tcW w:w="1111" w:type="dxa"/>
            <w:tcBorders>
              <w:top w:val="nil"/>
              <w:left w:val="single" w:sz="4" w:space="0" w:color="auto"/>
              <w:bottom w:val="single" w:sz="4" w:space="0" w:color="auto"/>
              <w:right w:val="nil"/>
            </w:tcBorders>
            <w:shd w:val="clear" w:color="auto" w:fill="auto"/>
            <w:noWrap/>
            <w:vAlign w:val="center"/>
            <w:hideMark/>
          </w:tcPr>
          <w:p w14:paraId="63A19243" w14:textId="14F1D2E2" w:rsidR="00403410" w:rsidRPr="006B42BA" w:rsidRDefault="00403410" w:rsidP="00403410">
            <w:pPr>
              <w:spacing w:after="0" w:line="240" w:lineRule="auto"/>
              <w:jc w:val="right"/>
              <w:rPr>
                <w:rFonts w:eastAsia="Times New Roman" w:cs="Times New Roman"/>
                <w:color w:val="000000"/>
                <w:sz w:val="20"/>
                <w:szCs w:val="20"/>
              </w:rPr>
            </w:pPr>
            <w:r w:rsidRPr="006B42BA">
              <w:rPr>
                <w:rFonts w:eastAsia="Times New Roman" w:cs="Times New Roman"/>
                <w:color w:val="000000"/>
                <w:sz w:val="20"/>
                <w:szCs w:val="20"/>
              </w:rPr>
              <w:t> </w:t>
            </w:r>
          </w:p>
        </w:tc>
        <w:tc>
          <w:tcPr>
            <w:tcW w:w="1111" w:type="dxa"/>
            <w:tcBorders>
              <w:top w:val="nil"/>
              <w:left w:val="nil"/>
              <w:bottom w:val="single" w:sz="4" w:space="0" w:color="auto"/>
              <w:right w:val="single" w:sz="4" w:space="0" w:color="auto"/>
            </w:tcBorders>
            <w:shd w:val="clear" w:color="auto" w:fill="auto"/>
            <w:noWrap/>
            <w:vAlign w:val="center"/>
            <w:hideMark/>
          </w:tcPr>
          <w:p w14:paraId="48750CAD" w14:textId="1C33D8A8" w:rsidR="00403410" w:rsidRPr="006B42BA" w:rsidRDefault="00403410" w:rsidP="00403410">
            <w:pPr>
              <w:spacing w:after="0" w:line="240" w:lineRule="auto"/>
              <w:jc w:val="right"/>
              <w:rPr>
                <w:rFonts w:eastAsia="Times New Roman" w:cs="Times New Roman"/>
                <w:color w:val="000000"/>
                <w:sz w:val="20"/>
                <w:szCs w:val="20"/>
              </w:rPr>
            </w:pPr>
            <w:r w:rsidRPr="006B42BA">
              <w:rPr>
                <w:rFonts w:eastAsia="Times New Roman" w:cs="Times New Roman"/>
                <w:color w:val="000000"/>
                <w:sz w:val="20"/>
                <w:szCs w:val="20"/>
              </w:rPr>
              <w:t> </w:t>
            </w:r>
          </w:p>
        </w:tc>
        <w:tc>
          <w:tcPr>
            <w:tcW w:w="1111" w:type="dxa"/>
            <w:tcBorders>
              <w:top w:val="nil"/>
              <w:left w:val="nil"/>
              <w:bottom w:val="single" w:sz="4" w:space="0" w:color="auto"/>
              <w:right w:val="nil"/>
            </w:tcBorders>
            <w:shd w:val="clear" w:color="auto" w:fill="auto"/>
            <w:noWrap/>
            <w:vAlign w:val="center"/>
            <w:hideMark/>
          </w:tcPr>
          <w:p w14:paraId="4D7417BF" w14:textId="77777777" w:rsidR="00403410" w:rsidRPr="006B42BA" w:rsidRDefault="00403410" w:rsidP="00403410">
            <w:pPr>
              <w:spacing w:after="0" w:line="240" w:lineRule="auto"/>
              <w:jc w:val="right"/>
              <w:rPr>
                <w:rFonts w:eastAsia="Times New Roman" w:cs="Times New Roman"/>
                <w:color w:val="000000"/>
                <w:sz w:val="20"/>
                <w:szCs w:val="20"/>
              </w:rPr>
            </w:pPr>
            <w:r w:rsidRPr="006B42BA">
              <w:rPr>
                <w:rFonts w:eastAsia="Times New Roman" w:cs="Times New Roman"/>
                <w:color w:val="000000"/>
                <w:sz w:val="20"/>
                <w:szCs w:val="20"/>
              </w:rPr>
              <w:t> </w:t>
            </w:r>
          </w:p>
        </w:tc>
        <w:tc>
          <w:tcPr>
            <w:tcW w:w="1111" w:type="dxa"/>
            <w:tcBorders>
              <w:top w:val="nil"/>
              <w:left w:val="nil"/>
              <w:bottom w:val="single" w:sz="4" w:space="0" w:color="auto"/>
              <w:right w:val="double" w:sz="6" w:space="0" w:color="auto"/>
            </w:tcBorders>
            <w:shd w:val="clear" w:color="auto" w:fill="auto"/>
            <w:noWrap/>
            <w:vAlign w:val="center"/>
            <w:hideMark/>
          </w:tcPr>
          <w:p w14:paraId="79BFDE7D" w14:textId="77777777" w:rsidR="00403410" w:rsidRPr="006B42BA" w:rsidRDefault="00403410" w:rsidP="00403410">
            <w:pPr>
              <w:spacing w:after="0" w:line="240" w:lineRule="auto"/>
              <w:jc w:val="right"/>
              <w:rPr>
                <w:rFonts w:eastAsia="Times New Roman" w:cs="Times New Roman"/>
                <w:color w:val="000000"/>
                <w:sz w:val="20"/>
                <w:szCs w:val="20"/>
              </w:rPr>
            </w:pPr>
            <w:r w:rsidRPr="006B42BA">
              <w:rPr>
                <w:rFonts w:eastAsia="Times New Roman" w:cs="Times New Roman"/>
                <w:color w:val="000000"/>
                <w:sz w:val="20"/>
                <w:szCs w:val="20"/>
              </w:rPr>
              <w:t> </w:t>
            </w:r>
          </w:p>
        </w:tc>
      </w:tr>
      <w:tr w:rsidR="006B42BA" w:rsidRPr="004A5770" w14:paraId="55887ED4" w14:textId="77777777" w:rsidTr="00873B6F">
        <w:trPr>
          <w:trHeight w:val="224"/>
          <w:jc w:val="center"/>
        </w:trPr>
        <w:tc>
          <w:tcPr>
            <w:tcW w:w="4027" w:type="dxa"/>
            <w:tcBorders>
              <w:top w:val="nil"/>
              <w:left w:val="double" w:sz="6" w:space="0" w:color="auto"/>
              <w:bottom w:val="nil"/>
              <w:right w:val="nil"/>
            </w:tcBorders>
            <w:shd w:val="clear" w:color="auto" w:fill="auto"/>
            <w:noWrap/>
            <w:vAlign w:val="center"/>
            <w:hideMark/>
          </w:tcPr>
          <w:p w14:paraId="0A15AB83" w14:textId="5ECEA70A" w:rsidR="006B42BA" w:rsidRPr="000167FD" w:rsidRDefault="006B42BA" w:rsidP="006B42BA">
            <w:pPr>
              <w:spacing w:after="0" w:line="240" w:lineRule="auto"/>
              <w:rPr>
                <w:rFonts w:eastAsia="Times New Roman" w:cs="Times New Roman"/>
                <w:i/>
                <w:color w:val="000000"/>
                <w:sz w:val="20"/>
                <w:szCs w:val="20"/>
              </w:rPr>
            </w:pPr>
            <w:r w:rsidRPr="000167FD">
              <w:rPr>
                <w:rFonts w:eastAsia="Times New Roman" w:cs="Times New Roman"/>
                <w:i/>
                <w:color w:val="000000"/>
                <w:sz w:val="20"/>
                <w:szCs w:val="20"/>
              </w:rPr>
              <w:t>Retail and service accessibility (/10</w:t>
            </w:r>
            <w:r>
              <w:rPr>
                <w:rFonts w:eastAsia="Times New Roman" w:cs="Times New Roman"/>
                <w:i/>
                <w:color w:val="000000"/>
                <w:sz w:val="20"/>
                <w:szCs w:val="20"/>
                <w:vertAlign w:val="superscript"/>
              </w:rPr>
              <w:t>4</w:t>
            </w:r>
            <w:r w:rsidRPr="000167FD">
              <w:rPr>
                <w:rFonts w:eastAsia="Times New Roman" w:cs="Times New Roman"/>
                <w:i/>
                <w:color w:val="000000"/>
                <w:sz w:val="20"/>
                <w:szCs w:val="20"/>
              </w:rPr>
              <w:t>)</w:t>
            </w:r>
          </w:p>
        </w:tc>
        <w:tc>
          <w:tcPr>
            <w:tcW w:w="1110" w:type="dxa"/>
            <w:tcBorders>
              <w:top w:val="nil"/>
              <w:left w:val="single" w:sz="4" w:space="0" w:color="auto"/>
              <w:bottom w:val="nil"/>
              <w:right w:val="nil"/>
            </w:tcBorders>
            <w:shd w:val="clear" w:color="auto" w:fill="auto"/>
            <w:noWrap/>
            <w:vAlign w:val="center"/>
            <w:hideMark/>
          </w:tcPr>
          <w:p w14:paraId="7C617C61" w14:textId="38EB1542"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0.3774</w:t>
            </w:r>
          </w:p>
        </w:tc>
        <w:tc>
          <w:tcPr>
            <w:tcW w:w="1111" w:type="dxa"/>
            <w:tcBorders>
              <w:top w:val="nil"/>
              <w:left w:val="nil"/>
              <w:bottom w:val="nil"/>
              <w:right w:val="single" w:sz="4" w:space="0" w:color="auto"/>
            </w:tcBorders>
            <w:shd w:val="clear" w:color="auto" w:fill="auto"/>
            <w:noWrap/>
            <w:vAlign w:val="center"/>
            <w:hideMark/>
          </w:tcPr>
          <w:p w14:paraId="42ED937E" w14:textId="2D9B4AA9"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47.70</w:t>
            </w:r>
          </w:p>
        </w:tc>
        <w:tc>
          <w:tcPr>
            <w:tcW w:w="1111" w:type="dxa"/>
            <w:tcBorders>
              <w:top w:val="nil"/>
              <w:left w:val="nil"/>
              <w:bottom w:val="nil"/>
              <w:right w:val="nil"/>
            </w:tcBorders>
            <w:shd w:val="clear" w:color="auto" w:fill="auto"/>
            <w:noWrap/>
            <w:vAlign w:val="center"/>
            <w:hideMark/>
          </w:tcPr>
          <w:p w14:paraId="2F402529" w14:textId="398C0C63"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0.4547</w:t>
            </w:r>
          </w:p>
        </w:tc>
        <w:tc>
          <w:tcPr>
            <w:tcW w:w="1111" w:type="dxa"/>
            <w:tcBorders>
              <w:top w:val="nil"/>
              <w:left w:val="nil"/>
              <w:bottom w:val="nil"/>
              <w:right w:val="nil"/>
            </w:tcBorders>
            <w:shd w:val="clear" w:color="auto" w:fill="auto"/>
            <w:noWrap/>
            <w:vAlign w:val="center"/>
            <w:hideMark/>
          </w:tcPr>
          <w:p w14:paraId="4ADE6E4F" w14:textId="4CC40762"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80.70</w:t>
            </w:r>
          </w:p>
        </w:tc>
        <w:tc>
          <w:tcPr>
            <w:tcW w:w="1111" w:type="dxa"/>
            <w:tcBorders>
              <w:top w:val="nil"/>
              <w:left w:val="single" w:sz="4" w:space="0" w:color="auto"/>
              <w:bottom w:val="nil"/>
              <w:right w:val="nil"/>
            </w:tcBorders>
            <w:shd w:val="clear" w:color="auto" w:fill="auto"/>
            <w:noWrap/>
            <w:vAlign w:val="center"/>
            <w:hideMark/>
          </w:tcPr>
          <w:p w14:paraId="523AB36D" w14:textId="175C1724"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0.4865</w:t>
            </w:r>
          </w:p>
        </w:tc>
        <w:tc>
          <w:tcPr>
            <w:tcW w:w="1111" w:type="dxa"/>
            <w:tcBorders>
              <w:top w:val="nil"/>
              <w:left w:val="nil"/>
              <w:bottom w:val="nil"/>
              <w:right w:val="single" w:sz="4" w:space="0" w:color="auto"/>
            </w:tcBorders>
            <w:shd w:val="clear" w:color="auto" w:fill="auto"/>
            <w:noWrap/>
            <w:vAlign w:val="center"/>
            <w:hideMark/>
          </w:tcPr>
          <w:p w14:paraId="31023790" w14:textId="42F08011"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71.00</w:t>
            </w:r>
          </w:p>
        </w:tc>
        <w:tc>
          <w:tcPr>
            <w:tcW w:w="1111" w:type="dxa"/>
            <w:tcBorders>
              <w:top w:val="nil"/>
              <w:left w:val="nil"/>
              <w:bottom w:val="nil"/>
              <w:right w:val="nil"/>
            </w:tcBorders>
            <w:shd w:val="clear" w:color="auto" w:fill="auto"/>
            <w:noWrap/>
            <w:vAlign w:val="center"/>
            <w:hideMark/>
          </w:tcPr>
          <w:p w14:paraId="3D1A566C" w14:textId="1F6DEAAA"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0.7570</w:t>
            </w:r>
          </w:p>
        </w:tc>
        <w:tc>
          <w:tcPr>
            <w:tcW w:w="1111" w:type="dxa"/>
            <w:tcBorders>
              <w:top w:val="nil"/>
              <w:left w:val="nil"/>
              <w:bottom w:val="nil"/>
              <w:right w:val="double" w:sz="6" w:space="0" w:color="auto"/>
            </w:tcBorders>
            <w:shd w:val="clear" w:color="auto" w:fill="auto"/>
            <w:noWrap/>
            <w:vAlign w:val="center"/>
            <w:hideMark/>
          </w:tcPr>
          <w:p w14:paraId="36722F2C" w14:textId="56D0311B"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184.28</w:t>
            </w:r>
          </w:p>
        </w:tc>
      </w:tr>
      <w:tr w:rsidR="000167FD" w:rsidRPr="004A5770" w14:paraId="50E16416" w14:textId="77777777" w:rsidTr="00873B6F">
        <w:trPr>
          <w:trHeight w:val="224"/>
          <w:jc w:val="center"/>
        </w:trPr>
        <w:tc>
          <w:tcPr>
            <w:tcW w:w="4027" w:type="dxa"/>
            <w:tcBorders>
              <w:top w:val="nil"/>
              <w:left w:val="double" w:sz="6" w:space="0" w:color="auto"/>
              <w:bottom w:val="nil"/>
              <w:right w:val="nil"/>
            </w:tcBorders>
            <w:shd w:val="clear" w:color="auto" w:fill="auto"/>
            <w:noWrap/>
            <w:vAlign w:val="center"/>
          </w:tcPr>
          <w:p w14:paraId="58A7824D" w14:textId="74F4F5D0" w:rsidR="005514D6" w:rsidRPr="000167FD" w:rsidRDefault="005514D6" w:rsidP="00876C25">
            <w:pPr>
              <w:spacing w:after="0" w:line="240" w:lineRule="auto"/>
              <w:rPr>
                <w:rFonts w:eastAsia="Times New Roman" w:cs="Times New Roman"/>
                <w:i/>
                <w:color w:val="000000"/>
                <w:sz w:val="20"/>
                <w:szCs w:val="20"/>
              </w:rPr>
            </w:pPr>
            <w:r w:rsidRPr="000167FD">
              <w:rPr>
                <w:rFonts w:eastAsia="Times New Roman" w:cs="Times New Roman"/>
                <w:i/>
                <w:color w:val="000000"/>
                <w:sz w:val="20"/>
                <w:szCs w:val="20"/>
              </w:rPr>
              <w:t>Size measure</w:t>
            </w:r>
            <w:r w:rsidR="00387D7B" w:rsidRPr="000167FD">
              <w:rPr>
                <w:rFonts w:eastAsia="Times New Roman" w:cs="Times New Roman"/>
                <w:i/>
                <w:color w:val="000000"/>
                <w:sz w:val="20"/>
                <w:szCs w:val="20"/>
              </w:rPr>
              <w:t>s</w:t>
            </w:r>
          </w:p>
        </w:tc>
        <w:tc>
          <w:tcPr>
            <w:tcW w:w="1110" w:type="dxa"/>
            <w:tcBorders>
              <w:top w:val="nil"/>
              <w:left w:val="single" w:sz="4" w:space="0" w:color="auto"/>
              <w:bottom w:val="nil"/>
              <w:right w:val="nil"/>
            </w:tcBorders>
            <w:shd w:val="clear" w:color="auto" w:fill="auto"/>
            <w:noWrap/>
            <w:vAlign w:val="center"/>
          </w:tcPr>
          <w:p w14:paraId="2D3E9EA3" w14:textId="77777777" w:rsidR="005514D6" w:rsidRPr="00323017" w:rsidRDefault="005514D6" w:rsidP="00FC3281">
            <w:pPr>
              <w:spacing w:after="0" w:line="240" w:lineRule="auto"/>
              <w:jc w:val="right"/>
              <w:rPr>
                <w:rFonts w:eastAsia="Times New Roman" w:cs="Times New Roman"/>
                <w:color w:val="000000"/>
                <w:sz w:val="20"/>
                <w:szCs w:val="20"/>
              </w:rPr>
            </w:pPr>
          </w:p>
        </w:tc>
        <w:tc>
          <w:tcPr>
            <w:tcW w:w="1111" w:type="dxa"/>
            <w:tcBorders>
              <w:top w:val="nil"/>
              <w:left w:val="nil"/>
              <w:bottom w:val="nil"/>
              <w:right w:val="single" w:sz="4" w:space="0" w:color="auto"/>
            </w:tcBorders>
            <w:shd w:val="clear" w:color="auto" w:fill="auto"/>
            <w:noWrap/>
            <w:vAlign w:val="center"/>
          </w:tcPr>
          <w:p w14:paraId="5658A4D0" w14:textId="77777777" w:rsidR="005514D6" w:rsidRPr="000770D9" w:rsidRDefault="005514D6" w:rsidP="00FC3281">
            <w:pPr>
              <w:spacing w:after="0" w:line="240" w:lineRule="auto"/>
              <w:jc w:val="right"/>
              <w:rPr>
                <w:rFonts w:eastAsia="Times New Roman" w:cs="Times New Roman"/>
                <w:color w:val="000000"/>
                <w:sz w:val="20"/>
                <w:szCs w:val="20"/>
              </w:rPr>
            </w:pPr>
          </w:p>
        </w:tc>
        <w:tc>
          <w:tcPr>
            <w:tcW w:w="1111" w:type="dxa"/>
            <w:tcBorders>
              <w:top w:val="nil"/>
              <w:left w:val="nil"/>
              <w:bottom w:val="nil"/>
              <w:right w:val="nil"/>
            </w:tcBorders>
            <w:shd w:val="clear" w:color="auto" w:fill="auto"/>
            <w:noWrap/>
            <w:vAlign w:val="center"/>
          </w:tcPr>
          <w:p w14:paraId="21B791FC" w14:textId="77777777" w:rsidR="005514D6" w:rsidRPr="00A31847" w:rsidRDefault="005514D6" w:rsidP="00FC3281">
            <w:pPr>
              <w:spacing w:after="0" w:line="240" w:lineRule="auto"/>
              <w:jc w:val="right"/>
              <w:rPr>
                <w:rFonts w:eastAsia="Times New Roman" w:cs="Times New Roman"/>
                <w:color w:val="000000"/>
                <w:sz w:val="20"/>
                <w:szCs w:val="20"/>
              </w:rPr>
            </w:pPr>
          </w:p>
        </w:tc>
        <w:tc>
          <w:tcPr>
            <w:tcW w:w="1111" w:type="dxa"/>
            <w:tcBorders>
              <w:top w:val="nil"/>
              <w:left w:val="nil"/>
              <w:bottom w:val="nil"/>
              <w:right w:val="single" w:sz="4" w:space="0" w:color="auto"/>
            </w:tcBorders>
            <w:shd w:val="clear" w:color="auto" w:fill="auto"/>
            <w:noWrap/>
            <w:vAlign w:val="center"/>
          </w:tcPr>
          <w:p w14:paraId="1A6842E5" w14:textId="77777777" w:rsidR="005514D6" w:rsidRPr="009E0FF1" w:rsidRDefault="005514D6" w:rsidP="00FC3281">
            <w:pPr>
              <w:spacing w:after="0" w:line="240" w:lineRule="auto"/>
              <w:jc w:val="right"/>
              <w:rPr>
                <w:rFonts w:eastAsia="Times New Roman" w:cs="Times New Roman"/>
                <w:color w:val="000000"/>
                <w:sz w:val="20"/>
                <w:szCs w:val="20"/>
              </w:rPr>
            </w:pPr>
          </w:p>
        </w:tc>
        <w:tc>
          <w:tcPr>
            <w:tcW w:w="1111" w:type="dxa"/>
            <w:tcBorders>
              <w:top w:val="nil"/>
              <w:left w:val="nil"/>
              <w:bottom w:val="nil"/>
              <w:right w:val="nil"/>
            </w:tcBorders>
            <w:shd w:val="clear" w:color="auto" w:fill="auto"/>
            <w:noWrap/>
            <w:vAlign w:val="center"/>
          </w:tcPr>
          <w:p w14:paraId="2CDB1692" w14:textId="77777777" w:rsidR="005514D6" w:rsidRPr="006B42BA" w:rsidRDefault="005514D6" w:rsidP="00FC3281">
            <w:pPr>
              <w:spacing w:after="0" w:line="240" w:lineRule="auto"/>
              <w:jc w:val="right"/>
              <w:rPr>
                <w:rFonts w:eastAsia="Times New Roman" w:cs="Times New Roman"/>
                <w:color w:val="000000"/>
                <w:sz w:val="20"/>
                <w:szCs w:val="20"/>
              </w:rPr>
            </w:pPr>
          </w:p>
        </w:tc>
        <w:tc>
          <w:tcPr>
            <w:tcW w:w="1111" w:type="dxa"/>
            <w:tcBorders>
              <w:top w:val="nil"/>
              <w:left w:val="nil"/>
              <w:bottom w:val="nil"/>
              <w:right w:val="single" w:sz="4" w:space="0" w:color="auto"/>
            </w:tcBorders>
            <w:shd w:val="clear" w:color="auto" w:fill="auto"/>
            <w:noWrap/>
            <w:vAlign w:val="center"/>
          </w:tcPr>
          <w:p w14:paraId="6BFDAE89" w14:textId="77777777" w:rsidR="005514D6" w:rsidRPr="006B42BA" w:rsidRDefault="005514D6" w:rsidP="00FC3281">
            <w:pPr>
              <w:spacing w:after="0" w:line="240" w:lineRule="auto"/>
              <w:jc w:val="right"/>
              <w:rPr>
                <w:rFonts w:eastAsia="Times New Roman" w:cs="Times New Roman"/>
                <w:color w:val="000000"/>
                <w:sz w:val="20"/>
                <w:szCs w:val="20"/>
              </w:rPr>
            </w:pPr>
          </w:p>
        </w:tc>
        <w:tc>
          <w:tcPr>
            <w:tcW w:w="1111" w:type="dxa"/>
            <w:tcBorders>
              <w:top w:val="nil"/>
              <w:left w:val="nil"/>
              <w:bottom w:val="nil"/>
              <w:right w:val="nil"/>
            </w:tcBorders>
            <w:shd w:val="clear" w:color="auto" w:fill="auto"/>
            <w:noWrap/>
            <w:vAlign w:val="center"/>
          </w:tcPr>
          <w:p w14:paraId="7E1DB341" w14:textId="77777777" w:rsidR="005514D6" w:rsidRPr="006B42BA" w:rsidRDefault="005514D6" w:rsidP="00FC3281">
            <w:pPr>
              <w:spacing w:after="0" w:line="240" w:lineRule="auto"/>
              <w:jc w:val="right"/>
              <w:rPr>
                <w:rFonts w:eastAsia="Times New Roman" w:cs="Times New Roman"/>
                <w:color w:val="000000"/>
                <w:sz w:val="20"/>
                <w:szCs w:val="20"/>
              </w:rPr>
            </w:pPr>
          </w:p>
        </w:tc>
        <w:tc>
          <w:tcPr>
            <w:tcW w:w="1111" w:type="dxa"/>
            <w:tcBorders>
              <w:top w:val="nil"/>
              <w:left w:val="nil"/>
              <w:bottom w:val="nil"/>
              <w:right w:val="double" w:sz="6" w:space="0" w:color="auto"/>
            </w:tcBorders>
            <w:shd w:val="clear" w:color="auto" w:fill="auto"/>
            <w:noWrap/>
            <w:vAlign w:val="center"/>
          </w:tcPr>
          <w:p w14:paraId="5472BD9F" w14:textId="77777777" w:rsidR="005514D6" w:rsidRPr="006B42BA" w:rsidRDefault="005514D6" w:rsidP="00FC3281">
            <w:pPr>
              <w:spacing w:after="0" w:line="240" w:lineRule="auto"/>
              <w:jc w:val="right"/>
              <w:rPr>
                <w:rFonts w:eastAsia="Times New Roman" w:cs="Times New Roman"/>
                <w:color w:val="000000"/>
                <w:sz w:val="20"/>
                <w:szCs w:val="20"/>
              </w:rPr>
            </w:pPr>
          </w:p>
        </w:tc>
      </w:tr>
      <w:tr w:rsidR="000167FD" w:rsidRPr="004A5770" w14:paraId="67514B86" w14:textId="77777777" w:rsidTr="00873B6F">
        <w:trPr>
          <w:trHeight w:val="224"/>
          <w:jc w:val="center"/>
        </w:trPr>
        <w:tc>
          <w:tcPr>
            <w:tcW w:w="4027" w:type="dxa"/>
            <w:tcBorders>
              <w:top w:val="nil"/>
              <w:left w:val="double" w:sz="6" w:space="0" w:color="auto"/>
              <w:bottom w:val="nil"/>
              <w:right w:val="nil"/>
            </w:tcBorders>
            <w:shd w:val="clear" w:color="auto" w:fill="auto"/>
            <w:noWrap/>
            <w:vAlign w:val="center"/>
          </w:tcPr>
          <w:p w14:paraId="324ED547" w14:textId="55207799" w:rsidR="00387D7B" w:rsidRPr="000167FD" w:rsidRDefault="00387D7B" w:rsidP="00876C25">
            <w:pPr>
              <w:spacing w:after="0" w:line="240" w:lineRule="auto"/>
              <w:ind w:firstLineChars="115" w:firstLine="230"/>
              <w:rPr>
                <w:rFonts w:eastAsia="Times New Roman" w:cs="Times New Roman"/>
                <w:i/>
                <w:color w:val="000000"/>
                <w:sz w:val="20"/>
                <w:szCs w:val="20"/>
              </w:rPr>
            </w:pPr>
            <w:r w:rsidRPr="000167FD">
              <w:rPr>
                <w:rFonts w:eastAsia="Times New Roman" w:cs="Times New Roman"/>
                <w:i/>
                <w:color w:val="000000"/>
                <w:sz w:val="20"/>
                <w:szCs w:val="20"/>
              </w:rPr>
              <w:t>Employment variables</w:t>
            </w:r>
          </w:p>
        </w:tc>
        <w:tc>
          <w:tcPr>
            <w:tcW w:w="1110" w:type="dxa"/>
            <w:tcBorders>
              <w:top w:val="nil"/>
              <w:left w:val="single" w:sz="4" w:space="0" w:color="auto"/>
              <w:bottom w:val="nil"/>
              <w:right w:val="nil"/>
            </w:tcBorders>
            <w:shd w:val="clear" w:color="auto" w:fill="auto"/>
            <w:noWrap/>
            <w:vAlign w:val="center"/>
          </w:tcPr>
          <w:p w14:paraId="1558C72F" w14:textId="77777777" w:rsidR="00387D7B" w:rsidRPr="00323017" w:rsidRDefault="00387D7B" w:rsidP="00FC3281">
            <w:pPr>
              <w:spacing w:after="0" w:line="240" w:lineRule="auto"/>
              <w:jc w:val="right"/>
              <w:rPr>
                <w:rFonts w:eastAsia="Times New Roman" w:cs="Times New Roman"/>
                <w:color w:val="000000"/>
                <w:sz w:val="20"/>
                <w:szCs w:val="20"/>
              </w:rPr>
            </w:pPr>
          </w:p>
        </w:tc>
        <w:tc>
          <w:tcPr>
            <w:tcW w:w="1111" w:type="dxa"/>
            <w:tcBorders>
              <w:top w:val="nil"/>
              <w:left w:val="nil"/>
              <w:bottom w:val="nil"/>
              <w:right w:val="single" w:sz="4" w:space="0" w:color="auto"/>
            </w:tcBorders>
            <w:shd w:val="clear" w:color="auto" w:fill="auto"/>
            <w:noWrap/>
            <w:vAlign w:val="center"/>
          </w:tcPr>
          <w:p w14:paraId="09DE1564" w14:textId="77777777" w:rsidR="00387D7B" w:rsidRPr="000770D9" w:rsidRDefault="00387D7B" w:rsidP="00FC3281">
            <w:pPr>
              <w:spacing w:after="0" w:line="240" w:lineRule="auto"/>
              <w:jc w:val="right"/>
              <w:rPr>
                <w:rFonts w:eastAsia="Times New Roman" w:cs="Times New Roman"/>
                <w:color w:val="000000"/>
                <w:sz w:val="20"/>
                <w:szCs w:val="20"/>
              </w:rPr>
            </w:pPr>
          </w:p>
        </w:tc>
        <w:tc>
          <w:tcPr>
            <w:tcW w:w="1111" w:type="dxa"/>
            <w:tcBorders>
              <w:top w:val="nil"/>
              <w:left w:val="nil"/>
              <w:bottom w:val="nil"/>
              <w:right w:val="nil"/>
            </w:tcBorders>
            <w:shd w:val="clear" w:color="auto" w:fill="auto"/>
            <w:noWrap/>
            <w:vAlign w:val="center"/>
          </w:tcPr>
          <w:p w14:paraId="27E76376" w14:textId="77777777" w:rsidR="00387D7B" w:rsidRPr="00A31847" w:rsidRDefault="00387D7B" w:rsidP="00FC3281">
            <w:pPr>
              <w:spacing w:after="0" w:line="240" w:lineRule="auto"/>
              <w:jc w:val="right"/>
              <w:rPr>
                <w:rFonts w:eastAsia="Times New Roman" w:cs="Times New Roman"/>
                <w:color w:val="000000"/>
                <w:sz w:val="20"/>
                <w:szCs w:val="20"/>
              </w:rPr>
            </w:pPr>
          </w:p>
        </w:tc>
        <w:tc>
          <w:tcPr>
            <w:tcW w:w="1111" w:type="dxa"/>
            <w:tcBorders>
              <w:top w:val="nil"/>
              <w:left w:val="nil"/>
              <w:bottom w:val="nil"/>
              <w:right w:val="single" w:sz="4" w:space="0" w:color="auto"/>
            </w:tcBorders>
            <w:shd w:val="clear" w:color="auto" w:fill="auto"/>
            <w:noWrap/>
            <w:vAlign w:val="center"/>
          </w:tcPr>
          <w:p w14:paraId="72DF804E" w14:textId="77777777" w:rsidR="00387D7B" w:rsidRPr="009E0FF1" w:rsidRDefault="00387D7B" w:rsidP="00FC3281">
            <w:pPr>
              <w:spacing w:after="0" w:line="240" w:lineRule="auto"/>
              <w:jc w:val="right"/>
              <w:rPr>
                <w:rFonts w:eastAsia="Times New Roman" w:cs="Times New Roman"/>
                <w:color w:val="000000"/>
                <w:sz w:val="20"/>
                <w:szCs w:val="20"/>
              </w:rPr>
            </w:pPr>
          </w:p>
        </w:tc>
        <w:tc>
          <w:tcPr>
            <w:tcW w:w="1111" w:type="dxa"/>
            <w:tcBorders>
              <w:top w:val="nil"/>
              <w:left w:val="nil"/>
              <w:bottom w:val="nil"/>
              <w:right w:val="nil"/>
            </w:tcBorders>
            <w:shd w:val="clear" w:color="auto" w:fill="auto"/>
            <w:noWrap/>
            <w:vAlign w:val="center"/>
          </w:tcPr>
          <w:p w14:paraId="034A1365" w14:textId="77777777" w:rsidR="00387D7B" w:rsidRPr="006B42BA" w:rsidRDefault="00387D7B" w:rsidP="00FC3281">
            <w:pPr>
              <w:spacing w:after="0" w:line="240" w:lineRule="auto"/>
              <w:jc w:val="right"/>
              <w:rPr>
                <w:rFonts w:eastAsia="Times New Roman" w:cs="Times New Roman"/>
                <w:color w:val="000000"/>
                <w:sz w:val="20"/>
                <w:szCs w:val="20"/>
              </w:rPr>
            </w:pPr>
          </w:p>
        </w:tc>
        <w:tc>
          <w:tcPr>
            <w:tcW w:w="1111" w:type="dxa"/>
            <w:tcBorders>
              <w:top w:val="nil"/>
              <w:left w:val="nil"/>
              <w:bottom w:val="nil"/>
              <w:right w:val="single" w:sz="4" w:space="0" w:color="auto"/>
            </w:tcBorders>
            <w:shd w:val="clear" w:color="auto" w:fill="auto"/>
            <w:noWrap/>
            <w:vAlign w:val="center"/>
          </w:tcPr>
          <w:p w14:paraId="4BD6C243" w14:textId="77777777" w:rsidR="00387D7B" w:rsidRPr="006B42BA" w:rsidRDefault="00387D7B" w:rsidP="00FC3281">
            <w:pPr>
              <w:spacing w:after="0" w:line="240" w:lineRule="auto"/>
              <w:jc w:val="right"/>
              <w:rPr>
                <w:rFonts w:eastAsia="Times New Roman" w:cs="Times New Roman"/>
                <w:color w:val="000000"/>
                <w:sz w:val="20"/>
                <w:szCs w:val="20"/>
              </w:rPr>
            </w:pPr>
          </w:p>
        </w:tc>
        <w:tc>
          <w:tcPr>
            <w:tcW w:w="1111" w:type="dxa"/>
            <w:tcBorders>
              <w:top w:val="nil"/>
              <w:left w:val="nil"/>
              <w:bottom w:val="nil"/>
              <w:right w:val="nil"/>
            </w:tcBorders>
            <w:shd w:val="clear" w:color="auto" w:fill="auto"/>
            <w:noWrap/>
            <w:vAlign w:val="center"/>
          </w:tcPr>
          <w:p w14:paraId="08E76381" w14:textId="77777777" w:rsidR="00387D7B" w:rsidRPr="006B42BA" w:rsidRDefault="00387D7B" w:rsidP="00FC3281">
            <w:pPr>
              <w:spacing w:after="0" w:line="240" w:lineRule="auto"/>
              <w:jc w:val="right"/>
              <w:rPr>
                <w:rFonts w:eastAsia="Times New Roman" w:cs="Times New Roman"/>
                <w:color w:val="000000"/>
                <w:sz w:val="20"/>
                <w:szCs w:val="20"/>
              </w:rPr>
            </w:pPr>
          </w:p>
        </w:tc>
        <w:tc>
          <w:tcPr>
            <w:tcW w:w="1111" w:type="dxa"/>
            <w:tcBorders>
              <w:top w:val="nil"/>
              <w:left w:val="nil"/>
              <w:bottom w:val="nil"/>
              <w:right w:val="double" w:sz="6" w:space="0" w:color="auto"/>
            </w:tcBorders>
            <w:shd w:val="clear" w:color="auto" w:fill="auto"/>
            <w:noWrap/>
            <w:vAlign w:val="center"/>
          </w:tcPr>
          <w:p w14:paraId="2FE10A34" w14:textId="77777777" w:rsidR="00387D7B" w:rsidRPr="006B42BA" w:rsidRDefault="00387D7B" w:rsidP="00FC3281">
            <w:pPr>
              <w:spacing w:after="0" w:line="240" w:lineRule="auto"/>
              <w:jc w:val="right"/>
              <w:rPr>
                <w:rFonts w:eastAsia="Times New Roman" w:cs="Times New Roman"/>
                <w:color w:val="000000"/>
                <w:sz w:val="20"/>
                <w:szCs w:val="20"/>
              </w:rPr>
            </w:pPr>
          </w:p>
        </w:tc>
      </w:tr>
      <w:tr w:rsidR="006B42BA" w:rsidRPr="004A5770" w14:paraId="4B9A8B37" w14:textId="77777777" w:rsidTr="00873B6F">
        <w:trPr>
          <w:trHeight w:val="224"/>
          <w:jc w:val="center"/>
        </w:trPr>
        <w:tc>
          <w:tcPr>
            <w:tcW w:w="4027" w:type="dxa"/>
            <w:tcBorders>
              <w:top w:val="nil"/>
              <w:left w:val="double" w:sz="6" w:space="0" w:color="auto"/>
              <w:bottom w:val="nil"/>
              <w:right w:val="nil"/>
            </w:tcBorders>
            <w:shd w:val="clear" w:color="auto" w:fill="auto"/>
            <w:noWrap/>
            <w:vAlign w:val="center"/>
            <w:hideMark/>
          </w:tcPr>
          <w:p w14:paraId="70766EAB" w14:textId="77777777" w:rsidR="006B42BA" w:rsidRPr="000167FD" w:rsidRDefault="006B42BA" w:rsidP="006B42BA">
            <w:pPr>
              <w:spacing w:after="0" w:line="240" w:lineRule="auto"/>
              <w:ind w:left="225" w:firstLineChars="115" w:firstLine="230"/>
              <w:rPr>
                <w:rFonts w:eastAsia="Times New Roman" w:cs="Times New Roman"/>
                <w:color w:val="000000"/>
                <w:sz w:val="20"/>
                <w:szCs w:val="20"/>
              </w:rPr>
            </w:pPr>
            <w:r w:rsidRPr="000167FD">
              <w:rPr>
                <w:rFonts w:eastAsia="Times New Roman" w:cs="Times New Roman"/>
                <w:color w:val="000000"/>
                <w:sz w:val="20"/>
                <w:szCs w:val="20"/>
              </w:rPr>
              <w:t>Retail employment</w:t>
            </w:r>
          </w:p>
        </w:tc>
        <w:tc>
          <w:tcPr>
            <w:tcW w:w="1110" w:type="dxa"/>
            <w:tcBorders>
              <w:top w:val="nil"/>
              <w:left w:val="single" w:sz="4" w:space="0" w:color="auto"/>
              <w:bottom w:val="nil"/>
              <w:right w:val="nil"/>
            </w:tcBorders>
            <w:shd w:val="clear" w:color="auto" w:fill="auto"/>
            <w:noWrap/>
            <w:vAlign w:val="center"/>
            <w:hideMark/>
          </w:tcPr>
          <w:p w14:paraId="0A80864B" w14:textId="0BF8BF3D" w:rsidR="006B42BA" w:rsidRPr="000770D9"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1.0000</w:t>
            </w:r>
          </w:p>
        </w:tc>
        <w:tc>
          <w:tcPr>
            <w:tcW w:w="1111" w:type="dxa"/>
            <w:tcBorders>
              <w:top w:val="nil"/>
              <w:left w:val="nil"/>
              <w:bottom w:val="nil"/>
              <w:right w:val="single" w:sz="4" w:space="0" w:color="auto"/>
            </w:tcBorders>
            <w:shd w:val="clear" w:color="auto" w:fill="auto"/>
            <w:noWrap/>
            <w:vAlign w:val="center"/>
            <w:hideMark/>
          </w:tcPr>
          <w:p w14:paraId="7FAC9B92" w14:textId="60CD4640"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(fixed)</w:t>
            </w:r>
          </w:p>
        </w:tc>
        <w:tc>
          <w:tcPr>
            <w:tcW w:w="1111" w:type="dxa"/>
            <w:tcBorders>
              <w:top w:val="nil"/>
              <w:left w:val="nil"/>
              <w:bottom w:val="nil"/>
              <w:right w:val="nil"/>
            </w:tcBorders>
            <w:shd w:val="clear" w:color="auto" w:fill="auto"/>
            <w:noWrap/>
            <w:vAlign w:val="center"/>
            <w:hideMark/>
          </w:tcPr>
          <w:p w14:paraId="1BD93650" w14:textId="3E0CDCD7"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1.0000</w:t>
            </w:r>
          </w:p>
        </w:tc>
        <w:tc>
          <w:tcPr>
            <w:tcW w:w="1111" w:type="dxa"/>
            <w:tcBorders>
              <w:top w:val="nil"/>
              <w:left w:val="nil"/>
              <w:bottom w:val="nil"/>
              <w:right w:val="single" w:sz="4" w:space="0" w:color="auto"/>
            </w:tcBorders>
            <w:shd w:val="clear" w:color="auto" w:fill="auto"/>
            <w:noWrap/>
            <w:vAlign w:val="center"/>
            <w:hideMark/>
          </w:tcPr>
          <w:p w14:paraId="770561B8" w14:textId="0E810AE9"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(fixed)</w:t>
            </w:r>
          </w:p>
        </w:tc>
        <w:tc>
          <w:tcPr>
            <w:tcW w:w="1111" w:type="dxa"/>
            <w:tcBorders>
              <w:top w:val="nil"/>
              <w:left w:val="nil"/>
              <w:bottom w:val="nil"/>
              <w:right w:val="nil"/>
            </w:tcBorders>
            <w:shd w:val="clear" w:color="auto" w:fill="auto"/>
            <w:noWrap/>
            <w:vAlign w:val="center"/>
            <w:hideMark/>
          </w:tcPr>
          <w:p w14:paraId="2482B4B3" w14:textId="078C4837"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1.0000</w:t>
            </w:r>
          </w:p>
        </w:tc>
        <w:tc>
          <w:tcPr>
            <w:tcW w:w="1111" w:type="dxa"/>
            <w:tcBorders>
              <w:top w:val="nil"/>
              <w:left w:val="nil"/>
              <w:bottom w:val="nil"/>
              <w:right w:val="single" w:sz="4" w:space="0" w:color="auto"/>
            </w:tcBorders>
            <w:shd w:val="clear" w:color="auto" w:fill="auto"/>
            <w:noWrap/>
            <w:vAlign w:val="center"/>
            <w:hideMark/>
          </w:tcPr>
          <w:p w14:paraId="455AFD63" w14:textId="2BBB28F8"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(fixed)</w:t>
            </w:r>
          </w:p>
        </w:tc>
        <w:tc>
          <w:tcPr>
            <w:tcW w:w="1111" w:type="dxa"/>
            <w:tcBorders>
              <w:top w:val="nil"/>
              <w:left w:val="nil"/>
              <w:bottom w:val="nil"/>
              <w:right w:val="nil"/>
            </w:tcBorders>
            <w:shd w:val="clear" w:color="auto" w:fill="auto"/>
            <w:noWrap/>
            <w:vAlign w:val="center"/>
            <w:hideMark/>
          </w:tcPr>
          <w:p w14:paraId="4EB787F2" w14:textId="461F7468"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1.0000</w:t>
            </w:r>
          </w:p>
        </w:tc>
        <w:tc>
          <w:tcPr>
            <w:tcW w:w="1111" w:type="dxa"/>
            <w:tcBorders>
              <w:top w:val="nil"/>
              <w:left w:val="nil"/>
              <w:bottom w:val="nil"/>
              <w:right w:val="double" w:sz="6" w:space="0" w:color="auto"/>
            </w:tcBorders>
            <w:shd w:val="clear" w:color="auto" w:fill="auto"/>
            <w:noWrap/>
            <w:vAlign w:val="center"/>
            <w:hideMark/>
          </w:tcPr>
          <w:p w14:paraId="71E7259A" w14:textId="3FC18A1B"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(fixed)</w:t>
            </w:r>
          </w:p>
        </w:tc>
      </w:tr>
      <w:tr w:rsidR="006B42BA" w:rsidRPr="004A5770" w14:paraId="45189257" w14:textId="77777777" w:rsidTr="00873B6F">
        <w:trPr>
          <w:trHeight w:val="224"/>
          <w:jc w:val="center"/>
        </w:trPr>
        <w:tc>
          <w:tcPr>
            <w:tcW w:w="4027" w:type="dxa"/>
            <w:tcBorders>
              <w:top w:val="nil"/>
              <w:left w:val="double" w:sz="6" w:space="0" w:color="auto"/>
              <w:bottom w:val="nil"/>
              <w:right w:val="nil"/>
            </w:tcBorders>
            <w:shd w:val="clear" w:color="auto" w:fill="auto"/>
            <w:noWrap/>
            <w:vAlign w:val="center"/>
            <w:hideMark/>
          </w:tcPr>
          <w:p w14:paraId="02DBAA01" w14:textId="77777777" w:rsidR="006B42BA" w:rsidRPr="000167FD" w:rsidRDefault="006B42BA" w:rsidP="006B42BA">
            <w:pPr>
              <w:spacing w:after="0" w:line="240" w:lineRule="auto"/>
              <w:ind w:left="225" w:firstLineChars="115" w:firstLine="230"/>
              <w:rPr>
                <w:rFonts w:eastAsia="Times New Roman" w:cs="Times New Roman"/>
                <w:color w:val="000000"/>
                <w:sz w:val="20"/>
                <w:szCs w:val="20"/>
              </w:rPr>
            </w:pPr>
            <w:r w:rsidRPr="000167FD">
              <w:rPr>
                <w:rFonts w:eastAsia="Times New Roman" w:cs="Times New Roman"/>
                <w:color w:val="000000"/>
                <w:sz w:val="20"/>
                <w:szCs w:val="20"/>
              </w:rPr>
              <w:t>Basic employment</w:t>
            </w:r>
          </w:p>
        </w:tc>
        <w:tc>
          <w:tcPr>
            <w:tcW w:w="1110" w:type="dxa"/>
            <w:tcBorders>
              <w:top w:val="nil"/>
              <w:left w:val="single" w:sz="4" w:space="0" w:color="auto"/>
              <w:bottom w:val="nil"/>
              <w:right w:val="nil"/>
            </w:tcBorders>
            <w:shd w:val="clear" w:color="auto" w:fill="auto"/>
            <w:noWrap/>
            <w:vAlign w:val="center"/>
            <w:hideMark/>
          </w:tcPr>
          <w:p w14:paraId="4015A6DB" w14:textId="7EDBFCDB"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w:t>
            </w:r>
          </w:p>
        </w:tc>
        <w:tc>
          <w:tcPr>
            <w:tcW w:w="1111" w:type="dxa"/>
            <w:tcBorders>
              <w:top w:val="nil"/>
              <w:left w:val="nil"/>
              <w:bottom w:val="nil"/>
              <w:right w:val="single" w:sz="4" w:space="0" w:color="auto"/>
            </w:tcBorders>
            <w:shd w:val="clear" w:color="auto" w:fill="auto"/>
            <w:noWrap/>
            <w:vAlign w:val="center"/>
            <w:hideMark/>
          </w:tcPr>
          <w:p w14:paraId="19AEE5C5" w14:textId="58804F99"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w:t>
            </w:r>
          </w:p>
        </w:tc>
        <w:tc>
          <w:tcPr>
            <w:tcW w:w="1111" w:type="dxa"/>
            <w:tcBorders>
              <w:top w:val="nil"/>
              <w:left w:val="nil"/>
              <w:bottom w:val="nil"/>
              <w:right w:val="nil"/>
            </w:tcBorders>
            <w:shd w:val="clear" w:color="auto" w:fill="auto"/>
            <w:noWrap/>
            <w:vAlign w:val="center"/>
            <w:hideMark/>
          </w:tcPr>
          <w:p w14:paraId="65B1889C" w14:textId="4D7A8C1B"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w:t>
            </w:r>
          </w:p>
        </w:tc>
        <w:tc>
          <w:tcPr>
            <w:tcW w:w="1111" w:type="dxa"/>
            <w:tcBorders>
              <w:top w:val="nil"/>
              <w:left w:val="nil"/>
              <w:bottom w:val="nil"/>
              <w:right w:val="single" w:sz="4" w:space="0" w:color="auto"/>
            </w:tcBorders>
            <w:shd w:val="clear" w:color="auto" w:fill="auto"/>
            <w:noWrap/>
            <w:vAlign w:val="center"/>
            <w:hideMark/>
          </w:tcPr>
          <w:p w14:paraId="66D2C4E7" w14:textId="715DB462"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w:t>
            </w:r>
          </w:p>
        </w:tc>
        <w:tc>
          <w:tcPr>
            <w:tcW w:w="1111" w:type="dxa"/>
            <w:tcBorders>
              <w:top w:val="nil"/>
              <w:left w:val="nil"/>
              <w:bottom w:val="nil"/>
              <w:right w:val="nil"/>
            </w:tcBorders>
            <w:shd w:val="clear" w:color="auto" w:fill="auto"/>
            <w:noWrap/>
            <w:vAlign w:val="center"/>
            <w:hideMark/>
          </w:tcPr>
          <w:p w14:paraId="3ED8B1E7" w14:textId="32DE05DE"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0.0530</w:t>
            </w:r>
          </w:p>
        </w:tc>
        <w:tc>
          <w:tcPr>
            <w:tcW w:w="1111" w:type="dxa"/>
            <w:tcBorders>
              <w:top w:val="nil"/>
              <w:left w:val="nil"/>
              <w:bottom w:val="nil"/>
              <w:right w:val="single" w:sz="4" w:space="0" w:color="auto"/>
            </w:tcBorders>
            <w:shd w:val="clear" w:color="auto" w:fill="auto"/>
            <w:noWrap/>
            <w:vAlign w:val="center"/>
            <w:hideMark/>
          </w:tcPr>
          <w:p w14:paraId="1A2DB88C" w14:textId="0A93EFA4"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3.40</w:t>
            </w:r>
          </w:p>
        </w:tc>
        <w:tc>
          <w:tcPr>
            <w:tcW w:w="1111" w:type="dxa"/>
            <w:tcBorders>
              <w:top w:val="nil"/>
              <w:left w:val="nil"/>
              <w:bottom w:val="nil"/>
              <w:right w:val="nil"/>
            </w:tcBorders>
            <w:shd w:val="clear" w:color="auto" w:fill="auto"/>
            <w:noWrap/>
            <w:vAlign w:val="center"/>
            <w:hideMark/>
          </w:tcPr>
          <w:p w14:paraId="670D8D3A" w14:textId="685D1FD2"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w:t>
            </w:r>
          </w:p>
        </w:tc>
        <w:tc>
          <w:tcPr>
            <w:tcW w:w="1111" w:type="dxa"/>
            <w:tcBorders>
              <w:top w:val="nil"/>
              <w:left w:val="nil"/>
              <w:bottom w:val="nil"/>
              <w:right w:val="double" w:sz="6" w:space="0" w:color="auto"/>
            </w:tcBorders>
            <w:shd w:val="clear" w:color="auto" w:fill="auto"/>
            <w:noWrap/>
            <w:vAlign w:val="center"/>
            <w:hideMark/>
          </w:tcPr>
          <w:p w14:paraId="0DEFD705" w14:textId="579AB2CC"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w:t>
            </w:r>
          </w:p>
        </w:tc>
      </w:tr>
      <w:tr w:rsidR="006B42BA" w:rsidRPr="004A5770" w14:paraId="61239EEE" w14:textId="77777777" w:rsidTr="00873B6F">
        <w:trPr>
          <w:trHeight w:val="224"/>
          <w:jc w:val="center"/>
        </w:trPr>
        <w:tc>
          <w:tcPr>
            <w:tcW w:w="4027" w:type="dxa"/>
            <w:tcBorders>
              <w:top w:val="nil"/>
              <w:left w:val="double" w:sz="6" w:space="0" w:color="auto"/>
              <w:bottom w:val="nil"/>
              <w:right w:val="nil"/>
            </w:tcBorders>
            <w:shd w:val="clear" w:color="auto" w:fill="auto"/>
            <w:noWrap/>
            <w:vAlign w:val="center"/>
            <w:hideMark/>
          </w:tcPr>
          <w:p w14:paraId="5AB2DDEF" w14:textId="77777777" w:rsidR="006B42BA" w:rsidRPr="000167FD" w:rsidRDefault="006B42BA" w:rsidP="006B42BA">
            <w:pPr>
              <w:spacing w:after="0" w:line="240" w:lineRule="auto"/>
              <w:ind w:left="225" w:firstLineChars="115" w:firstLine="230"/>
              <w:rPr>
                <w:rFonts w:eastAsia="Times New Roman" w:cs="Times New Roman"/>
                <w:color w:val="000000"/>
                <w:sz w:val="20"/>
                <w:szCs w:val="20"/>
              </w:rPr>
            </w:pPr>
            <w:r w:rsidRPr="000167FD">
              <w:rPr>
                <w:rFonts w:eastAsia="Times New Roman" w:cs="Times New Roman"/>
                <w:color w:val="000000"/>
                <w:sz w:val="20"/>
                <w:szCs w:val="20"/>
              </w:rPr>
              <w:t>Service employment</w:t>
            </w:r>
          </w:p>
        </w:tc>
        <w:tc>
          <w:tcPr>
            <w:tcW w:w="1110" w:type="dxa"/>
            <w:tcBorders>
              <w:top w:val="nil"/>
              <w:left w:val="single" w:sz="4" w:space="0" w:color="auto"/>
              <w:bottom w:val="nil"/>
              <w:right w:val="nil"/>
            </w:tcBorders>
            <w:shd w:val="clear" w:color="auto" w:fill="auto"/>
            <w:noWrap/>
            <w:vAlign w:val="center"/>
            <w:hideMark/>
          </w:tcPr>
          <w:p w14:paraId="1AF8FADC" w14:textId="64CA3172"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0.5704</w:t>
            </w:r>
          </w:p>
        </w:tc>
        <w:tc>
          <w:tcPr>
            <w:tcW w:w="1111" w:type="dxa"/>
            <w:tcBorders>
              <w:top w:val="nil"/>
              <w:left w:val="nil"/>
              <w:bottom w:val="nil"/>
              <w:right w:val="single" w:sz="4" w:space="0" w:color="auto"/>
            </w:tcBorders>
            <w:shd w:val="clear" w:color="auto" w:fill="auto"/>
            <w:noWrap/>
            <w:vAlign w:val="center"/>
            <w:hideMark/>
          </w:tcPr>
          <w:p w14:paraId="5CBC8603" w14:textId="3BD7CD7D"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8.06</w:t>
            </w:r>
          </w:p>
        </w:tc>
        <w:tc>
          <w:tcPr>
            <w:tcW w:w="1111" w:type="dxa"/>
            <w:tcBorders>
              <w:top w:val="nil"/>
              <w:left w:val="nil"/>
              <w:bottom w:val="nil"/>
              <w:right w:val="nil"/>
            </w:tcBorders>
            <w:shd w:val="clear" w:color="auto" w:fill="auto"/>
            <w:noWrap/>
            <w:vAlign w:val="center"/>
            <w:hideMark/>
          </w:tcPr>
          <w:p w14:paraId="476E14DB" w14:textId="60F2FD8A"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0.2330</w:t>
            </w:r>
          </w:p>
        </w:tc>
        <w:tc>
          <w:tcPr>
            <w:tcW w:w="1111" w:type="dxa"/>
            <w:tcBorders>
              <w:top w:val="nil"/>
              <w:left w:val="nil"/>
              <w:bottom w:val="nil"/>
              <w:right w:val="nil"/>
            </w:tcBorders>
            <w:shd w:val="clear" w:color="auto" w:fill="auto"/>
            <w:noWrap/>
            <w:vAlign w:val="center"/>
            <w:hideMark/>
          </w:tcPr>
          <w:p w14:paraId="6522E162" w14:textId="64F57BC2"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22.85</w:t>
            </w:r>
          </w:p>
        </w:tc>
        <w:tc>
          <w:tcPr>
            <w:tcW w:w="1111" w:type="dxa"/>
            <w:tcBorders>
              <w:top w:val="nil"/>
              <w:left w:val="single" w:sz="4" w:space="0" w:color="auto"/>
              <w:bottom w:val="nil"/>
              <w:right w:val="nil"/>
            </w:tcBorders>
            <w:shd w:val="clear" w:color="auto" w:fill="auto"/>
            <w:noWrap/>
            <w:vAlign w:val="center"/>
            <w:hideMark/>
          </w:tcPr>
          <w:p w14:paraId="062D65EA" w14:textId="3899BF82"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0.2231</w:t>
            </w:r>
          </w:p>
        </w:tc>
        <w:tc>
          <w:tcPr>
            <w:tcW w:w="1111" w:type="dxa"/>
            <w:tcBorders>
              <w:top w:val="nil"/>
              <w:left w:val="nil"/>
              <w:bottom w:val="nil"/>
              <w:right w:val="single" w:sz="4" w:space="0" w:color="auto"/>
            </w:tcBorders>
            <w:shd w:val="clear" w:color="auto" w:fill="auto"/>
            <w:noWrap/>
            <w:vAlign w:val="center"/>
            <w:hideMark/>
          </w:tcPr>
          <w:p w14:paraId="16AB7869" w14:textId="7D54A5A1"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23.35</w:t>
            </w:r>
          </w:p>
        </w:tc>
        <w:tc>
          <w:tcPr>
            <w:tcW w:w="1111" w:type="dxa"/>
            <w:tcBorders>
              <w:top w:val="nil"/>
              <w:left w:val="nil"/>
              <w:bottom w:val="nil"/>
              <w:right w:val="nil"/>
            </w:tcBorders>
            <w:shd w:val="clear" w:color="auto" w:fill="auto"/>
            <w:noWrap/>
            <w:vAlign w:val="center"/>
            <w:hideMark/>
          </w:tcPr>
          <w:p w14:paraId="4B3702AD" w14:textId="336315AA"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w:t>
            </w:r>
          </w:p>
        </w:tc>
        <w:tc>
          <w:tcPr>
            <w:tcW w:w="1111" w:type="dxa"/>
            <w:tcBorders>
              <w:top w:val="nil"/>
              <w:left w:val="nil"/>
              <w:bottom w:val="nil"/>
              <w:right w:val="double" w:sz="6" w:space="0" w:color="auto"/>
            </w:tcBorders>
            <w:shd w:val="clear" w:color="auto" w:fill="auto"/>
            <w:noWrap/>
            <w:vAlign w:val="center"/>
            <w:hideMark/>
          </w:tcPr>
          <w:p w14:paraId="186E78F9" w14:textId="7B42DE1D"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w:t>
            </w:r>
          </w:p>
        </w:tc>
      </w:tr>
      <w:tr w:rsidR="006B42BA" w:rsidRPr="004A5770" w14:paraId="137C5551" w14:textId="77777777" w:rsidTr="00873B6F">
        <w:trPr>
          <w:trHeight w:val="224"/>
          <w:jc w:val="center"/>
        </w:trPr>
        <w:tc>
          <w:tcPr>
            <w:tcW w:w="4027" w:type="dxa"/>
            <w:tcBorders>
              <w:top w:val="nil"/>
              <w:left w:val="double" w:sz="6" w:space="0" w:color="auto"/>
              <w:right w:val="nil"/>
            </w:tcBorders>
            <w:shd w:val="clear" w:color="auto" w:fill="auto"/>
            <w:noWrap/>
            <w:vAlign w:val="center"/>
            <w:hideMark/>
          </w:tcPr>
          <w:p w14:paraId="2E94EC53" w14:textId="77777777" w:rsidR="006B42BA" w:rsidRPr="000167FD" w:rsidRDefault="006B42BA" w:rsidP="006B42BA">
            <w:pPr>
              <w:spacing w:after="0" w:line="240" w:lineRule="auto"/>
              <w:ind w:left="225" w:firstLineChars="115" w:firstLine="230"/>
              <w:rPr>
                <w:rFonts w:eastAsia="Times New Roman" w:cs="Times New Roman"/>
                <w:color w:val="000000"/>
                <w:sz w:val="20"/>
                <w:szCs w:val="20"/>
              </w:rPr>
            </w:pPr>
            <w:r w:rsidRPr="000167FD">
              <w:rPr>
                <w:rFonts w:eastAsia="Times New Roman" w:cs="Times New Roman"/>
                <w:color w:val="000000"/>
                <w:sz w:val="20"/>
                <w:szCs w:val="20"/>
              </w:rPr>
              <w:t>Education employment</w:t>
            </w:r>
          </w:p>
        </w:tc>
        <w:tc>
          <w:tcPr>
            <w:tcW w:w="1110" w:type="dxa"/>
            <w:tcBorders>
              <w:top w:val="nil"/>
              <w:left w:val="single" w:sz="4" w:space="0" w:color="auto"/>
              <w:right w:val="nil"/>
            </w:tcBorders>
            <w:shd w:val="clear" w:color="auto" w:fill="auto"/>
            <w:noWrap/>
            <w:vAlign w:val="center"/>
            <w:hideMark/>
          </w:tcPr>
          <w:p w14:paraId="223AFA28" w14:textId="4F500A0D"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w:t>
            </w:r>
          </w:p>
        </w:tc>
        <w:tc>
          <w:tcPr>
            <w:tcW w:w="1111" w:type="dxa"/>
            <w:tcBorders>
              <w:top w:val="nil"/>
              <w:left w:val="nil"/>
              <w:right w:val="single" w:sz="4" w:space="0" w:color="auto"/>
            </w:tcBorders>
            <w:shd w:val="clear" w:color="auto" w:fill="auto"/>
            <w:noWrap/>
            <w:vAlign w:val="center"/>
            <w:hideMark/>
          </w:tcPr>
          <w:p w14:paraId="4B9B8761" w14:textId="4C9E76F4"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w:t>
            </w:r>
          </w:p>
        </w:tc>
        <w:tc>
          <w:tcPr>
            <w:tcW w:w="1111" w:type="dxa"/>
            <w:tcBorders>
              <w:top w:val="nil"/>
              <w:left w:val="nil"/>
              <w:right w:val="nil"/>
            </w:tcBorders>
            <w:shd w:val="clear" w:color="auto" w:fill="auto"/>
            <w:noWrap/>
            <w:vAlign w:val="center"/>
            <w:hideMark/>
          </w:tcPr>
          <w:p w14:paraId="28A56C95" w14:textId="76464D7F"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w:t>
            </w:r>
          </w:p>
        </w:tc>
        <w:tc>
          <w:tcPr>
            <w:tcW w:w="1111" w:type="dxa"/>
            <w:tcBorders>
              <w:top w:val="nil"/>
              <w:left w:val="nil"/>
              <w:right w:val="nil"/>
            </w:tcBorders>
            <w:shd w:val="clear" w:color="auto" w:fill="auto"/>
            <w:noWrap/>
            <w:vAlign w:val="center"/>
            <w:hideMark/>
          </w:tcPr>
          <w:p w14:paraId="6D434986" w14:textId="0217FFB2"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w:t>
            </w:r>
          </w:p>
        </w:tc>
        <w:tc>
          <w:tcPr>
            <w:tcW w:w="1111" w:type="dxa"/>
            <w:tcBorders>
              <w:top w:val="nil"/>
              <w:left w:val="single" w:sz="4" w:space="0" w:color="auto"/>
              <w:right w:val="nil"/>
            </w:tcBorders>
            <w:shd w:val="clear" w:color="auto" w:fill="auto"/>
            <w:noWrap/>
            <w:vAlign w:val="center"/>
            <w:hideMark/>
          </w:tcPr>
          <w:p w14:paraId="496878C3" w14:textId="6DB8FB32"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w:t>
            </w:r>
          </w:p>
        </w:tc>
        <w:tc>
          <w:tcPr>
            <w:tcW w:w="1111" w:type="dxa"/>
            <w:tcBorders>
              <w:top w:val="nil"/>
              <w:left w:val="nil"/>
              <w:right w:val="single" w:sz="4" w:space="0" w:color="auto"/>
            </w:tcBorders>
            <w:shd w:val="clear" w:color="auto" w:fill="auto"/>
            <w:noWrap/>
            <w:vAlign w:val="center"/>
            <w:hideMark/>
          </w:tcPr>
          <w:p w14:paraId="47EDBE03" w14:textId="6C899B75"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w:t>
            </w:r>
          </w:p>
        </w:tc>
        <w:tc>
          <w:tcPr>
            <w:tcW w:w="1111" w:type="dxa"/>
            <w:tcBorders>
              <w:top w:val="nil"/>
              <w:left w:val="nil"/>
              <w:right w:val="nil"/>
            </w:tcBorders>
            <w:shd w:val="clear" w:color="auto" w:fill="auto"/>
            <w:noWrap/>
            <w:vAlign w:val="center"/>
            <w:hideMark/>
          </w:tcPr>
          <w:p w14:paraId="069F4585" w14:textId="761DD6CE"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w:t>
            </w:r>
          </w:p>
        </w:tc>
        <w:tc>
          <w:tcPr>
            <w:tcW w:w="1111" w:type="dxa"/>
            <w:tcBorders>
              <w:top w:val="nil"/>
              <w:left w:val="nil"/>
              <w:right w:val="double" w:sz="6" w:space="0" w:color="auto"/>
            </w:tcBorders>
            <w:shd w:val="clear" w:color="auto" w:fill="auto"/>
            <w:noWrap/>
            <w:vAlign w:val="center"/>
            <w:hideMark/>
          </w:tcPr>
          <w:p w14:paraId="273ABD49" w14:textId="71C68E0D"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w:t>
            </w:r>
          </w:p>
        </w:tc>
      </w:tr>
      <w:tr w:rsidR="000167FD" w:rsidRPr="004A5770" w14:paraId="1078C5CF" w14:textId="77777777" w:rsidTr="00873B6F">
        <w:trPr>
          <w:trHeight w:val="224"/>
          <w:jc w:val="center"/>
        </w:trPr>
        <w:tc>
          <w:tcPr>
            <w:tcW w:w="4027" w:type="dxa"/>
            <w:tcBorders>
              <w:top w:val="nil"/>
              <w:left w:val="double" w:sz="6" w:space="0" w:color="auto"/>
              <w:bottom w:val="nil"/>
              <w:right w:val="nil"/>
            </w:tcBorders>
            <w:shd w:val="clear" w:color="auto" w:fill="auto"/>
            <w:noWrap/>
            <w:vAlign w:val="center"/>
          </w:tcPr>
          <w:p w14:paraId="694B6355" w14:textId="77777777" w:rsidR="00387D7B" w:rsidRPr="000167FD" w:rsidRDefault="00387D7B" w:rsidP="00387D7B">
            <w:pPr>
              <w:spacing w:after="0" w:line="240" w:lineRule="auto"/>
              <w:ind w:firstLine="225"/>
              <w:rPr>
                <w:rFonts w:eastAsia="Times New Roman" w:cs="Times New Roman"/>
                <w:i/>
                <w:color w:val="000000"/>
                <w:sz w:val="20"/>
                <w:szCs w:val="20"/>
              </w:rPr>
            </w:pPr>
            <w:r w:rsidRPr="000167FD">
              <w:rPr>
                <w:rFonts w:eastAsia="Times New Roman" w:cs="Times New Roman"/>
                <w:i/>
                <w:color w:val="000000"/>
                <w:sz w:val="20"/>
                <w:szCs w:val="20"/>
              </w:rPr>
              <w:t>Demographic variables</w:t>
            </w:r>
          </w:p>
        </w:tc>
        <w:tc>
          <w:tcPr>
            <w:tcW w:w="1110" w:type="dxa"/>
            <w:tcBorders>
              <w:top w:val="nil"/>
              <w:left w:val="single" w:sz="4" w:space="0" w:color="auto"/>
              <w:bottom w:val="nil"/>
              <w:right w:val="nil"/>
            </w:tcBorders>
            <w:shd w:val="clear" w:color="auto" w:fill="auto"/>
            <w:noWrap/>
            <w:vAlign w:val="center"/>
          </w:tcPr>
          <w:p w14:paraId="0C2EA0AE" w14:textId="77777777" w:rsidR="00387D7B" w:rsidRPr="00323017" w:rsidRDefault="00387D7B" w:rsidP="000C0EB7">
            <w:pPr>
              <w:spacing w:after="0" w:line="240" w:lineRule="auto"/>
              <w:jc w:val="right"/>
              <w:rPr>
                <w:rFonts w:eastAsia="Times New Roman" w:cs="Times New Roman"/>
                <w:color w:val="000000"/>
                <w:sz w:val="20"/>
                <w:szCs w:val="20"/>
              </w:rPr>
            </w:pPr>
          </w:p>
        </w:tc>
        <w:tc>
          <w:tcPr>
            <w:tcW w:w="1111" w:type="dxa"/>
            <w:tcBorders>
              <w:top w:val="nil"/>
              <w:left w:val="nil"/>
              <w:bottom w:val="nil"/>
              <w:right w:val="single" w:sz="4" w:space="0" w:color="auto"/>
            </w:tcBorders>
            <w:shd w:val="clear" w:color="auto" w:fill="auto"/>
            <w:noWrap/>
            <w:vAlign w:val="center"/>
          </w:tcPr>
          <w:p w14:paraId="73D6DCCB" w14:textId="77777777" w:rsidR="00387D7B" w:rsidRPr="000770D9" w:rsidRDefault="00387D7B" w:rsidP="000C0EB7">
            <w:pPr>
              <w:spacing w:after="0" w:line="240" w:lineRule="auto"/>
              <w:jc w:val="right"/>
              <w:rPr>
                <w:rFonts w:eastAsia="Times New Roman" w:cs="Times New Roman"/>
                <w:color w:val="000000"/>
                <w:sz w:val="20"/>
                <w:szCs w:val="20"/>
              </w:rPr>
            </w:pPr>
          </w:p>
        </w:tc>
        <w:tc>
          <w:tcPr>
            <w:tcW w:w="1111" w:type="dxa"/>
            <w:tcBorders>
              <w:top w:val="nil"/>
              <w:left w:val="nil"/>
              <w:bottom w:val="nil"/>
              <w:right w:val="nil"/>
            </w:tcBorders>
            <w:shd w:val="clear" w:color="auto" w:fill="auto"/>
            <w:noWrap/>
            <w:vAlign w:val="center"/>
          </w:tcPr>
          <w:p w14:paraId="14E150AF" w14:textId="77777777" w:rsidR="00387D7B" w:rsidRPr="00A31847" w:rsidRDefault="00387D7B" w:rsidP="000C0EB7">
            <w:pPr>
              <w:spacing w:after="0" w:line="240" w:lineRule="auto"/>
              <w:jc w:val="right"/>
              <w:rPr>
                <w:rFonts w:eastAsia="Times New Roman" w:cs="Times New Roman"/>
                <w:color w:val="000000"/>
                <w:sz w:val="20"/>
                <w:szCs w:val="20"/>
              </w:rPr>
            </w:pPr>
          </w:p>
        </w:tc>
        <w:tc>
          <w:tcPr>
            <w:tcW w:w="1111" w:type="dxa"/>
            <w:tcBorders>
              <w:top w:val="nil"/>
              <w:left w:val="nil"/>
              <w:bottom w:val="nil"/>
              <w:right w:val="nil"/>
            </w:tcBorders>
            <w:shd w:val="clear" w:color="auto" w:fill="auto"/>
            <w:noWrap/>
            <w:vAlign w:val="center"/>
          </w:tcPr>
          <w:p w14:paraId="22E103A5" w14:textId="77777777" w:rsidR="00387D7B" w:rsidRPr="009E0FF1" w:rsidRDefault="00387D7B" w:rsidP="000C0EB7">
            <w:pPr>
              <w:spacing w:after="0" w:line="240" w:lineRule="auto"/>
              <w:jc w:val="right"/>
              <w:rPr>
                <w:rFonts w:eastAsia="Times New Roman" w:cs="Times New Roman"/>
                <w:color w:val="000000"/>
                <w:sz w:val="20"/>
                <w:szCs w:val="20"/>
              </w:rPr>
            </w:pPr>
          </w:p>
        </w:tc>
        <w:tc>
          <w:tcPr>
            <w:tcW w:w="1111" w:type="dxa"/>
            <w:tcBorders>
              <w:top w:val="nil"/>
              <w:left w:val="single" w:sz="4" w:space="0" w:color="auto"/>
              <w:bottom w:val="nil"/>
              <w:right w:val="nil"/>
            </w:tcBorders>
            <w:shd w:val="clear" w:color="auto" w:fill="auto"/>
            <w:noWrap/>
            <w:vAlign w:val="center"/>
          </w:tcPr>
          <w:p w14:paraId="2D55A204" w14:textId="77777777" w:rsidR="00387D7B" w:rsidRPr="006B42BA" w:rsidRDefault="00387D7B" w:rsidP="000C0EB7">
            <w:pPr>
              <w:spacing w:after="0" w:line="240" w:lineRule="auto"/>
              <w:jc w:val="right"/>
              <w:rPr>
                <w:rFonts w:eastAsia="Times New Roman" w:cs="Times New Roman"/>
                <w:color w:val="000000"/>
                <w:sz w:val="20"/>
                <w:szCs w:val="20"/>
              </w:rPr>
            </w:pPr>
          </w:p>
        </w:tc>
        <w:tc>
          <w:tcPr>
            <w:tcW w:w="1111" w:type="dxa"/>
            <w:tcBorders>
              <w:top w:val="nil"/>
              <w:left w:val="nil"/>
              <w:bottom w:val="nil"/>
              <w:right w:val="single" w:sz="4" w:space="0" w:color="auto"/>
            </w:tcBorders>
            <w:shd w:val="clear" w:color="auto" w:fill="auto"/>
            <w:noWrap/>
            <w:vAlign w:val="center"/>
          </w:tcPr>
          <w:p w14:paraId="49353B75" w14:textId="77777777" w:rsidR="00387D7B" w:rsidRPr="006B42BA" w:rsidRDefault="00387D7B" w:rsidP="000C0EB7">
            <w:pPr>
              <w:spacing w:after="0" w:line="240" w:lineRule="auto"/>
              <w:jc w:val="right"/>
              <w:rPr>
                <w:rFonts w:eastAsia="Times New Roman" w:cs="Times New Roman"/>
                <w:color w:val="000000"/>
                <w:sz w:val="20"/>
                <w:szCs w:val="20"/>
              </w:rPr>
            </w:pPr>
          </w:p>
        </w:tc>
        <w:tc>
          <w:tcPr>
            <w:tcW w:w="1111" w:type="dxa"/>
            <w:tcBorders>
              <w:top w:val="nil"/>
              <w:left w:val="nil"/>
              <w:bottom w:val="nil"/>
              <w:right w:val="nil"/>
            </w:tcBorders>
            <w:shd w:val="clear" w:color="auto" w:fill="auto"/>
            <w:noWrap/>
            <w:vAlign w:val="center"/>
          </w:tcPr>
          <w:p w14:paraId="1A36E6B3" w14:textId="77777777" w:rsidR="00387D7B" w:rsidRPr="006B42BA" w:rsidRDefault="00387D7B" w:rsidP="000C0EB7">
            <w:pPr>
              <w:spacing w:after="0" w:line="240" w:lineRule="auto"/>
              <w:jc w:val="right"/>
              <w:rPr>
                <w:rFonts w:eastAsia="Times New Roman" w:cs="Times New Roman"/>
                <w:color w:val="000000"/>
                <w:sz w:val="20"/>
                <w:szCs w:val="20"/>
              </w:rPr>
            </w:pPr>
          </w:p>
        </w:tc>
        <w:tc>
          <w:tcPr>
            <w:tcW w:w="1111" w:type="dxa"/>
            <w:tcBorders>
              <w:top w:val="nil"/>
              <w:left w:val="nil"/>
              <w:bottom w:val="nil"/>
              <w:right w:val="double" w:sz="6" w:space="0" w:color="auto"/>
            </w:tcBorders>
            <w:shd w:val="clear" w:color="auto" w:fill="auto"/>
            <w:noWrap/>
            <w:vAlign w:val="center"/>
          </w:tcPr>
          <w:p w14:paraId="473D29C8" w14:textId="77777777" w:rsidR="00387D7B" w:rsidRPr="006B42BA" w:rsidRDefault="00387D7B" w:rsidP="000C0EB7">
            <w:pPr>
              <w:spacing w:after="0" w:line="240" w:lineRule="auto"/>
              <w:jc w:val="right"/>
              <w:rPr>
                <w:rFonts w:eastAsia="Times New Roman" w:cs="Times New Roman"/>
                <w:color w:val="000000"/>
                <w:sz w:val="20"/>
                <w:szCs w:val="20"/>
              </w:rPr>
            </w:pPr>
          </w:p>
        </w:tc>
      </w:tr>
      <w:tr w:rsidR="006B42BA" w:rsidRPr="004A5770" w14:paraId="300B832D" w14:textId="77777777" w:rsidTr="00873B6F">
        <w:trPr>
          <w:trHeight w:val="224"/>
          <w:jc w:val="center"/>
        </w:trPr>
        <w:tc>
          <w:tcPr>
            <w:tcW w:w="4027" w:type="dxa"/>
            <w:tcBorders>
              <w:top w:val="nil"/>
              <w:left w:val="double" w:sz="6" w:space="0" w:color="auto"/>
              <w:bottom w:val="nil"/>
              <w:right w:val="nil"/>
            </w:tcBorders>
            <w:shd w:val="clear" w:color="auto" w:fill="auto"/>
            <w:noWrap/>
            <w:vAlign w:val="center"/>
          </w:tcPr>
          <w:p w14:paraId="04495C1C" w14:textId="77777777" w:rsidR="006B42BA" w:rsidRPr="000167FD" w:rsidRDefault="006B42BA" w:rsidP="006B42BA">
            <w:pPr>
              <w:spacing w:after="0" w:line="240" w:lineRule="auto"/>
              <w:ind w:left="225" w:firstLineChars="115" w:firstLine="230"/>
              <w:rPr>
                <w:rFonts w:eastAsia="Times New Roman" w:cs="Times New Roman"/>
                <w:color w:val="000000"/>
                <w:sz w:val="20"/>
                <w:szCs w:val="20"/>
              </w:rPr>
            </w:pPr>
            <w:r w:rsidRPr="000167FD">
              <w:rPr>
                <w:rFonts w:eastAsia="Times New Roman" w:cs="Times New Roman"/>
                <w:color w:val="000000"/>
                <w:sz w:val="20"/>
                <w:szCs w:val="20"/>
              </w:rPr>
              <w:t>No. HHs with income ≥ $150K (/1000)</w:t>
            </w:r>
          </w:p>
        </w:tc>
        <w:tc>
          <w:tcPr>
            <w:tcW w:w="1110" w:type="dxa"/>
            <w:tcBorders>
              <w:top w:val="nil"/>
              <w:left w:val="single" w:sz="4" w:space="0" w:color="auto"/>
              <w:bottom w:val="nil"/>
              <w:right w:val="nil"/>
            </w:tcBorders>
            <w:shd w:val="clear" w:color="auto" w:fill="auto"/>
            <w:noWrap/>
            <w:vAlign w:val="center"/>
          </w:tcPr>
          <w:p w14:paraId="0D5F63B5" w14:textId="6944743E"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16.5283</w:t>
            </w:r>
          </w:p>
        </w:tc>
        <w:tc>
          <w:tcPr>
            <w:tcW w:w="1111" w:type="dxa"/>
            <w:tcBorders>
              <w:top w:val="nil"/>
              <w:left w:val="nil"/>
              <w:bottom w:val="nil"/>
              <w:right w:val="single" w:sz="4" w:space="0" w:color="auto"/>
            </w:tcBorders>
            <w:shd w:val="clear" w:color="auto" w:fill="auto"/>
            <w:noWrap/>
            <w:vAlign w:val="center"/>
          </w:tcPr>
          <w:p w14:paraId="1F80DFD0" w14:textId="022C618B"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8.96</w:t>
            </w:r>
          </w:p>
        </w:tc>
        <w:tc>
          <w:tcPr>
            <w:tcW w:w="1111" w:type="dxa"/>
            <w:tcBorders>
              <w:top w:val="nil"/>
              <w:left w:val="nil"/>
              <w:bottom w:val="nil"/>
              <w:right w:val="nil"/>
            </w:tcBorders>
            <w:shd w:val="clear" w:color="auto" w:fill="auto"/>
            <w:noWrap/>
            <w:vAlign w:val="center"/>
          </w:tcPr>
          <w:p w14:paraId="2E16E5DC" w14:textId="7BA6BE00"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4.0955</w:t>
            </w:r>
          </w:p>
        </w:tc>
        <w:tc>
          <w:tcPr>
            <w:tcW w:w="1111" w:type="dxa"/>
            <w:tcBorders>
              <w:top w:val="nil"/>
              <w:left w:val="nil"/>
              <w:bottom w:val="nil"/>
              <w:right w:val="nil"/>
            </w:tcBorders>
            <w:shd w:val="clear" w:color="auto" w:fill="auto"/>
            <w:noWrap/>
            <w:vAlign w:val="center"/>
          </w:tcPr>
          <w:p w14:paraId="3F7D04B6" w14:textId="46D40229"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23.75</w:t>
            </w:r>
          </w:p>
        </w:tc>
        <w:tc>
          <w:tcPr>
            <w:tcW w:w="1111" w:type="dxa"/>
            <w:tcBorders>
              <w:top w:val="nil"/>
              <w:left w:val="single" w:sz="4" w:space="0" w:color="auto"/>
              <w:bottom w:val="nil"/>
              <w:right w:val="nil"/>
            </w:tcBorders>
            <w:shd w:val="clear" w:color="auto" w:fill="auto"/>
            <w:noWrap/>
            <w:vAlign w:val="center"/>
          </w:tcPr>
          <w:p w14:paraId="3A2A8126" w14:textId="4E63A88C"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5.2876</w:t>
            </w:r>
          </w:p>
        </w:tc>
        <w:tc>
          <w:tcPr>
            <w:tcW w:w="1111" w:type="dxa"/>
            <w:tcBorders>
              <w:top w:val="nil"/>
              <w:left w:val="nil"/>
              <w:bottom w:val="nil"/>
              <w:right w:val="single" w:sz="4" w:space="0" w:color="auto"/>
            </w:tcBorders>
            <w:shd w:val="clear" w:color="auto" w:fill="auto"/>
            <w:noWrap/>
            <w:vAlign w:val="center"/>
          </w:tcPr>
          <w:p w14:paraId="0BA97024" w14:textId="6045F1E7"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28.29</w:t>
            </w:r>
          </w:p>
        </w:tc>
        <w:tc>
          <w:tcPr>
            <w:tcW w:w="1111" w:type="dxa"/>
            <w:tcBorders>
              <w:top w:val="nil"/>
              <w:left w:val="nil"/>
              <w:bottom w:val="nil"/>
              <w:right w:val="nil"/>
            </w:tcBorders>
            <w:shd w:val="clear" w:color="auto" w:fill="auto"/>
            <w:noWrap/>
            <w:vAlign w:val="center"/>
          </w:tcPr>
          <w:p w14:paraId="7E3FC6AD" w14:textId="765E0C19"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1.4854</w:t>
            </w:r>
          </w:p>
        </w:tc>
        <w:tc>
          <w:tcPr>
            <w:tcW w:w="1111" w:type="dxa"/>
            <w:tcBorders>
              <w:top w:val="nil"/>
              <w:left w:val="nil"/>
              <w:bottom w:val="nil"/>
              <w:right w:val="double" w:sz="6" w:space="0" w:color="auto"/>
            </w:tcBorders>
            <w:shd w:val="clear" w:color="auto" w:fill="auto"/>
            <w:noWrap/>
            <w:vAlign w:val="center"/>
          </w:tcPr>
          <w:p w14:paraId="6FB5E47D" w14:textId="11030B7A"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37.33</w:t>
            </w:r>
          </w:p>
        </w:tc>
      </w:tr>
      <w:tr w:rsidR="006B42BA" w:rsidRPr="004A5770" w14:paraId="31C1B894" w14:textId="77777777" w:rsidTr="00873B6F">
        <w:trPr>
          <w:trHeight w:val="224"/>
          <w:jc w:val="center"/>
        </w:trPr>
        <w:tc>
          <w:tcPr>
            <w:tcW w:w="4027" w:type="dxa"/>
            <w:tcBorders>
              <w:top w:val="nil"/>
              <w:left w:val="double" w:sz="6" w:space="0" w:color="auto"/>
              <w:bottom w:val="nil"/>
              <w:right w:val="nil"/>
            </w:tcBorders>
            <w:shd w:val="clear" w:color="auto" w:fill="auto"/>
            <w:noWrap/>
            <w:vAlign w:val="center"/>
          </w:tcPr>
          <w:p w14:paraId="44B42140" w14:textId="77777777" w:rsidR="006B42BA" w:rsidRPr="000167FD" w:rsidRDefault="006B42BA" w:rsidP="006B42BA">
            <w:pPr>
              <w:spacing w:after="0" w:line="240" w:lineRule="auto"/>
              <w:ind w:left="225" w:firstLineChars="115" w:firstLine="230"/>
              <w:rPr>
                <w:rFonts w:eastAsia="Times New Roman" w:cs="Times New Roman"/>
                <w:color w:val="000000"/>
                <w:sz w:val="20"/>
                <w:szCs w:val="20"/>
              </w:rPr>
            </w:pPr>
            <w:r w:rsidRPr="000167FD">
              <w:rPr>
                <w:rFonts w:eastAsia="Times New Roman" w:cs="Times New Roman"/>
                <w:color w:val="000000"/>
                <w:sz w:val="20"/>
                <w:szCs w:val="20"/>
              </w:rPr>
              <w:t>No. of people aged 18-35 years (/1000)</w:t>
            </w:r>
          </w:p>
        </w:tc>
        <w:tc>
          <w:tcPr>
            <w:tcW w:w="1110" w:type="dxa"/>
            <w:tcBorders>
              <w:top w:val="nil"/>
              <w:left w:val="single" w:sz="4" w:space="0" w:color="auto"/>
              <w:bottom w:val="nil"/>
              <w:right w:val="nil"/>
            </w:tcBorders>
            <w:shd w:val="clear" w:color="auto" w:fill="auto"/>
            <w:noWrap/>
            <w:vAlign w:val="center"/>
          </w:tcPr>
          <w:p w14:paraId="4D6C6E2A" w14:textId="3CDC0C7B"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2.9941</w:t>
            </w:r>
          </w:p>
        </w:tc>
        <w:tc>
          <w:tcPr>
            <w:tcW w:w="1111" w:type="dxa"/>
            <w:tcBorders>
              <w:top w:val="nil"/>
              <w:left w:val="nil"/>
              <w:bottom w:val="nil"/>
              <w:right w:val="single" w:sz="4" w:space="0" w:color="auto"/>
            </w:tcBorders>
            <w:shd w:val="clear" w:color="auto" w:fill="auto"/>
            <w:noWrap/>
            <w:vAlign w:val="center"/>
          </w:tcPr>
          <w:p w14:paraId="53CB19E6" w14:textId="60D79742"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9.00</w:t>
            </w:r>
          </w:p>
        </w:tc>
        <w:tc>
          <w:tcPr>
            <w:tcW w:w="1111" w:type="dxa"/>
            <w:tcBorders>
              <w:top w:val="nil"/>
              <w:left w:val="nil"/>
              <w:bottom w:val="nil"/>
              <w:right w:val="nil"/>
            </w:tcBorders>
            <w:shd w:val="clear" w:color="auto" w:fill="auto"/>
            <w:noWrap/>
            <w:vAlign w:val="center"/>
          </w:tcPr>
          <w:p w14:paraId="31AD61D3" w14:textId="49D2B13E"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0.7078</w:t>
            </w:r>
          </w:p>
        </w:tc>
        <w:tc>
          <w:tcPr>
            <w:tcW w:w="1111" w:type="dxa"/>
            <w:tcBorders>
              <w:top w:val="nil"/>
              <w:left w:val="nil"/>
              <w:bottom w:val="nil"/>
              <w:right w:val="nil"/>
            </w:tcBorders>
            <w:shd w:val="clear" w:color="auto" w:fill="auto"/>
            <w:noWrap/>
            <w:vAlign w:val="center"/>
          </w:tcPr>
          <w:p w14:paraId="638EAA40" w14:textId="32E67170"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24.53</w:t>
            </w:r>
          </w:p>
        </w:tc>
        <w:tc>
          <w:tcPr>
            <w:tcW w:w="1111" w:type="dxa"/>
            <w:tcBorders>
              <w:top w:val="nil"/>
              <w:left w:val="single" w:sz="4" w:space="0" w:color="auto"/>
              <w:bottom w:val="nil"/>
              <w:right w:val="nil"/>
            </w:tcBorders>
            <w:shd w:val="clear" w:color="auto" w:fill="auto"/>
            <w:noWrap/>
            <w:vAlign w:val="center"/>
          </w:tcPr>
          <w:p w14:paraId="732647D7" w14:textId="4D9AAE54"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0.4230</w:t>
            </w:r>
          </w:p>
        </w:tc>
        <w:tc>
          <w:tcPr>
            <w:tcW w:w="1111" w:type="dxa"/>
            <w:tcBorders>
              <w:top w:val="nil"/>
              <w:left w:val="nil"/>
              <w:bottom w:val="nil"/>
              <w:right w:val="single" w:sz="4" w:space="0" w:color="auto"/>
            </w:tcBorders>
            <w:shd w:val="clear" w:color="auto" w:fill="auto"/>
            <w:noWrap/>
            <w:vAlign w:val="center"/>
          </w:tcPr>
          <w:p w14:paraId="1E9F0735" w14:textId="421EA1C9"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20.41</w:t>
            </w:r>
          </w:p>
        </w:tc>
        <w:tc>
          <w:tcPr>
            <w:tcW w:w="1111" w:type="dxa"/>
            <w:tcBorders>
              <w:top w:val="nil"/>
              <w:left w:val="nil"/>
              <w:bottom w:val="nil"/>
              <w:right w:val="nil"/>
            </w:tcBorders>
            <w:shd w:val="clear" w:color="auto" w:fill="auto"/>
            <w:noWrap/>
            <w:vAlign w:val="center"/>
          </w:tcPr>
          <w:p w14:paraId="55E438B8" w14:textId="2C316A9F"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0.1205</w:t>
            </w:r>
          </w:p>
        </w:tc>
        <w:tc>
          <w:tcPr>
            <w:tcW w:w="1111" w:type="dxa"/>
            <w:tcBorders>
              <w:top w:val="nil"/>
              <w:left w:val="nil"/>
              <w:bottom w:val="nil"/>
              <w:right w:val="double" w:sz="6" w:space="0" w:color="auto"/>
            </w:tcBorders>
            <w:shd w:val="clear" w:color="auto" w:fill="auto"/>
            <w:noWrap/>
            <w:vAlign w:val="center"/>
          </w:tcPr>
          <w:p w14:paraId="2F60DB16" w14:textId="7ED41DFD"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26.80</w:t>
            </w:r>
          </w:p>
        </w:tc>
      </w:tr>
      <w:tr w:rsidR="006B42BA" w:rsidRPr="004A5770" w14:paraId="3EEF6BAC" w14:textId="77777777" w:rsidTr="00873B6F">
        <w:trPr>
          <w:trHeight w:val="224"/>
          <w:jc w:val="center"/>
        </w:trPr>
        <w:tc>
          <w:tcPr>
            <w:tcW w:w="4027" w:type="dxa"/>
            <w:tcBorders>
              <w:top w:val="nil"/>
              <w:left w:val="double" w:sz="6" w:space="0" w:color="auto"/>
              <w:bottom w:val="nil"/>
              <w:right w:val="nil"/>
            </w:tcBorders>
            <w:shd w:val="clear" w:color="auto" w:fill="auto"/>
            <w:noWrap/>
            <w:vAlign w:val="center"/>
            <w:hideMark/>
          </w:tcPr>
          <w:p w14:paraId="6FD2DA95" w14:textId="77777777" w:rsidR="006B42BA" w:rsidRPr="000167FD" w:rsidRDefault="006B42BA" w:rsidP="006B42BA">
            <w:pPr>
              <w:spacing w:after="0" w:line="240" w:lineRule="auto"/>
              <w:ind w:left="225" w:firstLineChars="115" w:firstLine="230"/>
              <w:rPr>
                <w:rFonts w:eastAsia="Times New Roman" w:cs="Times New Roman"/>
                <w:color w:val="000000"/>
                <w:sz w:val="20"/>
                <w:szCs w:val="20"/>
              </w:rPr>
            </w:pPr>
            <w:r w:rsidRPr="000167FD">
              <w:rPr>
                <w:rFonts w:eastAsia="Times New Roman" w:cs="Times New Roman"/>
                <w:color w:val="000000"/>
                <w:sz w:val="20"/>
                <w:szCs w:val="20"/>
              </w:rPr>
              <w:t>No. HHs without vehicles (/1000)</w:t>
            </w:r>
          </w:p>
        </w:tc>
        <w:tc>
          <w:tcPr>
            <w:tcW w:w="1110" w:type="dxa"/>
            <w:tcBorders>
              <w:top w:val="nil"/>
              <w:left w:val="single" w:sz="4" w:space="0" w:color="auto"/>
              <w:bottom w:val="nil"/>
              <w:right w:val="nil"/>
            </w:tcBorders>
            <w:shd w:val="clear" w:color="auto" w:fill="auto"/>
            <w:noWrap/>
            <w:vAlign w:val="center"/>
            <w:hideMark/>
          </w:tcPr>
          <w:p w14:paraId="071877A6" w14:textId="2A8F7703"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w:t>
            </w:r>
          </w:p>
        </w:tc>
        <w:tc>
          <w:tcPr>
            <w:tcW w:w="1111" w:type="dxa"/>
            <w:tcBorders>
              <w:top w:val="nil"/>
              <w:left w:val="nil"/>
              <w:bottom w:val="nil"/>
              <w:right w:val="single" w:sz="4" w:space="0" w:color="auto"/>
            </w:tcBorders>
            <w:shd w:val="clear" w:color="auto" w:fill="auto"/>
            <w:noWrap/>
            <w:vAlign w:val="center"/>
            <w:hideMark/>
          </w:tcPr>
          <w:p w14:paraId="50B2D5F9" w14:textId="5CD56A8E"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w:t>
            </w:r>
          </w:p>
        </w:tc>
        <w:tc>
          <w:tcPr>
            <w:tcW w:w="1111" w:type="dxa"/>
            <w:tcBorders>
              <w:top w:val="nil"/>
              <w:left w:val="nil"/>
              <w:bottom w:val="nil"/>
              <w:right w:val="nil"/>
            </w:tcBorders>
            <w:shd w:val="clear" w:color="auto" w:fill="auto"/>
            <w:noWrap/>
            <w:vAlign w:val="center"/>
            <w:hideMark/>
          </w:tcPr>
          <w:p w14:paraId="77C793E9" w14:textId="0265B9D5"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0.2080</w:t>
            </w:r>
          </w:p>
        </w:tc>
        <w:tc>
          <w:tcPr>
            <w:tcW w:w="1111" w:type="dxa"/>
            <w:tcBorders>
              <w:top w:val="nil"/>
              <w:left w:val="nil"/>
              <w:bottom w:val="nil"/>
              <w:right w:val="nil"/>
            </w:tcBorders>
            <w:shd w:val="clear" w:color="auto" w:fill="auto"/>
            <w:noWrap/>
            <w:vAlign w:val="center"/>
            <w:hideMark/>
          </w:tcPr>
          <w:p w14:paraId="3E824569" w14:textId="1396D79B"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1.70</w:t>
            </w:r>
          </w:p>
        </w:tc>
        <w:tc>
          <w:tcPr>
            <w:tcW w:w="1111" w:type="dxa"/>
            <w:tcBorders>
              <w:top w:val="nil"/>
              <w:left w:val="single" w:sz="4" w:space="0" w:color="auto"/>
              <w:bottom w:val="nil"/>
              <w:right w:val="nil"/>
            </w:tcBorders>
            <w:shd w:val="clear" w:color="auto" w:fill="auto"/>
            <w:noWrap/>
            <w:vAlign w:val="center"/>
            <w:hideMark/>
          </w:tcPr>
          <w:p w14:paraId="26AD990C" w14:textId="1CDA03C5"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w:t>
            </w:r>
          </w:p>
        </w:tc>
        <w:tc>
          <w:tcPr>
            <w:tcW w:w="1111" w:type="dxa"/>
            <w:tcBorders>
              <w:top w:val="nil"/>
              <w:left w:val="nil"/>
              <w:bottom w:val="nil"/>
              <w:right w:val="single" w:sz="4" w:space="0" w:color="auto"/>
            </w:tcBorders>
            <w:shd w:val="clear" w:color="auto" w:fill="auto"/>
            <w:noWrap/>
            <w:vAlign w:val="center"/>
            <w:hideMark/>
          </w:tcPr>
          <w:p w14:paraId="6CD53B45" w14:textId="72CF585B"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w:t>
            </w:r>
          </w:p>
        </w:tc>
        <w:tc>
          <w:tcPr>
            <w:tcW w:w="1111" w:type="dxa"/>
            <w:tcBorders>
              <w:top w:val="nil"/>
              <w:left w:val="nil"/>
              <w:bottom w:val="nil"/>
              <w:right w:val="nil"/>
            </w:tcBorders>
            <w:shd w:val="clear" w:color="auto" w:fill="auto"/>
            <w:noWrap/>
            <w:vAlign w:val="center"/>
            <w:hideMark/>
          </w:tcPr>
          <w:p w14:paraId="4B4FC512" w14:textId="177D9951"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w:t>
            </w:r>
          </w:p>
        </w:tc>
        <w:tc>
          <w:tcPr>
            <w:tcW w:w="1111" w:type="dxa"/>
            <w:tcBorders>
              <w:top w:val="nil"/>
              <w:left w:val="nil"/>
              <w:bottom w:val="nil"/>
              <w:right w:val="double" w:sz="6" w:space="0" w:color="auto"/>
            </w:tcBorders>
            <w:shd w:val="clear" w:color="auto" w:fill="auto"/>
            <w:noWrap/>
            <w:vAlign w:val="center"/>
            <w:hideMark/>
          </w:tcPr>
          <w:p w14:paraId="4E4818E2" w14:textId="486F6E73"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w:t>
            </w:r>
          </w:p>
        </w:tc>
      </w:tr>
      <w:tr w:rsidR="006B42BA" w:rsidRPr="004A5770" w14:paraId="60ACB007" w14:textId="77777777" w:rsidTr="00873B6F">
        <w:trPr>
          <w:trHeight w:val="224"/>
          <w:jc w:val="center"/>
        </w:trPr>
        <w:tc>
          <w:tcPr>
            <w:tcW w:w="4027" w:type="dxa"/>
            <w:tcBorders>
              <w:top w:val="nil"/>
              <w:left w:val="double" w:sz="6" w:space="0" w:color="auto"/>
              <w:right w:val="nil"/>
            </w:tcBorders>
            <w:shd w:val="clear" w:color="auto" w:fill="auto"/>
            <w:noWrap/>
            <w:vAlign w:val="center"/>
            <w:hideMark/>
          </w:tcPr>
          <w:p w14:paraId="02026999" w14:textId="77777777" w:rsidR="006B42BA" w:rsidRPr="000167FD" w:rsidRDefault="006B42BA" w:rsidP="006B42BA">
            <w:pPr>
              <w:spacing w:after="0" w:line="240" w:lineRule="auto"/>
              <w:ind w:left="225" w:firstLineChars="115" w:firstLine="230"/>
              <w:rPr>
                <w:rFonts w:eastAsia="Times New Roman" w:cs="Times New Roman"/>
                <w:color w:val="000000"/>
                <w:sz w:val="20"/>
                <w:szCs w:val="20"/>
              </w:rPr>
            </w:pPr>
            <w:r w:rsidRPr="000167FD">
              <w:rPr>
                <w:rFonts w:eastAsia="Times New Roman" w:cs="Times New Roman"/>
                <w:color w:val="000000"/>
                <w:sz w:val="20"/>
                <w:szCs w:val="20"/>
              </w:rPr>
              <w:t>No. of Single person HHs (/1000)</w:t>
            </w:r>
          </w:p>
        </w:tc>
        <w:tc>
          <w:tcPr>
            <w:tcW w:w="1110" w:type="dxa"/>
            <w:tcBorders>
              <w:top w:val="nil"/>
              <w:left w:val="single" w:sz="4" w:space="0" w:color="auto"/>
              <w:right w:val="nil"/>
            </w:tcBorders>
            <w:shd w:val="clear" w:color="auto" w:fill="auto"/>
            <w:noWrap/>
            <w:vAlign w:val="center"/>
            <w:hideMark/>
          </w:tcPr>
          <w:p w14:paraId="3199CA54" w14:textId="75ED0A31"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5.6403</w:t>
            </w:r>
          </w:p>
        </w:tc>
        <w:tc>
          <w:tcPr>
            <w:tcW w:w="1111" w:type="dxa"/>
            <w:tcBorders>
              <w:top w:val="nil"/>
              <w:left w:val="nil"/>
              <w:right w:val="single" w:sz="4" w:space="0" w:color="auto"/>
            </w:tcBorders>
            <w:shd w:val="clear" w:color="auto" w:fill="auto"/>
            <w:noWrap/>
            <w:vAlign w:val="center"/>
            <w:hideMark/>
          </w:tcPr>
          <w:p w14:paraId="73F3D7C0" w14:textId="21ACE088"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7.54</w:t>
            </w:r>
          </w:p>
        </w:tc>
        <w:tc>
          <w:tcPr>
            <w:tcW w:w="1111" w:type="dxa"/>
            <w:tcBorders>
              <w:top w:val="nil"/>
              <w:left w:val="nil"/>
              <w:right w:val="nil"/>
            </w:tcBorders>
            <w:shd w:val="clear" w:color="auto" w:fill="auto"/>
            <w:noWrap/>
            <w:vAlign w:val="center"/>
            <w:hideMark/>
          </w:tcPr>
          <w:p w14:paraId="6CA8CC6B" w14:textId="002E7616"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0.6052</w:t>
            </w:r>
          </w:p>
        </w:tc>
        <w:tc>
          <w:tcPr>
            <w:tcW w:w="1111" w:type="dxa"/>
            <w:tcBorders>
              <w:top w:val="nil"/>
              <w:left w:val="nil"/>
              <w:right w:val="nil"/>
            </w:tcBorders>
            <w:shd w:val="clear" w:color="auto" w:fill="auto"/>
            <w:noWrap/>
            <w:vAlign w:val="center"/>
            <w:hideMark/>
          </w:tcPr>
          <w:p w14:paraId="22B725D3" w14:textId="1174D1B5"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7.78</w:t>
            </w:r>
          </w:p>
        </w:tc>
        <w:tc>
          <w:tcPr>
            <w:tcW w:w="1111" w:type="dxa"/>
            <w:tcBorders>
              <w:top w:val="nil"/>
              <w:left w:val="single" w:sz="4" w:space="0" w:color="auto"/>
              <w:right w:val="nil"/>
            </w:tcBorders>
            <w:shd w:val="clear" w:color="auto" w:fill="auto"/>
            <w:noWrap/>
            <w:vAlign w:val="center"/>
            <w:hideMark/>
          </w:tcPr>
          <w:p w14:paraId="6732DA5B" w14:textId="499DCA92"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0.6940</w:t>
            </w:r>
          </w:p>
        </w:tc>
        <w:tc>
          <w:tcPr>
            <w:tcW w:w="1111" w:type="dxa"/>
            <w:tcBorders>
              <w:top w:val="nil"/>
              <w:left w:val="nil"/>
              <w:right w:val="single" w:sz="4" w:space="0" w:color="auto"/>
            </w:tcBorders>
            <w:shd w:val="clear" w:color="auto" w:fill="auto"/>
            <w:noWrap/>
            <w:vAlign w:val="center"/>
            <w:hideMark/>
          </w:tcPr>
          <w:p w14:paraId="24EFB292" w14:textId="457125A0"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10.4940</w:t>
            </w:r>
          </w:p>
        </w:tc>
        <w:tc>
          <w:tcPr>
            <w:tcW w:w="1111" w:type="dxa"/>
            <w:tcBorders>
              <w:top w:val="nil"/>
              <w:left w:val="nil"/>
              <w:right w:val="nil"/>
            </w:tcBorders>
            <w:shd w:val="clear" w:color="auto" w:fill="auto"/>
            <w:noWrap/>
            <w:vAlign w:val="center"/>
            <w:hideMark/>
          </w:tcPr>
          <w:p w14:paraId="1AA258E4" w14:textId="20BD4E55"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w:t>
            </w:r>
          </w:p>
        </w:tc>
        <w:tc>
          <w:tcPr>
            <w:tcW w:w="1111" w:type="dxa"/>
            <w:tcBorders>
              <w:top w:val="nil"/>
              <w:left w:val="nil"/>
              <w:right w:val="double" w:sz="6" w:space="0" w:color="auto"/>
            </w:tcBorders>
            <w:shd w:val="clear" w:color="auto" w:fill="auto"/>
            <w:noWrap/>
            <w:vAlign w:val="center"/>
            <w:hideMark/>
          </w:tcPr>
          <w:p w14:paraId="6138F21A" w14:textId="1972D93D"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w:t>
            </w:r>
          </w:p>
        </w:tc>
      </w:tr>
      <w:tr w:rsidR="006B42BA" w:rsidRPr="004A5770" w14:paraId="5E015B7A" w14:textId="77777777" w:rsidTr="00873B6F">
        <w:trPr>
          <w:trHeight w:val="224"/>
          <w:jc w:val="center"/>
        </w:trPr>
        <w:tc>
          <w:tcPr>
            <w:tcW w:w="4027" w:type="dxa"/>
            <w:tcBorders>
              <w:left w:val="double" w:sz="6" w:space="0" w:color="auto"/>
              <w:bottom w:val="single" w:sz="4" w:space="0" w:color="auto"/>
              <w:right w:val="nil"/>
            </w:tcBorders>
            <w:shd w:val="clear" w:color="auto" w:fill="auto"/>
            <w:noWrap/>
            <w:vAlign w:val="center"/>
            <w:hideMark/>
          </w:tcPr>
          <w:p w14:paraId="23E1B5F5" w14:textId="5872A1E0" w:rsidR="006B42BA" w:rsidRPr="000167FD" w:rsidRDefault="006B42BA" w:rsidP="006B42BA">
            <w:pPr>
              <w:spacing w:after="0" w:line="240" w:lineRule="auto"/>
              <w:ind w:firstLineChars="115" w:firstLine="230"/>
              <w:rPr>
                <w:rFonts w:eastAsia="Times New Roman" w:cs="Times New Roman"/>
                <w:color w:val="000000"/>
                <w:sz w:val="20"/>
                <w:szCs w:val="20"/>
              </w:rPr>
            </w:pPr>
            <w:r w:rsidRPr="000167FD">
              <w:rPr>
                <w:rFonts w:eastAsia="Times New Roman" w:cs="Times New Roman"/>
                <w:color w:val="000000"/>
                <w:sz w:val="20"/>
                <w:szCs w:val="20"/>
              </w:rPr>
              <w:t>Area (mi</w:t>
            </w:r>
            <w:r w:rsidRPr="000167FD">
              <w:rPr>
                <w:rFonts w:eastAsia="Times New Roman" w:cs="Times New Roman"/>
                <w:color w:val="000000"/>
                <w:sz w:val="20"/>
                <w:szCs w:val="20"/>
                <w:vertAlign w:val="superscript"/>
              </w:rPr>
              <w:t>2</w:t>
            </w:r>
            <w:r w:rsidRPr="000167FD">
              <w:rPr>
                <w:rFonts w:eastAsia="Times New Roman" w:cs="Times New Roman"/>
                <w:color w:val="000000"/>
                <w:sz w:val="20"/>
                <w:szCs w:val="20"/>
              </w:rPr>
              <w:t>)</w:t>
            </w:r>
          </w:p>
        </w:tc>
        <w:tc>
          <w:tcPr>
            <w:tcW w:w="1110" w:type="dxa"/>
            <w:tcBorders>
              <w:left w:val="single" w:sz="4" w:space="0" w:color="auto"/>
              <w:bottom w:val="single" w:sz="4" w:space="0" w:color="auto"/>
              <w:right w:val="nil"/>
            </w:tcBorders>
            <w:shd w:val="clear" w:color="auto" w:fill="auto"/>
            <w:noWrap/>
            <w:vAlign w:val="center"/>
            <w:hideMark/>
          </w:tcPr>
          <w:p w14:paraId="250E2DF4" w14:textId="6604C223"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0.0067</w:t>
            </w:r>
          </w:p>
        </w:tc>
        <w:tc>
          <w:tcPr>
            <w:tcW w:w="1111" w:type="dxa"/>
            <w:tcBorders>
              <w:left w:val="nil"/>
              <w:bottom w:val="single" w:sz="4" w:space="0" w:color="auto"/>
              <w:right w:val="single" w:sz="4" w:space="0" w:color="auto"/>
            </w:tcBorders>
            <w:shd w:val="clear" w:color="auto" w:fill="auto"/>
            <w:noWrap/>
            <w:vAlign w:val="center"/>
            <w:hideMark/>
          </w:tcPr>
          <w:p w14:paraId="2C05BB17" w14:textId="5F98B5C5"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0.11</w:t>
            </w:r>
          </w:p>
        </w:tc>
        <w:tc>
          <w:tcPr>
            <w:tcW w:w="1111" w:type="dxa"/>
            <w:tcBorders>
              <w:left w:val="nil"/>
              <w:bottom w:val="single" w:sz="4" w:space="0" w:color="auto"/>
              <w:right w:val="nil"/>
            </w:tcBorders>
            <w:shd w:val="clear" w:color="auto" w:fill="auto"/>
            <w:noWrap/>
            <w:vAlign w:val="center"/>
            <w:hideMark/>
          </w:tcPr>
          <w:p w14:paraId="72E725D6" w14:textId="0082267B"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0.0001</w:t>
            </w:r>
          </w:p>
        </w:tc>
        <w:tc>
          <w:tcPr>
            <w:tcW w:w="1111" w:type="dxa"/>
            <w:tcBorders>
              <w:left w:val="nil"/>
              <w:bottom w:val="single" w:sz="4" w:space="0" w:color="auto"/>
              <w:right w:val="nil"/>
            </w:tcBorders>
            <w:shd w:val="clear" w:color="auto" w:fill="auto"/>
            <w:noWrap/>
            <w:vAlign w:val="center"/>
            <w:hideMark/>
          </w:tcPr>
          <w:p w14:paraId="28A383B2" w14:textId="1C0ADCFB"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0.01</w:t>
            </w:r>
          </w:p>
        </w:tc>
        <w:tc>
          <w:tcPr>
            <w:tcW w:w="1111" w:type="dxa"/>
            <w:tcBorders>
              <w:left w:val="single" w:sz="4" w:space="0" w:color="auto"/>
              <w:bottom w:val="single" w:sz="4" w:space="0" w:color="auto"/>
              <w:right w:val="nil"/>
            </w:tcBorders>
            <w:shd w:val="clear" w:color="auto" w:fill="auto"/>
            <w:noWrap/>
            <w:vAlign w:val="center"/>
            <w:hideMark/>
          </w:tcPr>
          <w:p w14:paraId="24000E5F" w14:textId="67CC47AC"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0.0001</w:t>
            </w:r>
          </w:p>
        </w:tc>
        <w:tc>
          <w:tcPr>
            <w:tcW w:w="1111" w:type="dxa"/>
            <w:tcBorders>
              <w:left w:val="nil"/>
              <w:bottom w:val="single" w:sz="4" w:space="0" w:color="auto"/>
              <w:right w:val="single" w:sz="4" w:space="0" w:color="auto"/>
            </w:tcBorders>
            <w:shd w:val="clear" w:color="auto" w:fill="auto"/>
            <w:noWrap/>
            <w:vAlign w:val="center"/>
            <w:hideMark/>
          </w:tcPr>
          <w:p w14:paraId="313409A9" w14:textId="22E6898F"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0.01</w:t>
            </w:r>
          </w:p>
        </w:tc>
        <w:tc>
          <w:tcPr>
            <w:tcW w:w="1111" w:type="dxa"/>
            <w:tcBorders>
              <w:left w:val="nil"/>
              <w:bottom w:val="single" w:sz="4" w:space="0" w:color="auto"/>
              <w:right w:val="nil"/>
            </w:tcBorders>
            <w:shd w:val="clear" w:color="auto" w:fill="auto"/>
            <w:noWrap/>
            <w:vAlign w:val="center"/>
            <w:hideMark/>
          </w:tcPr>
          <w:p w14:paraId="3463663F" w14:textId="0137FCAF"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0.0002</w:t>
            </w:r>
          </w:p>
        </w:tc>
        <w:tc>
          <w:tcPr>
            <w:tcW w:w="1111" w:type="dxa"/>
            <w:tcBorders>
              <w:left w:val="nil"/>
              <w:bottom w:val="single" w:sz="4" w:space="0" w:color="auto"/>
              <w:right w:val="double" w:sz="6" w:space="0" w:color="auto"/>
            </w:tcBorders>
            <w:shd w:val="clear" w:color="auto" w:fill="auto"/>
            <w:noWrap/>
            <w:vAlign w:val="center"/>
            <w:hideMark/>
          </w:tcPr>
          <w:p w14:paraId="64564E29" w14:textId="5BE56EDC"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0.18</w:t>
            </w:r>
          </w:p>
        </w:tc>
      </w:tr>
      <w:tr w:rsidR="006B42BA" w:rsidRPr="004A5770" w14:paraId="755A776B" w14:textId="77777777" w:rsidTr="00873B6F">
        <w:trPr>
          <w:trHeight w:val="224"/>
          <w:jc w:val="center"/>
        </w:trPr>
        <w:tc>
          <w:tcPr>
            <w:tcW w:w="4027" w:type="dxa"/>
            <w:tcBorders>
              <w:top w:val="single" w:sz="4" w:space="0" w:color="auto"/>
              <w:left w:val="double" w:sz="6" w:space="0" w:color="auto"/>
              <w:bottom w:val="nil"/>
              <w:right w:val="nil"/>
            </w:tcBorders>
            <w:shd w:val="clear" w:color="auto" w:fill="auto"/>
            <w:noWrap/>
            <w:vAlign w:val="center"/>
            <w:hideMark/>
          </w:tcPr>
          <w:p w14:paraId="751F3654" w14:textId="0BDACAFD" w:rsidR="006B42BA" w:rsidRPr="000167FD" w:rsidRDefault="006B42BA" w:rsidP="006B42BA">
            <w:pPr>
              <w:spacing w:after="0" w:line="240" w:lineRule="auto"/>
              <w:ind w:firstLineChars="115" w:firstLine="230"/>
              <w:rPr>
                <w:rFonts w:eastAsia="Times New Roman" w:cs="Times New Roman"/>
                <w:color w:val="000000"/>
                <w:sz w:val="20"/>
                <w:szCs w:val="20"/>
              </w:rPr>
            </w:pPr>
            <w:r w:rsidRPr="000167FD">
              <w:rPr>
                <w:rFonts w:eastAsia="Times New Roman" w:cs="Times New Roman"/>
                <w:color w:val="000000"/>
                <w:sz w:val="20"/>
                <w:szCs w:val="20"/>
              </w:rPr>
              <w:t xml:space="preserve">Log of composite zonal size </w:t>
            </w:r>
            <w:proofErr w:type="spellStart"/>
            <w:r w:rsidRPr="000167FD">
              <w:rPr>
                <w:rFonts w:eastAsia="Times New Roman" w:cs="Times New Roman"/>
                <w:color w:val="000000"/>
                <w:sz w:val="20"/>
                <w:szCs w:val="20"/>
              </w:rPr>
              <w:t>measure</w:t>
            </w:r>
            <w:r w:rsidRPr="000167FD">
              <w:rPr>
                <w:rFonts w:eastAsia="Times New Roman" w:cs="Times New Roman"/>
                <w:color w:val="000000"/>
                <w:sz w:val="20"/>
                <w:szCs w:val="20"/>
                <w:vertAlign w:val="superscript"/>
              </w:rPr>
              <w:t>c</w:t>
            </w:r>
            <w:proofErr w:type="spellEnd"/>
          </w:p>
        </w:tc>
        <w:tc>
          <w:tcPr>
            <w:tcW w:w="1110" w:type="dxa"/>
            <w:tcBorders>
              <w:top w:val="single" w:sz="4" w:space="0" w:color="auto"/>
              <w:left w:val="single" w:sz="4" w:space="0" w:color="auto"/>
              <w:bottom w:val="nil"/>
              <w:right w:val="nil"/>
            </w:tcBorders>
            <w:shd w:val="clear" w:color="auto" w:fill="auto"/>
            <w:noWrap/>
            <w:vAlign w:val="center"/>
            <w:hideMark/>
          </w:tcPr>
          <w:p w14:paraId="49741AA5" w14:textId="63A9FB6A"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0.7038</w:t>
            </w:r>
          </w:p>
        </w:tc>
        <w:tc>
          <w:tcPr>
            <w:tcW w:w="1111" w:type="dxa"/>
            <w:tcBorders>
              <w:top w:val="single" w:sz="4" w:space="0" w:color="auto"/>
              <w:left w:val="nil"/>
              <w:bottom w:val="nil"/>
              <w:right w:val="single" w:sz="4" w:space="0" w:color="auto"/>
            </w:tcBorders>
            <w:shd w:val="clear" w:color="auto" w:fill="auto"/>
            <w:noWrap/>
            <w:vAlign w:val="center"/>
            <w:hideMark/>
          </w:tcPr>
          <w:p w14:paraId="062EF59A" w14:textId="0B1EF17F"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81.41</w:t>
            </w:r>
          </w:p>
        </w:tc>
        <w:tc>
          <w:tcPr>
            <w:tcW w:w="1111" w:type="dxa"/>
            <w:tcBorders>
              <w:top w:val="single" w:sz="4" w:space="0" w:color="auto"/>
              <w:left w:val="nil"/>
              <w:bottom w:val="nil"/>
              <w:right w:val="nil"/>
            </w:tcBorders>
            <w:shd w:val="clear" w:color="auto" w:fill="auto"/>
            <w:noWrap/>
            <w:vAlign w:val="center"/>
            <w:hideMark/>
          </w:tcPr>
          <w:p w14:paraId="5290B743" w14:textId="3D233C66"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0.7057</w:t>
            </w:r>
          </w:p>
        </w:tc>
        <w:tc>
          <w:tcPr>
            <w:tcW w:w="1111" w:type="dxa"/>
            <w:tcBorders>
              <w:top w:val="single" w:sz="4" w:space="0" w:color="auto"/>
              <w:left w:val="nil"/>
              <w:bottom w:val="nil"/>
              <w:right w:val="nil"/>
            </w:tcBorders>
            <w:shd w:val="clear" w:color="auto" w:fill="auto"/>
            <w:noWrap/>
            <w:vAlign w:val="center"/>
            <w:hideMark/>
          </w:tcPr>
          <w:p w14:paraId="14D36686" w14:textId="0BD0F5CA"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120.90</w:t>
            </w:r>
          </w:p>
        </w:tc>
        <w:tc>
          <w:tcPr>
            <w:tcW w:w="1111" w:type="dxa"/>
            <w:tcBorders>
              <w:top w:val="single" w:sz="4" w:space="0" w:color="auto"/>
              <w:left w:val="single" w:sz="4" w:space="0" w:color="auto"/>
              <w:bottom w:val="nil"/>
              <w:right w:val="nil"/>
            </w:tcBorders>
            <w:shd w:val="clear" w:color="auto" w:fill="auto"/>
            <w:noWrap/>
            <w:vAlign w:val="center"/>
            <w:hideMark/>
          </w:tcPr>
          <w:p w14:paraId="0D10ECB6" w14:textId="6A720CF7"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0.8046</w:t>
            </w:r>
          </w:p>
        </w:tc>
        <w:tc>
          <w:tcPr>
            <w:tcW w:w="1111" w:type="dxa"/>
            <w:tcBorders>
              <w:top w:val="single" w:sz="4" w:space="0" w:color="auto"/>
              <w:left w:val="nil"/>
              <w:bottom w:val="nil"/>
              <w:right w:val="single" w:sz="4" w:space="0" w:color="auto"/>
            </w:tcBorders>
            <w:shd w:val="clear" w:color="auto" w:fill="auto"/>
            <w:noWrap/>
            <w:vAlign w:val="center"/>
            <w:hideMark/>
          </w:tcPr>
          <w:p w14:paraId="5D55C746" w14:textId="34683D9E"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118.51</w:t>
            </w:r>
          </w:p>
        </w:tc>
        <w:tc>
          <w:tcPr>
            <w:tcW w:w="1111" w:type="dxa"/>
            <w:tcBorders>
              <w:top w:val="single" w:sz="4" w:space="0" w:color="auto"/>
              <w:left w:val="nil"/>
              <w:bottom w:val="nil"/>
              <w:right w:val="nil"/>
            </w:tcBorders>
            <w:shd w:val="clear" w:color="auto" w:fill="auto"/>
            <w:noWrap/>
            <w:vAlign w:val="center"/>
            <w:hideMark/>
          </w:tcPr>
          <w:p w14:paraId="3ECABB5F" w14:textId="1E10A0BB"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0.6482</w:t>
            </w:r>
          </w:p>
        </w:tc>
        <w:tc>
          <w:tcPr>
            <w:tcW w:w="1111" w:type="dxa"/>
            <w:tcBorders>
              <w:top w:val="single" w:sz="4" w:space="0" w:color="auto"/>
              <w:left w:val="nil"/>
              <w:bottom w:val="nil"/>
              <w:right w:val="double" w:sz="6" w:space="0" w:color="auto"/>
            </w:tcBorders>
            <w:shd w:val="clear" w:color="auto" w:fill="auto"/>
            <w:noWrap/>
            <w:vAlign w:val="center"/>
            <w:hideMark/>
          </w:tcPr>
          <w:p w14:paraId="0282F76B" w14:textId="7EF2E099" w:rsidR="006B42BA" w:rsidRPr="00323017" w:rsidRDefault="006B42BA" w:rsidP="006B42BA">
            <w:pPr>
              <w:spacing w:after="0" w:line="240" w:lineRule="auto"/>
              <w:jc w:val="right"/>
              <w:rPr>
                <w:rFonts w:eastAsia="Times New Roman" w:cs="Times New Roman"/>
                <w:color w:val="000000"/>
                <w:sz w:val="20"/>
                <w:szCs w:val="20"/>
              </w:rPr>
            </w:pPr>
            <w:r w:rsidRPr="00873B6F">
              <w:rPr>
                <w:color w:val="000000"/>
                <w:sz w:val="20"/>
                <w:szCs w:val="20"/>
              </w:rPr>
              <w:t>136.13</w:t>
            </w:r>
          </w:p>
        </w:tc>
      </w:tr>
      <w:tr w:rsidR="00F127B4" w:rsidRPr="004A5770" w14:paraId="6E3D195D" w14:textId="77777777" w:rsidTr="00873B6F">
        <w:trPr>
          <w:trHeight w:val="233"/>
          <w:jc w:val="center"/>
        </w:trPr>
        <w:tc>
          <w:tcPr>
            <w:tcW w:w="12914" w:type="dxa"/>
            <w:gridSpan w:val="9"/>
            <w:tcBorders>
              <w:top w:val="double" w:sz="6" w:space="0" w:color="auto"/>
              <w:left w:val="double" w:sz="4" w:space="0" w:color="auto"/>
              <w:bottom w:val="double" w:sz="6" w:space="0" w:color="auto"/>
              <w:right w:val="double" w:sz="4" w:space="0" w:color="auto"/>
            </w:tcBorders>
            <w:shd w:val="clear" w:color="auto" w:fill="auto"/>
            <w:vAlign w:val="bottom"/>
            <w:hideMark/>
          </w:tcPr>
          <w:p w14:paraId="0EAE5A9F" w14:textId="5ACE1D13" w:rsidR="00F127B4" w:rsidRPr="000770D9" w:rsidRDefault="00F127B4" w:rsidP="00F127B4">
            <w:pPr>
              <w:spacing w:after="0" w:line="240" w:lineRule="auto"/>
              <w:rPr>
                <w:rFonts w:eastAsia="Times New Roman" w:cs="Times New Roman"/>
                <w:color w:val="000000"/>
                <w:sz w:val="20"/>
                <w:szCs w:val="20"/>
              </w:rPr>
            </w:pPr>
            <w:r w:rsidRPr="00323017">
              <w:rPr>
                <w:rFonts w:eastAsia="Times New Roman" w:cs="Times New Roman"/>
                <w:color w:val="000000"/>
                <w:sz w:val="20"/>
                <w:szCs w:val="20"/>
                <w:vertAlign w:val="superscript"/>
              </w:rPr>
              <w:t>a</w:t>
            </w:r>
            <w:r w:rsidRPr="00323017">
              <w:rPr>
                <w:rFonts w:eastAsia="Times New Roman" w:cs="Times New Roman"/>
                <w:color w:val="000000"/>
                <w:sz w:val="20"/>
                <w:szCs w:val="20"/>
              </w:rPr>
              <w:t xml:space="preserve">   Base area type is Suburban</w:t>
            </w:r>
            <w:r w:rsidR="000167FD" w:rsidRPr="00323017">
              <w:rPr>
                <w:rFonts w:eastAsia="Times New Roman" w:cs="Times New Roman"/>
                <w:color w:val="000000"/>
                <w:sz w:val="20"/>
                <w:szCs w:val="20"/>
              </w:rPr>
              <w:t>/Rural</w:t>
            </w:r>
          </w:p>
          <w:p w14:paraId="3B190AFD" w14:textId="394C2552" w:rsidR="000167FD" w:rsidRPr="009E0FF1" w:rsidRDefault="000167FD" w:rsidP="00F127B4">
            <w:pPr>
              <w:spacing w:after="0" w:line="240" w:lineRule="auto"/>
              <w:rPr>
                <w:rFonts w:eastAsia="Times New Roman" w:cs="Times New Roman"/>
                <w:color w:val="000000"/>
                <w:sz w:val="20"/>
                <w:szCs w:val="20"/>
              </w:rPr>
            </w:pPr>
            <w:r w:rsidRPr="00A31847">
              <w:rPr>
                <w:rFonts w:eastAsia="Times New Roman" w:cs="Times New Roman"/>
                <w:color w:val="000000"/>
                <w:sz w:val="20"/>
                <w:szCs w:val="20"/>
                <w:vertAlign w:val="superscript"/>
              </w:rPr>
              <w:t>b</w:t>
            </w:r>
            <w:r w:rsidRPr="00A31847">
              <w:rPr>
                <w:rFonts w:eastAsia="Times New Roman" w:cs="Times New Roman"/>
                <w:color w:val="000000"/>
                <w:sz w:val="20"/>
                <w:szCs w:val="20"/>
              </w:rPr>
              <w:t xml:space="preserve">   Base area type </w:t>
            </w:r>
            <w:r w:rsidRPr="009E0FF1">
              <w:rPr>
                <w:rFonts w:eastAsia="Times New Roman" w:cs="Times New Roman"/>
                <w:color w:val="000000"/>
                <w:sz w:val="20"/>
                <w:szCs w:val="20"/>
              </w:rPr>
              <w:t>is Suburban</w:t>
            </w:r>
          </w:p>
          <w:p w14:paraId="51D73FAE" w14:textId="469F5667" w:rsidR="00F127B4" w:rsidRPr="006B42BA" w:rsidRDefault="000167FD" w:rsidP="00F127B4">
            <w:pPr>
              <w:spacing w:after="0" w:line="240" w:lineRule="auto"/>
              <w:rPr>
                <w:rFonts w:eastAsia="Times New Roman" w:cs="Times New Roman"/>
                <w:color w:val="000000"/>
                <w:sz w:val="20"/>
                <w:szCs w:val="20"/>
              </w:rPr>
            </w:pPr>
            <w:r w:rsidRPr="006B42BA">
              <w:rPr>
                <w:rFonts w:eastAsia="Times New Roman" w:cs="Times New Roman"/>
                <w:color w:val="000000"/>
                <w:sz w:val="20"/>
                <w:szCs w:val="20"/>
                <w:vertAlign w:val="superscript"/>
              </w:rPr>
              <w:t>c</w:t>
            </w:r>
            <w:r w:rsidR="00F127B4" w:rsidRPr="006B42BA">
              <w:rPr>
                <w:rFonts w:eastAsia="Times New Roman" w:cs="Times New Roman"/>
                <w:color w:val="000000"/>
                <w:sz w:val="20"/>
                <w:szCs w:val="20"/>
                <w:vertAlign w:val="superscript"/>
              </w:rPr>
              <w:t xml:space="preserve">    </w:t>
            </w:r>
            <w:r w:rsidR="00F127B4" w:rsidRPr="006B42BA">
              <w:rPr>
                <w:rFonts w:eastAsia="Times New Roman" w:cs="Times New Roman"/>
                <w:color w:val="000000"/>
                <w:sz w:val="20"/>
                <w:szCs w:val="20"/>
                <w:vertAlign w:val="subscript"/>
              </w:rPr>
              <w:t xml:space="preserve"> </w:t>
            </w:r>
            <w:r w:rsidR="00F127B4" w:rsidRPr="006B42BA">
              <w:rPr>
                <w:rFonts w:eastAsia="Times New Roman" w:cs="Times New Roman"/>
                <w:color w:val="000000"/>
                <w:sz w:val="20"/>
                <w:szCs w:val="20"/>
              </w:rPr>
              <w:t>t-stats for coefficient being different from 1</w:t>
            </w:r>
          </w:p>
          <w:p w14:paraId="49B2DFB6" w14:textId="1F910364" w:rsidR="00F127B4" w:rsidRPr="006B42BA" w:rsidRDefault="00F127B4" w:rsidP="00F127B4">
            <w:pPr>
              <w:spacing w:after="0" w:line="240" w:lineRule="auto"/>
              <w:rPr>
                <w:rFonts w:eastAsia="Times New Roman" w:cs="Times New Roman"/>
                <w:color w:val="000000"/>
                <w:sz w:val="20"/>
                <w:szCs w:val="20"/>
              </w:rPr>
            </w:pPr>
            <w:proofErr w:type="gramStart"/>
            <w:r w:rsidRPr="006B42BA">
              <w:rPr>
                <w:rFonts w:eastAsia="Times New Roman" w:cs="Times New Roman"/>
                <w:color w:val="000000"/>
                <w:sz w:val="20"/>
                <w:szCs w:val="20"/>
              </w:rPr>
              <w:t>--  Not</w:t>
            </w:r>
            <w:proofErr w:type="gramEnd"/>
            <w:r w:rsidRPr="006B42BA">
              <w:rPr>
                <w:rFonts w:eastAsia="Times New Roman" w:cs="Times New Roman"/>
                <w:color w:val="000000"/>
                <w:sz w:val="20"/>
                <w:szCs w:val="20"/>
              </w:rPr>
              <w:t xml:space="preserve"> statistically significantly different from zero at the 90% level of confidence and removed from the specification</w:t>
            </w:r>
          </w:p>
        </w:tc>
      </w:tr>
    </w:tbl>
    <w:p w14:paraId="67D5C823" w14:textId="77777777" w:rsidR="00E058BD" w:rsidRDefault="00E058BD" w:rsidP="00F7439A">
      <w:pPr>
        <w:spacing w:after="0" w:line="240" w:lineRule="auto"/>
        <w:sectPr w:rsidR="00E058BD" w:rsidSect="009E0008">
          <w:pgSz w:w="15840" w:h="12240" w:orient="landscape"/>
          <w:pgMar w:top="1440" w:right="1440" w:bottom="1440" w:left="1440" w:header="720" w:footer="720" w:gutter="0"/>
          <w:cols w:space="720"/>
          <w:docGrid w:linePitch="299"/>
        </w:sectPr>
      </w:pPr>
    </w:p>
    <w:p w14:paraId="2A15DDB5" w14:textId="37D2E18F" w:rsidR="00801BFC" w:rsidRDefault="00A16F49" w:rsidP="00797D96">
      <w:pPr>
        <w:spacing w:after="0" w:line="240" w:lineRule="auto"/>
        <w:rPr>
          <w:sz w:val="24"/>
          <w:szCs w:val="24"/>
        </w:rPr>
      </w:pPr>
      <w:r w:rsidRPr="007978E9">
        <w:rPr>
          <w:sz w:val="24"/>
          <w:szCs w:val="24"/>
        </w:rPr>
        <w:lastRenderedPageBreak/>
        <w:tab/>
      </w:r>
      <w:r w:rsidR="00801BFC" w:rsidRPr="007978E9">
        <w:rPr>
          <w:sz w:val="24"/>
          <w:szCs w:val="24"/>
        </w:rPr>
        <w:t xml:space="preserve">The hourly frequency of transit per square mile </w:t>
      </w:r>
      <w:r w:rsidR="009A58C1">
        <w:rPr>
          <w:sz w:val="24"/>
          <w:szCs w:val="24"/>
        </w:rPr>
        <w:t xml:space="preserve">of the TAZ (during </w:t>
      </w:r>
      <w:r w:rsidR="00801BFC" w:rsidRPr="007978E9">
        <w:rPr>
          <w:sz w:val="24"/>
          <w:szCs w:val="24"/>
        </w:rPr>
        <w:t>PM peak</w:t>
      </w:r>
      <w:r w:rsidR="009A58C1">
        <w:rPr>
          <w:sz w:val="24"/>
          <w:szCs w:val="24"/>
        </w:rPr>
        <w:t>)</w:t>
      </w:r>
      <w:r w:rsidR="00801BFC" w:rsidRPr="007978E9">
        <w:rPr>
          <w:sz w:val="24"/>
          <w:szCs w:val="24"/>
        </w:rPr>
        <w:t xml:space="preserve"> is used as a proxy for the transit connectivity of TAZs.</w:t>
      </w:r>
      <w:r w:rsidR="000129A0">
        <w:rPr>
          <w:sz w:val="24"/>
          <w:szCs w:val="24"/>
        </w:rPr>
        <w:t xml:space="preserve"> </w:t>
      </w:r>
      <w:r w:rsidR="00752153">
        <w:rPr>
          <w:sz w:val="24"/>
          <w:szCs w:val="24"/>
        </w:rPr>
        <w:t>In all</w:t>
      </w:r>
      <w:r w:rsidR="00746F8C">
        <w:rPr>
          <w:sz w:val="24"/>
          <w:szCs w:val="24"/>
        </w:rPr>
        <w:t xml:space="preserve"> the</w:t>
      </w:r>
      <w:r w:rsidR="00752153">
        <w:rPr>
          <w:sz w:val="24"/>
          <w:szCs w:val="24"/>
        </w:rPr>
        <w:t xml:space="preserve"> time periods, there is</w:t>
      </w:r>
      <w:r w:rsidR="000129A0">
        <w:rPr>
          <w:sz w:val="24"/>
          <w:szCs w:val="24"/>
        </w:rPr>
        <w:t xml:space="preserve"> a higher likelihood </w:t>
      </w:r>
      <w:r w:rsidR="00D35BE6">
        <w:rPr>
          <w:sz w:val="24"/>
          <w:szCs w:val="24"/>
        </w:rPr>
        <w:t xml:space="preserve">for </w:t>
      </w:r>
      <w:r w:rsidR="00640990">
        <w:rPr>
          <w:sz w:val="24"/>
          <w:szCs w:val="24"/>
        </w:rPr>
        <w:t>deadheading destination</w:t>
      </w:r>
      <w:r w:rsidR="00D35BE6">
        <w:rPr>
          <w:sz w:val="24"/>
          <w:szCs w:val="24"/>
        </w:rPr>
        <w:t>s</w:t>
      </w:r>
      <w:r w:rsidR="00640990">
        <w:rPr>
          <w:sz w:val="24"/>
          <w:szCs w:val="24"/>
        </w:rPr>
        <w:t xml:space="preserve"> (</w:t>
      </w:r>
      <w:r w:rsidR="000129A0">
        <w:rPr>
          <w:sz w:val="24"/>
          <w:szCs w:val="24"/>
        </w:rPr>
        <w:t>passenger pick-ups</w:t>
      </w:r>
      <w:r w:rsidR="00640990">
        <w:rPr>
          <w:sz w:val="24"/>
          <w:szCs w:val="24"/>
        </w:rPr>
        <w:t>)</w:t>
      </w:r>
      <w:r w:rsidR="000129A0">
        <w:rPr>
          <w:sz w:val="24"/>
          <w:szCs w:val="24"/>
        </w:rPr>
        <w:t xml:space="preserve"> </w:t>
      </w:r>
      <w:r w:rsidR="00D35BE6">
        <w:rPr>
          <w:sz w:val="24"/>
          <w:szCs w:val="24"/>
        </w:rPr>
        <w:t xml:space="preserve">to be </w:t>
      </w:r>
      <w:r w:rsidR="000129A0">
        <w:rPr>
          <w:sz w:val="24"/>
          <w:szCs w:val="24"/>
        </w:rPr>
        <w:t xml:space="preserve">in TAZs that are better served by transit. To some degree, this may be indicative of a competitive substitution effect between ride-hailing and transit, as has been reported in previous studies </w:t>
      </w:r>
      <w:r w:rsidR="00A92E1E" w:rsidRPr="007978E9">
        <w:rPr>
          <w:sz w:val="24"/>
          <w:szCs w:val="24"/>
        </w:rPr>
        <w:fldChar w:fldCharType="begin"/>
      </w:r>
      <w:r w:rsidR="00B46899">
        <w:rPr>
          <w:sz w:val="24"/>
          <w:szCs w:val="24"/>
        </w:rPr>
        <w:instrText xml:space="preserve"> ADDIN ZOTERO_ITEM CSL_CITATION {"citationID":"98fsVoiM","properties":{"formattedCitation":"(Dias et al., 2017; Komanduri et al., 2018)","plainCitation":"(Dias et al., 2017; Komanduri et al., 2018)","dontUpdate":true,"noteIndex":0},"citationItems":[{"id":"pYE2dMDV/plcEl03m","uris":["http://zotero.org/users/local/CJ2Dv405/items/5WY5VX8H"],"uri":["http://zotero.org/users/local/CJ2Dv405/items/5WY5VX8H"],"itemData":{"id":201,"type":"article-journal","abstract":"There are a number of disruptive mobility services that are increasingly finding their way into the marketplace. Two key examples of such services are car-sharing services and ride-sourcing services. In an effort to better understand the influence of various exogenous socio-economic and demographic variables on the frequency of use of ride-sourcing and car-sharing services, this paper presents a bivariate ordered probit model estimated on a survey data set derived from the 2014-2015 Puget Sound Regional Travel Study. Model estimation results show that users of these services tend to be young, well-educated, higher-income, working individuals residing in higher-density areas. There are significant interaction effects reflecting the influence of children and the built environment on disruptive mobility service usage. The model developed in this paper provides key insights into factors affecting market penetration of these services, and can be integrated in larger travel forecasting model systems to better predict the adoption and use of mobility-on-demand services.","container-title":"Transportation","DOI":"10.1007/s11116-017-9797-8","ISSN":"0049-4488, 1572-9435","issue":"6","journalAbbreviation":"Transportation","language":"en","page":"1307-1323","source":"DOI.org (Crossref)","title":"A behavioral choice model of the use of car-sharing and ride-sourcing services","volume":"44","author":[{"family":"Dias","given":"Felipe F."},{"family":"Lavieri","given":"Patrícia S."},{"family":"Garikapati","given":"Venu M."},{"family":"Astroza","given":"Sebastian"},{"family":"Pendyala","given":"Ram M."},{"family":"Bhat","given":"Chandra R."}],"issued":{"date-parts":[["2017",11]]}}},{"id":"pYE2dMDV/ewcNIEnm","uris":["http://zotero.org/users/local/CJ2Dv405/items/UY89PBNF"],"uri":["http://zotero.org/users/local/CJ2Dv405/items/UY89PBNF"],"itemData":{"id":131,"type":"article-journal","abstract":"App-driven ridesharing platforms are gaining popularity and are transforming urban movement patterns in cities throughout the world. Because of privacy and business considerations, their owners have released little information about riders’ tripmaking characteristics. This lack of data prevents planners and modelers from understanding and quantifying the impact of these new modes on regional travel patterns. In 2016, RideAustin, a not-for-profit company, was established to provide mobility-on-demand services in the Austin region. RideAustin released its dataset of over one million trips to researchers to support transportation planning through a better understanding of urban travel flows. This paper presents findings from an in-depth analysis of this dataset and summarizes key aspects of interest to the transportation research community such as the number of riders, drivers, and trips; total vehicle miles including deadhead miles; and terminal times. The paper also presents findings from two case studies that show the competitiveness of RideAustin versus transit and the utilization of the RideAustin system during the South by Southwest festival. While some of the metrics cannot be readily transferred to other regions, several findings can be used by planners and modelers as they integrate rideshare systems within their planning and modeling frameworks. We also believe that some of the research findings may provide insights into a future system of autonomous and shared vehicles.","container-title":"Transportation Research Record: Journal of the Transportation Research Board","DOI":"10.1177/0361198118796025","ISSN":"0361-1981, 2169-4052","language":"en","page":"036119811879602","source":"Crossref","title":"Assessing the Impact of App-Based Ride Share Systems in an Urban Context: Findings from Austin","title-short":"Assessing the Impact of App-Based Ride Share Systems in an Urban Context","author":[{"family":"Komanduri","given":"Anurag"},{"family":"Wafa","given":"Zeina"},{"family":"Proussaloglou","given":"Kimon"},{"family":"Jacobs","given":"Simon"}],"issued":{"date-parts":[["2018",9,11]]}}}],"schema":"https://github.com/citation-style-language/schema/raw/master/csl-citation.json"} </w:instrText>
      </w:r>
      <w:r w:rsidR="00A92E1E" w:rsidRPr="007978E9">
        <w:rPr>
          <w:sz w:val="24"/>
          <w:szCs w:val="24"/>
        </w:rPr>
        <w:fldChar w:fldCharType="separate"/>
      </w:r>
      <w:r w:rsidR="00A92E1E" w:rsidRPr="007978E9">
        <w:rPr>
          <w:rFonts w:cs="Times New Roman"/>
          <w:sz w:val="24"/>
          <w:szCs w:val="24"/>
        </w:rPr>
        <w:t xml:space="preserve">(Dias </w:t>
      </w:r>
      <w:r w:rsidR="00A92E1E" w:rsidRPr="006E7840">
        <w:rPr>
          <w:rFonts w:cs="Times New Roman"/>
          <w:i/>
          <w:sz w:val="24"/>
          <w:szCs w:val="24"/>
        </w:rPr>
        <w:t>et al</w:t>
      </w:r>
      <w:r w:rsidR="00A92E1E" w:rsidRPr="007978E9">
        <w:rPr>
          <w:rFonts w:cs="Times New Roman"/>
          <w:sz w:val="24"/>
          <w:szCs w:val="24"/>
        </w:rPr>
        <w:t xml:space="preserve">., 2017; </w:t>
      </w:r>
      <w:r w:rsidR="008C6CA4">
        <w:rPr>
          <w:rFonts w:cs="Times New Roman"/>
          <w:sz w:val="24"/>
          <w:szCs w:val="24"/>
        </w:rPr>
        <w:t>Schaller,</w:t>
      </w:r>
      <w:r w:rsidR="00A92E1E" w:rsidRPr="007978E9">
        <w:rPr>
          <w:rFonts w:cs="Times New Roman"/>
          <w:sz w:val="24"/>
          <w:szCs w:val="24"/>
        </w:rPr>
        <w:t xml:space="preserve"> 2018)</w:t>
      </w:r>
      <w:r w:rsidR="00A92E1E" w:rsidRPr="007978E9">
        <w:rPr>
          <w:sz w:val="24"/>
          <w:szCs w:val="24"/>
        </w:rPr>
        <w:fldChar w:fldCharType="end"/>
      </w:r>
      <w:r w:rsidR="00801BFC" w:rsidRPr="007978E9">
        <w:rPr>
          <w:sz w:val="24"/>
          <w:szCs w:val="24"/>
        </w:rPr>
        <w:t xml:space="preserve">. TAZs with better transit </w:t>
      </w:r>
      <w:r w:rsidR="000129A0">
        <w:rPr>
          <w:sz w:val="24"/>
          <w:szCs w:val="24"/>
        </w:rPr>
        <w:t xml:space="preserve">service are also likely to </w:t>
      </w:r>
      <w:r w:rsidR="004B34E1">
        <w:rPr>
          <w:sz w:val="24"/>
          <w:szCs w:val="24"/>
        </w:rPr>
        <w:t xml:space="preserve">be </w:t>
      </w:r>
      <w:r w:rsidR="000129A0">
        <w:rPr>
          <w:sz w:val="24"/>
          <w:szCs w:val="24"/>
        </w:rPr>
        <w:t>locations with</w:t>
      </w:r>
      <w:r w:rsidR="00801BFC" w:rsidRPr="007978E9">
        <w:rPr>
          <w:sz w:val="24"/>
          <w:szCs w:val="24"/>
        </w:rPr>
        <w:t xml:space="preserve"> more attractions</w:t>
      </w:r>
      <w:r w:rsidR="000129A0">
        <w:rPr>
          <w:sz w:val="24"/>
          <w:szCs w:val="24"/>
        </w:rPr>
        <w:t xml:space="preserve">, employment and population concentrations, and destination opportunities. </w:t>
      </w:r>
      <w:r w:rsidR="004B34E1">
        <w:rPr>
          <w:sz w:val="24"/>
          <w:szCs w:val="24"/>
        </w:rPr>
        <w:t>Therefore</w:t>
      </w:r>
      <w:r w:rsidR="009D74B6">
        <w:rPr>
          <w:sz w:val="24"/>
          <w:szCs w:val="24"/>
        </w:rPr>
        <w:t>,</w:t>
      </w:r>
      <w:r w:rsidR="004B34E1">
        <w:rPr>
          <w:sz w:val="24"/>
          <w:szCs w:val="24"/>
        </w:rPr>
        <w:t xml:space="preserve"> </w:t>
      </w:r>
      <w:r w:rsidR="000129A0">
        <w:rPr>
          <w:sz w:val="24"/>
          <w:szCs w:val="24"/>
        </w:rPr>
        <w:t>these locations are likely to see higher levels of ride-hailing demand, thus increasing the probability that they will be destinations of deadheading trips</w:t>
      </w:r>
      <w:r w:rsidR="00801BFC" w:rsidRPr="007978E9">
        <w:rPr>
          <w:sz w:val="24"/>
          <w:szCs w:val="24"/>
        </w:rPr>
        <w:t xml:space="preserve">. </w:t>
      </w:r>
    </w:p>
    <w:p w14:paraId="30F45F2C" w14:textId="77777777" w:rsidR="007978E9" w:rsidRPr="000129A0" w:rsidRDefault="007978E9" w:rsidP="007978E9">
      <w:pPr>
        <w:spacing w:after="0" w:line="240" w:lineRule="auto"/>
        <w:rPr>
          <w:sz w:val="24"/>
          <w:szCs w:val="24"/>
        </w:rPr>
      </w:pPr>
    </w:p>
    <w:p w14:paraId="1485955B" w14:textId="6697A8BA" w:rsidR="00801BFC" w:rsidRPr="000129A0" w:rsidRDefault="00801BFC" w:rsidP="00F7439A">
      <w:pPr>
        <w:pStyle w:val="Heading3"/>
        <w:spacing w:before="0" w:line="240" w:lineRule="auto"/>
      </w:pPr>
      <w:r w:rsidRPr="000129A0">
        <w:t xml:space="preserve">Influence of </w:t>
      </w:r>
      <w:r w:rsidR="00640990">
        <w:t xml:space="preserve">TAZ accessibility/size </w:t>
      </w:r>
      <w:r w:rsidR="005B212F">
        <w:t>attributes</w:t>
      </w:r>
    </w:p>
    <w:p w14:paraId="0331136B" w14:textId="2F809729" w:rsidR="007C490D" w:rsidRPr="000129A0" w:rsidRDefault="00054FC4" w:rsidP="00F7439A">
      <w:pPr>
        <w:spacing w:after="0" w:line="240" w:lineRule="auto"/>
        <w:rPr>
          <w:sz w:val="24"/>
          <w:szCs w:val="24"/>
        </w:rPr>
      </w:pPr>
      <w:r>
        <w:rPr>
          <w:sz w:val="24"/>
          <w:szCs w:val="24"/>
        </w:rPr>
        <w:t xml:space="preserve">The positive sign on the retail and service accessibility variables shows that </w:t>
      </w:r>
      <w:r w:rsidR="00656564">
        <w:rPr>
          <w:sz w:val="24"/>
          <w:szCs w:val="24"/>
        </w:rPr>
        <w:t xml:space="preserve">the spatial clustering of retail and service opportunities is associated with a higher frequency of </w:t>
      </w:r>
      <w:r w:rsidR="00640990">
        <w:rPr>
          <w:sz w:val="24"/>
          <w:szCs w:val="24"/>
        </w:rPr>
        <w:t>deadheading trip destinations (</w:t>
      </w:r>
      <w:r w:rsidR="00656564">
        <w:rPr>
          <w:sz w:val="24"/>
          <w:szCs w:val="24"/>
        </w:rPr>
        <w:t>passenger pick-ups</w:t>
      </w:r>
      <w:r w:rsidR="00640990">
        <w:rPr>
          <w:sz w:val="24"/>
          <w:szCs w:val="24"/>
        </w:rPr>
        <w:t>), suggesting an agglomeration effect</w:t>
      </w:r>
      <w:r w:rsidR="00656564">
        <w:rPr>
          <w:sz w:val="24"/>
          <w:szCs w:val="24"/>
        </w:rPr>
        <w:t xml:space="preserve"> </w:t>
      </w:r>
      <w:r w:rsidR="00640990">
        <w:rPr>
          <w:sz w:val="24"/>
          <w:szCs w:val="24"/>
        </w:rPr>
        <w:t>(see Section 4.4.2)</w:t>
      </w:r>
      <w:r w:rsidR="00656564">
        <w:rPr>
          <w:sz w:val="24"/>
          <w:szCs w:val="24"/>
        </w:rPr>
        <w:t xml:space="preserve">. This could be because such areas </w:t>
      </w:r>
      <w:r w:rsidR="00640990">
        <w:rPr>
          <w:sz w:val="24"/>
          <w:szCs w:val="24"/>
        </w:rPr>
        <w:t xml:space="preserve">constitute “attraction-sheds” for consumers who </w:t>
      </w:r>
      <w:r w:rsidR="00656564">
        <w:rPr>
          <w:sz w:val="24"/>
          <w:szCs w:val="24"/>
        </w:rPr>
        <w:t xml:space="preserve">perceive a </w:t>
      </w:r>
      <w:r w:rsidR="00640990">
        <w:rPr>
          <w:sz w:val="24"/>
          <w:szCs w:val="24"/>
        </w:rPr>
        <w:t>large</w:t>
      </w:r>
      <w:r w:rsidR="00656564">
        <w:rPr>
          <w:sz w:val="24"/>
          <w:szCs w:val="24"/>
        </w:rPr>
        <w:t xml:space="preserve"> variety of service and retail opportunities</w:t>
      </w:r>
      <w:r w:rsidR="00640990">
        <w:rPr>
          <w:sz w:val="24"/>
          <w:szCs w:val="24"/>
        </w:rPr>
        <w:t>, and seek ride-hailing pick-ups at the end of their shopping/dining pursuits</w:t>
      </w:r>
      <w:r w:rsidR="00656564">
        <w:rPr>
          <w:sz w:val="24"/>
          <w:szCs w:val="24"/>
        </w:rPr>
        <w:t xml:space="preserve">. </w:t>
      </w:r>
      <w:r w:rsidR="005B212F" w:rsidRPr="007978E9">
        <w:rPr>
          <w:sz w:val="24"/>
          <w:szCs w:val="24"/>
        </w:rPr>
        <w:t xml:space="preserve">Another reason </w:t>
      </w:r>
      <w:r w:rsidR="005B212F">
        <w:rPr>
          <w:sz w:val="24"/>
          <w:szCs w:val="24"/>
        </w:rPr>
        <w:t>for this finding may be</w:t>
      </w:r>
      <w:r w:rsidR="005B212F" w:rsidRPr="007978E9">
        <w:rPr>
          <w:sz w:val="24"/>
          <w:szCs w:val="24"/>
        </w:rPr>
        <w:t xml:space="preserve"> that </w:t>
      </w:r>
      <w:r w:rsidR="005B212F">
        <w:rPr>
          <w:sz w:val="24"/>
          <w:szCs w:val="24"/>
        </w:rPr>
        <w:t>higher retail and service accessibility</w:t>
      </w:r>
      <w:r w:rsidR="005B212F" w:rsidRPr="007978E9">
        <w:rPr>
          <w:sz w:val="24"/>
          <w:szCs w:val="24"/>
        </w:rPr>
        <w:t xml:space="preserve"> </w:t>
      </w:r>
      <w:r w:rsidR="005B212F">
        <w:rPr>
          <w:sz w:val="24"/>
          <w:szCs w:val="24"/>
        </w:rPr>
        <w:t>renders</w:t>
      </w:r>
      <w:r w:rsidR="005B212F" w:rsidRPr="007978E9">
        <w:rPr>
          <w:sz w:val="24"/>
          <w:szCs w:val="24"/>
        </w:rPr>
        <w:t xml:space="preserve"> it easier for ride-hailing drivers to pick-up passengers from nearby TAZs. </w:t>
      </w:r>
      <w:r w:rsidR="005B212F">
        <w:rPr>
          <w:sz w:val="24"/>
          <w:szCs w:val="24"/>
        </w:rPr>
        <w:t>R</w:t>
      </w:r>
      <w:r w:rsidR="005B212F" w:rsidRPr="007978E9">
        <w:rPr>
          <w:sz w:val="24"/>
          <w:szCs w:val="24"/>
        </w:rPr>
        <w:t>ide-hailing driver</w:t>
      </w:r>
      <w:r w:rsidR="005B212F">
        <w:rPr>
          <w:sz w:val="24"/>
          <w:szCs w:val="24"/>
        </w:rPr>
        <w:t>s</w:t>
      </w:r>
      <w:r w:rsidR="005B212F" w:rsidRPr="007978E9">
        <w:rPr>
          <w:sz w:val="24"/>
          <w:szCs w:val="24"/>
        </w:rPr>
        <w:t xml:space="preserve"> may prefer to cruise in search of passengers in</w:t>
      </w:r>
      <w:r w:rsidR="005B212F">
        <w:rPr>
          <w:sz w:val="24"/>
          <w:szCs w:val="24"/>
        </w:rPr>
        <w:t xml:space="preserve"> and around</w:t>
      </w:r>
      <w:r w:rsidR="005B212F" w:rsidRPr="007978E9">
        <w:rPr>
          <w:sz w:val="24"/>
          <w:szCs w:val="24"/>
        </w:rPr>
        <w:t xml:space="preserve"> TAZs that have high accessibility.</w:t>
      </w:r>
      <w:r w:rsidR="005B212F">
        <w:rPr>
          <w:sz w:val="24"/>
          <w:szCs w:val="24"/>
        </w:rPr>
        <w:t xml:space="preserve"> </w:t>
      </w:r>
      <w:r w:rsidR="000129A0">
        <w:rPr>
          <w:sz w:val="24"/>
          <w:szCs w:val="24"/>
        </w:rPr>
        <w:t xml:space="preserve">Previous research has indicated that individuals use ride-hailing services to avoid driving under the influence and the hassle of finding and paying for parking </w:t>
      </w:r>
      <w:r w:rsidR="00F21F79" w:rsidRPr="000129A0">
        <w:rPr>
          <w:sz w:val="24"/>
          <w:szCs w:val="24"/>
        </w:rPr>
        <w:fldChar w:fldCharType="begin"/>
      </w:r>
      <w:r w:rsidR="00B46899">
        <w:rPr>
          <w:sz w:val="24"/>
          <w:szCs w:val="24"/>
        </w:rPr>
        <w:instrText xml:space="preserve"> ADDIN ZOTERO_ITEM CSL_CITATION {"citationID":"ve7JGP9F","properties":{"formattedCitation":"(Clewlow and Mishra, 2017; Lahkar, 2018)","plainCitation":"(Clewlow and Mishra, 2017; Lahkar, 2018)","noteIndex":0},"citationItems":[{"id":"pYE2dMDV/5HvSxGtz","uris":["http://zotero.org/users/local/CJ2Dv405/items/IPLTNX4Q"],"uri":["http://zotero.org/users/local/CJ2Dv405/items/IPLTNX4Q"],"itemData":{"id":160,"type":"article-journal","language":"en","page":"38","source":"Zotero","title":"Disruptive Transportation: The Adoption, Utilization, and Impacts of Ride-Hailing in the United States","author":[{"family":"Clewlow","given":"Regina R"},{"family":"Mishra","given":"Gouri Shankar"}],"issued":{"date-parts":[["2017"]]}}},{"id":"pYE2dMDV/gRWjH0lo","uris":["http://zotero.org/users/local/CJ2Dv405/items/TXD6UMGC"],"uri":["http://zotero.org/users/local/CJ2Dv405/items/TXD6UMGC"],"itemData":{"id":211,"type":"thesis","abstract":"This study deals with a) Understanding familiarity with transportation network companies (TNCs) and their use frequency b) Understanding travel choices in alcohol-related situations in Virginia.  Ordered logistic regression models were used to identify factors associated with the respondents perceived familiarity with transportation network companies (TNCs) and use frequency. Based on the two models, the consistent factors were using a mobile wallet, a cell phone for entertainment, an app for taxi services, or an app for hotel booking/air transport arrangements, living in Northern Virginia, normally using multiple transportation modes for a single trip, higher education levels, and higher household income which were associated with increased TNC familiarity and use frequency. Self-identifying as White/Caucasian was also associated with increased TNC use frequency. Increased age was associated with decreasing TNC familiarity and use frequency.\r\nSubsequently, travel choices in alcohol related situations were studied with the objective of understanding the role of Transportation Network Companies (TNCs) in these situations and whether they have an impact on DUIs. For this objective, this study analyzes travel-choices associated with three scenarios alcohol related situations: (a) the last time the respondent consumed alcohol, (b) when avoiding driving after drinking, and (c) when avoiding riding with a driver who had been drinking. Multinomial Logistic Regression models were developed for all the three scenarios.  For model (a), significant factors included use of a personal vehicle to arrive at the location where last consuming alcohol, being comfortable with having a credit card tied to a cell phone app, age, income, travelling alone when leaving the location where last consuming alcohol, having the highest educational attainment of high school graduate (GED), consumption of alcohol at bar/tavern/club, consumption of alcohol at home of friends/acquaintance place, and transportation network company (TNC – e.g., Uber, Lyft) weekly use frequency. For (b), use of a personal vehicle to arrive at the location where last consuming alcohol, consumption of alcohol at a bar/tavern/club, consumption of alcohol at the home of friends/acquaintance place, comfort with tying of credit card to apps, age, gender, income, multi-modal travel for a regular trip, TNC weekly use frequency, and use of an app for hotel reservations and/or air transportation arrangements are significant factors. For (c), use of a personal vehicle to arrive at the location where last consuming alcohol, walking to the location where last consuming alcohol, consumption of alcohol at a bar/tavern/club, comfort with tying a credit card to apps, age, income, TNC weekly use frequency, previously riding in a car with a driver who may have drunk too much to drive safely, and being employed full time are the significant factors.","genre":"Thesis","language":"en","publisher":"Virginia Tech","source":"vtechworks.lib.vt.edu","title":"Understanding Use of Transport Network Companies(TNC) in Virginia","URL":"https://vtechworks.lib.vt.edu/handle/10919/83896","author":[{"family":"Lahkar","given":"Paranjyoti"}],"accessed":{"date-parts":[["2019",5,2]]},"issued":{"date-parts":[["2018",7,9]]}}}],"schema":"https://github.com/citation-style-language/schema/raw/master/csl-citation.json"} </w:instrText>
      </w:r>
      <w:r w:rsidR="00F21F79" w:rsidRPr="000129A0">
        <w:rPr>
          <w:sz w:val="24"/>
          <w:szCs w:val="24"/>
        </w:rPr>
        <w:fldChar w:fldCharType="separate"/>
      </w:r>
      <w:r w:rsidR="00F21F79" w:rsidRPr="000129A0">
        <w:rPr>
          <w:rFonts w:cs="Times New Roman"/>
          <w:sz w:val="24"/>
          <w:szCs w:val="24"/>
        </w:rPr>
        <w:t>(Clewlow and Mishra, 2017; Lahkar, 2018)</w:t>
      </w:r>
      <w:r w:rsidR="00F21F79" w:rsidRPr="000129A0">
        <w:rPr>
          <w:sz w:val="24"/>
          <w:szCs w:val="24"/>
        </w:rPr>
        <w:fldChar w:fldCharType="end"/>
      </w:r>
      <w:r w:rsidR="000928A1" w:rsidRPr="000129A0">
        <w:rPr>
          <w:sz w:val="24"/>
          <w:szCs w:val="24"/>
        </w:rPr>
        <w:t>.</w:t>
      </w:r>
      <w:r w:rsidR="001E5CEE" w:rsidRPr="000129A0">
        <w:rPr>
          <w:sz w:val="24"/>
          <w:szCs w:val="24"/>
        </w:rPr>
        <w:t xml:space="preserve"> </w:t>
      </w:r>
      <w:r w:rsidR="00E45DFA">
        <w:rPr>
          <w:sz w:val="24"/>
          <w:szCs w:val="24"/>
        </w:rPr>
        <w:t>Indeed, t</w:t>
      </w:r>
      <w:r w:rsidR="00E45DFA" w:rsidRPr="000129A0">
        <w:rPr>
          <w:sz w:val="24"/>
          <w:szCs w:val="24"/>
        </w:rPr>
        <w:t xml:space="preserve">he coefficient for retail and service accessibility is higher in the </w:t>
      </w:r>
      <w:r w:rsidR="00E45DFA">
        <w:rPr>
          <w:sz w:val="24"/>
          <w:szCs w:val="24"/>
        </w:rPr>
        <w:t>w</w:t>
      </w:r>
      <w:r w:rsidR="00E45DFA" w:rsidRPr="000129A0">
        <w:rPr>
          <w:sz w:val="24"/>
          <w:szCs w:val="24"/>
        </w:rPr>
        <w:t xml:space="preserve">eekend </w:t>
      </w:r>
      <w:r w:rsidR="00E45DFA">
        <w:rPr>
          <w:sz w:val="24"/>
          <w:szCs w:val="24"/>
        </w:rPr>
        <w:t>n</w:t>
      </w:r>
      <w:r w:rsidR="00E45DFA" w:rsidRPr="000129A0">
        <w:rPr>
          <w:sz w:val="24"/>
          <w:szCs w:val="24"/>
        </w:rPr>
        <w:t>ight period</w:t>
      </w:r>
      <w:r w:rsidR="00E45DFA">
        <w:rPr>
          <w:sz w:val="24"/>
          <w:szCs w:val="24"/>
        </w:rPr>
        <w:t xml:space="preserve">, suggesting that </w:t>
      </w:r>
      <w:r w:rsidR="00E45DFA" w:rsidRPr="000129A0">
        <w:rPr>
          <w:sz w:val="24"/>
          <w:szCs w:val="24"/>
        </w:rPr>
        <w:t>popular drinking locations in Austin lie within close proximity to each other</w:t>
      </w:r>
      <w:r w:rsidR="00E45DFA">
        <w:rPr>
          <w:sz w:val="24"/>
          <w:szCs w:val="24"/>
        </w:rPr>
        <w:t xml:space="preserve"> and depict a high propensity for passenger pick-ups</w:t>
      </w:r>
      <w:r w:rsidR="00E45DFA" w:rsidRPr="000129A0">
        <w:rPr>
          <w:sz w:val="24"/>
          <w:szCs w:val="24"/>
        </w:rPr>
        <w:t>.</w:t>
      </w:r>
      <w:r w:rsidR="00E45DFA">
        <w:rPr>
          <w:sz w:val="24"/>
          <w:szCs w:val="24"/>
        </w:rPr>
        <w:t xml:space="preserve"> </w:t>
      </w:r>
    </w:p>
    <w:p w14:paraId="14C02C2F" w14:textId="1FE54A89" w:rsidR="00035C27" w:rsidRPr="000129A0" w:rsidRDefault="00640990" w:rsidP="0065282A">
      <w:pPr>
        <w:spacing w:after="0" w:line="240" w:lineRule="auto"/>
        <w:ind w:firstLine="720"/>
        <w:rPr>
          <w:sz w:val="24"/>
          <w:szCs w:val="24"/>
        </w:rPr>
      </w:pPr>
      <w:r>
        <w:rPr>
          <w:sz w:val="24"/>
          <w:szCs w:val="24"/>
        </w:rPr>
        <w:t xml:space="preserve">In addition to the relative positioning of TAZs </w:t>
      </w:r>
      <w:r w:rsidR="00FC3281">
        <w:rPr>
          <w:sz w:val="24"/>
          <w:szCs w:val="24"/>
        </w:rPr>
        <w:t xml:space="preserve">in terms of retail and service opportunities, there is a pure size effect of retail and service employment, as captured by the number of employment opportunities (note that the coefficient on retail employment is normalized to one for identification). Interestingly, basic employment, as part of the size measure, impacts deadheading trip destination attractiveness only for the PM peak, a finding that certainly deserves additional investigation. </w:t>
      </w:r>
      <w:r w:rsidR="00BC7009" w:rsidRPr="000129A0">
        <w:rPr>
          <w:sz w:val="24"/>
          <w:szCs w:val="24"/>
        </w:rPr>
        <w:t>The number of</w:t>
      </w:r>
      <w:r w:rsidR="00816155" w:rsidRPr="000129A0">
        <w:rPr>
          <w:sz w:val="24"/>
          <w:szCs w:val="24"/>
        </w:rPr>
        <w:t xml:space="preserve"> </w:t>
      </w:r>
      <w:r w:rsidR="00BC7009" w:rsidRPr="000129A0">
        <w:rPr>
          <w:sz w:val="24"/>
          <w:szCs w:val="24"/>
        </w:rPr>
        <w:t>employment opportunities</w:t>
      </w:r>
      <w:r w:rsidR="00816155" w:rsidRPr="000129A0">
        <w:rPr>
          <w:sz w:val="24"/>
          <w:szCs w:val="24"/>
        </w:rPr>
        <w:t xml:space="preserve"> in education</w:t>
      </w:r>
      <w:r w:rsidR="00BC7009" w:rsidRPr="000129A0">
        <w:rPr>
          <w:sz w:val="24"/>
          <w:szCs w:val="24"/>
        </w:rPr>
        <w:t xml:space="preserve"> was found to be insignificant for predicting ride-hailing demand. However, this insignificance manifested</w:t>
      </w:r>
      <w:r w:rsidR="00816155" w:rsidRPr="000129A0">
        <w:rPr>
          <w:sz w:val="24"/>
          <w:szCs w:val="24"/>
        </w:rPr>
        <w:t xml:space="preserve"> only</w:t>
      </w:r>
      <w:r w:rsidR="00BC7009" w:rsidRPr="000129A0">
        <w:rPr>
          <w:sz w:val="24"/>
          <w:szCs w:val="24"/>
        </w:rPr>
        <w:t xml:space="preserve"> after including the indicator variable for the presence of the </w:t>
      </w:r>
      <w:r w:rsidR="00E45DFA">
        <w:rPr>
          <w:sz w:val="24"/>
          <w:szCs w:val="24"/>
        </w:rPr>
        <w:t>University of Texas at</w:t>
      </w:r>
      <w:r w:rsidR="00BC7009" w:rsidRPr="000129A0">
        <w:rPr>
          <w:sz w:val="24"/>
          <w:szCs w:val="24"/>
        </w:rPr>
        <w:t xml:space="preserve"> Austin </w:t>
      </w:r>
      <w:r w:rsidR="00FC3281">
        <w:rPr>
          <w:sz w:val="24"/>
          <w:szCs w:val="24"/>
        </w:rPr>
        <w:t xml:space="preserve">(UT) </w:t>
      </w:r>
      <w:r w:rsidR="00BC7009" w:rsidRPr="000129A0">
        <w:rPr>
          <w:sz w:val="24"/>
          <w:szCs w:val="24"/>
        </w:rPr>
        <w:t xml:space="preserve">main campus. </w:t>
      </w:r>
      <w:r w:rsidR="004B61D1" w:rsidRPr="000129A0">
        <w:rPr>
          <w:sz w:val="24"/>
          <w:szCs w:val="24"/>
        </w:rPr>
        <w:t xml:space="preserve">This </w:t>
      </w:r>
      <w:r w:rsidR="00FC3281">
        <w:rPr>
          <w:sz w:val="24"/>
          <w:szCs w:val="24"/>
        </w:rPr>
        <w:t>implies</w:t>
      </w:r>
      <w:r w:rsidR="004B61D1" w:rsidRPr="000129A0">
        <w:rPr>
          <w:sz w:val="24"/>
          <w:szCs w:val="24"/>
        </w:rPr>
        <w:t xml:space="preserve"> that once the effect of the </w:t>
      </w:r>
      <w:r w:rsidR="00E45DFA">
        <w:rPr>
          <w:sz w:val="24"/>
          <w:szCs w:val="24"/>
        </w:rPr>
        <w:t>U</w:t>
      </w:r>
      <w:r w:rsidR="00FC3281">
        <w:rPr>
          <w:sz w:val="24"/>
          <w:szCs w:val="24"/>
        </w:rPr>
        <w:t xml:space="preserve">T main </w:t>
      </w:r>
      <w:r w:rsidR="004B61D1" w:rsidRPr="000129A0">
        <w:rPr>
          <w:sz w:val="24"/>
          <w:szCs w:val="24"/>
        </w:rPr>
        <w:t xml:space="preserve">campus </w:t>
      </w:r>
      <w:r w:rsidR="00E45DFA">
        <w:rPr>
          <w:sz w:val="24"/>
          <w:szCs w:val="24"/>
        </w:rPr>
        <w:t>is captured</w:t>
      </w:r>
      <w:r w:rsidR="004B61D1" w:rsidRPr="000129A0">
        <w:rPr>
          <w:sz w:val="24"/>
          <w:szCs w:val="24"/>
        </w:rPr>
        <w:t xml:space="preserve">, other locations with education employment opportunities do not contribute </w:t>
      </w:r>
      <w:r w:rsidR="00E45DFA">
        <w:rPr>
          <w:sz w:val="24"/>
          <w:szCs w:val="24"/>
        </w:rPr>
        <w:t>significantly</w:t>
      </w:r>
      <w:r w:rsidR="004B61D1" w:rsidRPr="000129A0">
        <w:rPr>
          <w:sz w:val="24"/>
          <w:szCs w:val="24"/>
        </w:rPr>
        <w:t xml:space="preserve"> to </w:t>
      </w:r>
      <w:r>
        <w:rPr>
          <w:sz w:val="24"/>
          <w:szCs w:val="24"/>
        </w:rPr>
        <w:t>deadheading destination attractiveness</w:t>
      </w:r>
      <w:r w:rsidR="004B61D1" w:rsidRPr="000129A0">
        <w:rPr>
          <w:sz w:val="24"/>
          <w:szCs w:val="24"/>
        </w:rPr>
        <w:t>.</w:t>
      </w:r>
      <w:r w:rsidR="00FC3281">
        <w:rPr>
          <w:sz w:val="24"/>
          <w:szCs w:val="24"/>
        </w:rPr>
        <w:t xml:space="preserve"> The relative magnitudes of the size measures clearly </w:t>
      </w:r>
      <w:proofErr w:type="gramStart"/>
      <w:r w:rsidR="00FC3281">
        <w:rPr>
          <w:sz w:val="24"/>
          <w:szCs w:val="24"/>
        </w:rPr>
        <w:t>indicates</w:t>
      </w:r>
      <w:proofErr w:type="gramEnd"/>
      <w:r w:rsidR="00FC3281">
        <w:rPr>
          <w:sz w:val="24"/>
          <w:szCs w:val="24"/>
        </w:rPr>
        <w:t xml:space="preserve"> that retail employment is the primary driver of deadheading trip attractiveness (passenger pick-up propensity) relative to employment in other sectors. </w:t>
      </w:r>
      <w:r w:rsidR="005514D6">
        <w:rPr>
          <w:sz w:val="24"/>
          <w:szCs w:val="24"/>
        </w:rPr>
        <w:t>As indicated earlier, the area of a zone does not contribute much to the zone attractiveness as a deadheading destination, but is included to ensure that the size measure does not take a value of zero for any TAZ.</w:t>
      </w:r>
      <w:r w:rsidR="0065282A">
        <w:rPr>
          <w:sz w:val="24"/>
          <w:szCs w:val="24"/>
        </w:rPr>
        <w:t xml:space="preserve"> Finally, under the size measures, t</w:t>
      </w:r>
      <w:r w:rsidR="0065282A" w:rsidRPr="000129A0">
        <w:rPr>
          <w:sz w:val="24"/>
          <w:szCs w:val="24"/>
        </w:rPr>
        <w:t>he coefficient for the log of the zonal size measure</w:t>
      </w:r>
      <w:r w:rsidR="0065282A">
        <w:rPr>
          <w:sz w:val="24"/>
          <w:szCs w:val="24"/>
        </w:rPr>
        <w:t xml:space="preserve"> </w:t>
      </w:r>
      <w:r w:rsidR="0065282A" w:rsidRPr="00342FB7">
        <w:rPr>
          <w:rFonts w:cs="Times New Roman"/>
          <w:i/>
          <w:sz w:val="24"/>
          <w:szCs w:val="24"/>
        </w:rPr>
        <w:t>η</w:t>
      </w:r>
      <w:r w:rsidR="0065282A" w:rsidRPr="000129A0">
        <w:rPr>
          <w:sz w:val="24"/>
          <w:szCs w:val="24"/>
        </w:rPr>
        <w:t xml:space="preserve"> is estimated to be less than 1</w:t>
      </w:r>
      <w:r w:rsidR="0065282A">
        <w:rPr>
          <w:sz w:val="24"/>
          <w:szCs w:val="24"/>
        </w:rPr>
        <w:t>,</w:t>
      </w:r>
      <w:r w:rsidR="0065282A" w:rsidRPr="000129A0">
        <w:rPr>
          <w:sz w:val="24"/>
          <w:szCs w:val="24"/>
        </w:rPr>
        <w:t xml:space="preserve"> indicating that there is some degree of cannibalization of prospective passengers by the different </w:t>
      </w:r>
      <w:r w:rsidR="0065282A">
        <w:rPr>
          <w:sz w:val="24"/>
          <w:szCs w:val="24"/>
        </w:rPr>
        <w:t xml:space="preserve">elemental </w:t>
      </w:r>
      <w:r w:rsidR="0065282A" w:rsidRPr="000129A0">
        <w:rPr>
          <w:sz w:val="24"/>
          <w:szCs w:val="24"/>
        </w:rPr>
        <w:t>attraction</w:t>
      </w:r>
      <w:r w:rsidR="0065282A">
        <w:rPr>
          <w:sz w:val="24"/>
          <w:szCs w:val="24"/>
        </w:rPr>
        <w:t xml:space="preserve"> locations</w:t>
      </w:r>
      <w:r w:rsidR="0065282A" w:rsidRPr="000129A0">
        <w:rPr>
          <w:sz w:val="24"/>
          <w:szCs w:val="24"/>
        </w:rPr>
        <w:t xml:space="preserve"> within a zone. Indeed</w:t>
      </w:r>
      <w:r w:rsidR="0065282A">
        <w:rPr>
          <w:sz w:val="24"/>
          <w:szCs w:val="24"/>
        </w:rPr>
        <w:t>,</w:t>
      </w:r>
      <w:r w:rsidR="0065282A" w:rsidRPr="000129A0">
        <w:rPr>
          <w:sz w:val="24"/>
          <w:szCs w:val="24"/>
        </w:rPr>
        <w:t xml:space="preserve"> earlier studies on shopping trips and work trips have also found competing effects between elemental locations within the same TAZ in attracting individuals </w:t>
      </w:r>
      <w:r w:rsidR="0065282A" w:rsidRPr="000129A0">
        <w:rPr>
          <w:sz w:val="24"/>
          <w:szCs w:val="24"/>
        </w:rPr>
        <w:fldChar w:fldCharType="begin"/>
      </w:r>
      <w:r w:rsidR="00B46899">
        <w:rPr>
          <w:sz w:val="24"/>
          <w:szCs w:val="24"/>
        </w:rPr>
        <w:instrText xml:space="preserve"> ADDIN ZOTERO_ITEM CSL_CITATION {"citationID":"nieGaqqb","properties":{"formattedCitation":"(Bhat et al., 1998)","plainCitation":"(Bhat et al., 1998)","noteIndex":0},"citationItems":[{"id":"pYE2dMDV/2Cmlk3T8","uris":["http://zotero.org/users/local/CJ2Dv405/items/RVXNZ7SV"],"uri":["http://zotero.org/users/local/CJ2Dv405/items/RVXNZ7SV"],"itemData":{"id":122,"type":"article-journal","container-title":"Transportation Research Record: Journal of the Transportation Research Board","DOI":"10.3141/1645-08","ISSN":"0361-1981, 2169-4052","issue":"1","language":"en","page":"60-68","source":"Crossref","title":"Disaggregate Attraction-End Choice Modeling: Formulation and Empirical Analysis","title-short":"Disaggregate Attraction-End Choice Modeling","volume":"1645","author":[{"family":"Bhat","given":"Chandra"},{"family":"Govindarajan","given":"Ajay"},{"family":"Pulugurta","given":"Vamsi"}],"issued":{"date-parts":[["1998",1]]}}}],"schema":"https://github.com/citation-style-language/schema/raw/master/csl-citation.json"} </w:instrText>
      </w:r>
      <w:r w:rsidR="0065282A" w:rsidRPr="000129A0">
        <w:rPr>
          <w:sz w:val="24"/>
          <w:szCs w:val="24"/>
        </w:rPr>
        <w:fldChar w:fldCharType="separate"/>
      </w:r>
      <w:r w:rsidR="0065282A" w:rsidRPr="000129A0">
        <w:rPr>
          <w:rFonts w:cs="Times New Roman"/>
          <w:sz w:val="24"/>
          <w:szCs w:val="24"/>
        </w:rPr>
        <w:t xml:space="preserve">(Bhat </w:t>
      </w:r>
      <w:r w:rsidR="0065282A" w:rsidRPr="006E7840">
        <w:rPr>
          <w:rFonts w:cs="Times New Roman"/>
          <w:i/>
          <w:sz w:val="24"/>
          <w:szCs w:val="24"/>
        </w:rPr>
        <w:t>et al</w:t>
      </w:r>
      <w:r w:rsidR="0065282A" w:rsidRPr="006E7840">
        <w:rPr>
          <w:rFonts w:cs="Times New Roman"/>
          <w:sz w:val="24"/>
          <w:szCs w:val="24"/>
        </w:rPr>
        <w:t>.,</w:t>
      </w:r>
      <w:r w:rsidR="0065282A" w:rsidRPr="000129A0">
        <w:rPr>
          <w:rFonts w:cs="Times New Roman"/>
          <w:sz w:val="24"/>
          <w:szCs w:val="24"/>
        </w:rPr>
        <w:t xml:space="preserve"> 1998)</w:t>
      </w:r>
      <w:r w:rsidR="0065282A" w:rsidRPr="000129A0">
        <w:rPr>
          <w:sz w:val="24"/>
          <w:szCs w:val="24"/>
        </w:rPr>
        <w:fldChar w:fldCharType="end"/>
      </w:r>
      <w:r w:rsidR="0065282A" w:rsidRPr="000129A0">
        <w:rPr>
          <w:sz w:val="24"/>
          <w:szCs w:val="24"/>
        </w:rPr>
        <w:t>.</w:t>
      </w:r>
    </w:p>
    <w:p w14:paraId="764BE95C" w14:textId="4FDCE244" w:rsidR="00C46C0F" w:rsidRDefault="00D01893" w:rsidP="00C46C0F">
      <w:pPr>
        <w:spacing w:after="0" w:line="240" w:lineRule="auto"/>
        <w:ind w:firstLine="720"/>
        <w:rPr>
          <w:sz w:val="24"/>
          <w:szCs w:val="24"/>
        </w:rPr>
      </w:pPr>
      <w:r w:rsidRPr="000129A0">
        <w:rPr>
          <w:sz w:val="24"/>
          <w:szCs w:val="24"/>
        </w:rPr>
        <w:t xml:space="preserve">In </w:t>
      </w:r>
      <w:r w:rsidR="0065282A">
        <w:rPr>
          <w:sz w:val="24"/>
          <w:szCs w:val="24"/>
        </w:rPr>
        <w:t>terms of the effects of demographic attributes</w:t>
      </w:r>
      <w:r w:rsidR="00054FC4">
        <w:rPr>
          <w:sz w:val="24"/>
          <w:szCs w:val="24"/>
        </w:rPr>
        <w:t xml:space="preserve"> within the size measure</w:t>
      </w:r>
      <w:r w:rsidR="0065282A">
        <w:rPr>
          <w:sz w:val="24"/>
          <w:szCs w:val="24"/>
        </w:rPr>
        <w:t xml:space="preserve">, in </w:t>
      </w:r>
      <w:r w:rsidRPr="000129A0">
        <w:rPr>
          <w:sz w:val="24"/>
          <w:szCs w:val="24"/>
        </w:rPr>
        <w:t xml:space="preserve">all </w:t>
      </w:r>
      <w:r w:rsidR="00E45DFA">
        <w:rPr>
          <w:sz w:val="24"/>
          <w:szCs w:val="24"/>
        </w:rPr>
        <w:t>of the</w:t>
      </w:r>
      <w:r w:rsidRPr="000129A0">
        <w:rPr>
          <w:sz w:val="24"/>
          <w:szCs w:val="24"/>
        </w:rPr>
        <w:t xml:space="preserve"> time periods, </w:t>
      </w:r>
      <w:r w:rsidR="0065282A">
        <w:rPr>
          <w:sz w:val="24"/>
          <w:szCs w:val="24"/>
        </w:rPr>
        <w:t xml:space="preserve">deadheading trip destinations are more likely (that is, </w:t>
      </w:r>
      <w:r w:rsidR="004D0C5E">
        <w:rPr>
          <w:sz w:val="24"/>
          <w:szCs w:val="24"/>
        </w:rPr>
        <w:t xml:space="preserve">passenger pick-ups </w:t>
      </w:r>
      <w:r w:rsidR="00B43342">
        <w:rPr>
          <w:sz w:val="24"/>
          <w:szCs w:val="24"/>
        </w:rPr>
        <w:t>are</w:t>
      </w:r>
      <w:r w:rsidRPr="000129A0">
        <w:rPr>
          <w:sz w:val="24"/>
          <w:szCs w:val="24"/>
        </w:rPr>
        <w:t xml:space="preserve"> higher</w:t>
      </w:r>
      <w:r w:rsidR="0065282A">
        <w:rPr>
          <w:sz w:val="24"/>
          <w:szCs w:val="24"/>
        </w:rPr>
        <w:t>)</w:t>
      </w:r>
      <w:r w:rsidRPr="000129A0">
        <w:rPr>
          <w:sz w:val="24"/>
          <w:szCs w:val="24"/>
        </w:rPr>
        <w:t xml:space="preserve"> </w:t>
      </w:r>
      <w:r w:rsidR="00E45DFA">
        <w:rPr>
          <w:sz w:val="24"/>
          <w:szCs w:val="24"/>
        </w:rPr>
        <w:t xml:space="preserve">in </w:t>
      </w:r>
      <w:r w:rsidR="00E45DFA">
        <w:rPr>
          <w:sz w:val="24"/>
          <w:szCs w:val="24"/>
        </w:rPr>
        <w:lastRenderedPageBreak/>
        <w:t xml:space="preserve">locations with a </w:t>
      </w:r>
      <w:r w:rsidR="0065282A">
        <w:rPr>
          <w:sz w:val="24"/>
          <w:szCs w:val="24"/>
        </w:rPr>
        <w:t>larger</w:t>
      </w:r>
      <w:r w:rsidR="00E45DFA">
        <w:rPr>
          <w:sz w:val="24"/>
          <w:szCs w:val="24"/>
        </w:rPr>
        <w:t xml:space="preserve"> presence of</w:t>
      </w:r>
      <w:r w:rsidRPr="000129A0">
        <w:rPr>
          <w:sz w:val="24"/>
          <w:szCs w:val="24"/>
        </w:rPr>
        <w:t xml:space="preserve"> high</w:t>
      </w:r>
      <w:r w:rsidR="00E45DFA">
        <w:rPr>
          <w:sz w:val="24"/>
          <w:szCs w:val="24"/>
        </w:rPr>
        <w:t>-</w:t>
      </w:r>
      <w:r w:rsidRPr="000129A0">
        <w:rPr>
          <w:sz w:val="24"/>
          <w:szCs w:val="24"/>
        </w:rPr>
        <w:t>income households</w:t>
      </w:r>
      <w:r w:rsidR="00E45DFA">
        <w:rPr>
          <w:sz w:val="24"/>
          <w:szCs w:val="24"/>
        </w:rPr>
        <w:t>,</w:t>
      </w:r>
      <w:r w:rsidRPr="000129A0">
        <w:rPr>
          <w:sz w:val="24"/>
          <w:szCs w:val="24"/>
        </w:rPr>
        <w:t xml:space="preserve"> and also in areas </w:t>
      </w:r>
      <w:r w:rsidR="00E45DFA">
        <w:rPr>
          <w:sz w:val="24"/>
          <w:szCs w:val="24"/>
        </w:rPr>
        <w:t xml:space="preserve">with a </w:t>
      </w:r>
      <w:r w:rsidR="0065282A">
        <w:rPr>
          <w:sz w:val="24"/>
          <w:szCs w:val="24"/>
        </w:rPr>
        <w:t>higher</w:t>
      </w:r>
      <w:r w:rsidR="00E45DFA">
        <w:rPr>
          <w:sz w:val="24"/>
          <w:szCs w:val="24"/>
        </w:rPr>
        <w:t xml:space="preserve"> </w:t>
      </w:r>
      <w:r w:rsidRPr="000129A0">
        <w:rPr>
          <w:sz w:val="24"/>
          <w:szCs w:val="24"/>
        </w:rPr>
        <w:t xml:space="preserve">number of individuals aged between 18 and 35 </w:t>
      </w:r>
      <w:r w:rsidR="00E45DFA">
        <w:rPr>
          <w:sz w:val="24"/>
          <w:szCs w:val="24"/>
        </w:rPr>
        <w:t>years</w:t>
      </w:r>
      <w:r w:rsidRPr="000129A0">
        <w:rPr>
          <w:sz w:val="24"/>
          <w:szCs w:val="24"/>
        </w:rPr>
        <w:t>. This is consistent with previous studies that have repeatedly identified the demographic group of wealthy younger adults to be the most frequent users of ride-hailing services</w:t>
      </w:r>
      <w:r w:rsidR="00F21F79" w:rsidRPr="000129A0">
        <w:rPr>
          <w:sz w:val="24"/>
          <w:szCs w:val="24"/>
        </w:rPr>
        <w:t xml:space="preserve"> </w:t>
      </w:r>
      <w:r w:rsidR="00F21F79" w:rsidRPr="000129A0">
        <w:rPr>
          <w:sz w:val="24"/>
          <w:szCs w:val="24"/>
        </w:rPr>
        <w:fldChar w:fldCharType="begin"/>
      </w:r>
      <w:r w:rsidR="00B46899">
        <w:rPr>
          <w:sz w:val="24"/>
          <w:szCs w:val="24"/>
        </w:rPr>
        <w:instrText xml:space="preserve"> ADDIN ZOTERO_ITEM CSL_CITATION {"citationID":"XTAQWHo0","properties":{"formattedCitation":"(Alemi et al., 2018; Clewlow and Mishra, 2017; Rayle et al., 2016)","plainCitation":"(Alemi et al., 2018; Clewlow and Mishra, 2017; Rayle et al., 2016)","noteIndex":0},"citationItems":[{"id":"pYE2dMDV/BrJV0Wls","uris":["http://zotero.org/users/local/CJ2Dv405/items/RCR9HWJQ"],"uri":["http://zotero.org/users/local/CJ2Dv405/items/RCR9HWJQ"],"itemData":{"id":304,"type":"paper-conference","event":"Transportation Research Board 97th Annual MeetingTransportation Research Board","source":"trid.trb.org","title":"On-Demand Ride Services in California: Investigating the Factors Affecting the Frequency of Use of Uber/Lyft","title-short":"On-Demand Ride Services in California","URL":"https://trid.trb.org/view/1496834","author":[{"family":"Alemi","given":"Farzad"},{"family":"Circella","given":"Giovanni"},{"family":"Mokhtarian","given":"Patricia"},{"family":"Handy","given":"Susan"}],"accessed":{"date-parts":[["2019",5,28]]},"issued":{"date-parts":[["2018"]]}}},{"id":"pYE2dMDV/5HvSxGtz","uris":["http://zotero.org/users/local/CJ2Dv405/items/IPLTNX4Q"],"uri":["http://zotero.org/users/local/CJ2Dv405/items/IPLTNX4Q"],"itemData":{"id":160,"type":"article-journal","language":"en","page":"38","source":"Zotero","title":"Disruptive Transportation: The Adoption, Utilization, and Impacts of Ride-Hailing in the United States","author":[{"family":"Clewlow","given":"Regina R"},{"family":"Mishra","given":"Gouri Shankar"}],"issued":{"date-parts":[["2017"]]}}},{"id":"pYE2dMDV/YOPRRMFE","uris":["http://zotero.org/users/local/CJ2Dv405/items/U74J6Y27"],"uri":["http://zotero.org/users/local/CJ2Dv405/items/U74J6Y27"],"itemData":{"id":203,"type":"article-journal","abstract":"In this study, we present exploratory evidence of how “ridesourcing” services (app-based, on-demand ride services like Uber and Lyft) are used in San Francisco. We explore who uses ridesourcing and for what reasons, how the ridesourcing market compares to that of traditional taxis, and how ridesourcing impacts the use of public transit and overall vehicle travel. In spring 2014, 380 completed intercept surveys were collected from three ridesourcing “hot spots” in San Francisco. We compare survey results with matched-pair taxi trip data and results of a previous taxi user survey. We also compare travel times for ridesourcing and taxis with those for public transit. The ﬁndings indicate that, despite many similarities, taxis and ridesourcing differ in user characteristics, wait times, and trips served. While ridesourcing replaces taxi trips, at least half of ridesourcing trips replaced modes other than taxi, including public transit and driving. Impacts on overall vehicle travel are unclear. We conclude with suggestions for future research.","container-title":"Transport Policy","DOI":"10.1016/j.tranpol.2015.10.004","ISSN":"0967070X","journalAbbreviation":"Transport Policy","language":"en","page":"168-178","source":"DOI.org (Crossref)","title":"Just a better taxi? A survey-based comparison of taxis, transit, and ridesourcing services in San Francisco","title-short":"Just a better taxi?","volume":"45","author":[{"family":"Rayle","given":"Lisa"},{"family":"Dai","given":"Danielle"},{"family":"Chan","given":"Nelson"},{"family":"Cervero","given":"Robert"},{"family":"Shaheen","given":"Susan"}],"issued":{"date-parts":[["2016",1]]}}}],"schema":"https://github.com/citation-style-language/schema/raw/master/csl-citation.json"} </w:instrText>
      </w:r>
      <w:r w:rsidR="00F21F79" w:rsidRPr="000129A0">
        <w:rPr>
          <w:sz w:val="24"/>
          <w:szCs w:val="24"/>
        </w:rPr>
        <w:fldChar w:fldCharType="separate"/>
      </w:r>
      <w:r w:rsidR="00FD087D" w:rsidRPr="000129A0">
        <w:rPr>
          <w:rFonts w:cs="Times New Roman"/>
          <w:sz w:val="24"/>
          <w:szCs w:val="24"/>
        </w:rPr>
        <w:t xml:space="preserve">(Alemi </w:t>
      </w:r>
      <w:r w:rsidR="00FD087D" w:rsidRPr="006E7840">
        <w:rPr>
          <w:rFonts w:cs="Times New Roman"/>
          <w:i/>
          <w:sz w:val="24"/>
          <w:szCs w:val="24"/>
        </w:rPr>
        <w:t>et al</w:t>
      </w:r>
      <w:r w:rsidR="00FD087D" w:rsidRPr="000129A0">
        <w:rPr>
          <w:rFonts w:cs="Times New Roman"/>
          <w:sz w:val="24"/>
          <w:szCs w:val="24"/>
        </w:rPr>
        <w:t xml:space="preserve">., 2018; Clewlow and Mishra, 2017; Rayle </w:t>
      </w:r>
      <w:r w:rsidR="00FD087D" w:rsidRPr="006E7840">
        <w:rPr>
          <w:rFonts w:cs="Times New Roman"/>
          <w:i/>
          <w:sz w:val="24"/>
          <w:szCs w:val="24"/>
        </w:rPr>
        <w:t>et al</w:t>
      </w:r>
      <w:r w:rsidR="00FD087D" w:rsidRPr="000129A0">
        <w:rPr>
          <w:rFonts w:cs="Times New Roman"/>
          <w:sz w:val="24"/>
          <w:szCs w:val="24"/>
        </w:rPr>
        <w:t>., 2016)</w:t>
      </w:r>
      <w:r w:rsidR="00F21F79" w:rsidRPr="000129A0">
        <w:rPr>
          <w:sz w:val="24"/>
          <w:szCs w:val="24"/>
        </w:rPr>
        <w:fldChar w:fldCharType="end"/>
      </w:r>
      <w:r w:rsidRPr="000129A0">
        <w:rPr>
          <w:sz w:val="24"/>
          <w:szCs w:val="24"/>
        </w:rPr>
        <w:t>.</w:t>
      </w:r>
      <w:r w:rsidR="00EC01D8" w:rsidRPr="000129A0">
        <w:rPr>
          <w:sz w:val="24"/>
          <w:szCs w:val="24"/>
        </w:rPr>
        <w:t xml:space="preserve"> </w:t>
      </w:r>
      <w:r w:rsidR="00B3486E">
        <w:rPr>
          <w:sz w:val="24"/>
          <w:szCs w:val="24"/>
        </w:rPr>
        <w:t>Interestingly</w:t>
      </w:r>
      <w:r w:rsidR="00231A3C">
        <w:rPr>
          <w:sz w:val="24"/>
          <w:szCs w:val="24"/>
        </w:rPr>
        <w:t>, TAZs with a higher number of zero-vehicle households attract more deadheading trips</w:t>
      </w:r>
      <w:r w:rsidR="00B3486E">
        <w:rPr>
          <w:sz w:val="24"/>
          <w:szCs w:val="24"/>
        </w:rPr>
        <w:t xml:space="preserve"> only in the </w:t>
      </w:r>
      <w:r w:rsidR="003B25E7">
        <w:rPr>
          <w:sz w:val="24"/>
          <w:szCs w:val="24"/>
        </w:rPr>
        <w:t>mid-day period</w:t>
      </w:r>
      <w:r w:rsidR="0010666D">
        <w:rPr>
          <w:sz w:val="24"/>
          <w:szCs w:val="24"/>
        </w:rPr>
        <w:t xml:space="preserve">. </w:t>
      </w:r>
      <w:r w:rsidR="003B25E7">
        <w:rPr>
          <w:sz w:val="24"/>
          <w:szCs w:val="24"/>
        </w:rPr>
        <w:t>Several past studies have found that</w:t>
      </w:r>
      <w:r w:rsidR="00231A3C" w:rsidRPr="000129A0">
        <w:rPr>
          <w:sz w:val="24"/>
          <w:szCs w:val="24"/>
        </w:rPr>
        <w:t xml:space="preserve"> areas with </w:t>
      </w:r>
      <w:r w:rsidR="00231A3C">
        <w:rPr>
          <w:sz w:val="24"/>
          <w:szCs w:val="24"/>
        </w:rPr>
        <w:t>lower</w:t>
      </w:r>
      <w:r w:rsidR="00231A3C" w:rsidRPr="000129A0">
        <w:rPr>
          <w:sz w:val="24"/>
          <w:szCs w:val="24"/>
        </w:rPr>
        <w:t xml:space="preserve"> vehicle ownership rates are associated with </w:t>
      </w:r>
      <w:r w:rsidR="00231A3C">
        <w:rPr>
          <w:sz w:val="24"/>
          <w:szCs w:val="24"/>
        </w:rPr>
        <w:t>higher</w:t>
      </w:r>
      <w:r w:rsidR="00231A3C" w:rsidRPr="000129A0">
        <w:rPr>
          <w:sz w:val="24"/>
          <w:szCs w:val="24"/>
        </w:rPr>
        <w:t xml:space="preserve"> ride-hailing </w:t>
      </w:r>
      <w:r w:rsidR="00231A3C">
        <w:rPr>
          <w:sz w:val="24"/>
          <w:szCs w:val="24"/>
        </w:rPr>
        <w:t xml:space="preserve">passenger pick-up </w:t>
      </w:r>
      <w:r w:rsidR="00231A3C" w:rsidRPr="000129A0">
        <w:rPr>
          <w:sz w:val="24"/>
          <w:szCs w:val="24"/>
        </w:rPr>
        <w:t>demand</w:t>
      </w:r>
      <w:r w:rsidR="003B25E7">
        <w:rPr>
          <w:sz w:val="24"/>
          <w:szCs w:val="24"/>
        </w:rPr>
        <w:t xml:space="preserve"> (</w:t>
      </w:r>
      <w:r w:rsidR="003B25E7" w:rsidRPr="000129A0">
        <w:rPr>
          <w:sz w:val="24"/>
          <w:szCs w:val="24"/>
        </w:rPr>
        <w:fldChar w:fldCharType="begin"/>
      </w:r>
      <w:r w:rsidR="003B25E7">
        <w:rPr>
          <w:sz w:val="24"/>
          <w:szCs w:val="24"/>
        </w:rPr>
        <w:instrText xml:space="preserve"> ADDIN ZOTERO_ITEM CSL_CITATION {"citationID":"sOfqbxLr","properties":{"formattedCitation":"(Lavieri et al., 2018)","plainCitation":"(Lavieri et al., 2018)","dontUpdate":true,"noteIndex":0},"citationItems":[{"id":"pYE2dMDV/mS09sEs6","uris":["http://zotero.org/users/local/CJ2Dv405/items/EPM6FP5Q"],"uri":["http://zotero.org/users/local/CJ2Dv405/items/EPM6FP5Q"],"itemData":{"id":132,"type":"article-journal","abstract":"Ridesourcing has experienced exponential growth in recent years, yet its impact on individual travel are unclear and have not been adequately examined. Recently, an Austin-based ridesourcing company released a large dataset containing disaggregate trip-level information. In this research, we use this new dataset in tandem with several publicly available data sources to estimate two models: a spatially lagged multivariate count model, which is used to describe how many trips are generated in a specific zone on both weekdays and weekend days; and a fractional split model, which helps us identify the characteristics of zones that attract ridesourcing trips. Our results show spatial dependence in ridesourcing trips among proximally located zones, as well as correlation between weekday and weekend day trips originating in a zone. Another interesting finding is the identification of a possible substitution effect between ridesourcing and transit use for weekday trips. Moreover, our results suggest that different income segments in the population may use ridesourcing for different activity purposes. From a travel behavior researcher perspective, the results in this paper identify aggregate area-level variables impacting ridesourcing, which can guide future efforts to better understand the demand for ridesourcing as well as the demand for autonomous and connected vehicles.","container-title":"Transportation Research Record: Journal of the Transportation Research Board","DOI":"10.1177/0361198118756628","ISSN":"0361-1981, 2169-4052","language":"en","page":"036119811875662","source":"Crossref","title":"A Model of Ridesourcing Demand Generation and Distribution","author":[{"family":"Lavieri","given":"Patrícia S."},{"family":"Dias","given":"Felipe F."},{"family":"Juri","given":"Natalia Ruiz"},{"family":"Kuhr","given":"James"},{"family":"Bhat","given":"Chandra R."}],"issued":{"date-parts":[["2018",4,4]]}}}],"schema":"https://github.com/citation-style-language/schema/raw/master/csl-citation.json"}  ADDIN ZOTERO_ITEM CSL_CITATION {"citationID":"sOfqbxLr","properties":{"formattedCitation":"(Lavieri et al., 2018)","plainCitation":"(Lavieri et al., 2018)","dontUpdate":true,"noteIndex":0},"citationItems":[{"id":"DAyMpgmL/ocTMdd5R","uris":["http://zotero.org/users/local/CJ2Dv405/items/EPM6FP5Q"],"uri":["http://zotero.org/users/local/CJ2Dv405/items/EPM6FP5Q"],"itemData":{"id":132,"type":"article-journal","abstract":"Ridesourcing has experienced exponential growth in recent years, yet its impact on individual travel are unclear and have not been adequately examined. Recently, an Austin-based ridesourcing company released a large dataset containing disaggregate trip-level information. In this research, we use this new dataset in tandem with several publicly available data sources to estimate two models: a spatially lagged multivariate count model, which is used to describe how many trips are generated in a specific zone on both weekdays and weekend days; and a fractional split model, which helps us identify the characteristics of zones that attract ridesourcing trips. Our results show spatial dependence in ridesourcing trips among proximally located zones, as well as correlation between weekday and weekend day trips originating in a zone. Another interesting finding is the identification of a possible substitution effect between ridesourcing and transit use for weekday trips. Moreover, our results suggest that different income segments in the population may use ridesourcing for different activity purposes. From a travel behavior researcher perspective, the results in this paper identify aggregate area-level variables impacting ridesourcing, which can guide future efforts to better understand the demand for ridesourcing as well as the demand for autonomous and connected vehicles.","container-title":"Transportation Research Record: Journal of the Transportation Research Board","DOI":"10.1177/0361198118756628","ISSN":"0361-1981, 2169-4052","language":"en","page":"036119811875662","source":"Crossref","title":"A Model of Ridesourcing Demand Generation and Distribution","author":[{"family":"Lavieri","given":"Patrícia S."},{"family":"Dias","given":"Felipe F."},{"family":"Juri","given":"Natalia Ruiz"},{"family":"Kuhr","given":"James"},{"family":"Bhat","given":"Chandra R."}],"issued":{"date-parts":[["2018",4,4]]}}}],"schema":"https://github.com/citation-style-language/schema/raw/master/csl-citation.json"} </w:instrText>
      </w:r>
      <w:r w:rsidR="003B25E7" w:rsidRPr="000129A0">
        <w:rPr>
          <w:sz w:val="24"/>
          <w:szCs w:val="24"/>
        </w:rPr>
        <w:fldChar w:fldCharType="separate"/>
      </w:r>
      <w:r w:rsidR="003B25E7" w:rsidRPr="000129A0">
        <w:rPr>
          <w:rFonts w:cs="Times New Roman"/>
          <w:sz w:val="24"/>
          <w:szCs w:val="24"/>
        </w:rPr>
        <w:t xml:space="preserve">Lavieri </w:t>
      </w:r>
      <w:r w:rsidR="003B25E7" w:rsidRPr="006E7840">
        <w:rPr>
          <w:rFonts w:cs="Times New Roman"/>
          <w:i/>
          <w:sz w:val="24"/>
          <w:szCs w:val="24"/>
        </w:rPr>
        <w:t>et al</w:t>
      </w:r>
      <w:r w:rsidR="003B25E7">
        <w:rPr>
          <w:rFonts w:cs="Times New Roman"/>
          <w:sz w:val="24"/>
          <w:szCs w:val="24"/>
        </w:rPr>
        <w:t xml:space="preserve">., </w:t>
      </w:r>
      <w:r w:rsidR="003B25E7" w:rsidRPr="000129A0">
        <w:rPr>
          <w:rFonts w:cs="Times New Roman"/>
          <w:sz w:val="24"/>
          <w:szCs w:val="24"/>
        </w:rPr>
        <w:t>2018</w:t>
      </w:r>
      <w:r w:rsidR="003B25E7" w:rsidRPr="000129A0">
        <w:rPr>
          <w:sz w:val="24"/>
          <w:szCs w:val="24"/>
        </w:rPr>
        <w:fldChar w:fldCharType="end"/>
      </w:r>
      <w:r w:rsidR="003B25E7">
        <w:rPr>
          <w:sz w:val="24"/>
          <w:szCs w:val="24"/>
        </w:rPr>
        <w:t>;</w:t>
      </w:r>
      <w:r w:rsidR="003B25E7" w:rsidRPr="000129A0">
        <w:rPr>
          <w:sz w:val="24"/>
          <w:szCs w:val="24"/>
        </w:rPr>
        <w:t xml:space="preserve"> </w:t>
      </w:r>
      <w:r w:rsidR="003B25E7" w:rsidRPr="000129A0">
        <w:rPr>
          <w:sz w:val="24"/>
          <w:szCs w:val="24"/>
        </w:rPr>
        <w:fldChar w:fldCharType="begin"/>
      </w:r>
      <w:r w:rsidR="003B25E7">
        <w:rPr>
          <w:sz w:val="24"/>
          <w:szCs w:val="24"/>
        </w:rPr>
        <w:instrText xml:space="preserve"> ADDIN ZOTERO_ITEM CSL_CITATION {"citationID":"FZixwvv1","properties":{"formattedCitation":"(Clewlow and Mishra, 2017)","plainCitation":"(Clewlow and Mishra, 2017)","dontUpdate":true,"noteIndex":0},"citationItems":[{"id":"pYE2dMDV/5HvSxGtz","uris":["http://zotero.org/users/local/CJ2Dv405/items/IPLTNX4Q"],"uri":["http://zotero.org/users/local/CJ2Dv405/items/IPLTNX4Q"],"itemData":{"id":160,"type":"article-journal","language":"en","page":"38","source":"Zotero","title":"Disruptive Transportation: The Adoption, Utilization, and Impacts of Ride-Hailing in the United States","author":[{"family":"Clewlow","given":"Regina R"},{"family":"Mishra","given":"Gouri Shankar"}],"issued":{"date-parts":[["2017"]]}}}],"schema":"https://github.com/citation-style-language/schema/raw/master/csl-citation.json"}  ADDIN ZOTERO_ITEM CSL_CITATION {"citationID":"FZixwvv1","properties":{"formattedCitation":"(Clewlow and Mishra, 2017)","plainCitation":"(Clewlow and Mishra, 2017)","dontUpdate":true,"noteIndex":0},"citationItems":[{"id":"DAyMpgmL/SDVwfc1R","uris":["http://zotero.org/users/local/CJ2Dv405/items/IPLTNX4Q"],"uri":["http://zotero.org/users/local/CJ2Dv405/items/IPLTNX4Q"],"itemData":{"id":160,"type":"article-journal","language":"en","page":"38","source":"Zotero","title":"Disruptive Transportation: The Adoption, Utilization, and Impacts of Ride-Hailing in the United States","author":[{"family":"Clewlow","given":"Regina R"},{"family":"Mishra","given":"Gouri Shankar"}],"issued":{"date-parts":[["2017"]]}}}],"schema":"https://github.com/citation-style-language/schema/raw/master/csl-citation.json"} </w:instrText>
      </w:r>
      <w:r w:rsidR="003B25E7" w:rsidRPr="000129A0">
        <w:rPr>
          <w:sz w:val="24"/>
          <w:szCs w:val="24"/>
        </w:rPr>
        <w:fldChar w:fldCharType="separate"/>
      </w:r>
      <w:r w:rsidR="003B25E7" w:rsidRPr="000129A0">
        <w:rPr>
          <w:rFonts w:cs="Times New Roman"/>
          <w:sz w:val="24"/>
          <w:szCs w:val="24"/>
        </w:rPr>
        <w:t>Clewlow and Mishra</w:t>
      </w:r>
      <w:r w:rsidR="003B25E7">
        <w:rPr>
          <w:rFonts w:cs="Times New Roman"/>
          <w:sz w:val="24"/>
          <w:szCs w:val="24"/>
        </w:rPr>
        <w:t xml:space="preserve">, </w:t>
      </w:r>
      <w:r w:rsidR="003B25E7" w:rsidRPr="000129A0">
        <w:rPr>
          <w:rFonts w:cs="Times New Roman"/>
          <w:sz w:val="24"/>
          <w:szCs w:val="24"/>
        </w:rPr>
        <w:t>2017)</w:t>
      </w:r>
      <w:r w:rsidR="003B25E7" w:rsidRPr="000129A0">
        <w:rPr>
          <w:sz w:val="24"/>
          <w:szCs w:val="24"/>
        </w:rPr>
        <w:fldChar w:fldCharType="end"/>
      </w:r>
      <w:r w:rsidR="00231A3C" w:rsidRPr="000129A0">
        <w:rPr>
          <w:sz w:val="24"/>
          <w:szCs w:val="24"/>
        </w:rPr>
        <w:t>.</w:t>
      </w:r>
      <w:r w:rsidR="00231A3C">
        <w:rPr>
          <w:sz w:val="24"/>
          <w:szCs w:val="24"/>
        </w:rPr>
        <w:t xml:space="preserve"> </w:t>
      </w:r>
      <w:r w:rsidR="003329E6" w:rsidRPr="000129A0">
        <w:rPr>
          <w:sz w:val="24"/>
          <w:szCs w:val="24"/>
        </w:rPr>
        <w:t>The results also indicate that</w:t>
      </w:r>
      <w:r w:rsidR="00F548B3" w:rsidRPr="000129A0">
        <w:rPr>
          <w:sz w:val="24"/>
          <w:szCs w:val="24"/>
        </w:rPr>
        <w:t xml:space="preserve"> </w:t>
      </w:r>
      <w:r w:rsidR="00F127B4">
        <w:rPr>
          <w:sz w:val="24"/>
          <w:szCs w:val="24"/>
        </w:rPr>
        <w:t>deadheading trip destinations (passenger pick-up demand) are</w:t>
      </w:r>
      <w:r w:rsidR="003329E6" w:rsidRPr="000129A0">
        <w:rPr>
          <w:sz w:val="24"/>
          <w:szCs w:val="24"/>
        </w:rPr>
        <w:t xml:space="preserve"> likely to be </w:t>
      </w:r>
      <w:r w:rsidR="00F127B4">
        <w:rPr>
          <w:sz w:val="24"/>
          <w:szCs w:val="24"/>
        </w:rPr>
        <w:t xml:space="preserve">observed </w:t>
      </w:r>
      <w:r w:rsidR="003175EB">
        <w:rPr>
          <w:sz w:val="24"/>
          <w:szCs w:val="24"/>
        </w:rPr>
        <w:t xml:space="preserve">in areas with a </w:t>
      </w:r>
      <w:r w:rsidR="00F127B4">
        <w:rPr>
          <w:sz w:val="24"/>
          <w:szCs w:val="24"/>
        </w:rPr>
        <w:t>large</w:t>
      </w:r>
      <w:r w:rsidR="003175EB">
        <w:rPr>
          <w:sz w:val="24"/>
          <w:szCs w:val="24"/>
        </w:rPr>
        <w:t xml:space="preserve"> presence of </w:t>
      </w:r>
      <w:r w:rsidR="003329E6" w:rsidRPr="000129A0">
        <w:rPr>
          <w:sz w:val="24"/>
          <w:szCs w:val="24"/>
        </w:rPr>
        <w:t>s</w:t>
      </w:r>
      <w:r w:rsidR="00F548B3" w:rsidRPr="000129A0">
        <w:rPr>
          <w:sz w:val="24"/>
          <w:szCs w:val="24"/>
        </w:rPr>
        <w:t>ingle person households</w:t>
      </w:r>
      <w:r w:rsidR="003175EB">
        <w:rPr>
          <w:sz w:val="24"/>
          <w:szCs w:val="24"/>
        </w:rPr>
        <w:t>, consistent with previous findings (</w:t>
      </w:r>
      <w:r w:rsidR="003175EB" w:rsidRPr="006E7840">
        <w:rPr>
          <w:i/>
          <w:sz w:val="24"/>
          <w:szCs w:val="24"/>
        </w:rPr>
        <w:t>e.g.</w:t>
      </w:r>
      <w:r w:rsidR="003175EB">
        <w:rPr>
          <w:sz w:val="24"/>
          <w:szCs w:val="24"/>
        </w:rPr>
        <w:t xml:space="preserve">, </w:t>
      </w:r>
      <w:proofErr w:type="spellStart"/>
      <w:r w:rsidR="00EC01D8" w:rsidRPr="000129A0">
        <w:rPr>
          <w:sz w:val="24"/>
          <w:szCs w:val="24"/>
        </w:rPr>
        <w:t>Henao</w:t>
      </w:r>
      <w:proofErr w:type="spellEnd"/>
      <w:r w:rsidR="00EC01D8" w:rsidRPr="000129A0">
        <w:rPr>
          <w:sz w:val="24"/>
          <w:szCs w:val="24"/>
        </w:rPr>
        <w:t xml:space="preserve"> and Marshall</w:t>
      </w:r>
      <w:r w:rsidR="003175EB">
        <w:rPr>
          <w:sz w:val="24"/>
          <w:szCs w:val="24"/>
        </w:rPr>
        <w:t xml:space="preserve">, </w:t>
      </w:r>
      <w:r w:rsidR="00EC01D8" w:rsidRPr="000129A0">
        <w:rPr>
          <w:sz w:val="24"/>
          <w:szCs w:val="24"/>
        </w:rPr>
        <w:t>201</w:t>
      </w:r>
      <w:r w:rsidR="000C1D7B">
        <w:rPr>
          <w:sz w:val="24"/>
          <w:szCs w:val="24"/>
        </w:rPr>
        <w:t>9</w:t>
      </w:r>
      <w:r w:rsidR="00EC01D8" w:rsidRPr="000129A0">
        <w:rPr>
          <w:sz w:val="24"/>
          <w:szCs w:val="24"/>
        </w:rPr>
        <w:t xml:space="preserve">) that ride-hailing users </w:t>
      </w:r>
      <w:r w:rsidR="003175EB">
        <w:rPr>
          <w:sz w:val="24"/>
          <w:szCs w:val="24"/>
        </w:rPr>
        <w:t>are</w:t>
      </w:r>
      <w:r w:rsidR="00EC01D8" w:rsidRPr="000129A0">
        <w:rPr>
          <w:sz w:val="24"/>
          <w:szCs w:val="24"/>
        </w:rPr>
        <w:t xml:space="preserve"> more likely to be single and unmarried.</w:t>
      </w:r>
      <w:r w:rsidR="00C46C0F">
        <w:rPr>
          <w:sz w:val="24"/>
          <w:szCs w:val="24"/>
        </w:rPr>
        <w:t xml:space="preserve"> </w:t>
      </w:r>
      <w:r w:rsidR="00B3486E">
        <w:rPr>
          <w:sz w:val="24"/>
          <w:szCs w:val="24"/>
        </w:rPr>
        <w:t>T</w:t>
      </w:r>
      <w:r w:rsidR="00C46C0F">
        <w:rPr>
          <w:sz w:val="24"/>
          <w:szCs w:val="24"/>
        </w:rPr>
        <w:t xml:space="preserve">he coefficients associated with </w:t>
      </w:r>
      <w:r w:rsidR="00F127B4">
        <w:rPr>
          <w:sz w:val="24"/>
          <w:szCs w:val="24"/>
        </w:rPr>
        <w:t xml:space="preserve">the race-related </w:t>
      </w:r>
      <w:r w:rsidR="00C46C0F">
        <w:rPr>
          <w:sz w:val="24"/>
          <w:szCs w:val="24"/>
        </w:rPr>
        <w:t xml:space="preserve">variables were all insignificant and therefore </w:t>
      </w:r>
      <w:r w:rsidR="00F127B4">
        <w:rPr>
          <w:sz w:val="24"/>
          <w:szCs w:val="24"/>
        </w:rPr>
        <w:t>do not appear</w:t>
      </w:r>
      <w:r w:rsidR="00C46C0F">
        <w:rPr>
          <w:sz w:val="24"/>
          <w:szCs w:val="24"/>
        </w:rPr>
        <w:t xml:space="preserve"> in </w:t>
      </w:r>
      <w:r w:rsidR="00656564">
        <w:rPr>
          <w:sz w:val="24"/>
          <w:szCs w:val="24"/>
        </w:rPr>
        <w:fldChar w:fldCharType="begin"/>
      </w:r>
      <w:r w:rsidR="00656564">
        <w:rPr>
          <w:sz w:val="24"/>
          <w:szCs w:val="24"/>
        </w:rPr>
        <w:instrText xml:space="preserve"> REF _Ref26140592 \h </w:instrText>
      </w:r>
      <w:r w:rsidR="00656564">
        <w:rPr>
          <w:sz w:val="24"/>
          <w:szCs w:val="24"/>
        </w:rPr>
      </w:r>
      <w:r w:rsidR="00656564">
        <w:rPr>
          <w:sz w:val="24"/>
          <w:szCs w:val="24"/>
        </w:rPr>
        <w:fldChar w:fldCharType="separate"/>
      </w:r>
      <w:r w:rsidR="00740F16" w:rsidRPr="007978E9">
        <w:rPr>
          <w:sz w:val="24"/>
        </w:rPr>
        <w:t xml:space="preserve">Table </w:t>
      </w:r>
      <w:r w:rsidR="00740F16">
        <w:rPr>
          <w:noProof/>
          <w:sz w:val="24"/>
        </w:rPr>
        <w:t>2</w:t>
      </w:r>
      <w:r w:rsidR="00656564">
        <w:rPr>
          <w:sz w:val="24"/>
          <w:szCs w:val="24"/>
        </w:rPr>
        <w:fldChar w:fldCharType="end"/>
      </w:r>
      <w:r w:rsidR="00C46C0F">
        <w:rPr>
          <w:sz w:val="24"/>
          <w:szCs w:val="24"/>
        </w:rPr>
        <w:t xml:space="preserve">. </w:t>
      </w:r>
      <w:r w:rsidR="00AB076E">
        <w:rPr>
          <w:sz w:val="24"/>
          <w:szCs w:val="24"/>
        </w:rPr>
        <w:t xml:space="preserve">This is </w:t>
      </w:r>
      <w:r w:rsidR="00F127B4">
        <w:rPr>
          <w:sz w:val="24"/>
          <w:szCs w:val="24"/>
        </w:rPr>
        <w:t xml:space="preserve">different from </w:t>
      </w:r>
      <w:r w:rsidR="00AB076E">
        <w:rPr>
          <w:sz w:val="24"/>
          <w:szCs w:val="24"/>
        </w:rPr>
        <w:t xml:space="preserve">the studies </w:t>
      </w:r>
      <w:r w:rsidR="00F127B4">
        <w:rPr>
          <w:sz w:val="24"/>
          <w:szCs w:val="24"/>
        </w:rPr>
        <w:t>of</w:t>
      </w:r>
      <w:r w:rsidR="00AB076E">
        <w:rPr>
          <w:sz w:val="24"/>
          <w:szCs w:val="24"/>
        </w:rPr>
        <w:t xml:space="preserve"> </w:t>
      </w:r>
      <w:r w:rsidR="00F878C3" w:rsidRPr="000129A0">
        <w:rPr>
          <w:sz w:val="24"/>
          <w:szCs w:val="24"/>
        </w:rPr>
        <w:fldChar w:fldCharType="begin"/>
      </w:r>
      <w:r w:rsidR="00B46899">
        <w:rPr>
          <w:sz w:val="24"/>
          <w:szCs w:val="24"/>
        </w:rPr>
        <w:instrText xml:space="preserve"> ADDIN ZOTERO_ITEM CSL_CITATION {"citationID":"KgI8kHed","properties":{"formattedCitation":"(Lavieri et al., 2018)","plainCitation":"(Lavieri et al., 2018)","dontUpdate":true,"noteIndex":0},"citationItems":[{"id":"pYE2dMDV/mS09sEs6","uris":["http://zotero.org/users/local/CJ2Dv405/items/EPM6FP5Q"],"uri":["http://zotero.org/users/local/CJ2Dv405/items/EPM6FP5Q"],"itemData":{"id":132,"type":"article-journal","abstract":"Ridesourcing has experienced exponential growth in recent years, yet its impact on individual travel are unclear and have not been adequately examined. Recently, an Austin-based ridesourcing company released a large dataset containing disaggregate trip-level information. In this research, we use this new dataset in tandem with several publicly available data sources to estimate two models: a spatially lagged multivariate count model, which is used to describe how many trips are generated in a specific zone on both weekdays and weekend days; and a fractional split model, which helps us identify the characteristics of zones that attract ridesourcing trips. Our results show spatial dependence in ridesourcing trips among proximally located zones, as well as correlation between weekday and weekend day trips originating in a zone. Another interesting finding is the identification of a possible substitution effect between ridesourcing and transit use for weekday trips. Moreover, our results suggest that different income segments in the population may use ridesourcing for different activity purposes. From a travel behavior researcher perspective, the results in this paper identify aggregate area-level variables impacting ridesourcing, which can guide future efforts to better understand the demand for ridesourcing as well as the demand for autonomous and connected vehicles.","container-title":"Transportation Research Record: Journal of the Transportation Research Board","DOI":"10.1177/0361198118756628","ISSN":"0361-1981, 2169-4052","language":"en","page":"036119811875662","source":"Crossref","title":"A Model of Ridesourcing Demand Generation and Distribution","author":[{"family":"Lavieri","given":"Patrícia S."},{"family":"Dias","given":"Felipe F."},{"family":"Juri","given":"Natalia Ruiz"},{"family":"Kuhr","given":"James"},{"family":"Bhat","given":"Chandra R."}],"issued":{"date-parts":[["2018",4,4]]}}}],"schema":"https://github.com/citation-style-language/schema/raw/master/csl-citation.json"} </w:instrText>
      </w:r>
      <w:r w:rsidR="00F878C3" w:rsidRPr="000129A0">
        <w:rPr>
          <w:sz w:val="24"/>
          <w:szCs w:val="24"/>
        </w:rPr>
        <w:fldChar w:fldCharType="separate"/>
      </w:r>
      <w:r w:rsidR="00F878C3" w:rsidRPr="000129A0">
        <w:rPr>
          <w:rFonts w:cs="Times New Roman"/>
          <w:sz w:val="24"/>
          <w:szCs w:val="24"/>
        </w:rPr>
        <w:t xml:space="preserve">Lavieri </w:t>
      </w:r>
      <w:r w:rsidR="00F878C3" w:rsidRPr="006E7840">
        <w:rPr>
          <w:rFonts w:cs="Times New Roman"/>
          <w:i/>
          <w:sz w:val="24"/>
          <w:szCs w:val="24"/>
        </w:rPr>
        <w:t>et al</w:t>
      </w:r>
      <w:r w:rsidR="00F878C3" w:rsidRPr="000129A0">
        <w:rPr>
          <w:rFonts w:cs="Times New Roman"/>
          <w:sz w:val="24"/>
          <w:szCs w:val="24"/>
        </w:rPr>
        <w:t>. (2018)</w:t>
      </w:r>
      <w:r w:rsidR="00F878C3" w:rsidRPr="000129A0">
        <w:rPr>
          <w:sz w:val="24"/>
          <w:szCs w:val="24"/>
        </w:rPr>
        <w:fldChar w:fldCharType="end"/>
      </w:r>
      <w:r w:rsidR="00F878C3">
        <w:rPr>
          <w:sz w:val="24"/>
          <w:szCs w:val="24"/>
        </w:rPr>
        <w:t xml:space="preserve"> and </w:t>
      </w:r>
      <w:r w:rsidR="00F878C3" w:rsidRPr="00F534E2">
        <w:rPr>
          <w:sz w:val="24"/>
          <w:szCs w:val="24"/>
        </w:rPr>
        <w:fldChar w:fldCharType="begin"/>
      </w:r>
      <w:r w:rsidR="00B46899">
        <w:rPr>
          <w:sz w:val="24"/>
          <w:szCs w:val="24"/>
        </w:rPr>
        <w:instrText xml:space="preserve"> ADDIN ZOTERO_ITEM CSL_CITATION {"citationID":"deLQ2A0S","properties":{"formattedCitation":"(Lavieri and Bhat, 2019)","plainCitation":"(Lavieri and Bhat, 2019)","dontUpdate":true,"noteIndex":0},"citationItems":[{"id":"pYE2dMDV/Ap1aPA80","uris":["http://zotero.org/users/local/CJ2Dv405/items/85PQGNQU"],"uri":["http://zotero.org/users/local/CJ2Dv405/items/85PQGNQU"],"itemData":{"id":206,"type":"webpage","title":"Investigating the objective and subjective factors influencing the adoption, frequency, and characteristics of ride-hailing trips","URL":"http://www.caee.utexas.edu/prof/bhat/ABSTRACTS/RideHailing.pdf","author":[{"family":"Lavieri","given":"Patricia S"},{"family":"Bhat","given":"Chandra R."}],"accessed":{"date-parts":[["2019",4,28]]},"issued":{"date-parts":[["2019"]]}}}],"schema":"https://github.com/citation-style-language/schema/raw/master/csl-citation.json"} </w:instrText>
      </w:r>
      <w:r w:rsidR="00F878C3" w:rsidRPr="00F534E2">
        <w:rPr>
          <w:sz w:val="24"/>
          <w:szCs w:val="24"/>
        </w:rPr>
        <w:fldChar w:fldCharType="separate"/>
      </w:r>
      <w:r w:rsidR="00F878C3" w:rsidRPr="00F534E2">
        <w:rPr>
          <w:rFonts w:cs="Times New Roman"/>
          <w:sz w:val="24"/>
          <w:szCs w:val="24"/>
        </w:rPr>
        <w:t>Lavieri and Bhat (2019)</w:t>
      </w:r>
      <w:r w:rsidR="00F878C3" w:rsidRPr="00F534E2">
        <w:rPr>
          <w:sz w:val="24"/>
          <w:szCs w:val="24"/>
        </w:rPr>
        <w:fldChar w:fldCharType="end"/>
      </w:r>
      <w:r w:rsidR="00F878C3">
        <w:rPr>
          <w:sz w:val="24"/>
          <w:szCs w:val="24"/>
        </w:rPr>
        <w:t>, both of which noted a lower propensity to use ride-hailing among non-</w:t>
      </w:r>
      <w:r w:rsidR="003D4DCD">
        <w:rPr>
          <w:sz w:val="24"/>
          <w:szCs w:val="24"/>
        </w:rPr>
        <w:t>Hispanic</w:t>
      </w:r>
      <w:r w:rsidR="00F878C3">
        <w:rPr>
          <w:sz w:val="24"/>
          <w:szCs w:val="24"/>
        </w:rPr>
        <w:t xml:space="preserve"> whites.</w:t>
      </w:r>
    </w:p>
    <w:p w14:paraId="14181488" w14:textId="77777777" w:rsidR="000129A0" w:rsidRPr="007F5EE9" w:rsidRDefault="000129A0" w:rsidP="000129A0">
      <w:pPr>
        <w:spacing w:after="0" w:line="240" w:lineRule="auto"/>
        <w:rPr>
          <w:sz w:val="24"/>
          <w:szCs w:val="24"/>
        </w:rPr>
      </w:pPr>
    </w:p>
    <w:p w14:paraId="514F760F" w14:textId="19949F87" w:rsidR="006C1D17" w:rsidRPr="007F5EE9" w:rsidRDefault="006C1D17" w:rsidP="00F7439A">
      <w:pPr>
        <w:pStyle w:val="Heading2"/>
        <w:spacing w:before="0" w:line="240" w:lineRule="auto"/>
        <w:rPr>
          <w:szCs w:val="24"/>
        </w:rPr>
      </w:pPr>
      <w:r w:rsidRPr="007F5EE9">
        <w:rPr>
          <w:szCs w:val="24"/>
        </w:rPr>
        <w:t xml:space="preserve">Measures of </w:t>
      </w:r>
      <w:r w:rsidR="00765518">
        <w:rPr>
          <w:szCs w:val="24"/>
        </w:rPr>
        <w:t>F</w:t>
      </w:r>
      <w:r w:rsidRPr="007F5EE9">
        <w:rPr>
          <w:szCs w:val="24"/>
        </w:rPr>
        <w:t>it</w:t>
      </w:r>
    </w:p>
    <w:p w14:paraId="67B8AED4" w14:textId="15612349" w:rsidR="007F5EE9" w:rsidRDefault="00001567" w:rsidP="007F5EE9">
      <w:pPr>
        <w:spacing w:after="0" w:line="240" w:lineRule="auto"/>
        <w:rPr>
          <w:sz w:val="24"/>
          <w:szCs w:val="24"/>
        </w:rPr>
      </w:pPr>
      <w:r w:rsidRPr="007F5EE9">
        <w:rPr>
          <w:sz w:val="24"/>
          <w:szCs w:val="24"/>
        </w:rPr>
        <w:t xml:space="preserve">In this section, the </w:t>
      </w:r>
      <w:r w:rsidR="009866E3" w:rsidRPr="007F5EE9">
        <w:rPr>
          <w:sz w:val="24"/>
          <w:szCs w:val="24"/>
        </w:rPr>
        <w:t>goodness</w:t>
      </w:r>
      <w:r w:rsidR="007F5EE9">
        <w:rPr>
          <w:sz w:val="24"/>
          <w:szCs w:val="24"/>
        </w:rPr>
        <w:t>-</w:t>
      </w:r>
      <w:r w:rsidR="009866E3" w:rsidRPr="007F5EE9">
        <w:rPr>
          <w:sz w:val="24"/>
          <w:szCs w:val="24"/>
        </w:rPr>
        <w:t>of</w:t>
      </w:r>
      <w:r w:rsidR="007F5EE9">
        <w:rPr>
          <w:sz w:val="24"/>
          <w:szCs w:val="24"/>
        </w:rPr>
        <w:t>-</w:t>
      </w:r>
      <w:r w:rsidR="009866E3" w:rsidRPr="007F5EE9">
        <w:rPr>
          <w:sz w:val="24"/>
          <w:szCs w:val="24"/>
        </w:rPr>
        <w:t>fit of the NPMNL model</w:t>
      </w:r>
      <w:r w:rsidR="00585D35" w:rsidRPr="007F5EE9">
        <w:rPr>
          <w:sz w:val="24"/>
          <w:szCs w:val="24"/>
        </w:rPr>
        <w:t xml:space="preserve">s </w:t>
      </w:r>
      <w:r w:rsidR="007F5EE9">
        <w:rPr>
          <w:sz w:val="24"/>
          <w:szCs w:val="24"/>
        </w:rPr>
        <w:t>is</w:t>
      </w:r>
      <w:r w:rsidR="009866E3" w:rsidRPr="007F5EE9">
        <w:rPr>
          <w:sz w:val="24"/>
          <w:szCs w:val="24"/>
        </w:rPr>
        <w:t xml:space="preserve"> compared </w:t>
      </w:r>
      <w:r w:rsidR="00110ECB" w:rsidRPr="007F5EE9">
        <w:rPr>
          <w:sz w:val="24"/>
          <w:szCs w:val="24"/>
        </w:rPr>
        <w:t>with</w:t>
      </w:r>
      <w:r w:rsidR="009866E3" w:rsidRPr="007F5EE9">
        <w:rPr>
          <w:sz w:val="24"/>
          <w:szCs w:val="24"/>
        </w:rPr>
        <w:t xml:space="preserve"> that of</w:t>
      </w:r>
      <w:r w:rsidR="00585D35" w:rsidRPr="007F5EE9">
        <w:rPr>
          <w:sz w:val="24"/>
          <w:szCs w:val="24"/>
        </w:rPr>
        <w:t xml:space="preserve"> </w:t>
      </w:r>
      <w:r w:rsidR="009866E3" w:rsidRPr="007F5EE9">
        <w:rPr>
          <w:sz w:val="24"/>
          <w:szCs w:val="24"/>
        </w:rPr>
        <w:t>simple</w:t>
      </w:r>
      <w:r w:rsidR="00F10CEA" w:rsidRPr="007F5EE9">
        <w:rPr>
          <w:sz w:val="24"/>
          <w:szCs w:val="24"/>
        </w:rPr>
        <w:t>r</w:t>
      </w:r>
      <w:r w:rsidR="009866E3" w:rsidRPr="007F5EE9">
        <w:rPr>
          <w:sz w:val="24"/>
          <w:szCs w:val="24"/>
        </w:rPr>
        <w:t xml:space="preserve"> MNL model</w:t>
      </w:r>
      <w:r w:rsidR="00585D35" w:rsidRPr="007F5EE9">
        <w:rPr>
          <w:sz w:val="24"/>
          <w:szCs w:val="24"/>
        </w:rPr>
        <w:t>s</w:t>
      </w:r>
      <w:r w:rsidR="00507305" w:rsidRPr="007F5EE9">
        <w:rPr>
          <w:sz w:val="24"/>
          <w:szCs w:val="24"/>
        </w:rPr>
        <w:t>.</w:t>
      </w:r>
      <w:r w:rsidR="002C664C" w:rsidRPr="007F5EE9">
        <w:rPr>
          <w:sz w:val="24"/>
          <w:szCs w:val="24"/>
        </w:rPr>
        <w:t xml:space="preserve"> </w:t>
      </w:r>
      <w:r w:rsidR="007F5EE9">
        <w:rPr>
          <w:sz w:val="24"/>
          <w:szCs w:val="24"/>
        </w:rPr>
        <w:t>All</w:t>
      </w:r>
      <w:r w:rsidR="00EC01D8" w:rsidRPr="007F5EE9">
        <w:rPr>
          <w:sz w:val="24"/>
          <w:szCs w:val="24"/>
        </w:rPr>
        <w:t xml:space="preserve"> variables </w:t>
      </w:r>
      <w:r w:rsidR="007F5EE9">
        <w:rPr>
          <w:sz w:val="24"/>
          <w:szCs w:val="24"/>
        </w:rPr>
        <w:t>in the category of</w:t>
      </w:r>
      <w:r w:rsidR="00EC01D8" w:rsidRPr="007F5EE9">
        <w:rPr>
          <w:sz w:val="24"/>
          <w:szCs w:val="24"/>
        </w:rPr>
        <w:t xml:space="preserve"> “TAZ Size independent attributes” in</w:t>
      </w:r>
      <w:r w:rsidR="00342FB7">
        <w:rPr>
          <w:sz w:val="24"/>
          <w:szCs w:val="24"/>
        </w:rPr>
        <w:t xml:space="preserve"> Table 2 </w:t>
      </w:r>
      <w:r w:rsidR="007F5EE9">
        <w:rPr>
          <w:sz w:val="24"/>
          <w:szCs w:val="24"/>
        </w:rPr>
        <w:t xml:space="preserve">are used </w:t>
      </w:r>
      <w:r w:rsidR="00EC01D8" w:rsidRPr="007F5EE9">
        <w:rPr>
          <w:sz w:val="24"/>
          <w:szCs w:val="24"/>
        </w:rPr>
        <w:t xml:space="preserve">in the MNL </w:t>
      </w:r>
      <w:r w:rsidR="007F5EE9">
        <w:rPr>
          <w:sz w:val="24"/>
          <w:szCs w:val="24"/>
        </w:rPr>
        <w:t xml:space="preserve">model </w:t>
      </w:r>
      <w:r w:rsidR="00EC01D8" w:rsidRPr="007F5EE9">
        <w:rPr>
          <w:sz w:val="24"/>
          <w:szCs w:val="24"/>
        </w:rPr>
        <w:t>specification. Since the MNL model does not allow for the nonlinear-in-parameter structure, the effect of TAZ size (in</w:t>
      </w:r>
      <w:r w:rsidR="00342FB7">
        <w:rPr>
          <w:sz w:val="24"/>
          <w:szCs w:val="24"/>
        </w:rPr>
        <w:t xml:space="preserve"> Equation (1)) </w:t>
      </w:r>
      <w:r w:rsidR="00EC01D8" w:rsidRPr="007F5EE9">
        <w:rPr>
          <w:sz w:val="24"/>
          <w:szCs w:val="24"/>
        </w:rPr>
        <w:t xml:space="preserve">must be captured by a single </w:t>
      </w:r>
      <w:r w:rsidR="003B3FC1" w:rsidRPr="007F5EE9">
        <w:rPr>
          <w:sz w:val="24"/>
          <w:szCs w:val="24"/>
        </w:rPr>
        <w:t xml:space="preserve">proxy </w:t>
      </w:r>
      <w:r w:rsidR="00EC01D8" w:rsidRPr="007F5EE9">
        <w:rPr>
          <w:sz w:val="24"/>
          <w:szCs w:val="24"/>
        </w:rPr>
        <w:t xml:space="preserve">variable </w:t>
      </w:r>
      <w:r w:rsidR="003B3FC1" w:rsidRPr="007F5EE9">
        <w:rPr>
          <w:sz w:val="24"/>
          <w:szCs w:val="24"/>
        </w:rPr>
        <w:t>for size that is</w:t>
      </w:r>
      <w:r w:rsidR="00EC01D8" w:rsidRPr="007F5EE9">
        <w:rPr>
          <w:sz w:val="24"/>
          <w:szCs w:val="24"/>
        </w:rPr>
        <w:t xml:space="preserve"> strictly positive. In the specification for the MNL model, </w:t>
      </w:r>
      <w:r w:rsidR="007F5EE9">
        <w:rPr>
          <w:sz w:val="24"/>
          <w:szCs w:val="24"/>
        </w:rPr>
        <w:t>the</w:t>
      </w:r>
      <w:r w:rsidR="00EC01D8" w:rsidRPr="007F5EE9">
        <w:rPr>
          <w:sz w:val="24"/>
          <w:szCs w:val="24"/>
        </w:rPr>
        <w:t xml:space="preserve"> TAZ area </w:t>
      </w:r>
      <w:r w:rsidR="007F5EE9">
        <w:rPr>
          <w:sz w:val="24"/>
          <w:szCs w:val="24"/>
        </w:rPr>
        <w:t>is used for this purpose</w:t>
      </w:r>
      <w:r w:rsidR="001C47BB" w:rsidRPr="007F5EE9">
        <w:rPr>
          <w:sz w:val="24"/>
          <w:szCs w:val="24"/>
        </w:rPr>
        <w:t>.</w:t>
      </w:r>
      <w:r w:rsidR="007F5EE9">
        <w:rPr>
          <w:sz w:val="24"/>
          <w:szCs w:val="24"/>
        </w:rPr>
        <w:t xml:space="preserve"> </w:t>
      </w:r>
    </w:p>
    <w:p w14:paraId="7EAB1ABE" w14:textId="06E21077" w:rsidR="007F5EE9" w:rsidRDefault="00C866F9" w:rsidP="001C78C3">
      <w:pPr>
        <w:spacing w:after="0" w:line="240" w:lineRule="auto"/>
        <w:ind w:firstLine="720"/>
        <w:rPr>
          <w:noProof/>
          <w:sz w:val="24"/>
          <w:szCs w:val="24"/>
        </w:rPr>
      </w:pPr>
      <w:r w:rsidRPr="007F5EE9">
        <w:rPr>
          <w:sz w:val="24"/>
          <w:szCs w:val="24"/>
        </w:rPr>
        <w:t>The metrics used for measuring the goodness</w:t>
      </w:r>
      <w:r w:rsidR="007F5EE9">
        <w:rPr>
          <w:sz w:val="24"/>
          <w:szCs w:val="24"/>
        </w:rPr>
        <w:t>-</w:t>
      </w:r>
      <w:r w:rsidRPr="007F5EE9">
        <w:rPr>
          <w:sz w:val="24"/>
          <w:szCs w:val="24"/>
        </w:rPr>
        <w:t>of</w:t>
      </w:r>
      <w:r w:rsidR="007F5EE9">
        <w:rPr>
          <w:sz w:val="24"/>
          <w:szCs w:val="24"/>
        </w:rPr>
        <w:t>-</w:t>
      </w:r>
      <w:r w:rsidRPr="007F5EE9">
        <w:rPr>
          <w:sz w:val="24"/>
          <w:szCs w:val="24"/>
        </w:rPr>
        <w:t>fit are log-likelihood, adjusted likelihood ratio index (ALRI)</w:t>
      </w:r>
      <w:r w:rsidR="007F5EE9">
        <w:rPr>
          <w:sz w:val="24"/>
          <w:szCs w:val="24"/>
        </w:rPr>
        <w:t>,</w:t>
      </w:r>
      <w:r w:rsidRPr="007F5EE9">
        <w:rPr>
          <w:sz w:val="24"/>
          <w:szCs w:val="24"/>
        </w:rPr>
        <w:t xml:space="preserve"> and average probability of correct prediction. </w:t>
      </w:r>
      <w:r w:rsidR="001C47BB" w:rsidRPr="007F5EE9">
        <w:rPr>
          <w:sz w:val="24"/>
          <w:szCs w:val="24"/>
        </w:rPr>
        <w:t>To measure the</w:t>
      </w:r>
      <w:r w:rsidR="007F5EE9">
        <w:rPr>
          <w:sz w:val="24"/>
          <w:szCs w:val="24"/>
        </w:rPr>
        <w:t xml:space="preserve"> model</w:t>
      </w:r>
      <w:r w:rsidR="001C47BB" w:rsidRPr="007F5EE9">
        <w:rPr>
          <w:sz w:val="24"/>
          <w:szCs w:val="24"/>
        </w:rPr>
        <w:t xml:space="preserve"> goodness</w:t>
      </w:r>
      <w:r w:rsidR="007F5EE9">
        <w:rPr>
          <w:sz w:val="24"/>
          <w:szCs w:val="24"/>
        </w:rPr>
        <w:t>-</w:t>
      </w:r>
      <w:r w:rsidR="001C47BB" w:rsidRPr="007F5EE9">
        <w:rPr>
          <w:sz w:val="24"/>
          <w:szCs w:val="24"/>
        </w:rPr>
        <w:t>of</w:t>
      </w:r>
      <w:r w:rsidR="007F5EE9">
        <w:rPr>
          <w:sz w:val="24"/>
          <w:szCs w:val="24"/>
        </w:rPr>
        <w:t>-</w:t>
      </w:r>
      <w:r w:rsidR="001C47BB" w:rsidRPr="007F5EE9">
        <w:rPr>
          <w:sz w:val="24"/>
          <w:szCs w:val="24"/>
        </w:rPr>
        <w:t xml:space="preserve">fit </w:t>
      </w:r>
      <w:r w:rsidR="007F5EE9">
        <w:rPr>
          <w:sz w:val="24"/>
          <w:szCs w:val="24"/>
        </w:rPr>
        <w:t>for the</w:t>
      </w:r>
      <w:r w:rsidR="001C47BB" w:rsidRPr="007F5EE9">
        <w:rPr>
          <w:sz w:val="24"/>
          <w:szCs w:val="24"/>
        </w:rPr>
        <w:t xml:space="preserve"> estimation dataset</w:t>
      </w:r>
      <w:r w:rsidR="007F5EE9">
        <w:rPr>
          <w:sz w:val="24"/>
          <w:szCs w:val="24"/>
        </w:rPr>
        <w:t>s</w:t>
      </w:r>
      <w:r w:rsidR="001C47BB" w:rsidRPr="007F5EE9">
        <w:rPr>
          <w:sz w:val="24"/>
          <w:szCs w:val="24"/>
        </w:rPr>
        <w:t xml:space="preserve">, the adjusted likelihood ratio index </w:t>
      </w:r>
      <w:r w:rsidR="001C47BB" w:rsidRPr="007F5EE9">
        <w:rPr>
          <w:sz w:val="24"/>
          <w:szCs w:val="24"/>
        </w:rPr>
        <w:fldChar w:fldCharType="begin"/>
      </w:r>
      <w:r w:rsidR="00B46899">
        <w:rPr>
          <w:sz w:val="24"/>
          <w:szCs w:val="24"/>
        </w:rPr>
        <w:instrText xml:space="preserve"> ADDIN ZOTERO_ITEM CSL_CITATION {"citationID":"FpIljUUD","properties":{"formattedCitation":"(Windmeijer, 1995)","plainCitation":"(Windmeijer, 1995)","dontUpdate":true,"noteIndex":0},"citationItems":[{"id":"pYE2dMDV/VxbkPG1E","uris":["http://zotero.org/users/local/CJ2Dv405/items/9YH3DRWY"],"uri":["http://zotero.org/users/local/CJ2Dv405/items/9YH3DRWY"],"itemData":{"id":182,"type":"article-journal","abstract":"In this paper, a review is given of various goodness-of-fit measures that have been proposed for the binary choice model in the last two decades. The relative behaviour of several pseudo-R2 measures is analysed in a series of misspecified binary choice models, the misspecification being omitted variables or an included irrelevant variable. A comparison is made with the OLS-R2 of the underlying latent variable model and with the squared sample correlation coefficient of the true and predicted probabilities. Further, it is investigated how the values of the measures change with a changing frequency rate of successes.","container-title":"Econometric Reviews","DOI":"10.1080/07474939508800306","ISSN":"0747-4938","issue":"1","page":"101-116","source":"Taylor and Francis+NEJM","title":"Goodness-of-fit measures in binary choice models","volume":"14","author":[{"family":"Windmeijer","given":"Frank A. G."}],"issued":{"date-parts":[["1995",1,1]]}}}],"schema":"https://github.com/citation-style-language/schema/raw/master/csl-citation.json"} </w:instrText>
      </w:r>
      <w:r w:rsidR="001C47BB" w:rsidRPr="007F5EE9">
        <w:rPr>
          <w:sz w:val="24"/>
          <w:szCs w:val="24"/>
        </w:rPr>
        <w:fldChar w:fldCharType="separate"/>
      </w:r>
      <w:r w:rsidR="001C47BB" w:rsidRPr="007F5EE9">
        <w:rPr>
          <w:rFonts w:cs="Times New Roman"/>
          <w:sz w:val="24"/>
          <w:szCs w:val="24"/>
        </w:rPr>
        <w:t>(ALRI; Windmeijer, 1995)</w:t>
      </w:r>
      <w:r w:rsidR="001C47BB" w:rsidRPr="007F5EE9">
        <w:rPr>
          <w:sz w:val="24"/>
          <w:szCs w:val="24"/>
        </w:rPr>
        <w:fldChar w:fldCharType="end"/>
      </w:r>
      <w:r w:rsidR="001C47BB" w:rsidRPr="007F5EE9">
        <w:rPr>
          <w:sz w:val="24"/>
          <w:szCs w:val="24"/>
        </w:rPr>
        <w:t xml:space="preserve"> </w:t>
      </w:r>
      <w:r w:rsidR="00C610D1" w:rsidRPr="007F5EE9">
        <w:rPr>
          <w:sz w:val="24"/>
          <w:szCs w:val="24"/>
        </w:rPr>
        <w:t>is</w:t>
      </w:r>
      <w:r w:rsidR="001C47BB" w:rsidRPr="007F5EE9">
        <w:rPr>
          <w:sz w:val="24"/>
          <w:szCs w:val="24"/>
        </w:rPr>
        <w:t xml:space="preserve"> calculated</w:t>
      </w:r>
      <w:r w:rsidR="007F5EE9">
        <w:rPr>
          <w:sz w:val="24"/>
          <w:szCs w:val="24"/>
        </w:rPr>
        <w:t xml:space="preserve"> as:</w:t>
      </w:r>
      <w:r w:rsidR="001C47BB" w:rsidRPr="007F5EE9">
        <w:rPr>
          <w:sz w:val="24"/>
          <w:szCs w:val="24"/>
        </w:rPr>
        <w:t xml:space="preserve"> </w:t>
      </w:r>
    </w:p>
    <w:p w14:paraId="723C50EB" w14:textId="299E5C87" w:rsidR="007F5EE9" w:rsidRDefault="006A5AF9" w:rsidP="006551A2">
      <w:pPr>
        <w:tabs>
          <w:tab w:val="right" w:pos="9360"/>
        </w:tabs>
        <w:spacing w:before="80" w:after="80" w:line="240" w:lineRule="auto"/>
        <w:rPr>
          <w:sz w:val="24"/>
          <w:szCs w:val="24"/>
        </w:rPr>
      </w:pPr>
      <w:r w:rsidRPr="00C82A96">
        <w:rPr>
          <w:noProof/>
          <w:position w:val="-28"/>
          <w:sz w:val="24"/>
          <w:szCs w:val="24"/>
        </w:rPr>
        <w:object w:dxaOrig="1780" w:dyaOrig="720" w14:anchorId="30CF7A88">
          <v:shape id="_x0000_i1076" type="#_x0000_t75" style="width:87.75pt;height:36pt" o:ole="" o:preferrelative="f">
            <v:imagedata r:id="rId118" o:title=""/>
            <o:lock v:ext="edit" aspectratio="f"/>
          </v:shape>
          <o:OLEObject Type="Embed" ProgID="Equation.DSMT4" ShapeID="_x0000_i1076" DrawAspect="Content" ObjectID="_1646040603" r:id="rId119"/>
        </w:object>
      </w:r>
      <w:r w:rsidR="00276182">
        <w:rPr>
          <w:noProof/>
          <w:sz w:val="24"/>
          <w:szCs w:val="24"/>
        </w:rPr>
        <w:t>,</w:t>
      </w:r>
      <w:r w:rsidR="0084314C">
        <w:rPr>
          <w:noProof/>
          <w:sz w:val="24"/>
          <w:szCs w:val="24"/>
        </w:rPr>
        <w:t xml:space="preserve"> </w:t>
      </w:r>
      <w:r w:rsidR="0084314C">
        <w:rPr>
          <w:noProof/>
          <w:sz w:val="24"/>
          <w:szCs w:val="24"/>
        </w:rPr>
        <w:tab/>
      </w:r>
      <w:r w:rsidR="0084314C">
        <w:rPr>
          <w:sz w:val="24"/>
          <w:szCs w:val="24"/>
        </w:rPr>
        <w:t>(</w:t>
      </w:r>
      <w:r w:rsidR="00F27FE7">
        <w:rPr>
          <w:sz w:val="24"/>
          <w:szCs w:val="24"/>
        </w:rPr>
        <w:t>6</w:t>
      </w:r>
      <w:r w:rsidR="0084314C">
        <w:rPr>
          <w:sz w:val="24"/>
          <w:szCs w:val="24"/>
        </w:rPr>
        <w:t>)</w:t>
      </w:r>
    </w:p>
    <w:p w14:paraId="0F50CD4B" w14:textId="16A49E1A" w:rsidR="00877B9C" w:rsidRDefault="001C47BB" w:rsidP="00F7439A">
      <w:pPr>
        <w:spacing w:after="0" w:line="240" w:lineRule="auto"/>
        <w:rPr>
          <w:sz w:val="24"/>
          <w:szCs w:val="24"/>
        </w:rPr>
      </w:pPr>
      <w:r w:rsidRPr="007F5EE9">
        <w:rPr>
          <w:sz w:val="24"/>
          <w:szCs w:val="24"/>
        </w:rPr>
        <w:t xml:space="preserve">where, </w:t>
      </w:r>
      <w:r w:rsidR="006A5AF9" w:rsidRPr="00C82A96">
        <w:rPr>
          <w:noProof/>
          <w:position w:val="-10"/>
          <w:sz w:val="24"/>
          <w:szCs w:val="24"/>
        </w:rPr>
        <w:object w:dxaOrig="560" w:dyaOrig="380" w14:anchorId="56ABCCCF">
          <v:shape id="_x0000_i1077" type="#_x0000_t75" style="width:29.25pt;height:18.75pt" o:ole="" o:preferrelative="f">
            <v:imagedata r:id="rId120" o:title=""/>
            <o:lock v:ext="edit" aspectratio="f"/>
          </v:shape>
          <o:OLEObject Type="Embed" ProgID="Equation.DSMT4" ShapeID="_x0000_i1077" DrawAspect="Content" ObjectID="_1646040604" r:id="rId121"/>
        </w:object>
      </w:r>
      <w:r w:rsidR="006E7840">
        <w:rPr>
          <w:noProof/>
          <w:sz w:val="24"/>
          <w:szCs w:val="24"/>
        </w:rPr>
        <w:t xml:space="preserve"> </w:t>
      </w:r>
      <w:r w:rsidRPr="007F5EE9">
        <w:rPr>
          <w:sz w:val="24"/>
          <w:szCs w:val="24"/>
        </w:rPr>
        <w:t xml:space="preserve">is the likelihood of the model at convergence, </w:t>
      </w:r>
      <w:r w:rsidR="006A5AF9" w:rsidRPr="00C82A96">
        <w:rPr>
          <w:noProof/>
          <w:position w:val="-10"/>
          <w:sz w:val="24"/>
          <w:szCs w:val="24"/>
        </w:rPr>
        <w:object w:dxaOrig="499" w:dyaOrig="320" w14:anchorId="6EC954A3">
          <v:shape id="_x0000_i1078" type="#_x0000_t75" style="width:24.75pt;height:15.75pt" o:ole="" o:preferrelative="f">
            <v:imagedata r:id="rId122" o:title=""/>
            <o:lock v:ext="edit" aspectratio="f"/>
          </v:shape>
          <o:OLEObject Type="Embed" ProgID="Equation.DSMT4" ShapeID="_x0000_i1078" DrawAspect="Content" ObjectID="_1646040605" r:id="rId123"/>
        </w:object>
      </w:r>
      <w:r w:rsidR="006E7840">
        <w:rPr>
          <w:noProof/>
          <w:sz w:val="24"/>
          <w:szCs w:val="24"/>
        </w:rPr>
        <w:t xml:space="preserve"> </w:t>
      </w:r>
      <w:r w:rsidRPr="007F5EE9">
        <w:rPr>
          <w:sz w:val="24"/>
          <w:szCs w:val="24"/>
        </w:rPr>
        <w:t>is the likelihood at convergence of a naïve model</w:t>
      </w:r>
      <w:r w:rsidR="00877B9C">
        <w:rPr>
          <w:sz w:val="24"/>
          <w:szCs w:val="24"/>
        </w:rPr>
        <w:t>,</w:t>
      </w:r>
      <w:r w:rsidRPr="007F5EE9">
        <w:rPr>
          <w:sz w:val="24"/>
          <w:szCs w:val="24"/>
        </w:rPr>
        <w:t xml:space="preserve"> and</w:t>
      </w:r>
      <w:r w:rsidR="00C020FB">
        <w:rPr>
          <w:sz w:val="24"/>
          <w:szCs w:val="24"/>
        </w:rPr>
        <w:t xml:space="preserve"> </w:t>
      </w:r>
      <w:r w:rsidR="00C020FB" w:rsidRPr="00C020FB">
        <w:rPr>
          <w:i/>
          <w:sz w:val="24"/>
          <w:szCs w:val="24"/>
        </w:rPr>
        <w:t>Q</w:t>
      </w:r>
      <w:r w:rsidR="00C020FB">
        <w:rPr>
          <w:sz w:val="24"/>
          <w:szCs w:val="24"/>
        </w:rPr>
        <w:t xml:space="preserve"> </w:t>
      </w:r>
      <w:r w:rsidRPr="007F5EE9">
        <w:rPr>
          <w:sz w:val="24"/>
          <w:szCs w:val="24"/>
        </w:rPr>
        <w:t xml:space="preserve">is the difference in number of parameters between the naïve model and the estimated model. </w:t>
      </w:r>
      <w:r w:rsidR="00877B9C">
        <w:rPr>
          <w:sz w:val="24"/>
          <w:szCs w:val="24"/>
        </w:rPr>
        <w:t>T</w:t>
      </w:r>
      <w:r w:rsidRPr="007F5EE9">
        <w:rPr>
          <w:sz w:val="24"/>
          <w:szCs w:val="24"/>
        </w:rPr>
        <w:t xml:space="preserve">he naïve model refers to </w:t>
      </w:r>
      <w:r w:rsidR="00877B9C">
        <w:rPr>
          <w:sz w:val="24"/>
          <w:szCs w:val="24"/>
        </w:rPr>
        <w:t>selecting</w:t>
      </w:r>
      <w:r w:rsidRPr="007F5EE9">
        <w:rPr>
          <w:sz w:val="24"/>
          <w:szCs w:val="24"/>
        </w:rPr>
        <w:t xml:space="preserve"> a TAZ from the choice set at random</w:t>
      </w:r>
      <w:r w:rsidR="00877B9C">
        <w:rPr>
          <w:sz w:val="24"/>
          <w:szCs w:val="24"/>
        </w:rPr>
        <w:t>, corresponding</w:t>
      </w:r>
      <w:r w:rsidRPr="007F5EE9">
        <w:rPr>
          <w:sz w:val="24"/>
          <w:szCs w:val="24"/>
        </w:rPr>
        <w:t xml:space="preserve"> </w:t>
      </w:r>
      <w:r w:rsidR="00877B9C">
        <w:rPr>
          <w:sz w:val="24"/>
          <w:szCs w:val="24"/>
        </w:rPr>
        <w:t xml:space="preserve">to a model </w:t>
      </w:r>
      <w:r w:rsidRPr="007F5EE9">
        <w:rPr>
          <w:sz w:val="24"/>
          <w:szCs w:val="24"/>
        </w:rPr>
        <w:t xml:space="preserve">where all estimated parameters are zero. Similarly, the </w:t>
      </w:r>
      <w:r w:rsidR="00C610D1" w:rsidRPr="007F5EE9">
        <w:rPr>
          <w:sz w:val="24"/>
          <w:szCs w:val="24"/>
        </w:rPr>
        <w:t>predictive ALRI is calculated</w:t>
      </w:r>
      <w:r w:rsidR="00877B9C">
        <w:rPr>
          <w:sz w:val="24"/>
          <w:szCs w:val="24"/>
        </w:rPr>
        <w:t>,</w:t>
      </w:r>
      <w:r w:rsidRPr="007F5EE9">
        <w:rPr>
          <w:sz w:val="24"/>
          <w:szCs w:val="24"/>
        </w:rPr>
        <w:t xml:space="preserve"> </w:t>
      </w:r>
      <w:r w:rsidR="00877B9C">
        <w:rPr>
          <w:sz w:val="24"/>
          <w:szCs w:val="24"/>
        </w:rPr>
        <w:t>with the</w:t>
      </w:r>
      <w:r w:rsidRPr="007F5EE9">
        <w:rPr>
          <w:sz w:val="24"/>
          <w:szCs w:val="24"/>
        </w:rPr>
        <w:t xml:space="preserve"> likelihoods computed with respect to the validation sample instead of the estimation sample.</w:t>
      </w:r>
      <w:r w:rsidR="00A424B8" w:rsidRPr="007F5EE9">
        <w:rPr>
          <w:sz w:val="24"/>
          <w:szCs w:val="24"/>
        </w:rPr>
        <w:t xml:space="preserve"> </w:t>
      </w:r>
      <w:r w:rsidR="008868C7" w:rsidRPr="007F5EE9">
        <w:rPr>
          <w:sz w:val="24"/>
          <w:szCs w:val="24"/>
        </w:rPr>
        <w:t xml:space="preserve">The log-likelihoods and ALRIs are computed using the sampled choice sets that have 30 TAZs </w:t>
      </w:r>
      <w:r w:rsidR="00877B9C">
        <w:rPr>
          <w:sz w:val="24"/>
          <w:szCs w:val="24"/>
        </w:rPr>
        <w:t>(</w:t>
      </w:r>
      <w:r w:rsidR="008868C7" w:rsidRPr="007F5EE9">
        <w:rPr>
          <w:sz w:val="24"/>
          <w:szCs w:val="24"/>
        </w:rPr>
        <w:t>including the destination</w:t>
      </w:r>
      <w:r w:rsidR="00877B9C">
        <w:rPr>
          <w:sz w:val="24"/>
          <w:szCs w:val="24"/>
        </w:rPr>
        <w:t>)</w:t>
      </w:r>
      <w:r w:rsidR="008868C7" w:rsidRPr="007F5EE9">
        <w:rPr>
          <w:sz w:val="24"/>
          <w:szCs w:val="24"/>
        </w:rPr>
        <w:t xml:space="preserve">. The average probability of correct prediction is computed using </w:t>
      </w:r>
      <w:r w:rsidR="00877B9C">
        <w:rPr>
          <w:sz w:val="24"/>
          <w:szCs w:val="24"/>
        </w:rPr>
        <w:t>the</w:t>
      </w:r>
      <w:r w:rsidR="008868C7" w:rsidRPr="007F5EE9">
        <w:rPr>
          <w:sz w:val="24"/>
          <w:szCs w:val="24"/>
        </w:rPr>
        <w:t xml:space="preserve"> full choice set containing all TAZs within 15 miles of the origin. </w:t>
      </w:r>
      <w:r w:rsidR="000F65C7" w:rsidRPr="007F5EE9">
        <w:rPr>
          <w:sz w:val="24"/>
          <w:szCs w:val="24"/>
        </w:rPr>
        <w:t>The likelihood ratio test</w:t>
      </w:r>
      <w:r w:rsidR="000F65C7">
        <w:rPr>
          <w:sz w:val="24"/>
          <w:szCs w:val="24"/>
        </w:rPr>
        <w:t xml:space="preserve"> is</w:t>
      </w:r>
      <w:r w:rsidR="000F65C7" w:rsidRPr="007F5EE9">
        <w:rPr>
          <w:sz w:val="24"/>
          <w:szCs w:val="24"/>
        </w:rPr>
        <w:t xml:space="preserve"> used to statistically compare the goodness</w:t>
      </w:r>
      <w:r w:rsidR="000F65C7">
        <w:rPr>
          <w:sz w:val="24"/>
          <w:szCs w:val="24"/>
        </w:rPr>
        <w:t>-</w:t>
      </w:r>
      <w:r w:rsidR="000F65C7" w:rsidRPr="007F5EE9">
        <w:rPr>
          <w:sz w:val="24"/>
          <w:szCs w:val="24"/>
        </w:rPr>
        <w:t>of</w:t>
      </w:r>
      <w:r w:rsidR="000F65C7">
        <w:rPr>
          <w:sz w:val="24"/>
          <w:szCs w:val="24"/>
        </w:rPr>
        <w:t>-</w:t>
      </w:r>
      <w:r w:rsidR="000F65C7" w:rsidRPr="007F5EE9">
        <w:rPr>
          <w:sz w:val="24"/>
          <w:szCs w:val="24"/>
        </w:rPr>
        <w:t>fits of the NPMNL models and the MNL models for all time periods.</w:t>
      </w:r>
      <w:r w:rsidR="000F65C7">
        <w:rPr>
          <w:sz w:val="24"/>
          <w:szCs w:val="24"/>
        </w:rPr>
        <w:t xml:space="preserve"> </w:t>
      </w:r>
    </w:p>
    <w:p w14:paraId="2C785CFD" w14:textId="77601CB5" w:rsidR="004F5163" w:rsidRPr="007F5EE9" w:rsidRDefault="003B3FC1" w:rsidP="00877B9C">
      <w:pPr>
        <w:spacing w:after="0" w:line="240" w:lineRule="auto"/>
        <w:ind w:firstLine="720"/>
        <w:rPr>
          <w:sz w:val="24"/>
          <w:szCs w:val="24"/>
        </w:rPr>
      </w:pPr>
      <w:r w:rsidRPr="007F5EE9">
        <w:rPr>
          <w:sz w:val="24"/>
          <w:szCs w:val="24"/>
        </w:rPr>
        <w:t>The goodness</w:t>
      </w:r>
      <w:r w:rsidR="00877B9C">
        <w:rPr>
          <w:sz w:val="24"/>
          <w:szCs w:val="24"/>
        </w:rPr>
        <w:t>-</w:t>
      </w:r>
      <w:r w:rsidRPr="007F5EE9">
        <w:rPr>
          <w:sz w:val="24"/>
          <w:szCs w:val="24"/>
        </w:rPr>
        <w:t>of</w:t>
      </w:r>
      <w:r w:rsidR="00877B9C">
        <w:rPr>
          <w:sz w:val="24"/>
          <w:szCs w:val="24"/>
        </w:rPr>
        <w:t>-</w:t>
      </w:r>
      <w:r w:rsidRPr="007F5EE9">
        <w:rPr>
          <w:sz w:val="24"/>
          <w:szCs w:val="24"/>
        </w:rPr>
        <w:t>fit statistics are presented in</w:t>
      </w:r>
      <w:r w:rsidR="00342FB7">
        <w:rPr>
          <w:sz w:val="24"/>
          <w:szCs w:val="24"/>
        </w:rPr>
        <w:t xml:space="preserve"> Table 3. </w:t>
      </w:r>
      <w:r w:rsidR="007A2F10">
        <w:rPr>
          <w:sz w:val="24"/>
          <w:szCs w:val="24"/>
        </w:rPr>
        <w:t>An average probability of correct prediction in the order of</w:t>
      </w:r>
      <w:r w:rsidR="005F7F21">
        <w:rPr>
          <w:sz w:val="24"/>
          <w:szCs w:val="24"/>
        </w:rPr>
        <w:t xml:space="preserve"> 0.01</w:t>
      </w:r>
      <w:r w:rsidR="007A2F10">
        <w:rPr>
          <w:sz w:val="24"/>
          <w:szCs w:val="24"/>
        </w:rPr>
        <w:t xml:space="preserve"> is quite reasonable considering that the average choice set size is 865.41</w:t>
      </w:r>
      <w:r w:rsidR="005F7F21">
        <w:rPr>
          <w:sz w:val="24"/>
          <w:szCs w:val="24"/>
        </w:rPr>
        <w:t xml:space="preserve"> (note that a random TAZ selection would provide an average probability of correct prediction of only 0</w:t>
      </w:r>
      <w:r w:rsidR="00477199">
        <w:rPr>
          <w:sz w:val="24"/>
          <w:szCs w:val="24"/>
        </w:rPr>
        <w:t>.</w:t>
      </w:r>
      <w:r w:rsidR="005F7F21">
        <w:rPr>
          <w:sz w:val="24"/>
          <w:szCs w:val="24"/>
        </w:rPr>
        <w:t xml:space="preserve">0012; see third row of </w:t>
      </w:r>
      <w:r w:rsidR="00342FB7">
        <w:rPr>
          <w:sz w:val="24"/>
          <w:szCs w:val="24"/>
        </w:rPr>
        <w:t>Table 3</w:t>
      </w:r>
      <w:r w:rsidR="005F7F21">
        <w:rPr>
          <w:sz w:val="24"/>
          <w:szCs w:val="24"/>
        </w:rPr>
        <w:t>)</w:t>
      </w:r>
      <w:r w:rsidR="007A2F10">
        <w:rPr>
          <w:sz w:val="24"/>
          <w:szCs w:val="24"/>
        </w:rPr>
        <w:t xml:space="preserve">. </w:t>
      </w:r>
      <w:r w:rsidR="005B4F6C" w:rsidRPr="007F5EE9">
        <w:rPr>
          <w:sz w:val="24"/>
          <w:szCs w:val="24"/>
        </w:rPr>
        <w:t xml:space="preserve">The NPMNL model outperforms the MNL model in every metric for all time periods. </w:t>
      </w:r>
      <w:r w:rsidR="000F65C7" w:rsidRPr="007F5EE9">
        <w:rPr>
          <w:sz w:val="24"/>
          <w:szCs w:val="24"/>
        </w:rPr>
        <w:t xml:space="preserve">The </w:t>
      </w:r>
      <w:r w:rsidR="000F65C7">
        <w:rPr>
          <w:sz w:val="24"/>
          <w:szCs w:val="24"/>
        </w:rPr>
        <w:t>likelihood ratio test statistic between the NPMNL and the MNL models clearly illustrates the statistical superiority of the NPMNL model</w:t>
      </w:r>
      <w:r w:rsidR="008772E6">
        <w:rPr>
          <w:sz w:val="24"/>
          <w:szCs w:val="24"/>
        </w:rPr>
        <w:t xml:space="preserve"> (the figures in Table 3 for the test statistic are far larger than the corresponding table chi-squared value </w:t>
      </w:r>
      <w:r w:rsidR="00C07542">
        <w:rPr>
          <w:sz w:val="24"/>
          <w:szCs w:val="24"/>
        </w:rPr>
        <w:t xml:space="preserve">with </w:t>
      </w:r>
      <w:r w:rsidR="00C07542">
        <w:rPr>
          <w:sz w:val="24"/>
          <w:szCs w:val="24"/>
        </w:rPr>
        <w:lastRenderedPageBreak/>
        <w:t>the appropriate degrees of freedom at</w:t>
      </w:r>
      <w:r w:rsidR="00D565DB">
        <w:rPr>
          <w:sz w:val="24"/>
          <w:szCs w:val="24"/>
        </w:rPr>
        <w:t xml:space="preserve"> even</w:t>
      </w:r>
      <w:r w:rsidR="00C07542">
        <w:rPr>
          <w:sz w:val="24"/>
          <w:szCs w:val="24"/>
        </w:rPr>
        <w:t xml:space="preserve"> the 0.0001 significance level for all the time-of-day models</w:t>
      </w:r>
      <w:r w:rsidR="008772E6">
        <w:rPr>
          <w:sz w:val="24"/>
          <w:szCs w:val="24"/>
        </w:rPr>
        <w:t>)</w:t>
      </w:r>
      <w:r w:rsidR="000F65C7">
        <w:rPr>
          <w:sz w:val="24"/>
          <w:szCs w:val="24"/>
        </w:rPr>
        <w:t xml:space="preserve">. </w:t>
      </w:r>
      <w:r w:rsidR="005F7F21">
        <w:rPr>
          <w:sz w:val="24"/>
          <w:szCs w:val="24"/>
        </w:rPr>
        <w:t xml:space="preserve">Similar results are found in the validation sample, providing clear evidence that the superior data fit of the NPMNL in the estimation sample is not simply an artifact of overfitting. </w:t>
      </w:r>
    </w:p>
    <w:p w14:paraId="0DCDC8F4" w14:textId="3705E52D" w:rsidR="008868C7" w:rsidRDefault="008868C7" w:rsidP="00C07542">
      <w:pPr>
        <w:spacing w:after="0" w:line="240" w:lineRule="auto"/>
        <w:rPr>
          <w:b/>
          <w:bCs/>
          <w:sz w:val="20"/>
          <w:szCs w:val="18"/>
        </w:rPr>
      </w:pPr>
      <w:bookmarkStart w:id="32" w:name="_Ref7690387"/>
      <w:bookmarkStart w:id="33" w:name="_Ref12413672"/>
    </w:p>
    <w:p w14:paraId="1CE46DF8" w14:textId="696882FF" w:rsidR="00001567" w:rsidRPr="00877B9C" w:rsidRDefault="00320261" w:rsidP="00096C6C">
      <w:pPr>
        <w:pStyle w:val="Caption"/>
        <w:spacing w:after="0" w:line="240" w:lineRule="auto"/>
        <w:jc w:val="center"/>
        <w:rPr>
          <w:sz w:val="24"/>
          <w:szCs w:val="22"/>
        </w:rPr>
      </w:pPr>
      <w:r w:rsidRPr="00877B9C">
        <w:rPr>
          <w:sz w:val="24"/>
          <w:szCs w:val="22"/>
        </w:rPr>
        <w:t xml:space="preserve">Table </w:t>
      </w:r>
      <w:r w:rsidR="00EA2C01" w:rsidRPr="00877B9C">
        <w:rPr>
          <w:sz w:val="24"/>
          <w:szCs w:val="22"/>
        </w:rPr>
        <w:fldChar w:fldCharType="begin"/>
      </w:r>
      <w:r w:rsidR="00EA2C01" w:rsidRPr="00877B9C">
        <w:rPr>
          <w:sz w:val="24"/>
          <w:szCs w:val="22"/>
        </w:rPr>
        <w:instrText xml:space="preserve"> SEQ Table \* ARABIC </w:instrText>
      </w:r>
      <w:r w:rsidR="00EA2C01" w:rsidRPr="00877B9C">
        <w:rPr>
          <w:sz w:val="24"/>
          <w:szCs w:val="22"/>
        </w:rPr>
        <w:fldChar w:fldCharType="separate"/>
      </w:r>
      <w:r w:rsidR="00740F16">
        <w:rPr>
          <w:noProof/>
          <w:sz w:val="24"/>
          <w:szCs w:val="22"/>
        </w:rPr>
        <w:t>3</w:t>
      </w:r>
      <w:r w:rsidR="00EA2C01" w:rsidRPr="00877B9C">
        <w:rPr>
          <w:noProof/>
          <w:sz w:val="24"/>
          <w:szCs w:val="22"/>
        </w:rPr>
        <w:fldChar w:fldCharType="end"/>
      </w:r>
      <w:bookmarkEnd w:id="32"/>
      <w:r w:rsidRPr="00877B9C">
        <w:rPr>
          <w:sz w:val="24"/>
          <w:szCs w:val="22"/>
        </w:rPr>
        <w:t xml:space="preserve"> Goodness</w:t>
      </w:r>
      <w:r w:rsidR="00877B9C">
        <w:rPr>
          <w:sz w:val="24"/>
          <w:szCs w:val="22"/>
        </w:rPr>
        <w:t>-</w:t>
      </w:r>
      <w:r w:rsidRPr="00877B9C">
        <w:rPr>
          <w:sz w:val="24"/>
          <w:szCs w:val="22"/>
        </w:rPr>
        <w:t>of</w:t>
      </w:r>
      <w:r w:rsidR="00877B9C">
        <w:rPr>
          <w:sz w:val="24"/>
          <w:szCs w:val="22"/>
        </w:rPr>
        <w:t>-</w:t>
      </w:r>
      <w:r w:rsidR="005E652D">
        <w:rPr>
          <w:sz w:val="24"/>
          <w:szCs w:val="22"/>
        </w:rPr>
        <w:t>F</w:t>
      </w:r>
      <w:r w:rsidRPr="00877B9C">
        <w:rPr>
          <w:sz w:val="24"/>
          <w:szCs w:val="22"/>
        </w:rPr>
        <w:t xml:space="preserve">it and </w:t>
      </w:r>
      <w:r w:rsidR="00877B9C">
        <w:rPr>
          <w:sz w:val="24"/>
          <w:szCs w:val="22"/>
        </w:rPr>
        <w:t>V</w:t>
      </w:r>
      <w:r w:rsidRPr="00877B9C">
        <w:rPr>
          <w:sz w:val="24"/>
          <w:szCs w:val="22"/>
        </w:rPr>
        <w:t xml:space="preserve">alidation </w:t>
      </w:r>
      <w:r w:rsidR="00877B9C">
        <w:rPr>
          <w:sz w:val="24"/>
          <w:szCs w:val="22"/>
        </w:rPr>
        <w:t>S</w:t>
      </w:r>
      <w:r w:rsidRPr="00877B9C">
        <w:rPr>
          <w:sz w:val="24"/>
          <w:szCs w:val="22"/>
        </w:rPr>
        <w:t>tatistics for the NPMNL</w:t>
      </w:r>
      <w:r w:rsidR="001C47BB" w:rsidRPr="00877B9C">
        <w:rPr>
          <w:sz w:val="24"/>
          <w:szCs w:val="22"/>
        </w:rPr>
        <w:t xml:space="preserve"> and MNL </w:t>
      </w:r>
      <w:r w:rsidR="00877B9C">
        <w:rPr>
          <w:sz w:val="24"/>
          <w:szCs w:val="22"/>
        </w:rPr>
        <w:t>M</w:t>
      </w:r>
      <w:r w:rsidR="001C47BB" w:rsidRPr="00877B9C">
        <w:rPr>
          <w:sz w:val="24"/>
          <w:szCs w:val="22"/>
        </w:rPr>
        <w:t>odels</w:t>
      </w:r>
      <w:bookmarkEnd w:id="33"/>
    </w:p>
    <w:tbl>
      <w:tblPr>
        <w:tblW w:w="9270" w:type="dxa"/>
        <w:tblLayout w:type="fixed"/>
        <w:tblLook w:val="04A0" w:firstRow="1" w:lastRow="0" w:firstColumn="1" w:lastColumn="0" w:noHBand="0" w:noVBand="1"/>
      </w:tblPr>
      <w:tblGrid>
        <w:gridCol w:w="3307"/>
        <w:gridCol w:w="1490"/>
        <w:gridCol w:w="1491"/>
        <w:gridCol w:w="1491"/>
        <w:gridCol w:w="1491"/>
      </w:tblGrid>
      <w:tr w:rsidR="008A05F5" w:rsidRPr="00B664E8" w14:paraId="4CB2C6DD" w14:textId="77777777" w:rsidTr="00873B6F">
        <w:trPr>
          <w:trHeight w:val="264"/>
        </w:trPr>
        <w:tc>
          <w:tcPr>
            <w:tcW w:w="3307" w:type="dxa"/>
            <w:tcBorders>
              <w:top w:val="double" w:sz="6" w:space="0" w:color="auto"/>
              <w:left w:val="double" w:sz="6" w:space="0" w:color="auto"/>
              <w:bottom w:val="double" w:sz="6" w:space="0" w:color="auto"/>
              <w:right w:val="nil"/>
            </w:tcBorders>
            <w:shd w:val="clear" w:color="auto" w:fill="auto"/>
            <w:vAlign w:val="center"/>
            <w:hideMark/>
          </w:tcPr>
          <w:p w14:paraId="2BB96CB6" w14:textId="77777777" w:rsidR="00B664E8" w:rsidRPr="001812BE" w:rsidRDefault="00B664E8" w:rsidP="00F11C2C">
            <w:pPr>
              <w:spacing w:after="0" w:line="240" w:lineRule="auto"/>
              <w:jc w:val="left"/>
              <w:rPr>
                <w:rFonts w:eastAsia="Times New Roman" w:cs="Times New Roman"/>
                <w:b/>
                <w:bCs/>
                <w:color w:val="000000"/>
              </w:rPr>
            </w:pPr>
            <w:r w:rsidRPr="001812BE">
              <w:rPr>
                <w:rFonts w:eastAsia="Times New Roman" w:cs="Times New Roman"/>
                <w:b/>
                <w:bCs/>
                <w:color w:val="000000"/>
              </w:rPr>
              <w:t>Summary Statistic</w:t>
            </w:r>
          </w:p>
        </w:tc>
        <w:tc>
          <w:tcPr>
            <w:tcW w:w="1490" w:type="dxa"/>
            <w:tcBorders>
              <w:top w:val="double" w:sz="6" w:space="0" w:color="auto"/>
              <w:left w:val="nil"/>
              <w:bottom w:val="double" w:sz="6" w:space="0" w:color="auto"/>
              <w:right w:val="nil"/>
            </w:tcBorders>
            <w:shd w:val="clear" w:color="auto" w:fill="auto"/>
            <w:noWrap/>
            <w:vAlign w:val="center"/>
            <w:hideMark/>
          </w:tcPr>
          <w:p w14:paraId="038C45DB" w14:textId="77777777" w:rsidR="00B664E8" w:rsidRPr="001812BE" w:rsidRDefault="00B664E8" w:rsidP="00323017">
            <w:pPr>
              <w:spacing w:after="0" w:line="240" w:lineRule="auto"/>
              <w:jc w:val="right"/>
              <w:rPr>
                <w:rFonts w:eastAsia="Times New Roman" w:cs="Times New Roman"/>
                <w:b/>
                <w:bCs/>
                <w:color w:val="000000"/>
              </w:rPr>
            </w:pPr>
            <w:r w:rsidRPr="001812BE">
              <w:rPr>
                <w:rFonts w:eastAsia="Times New Roman" w:cs="Times New Roman"/>
                <w:b/>
                <w:bCs/>
                <w:color w:val="000000"/>
              </w:rPr>
              <w:t>AM Peak</w:t>
            </w:r>
          </w:p>
        </w:tc>
        <w:tc>
          <w:tcPr>
            <w:tcW w:w="1491" w:type="dxa"/>
            <w:tcBorders>
              <w:top w:val="double" w:sz="6" w:space="0" w:color="auto"/>
              <w:left w:val="nil"/>
              <w:bottom w:val="double" w:sz="6" w:space="0" w:color="auto"/>
              <w:right w:val="nil"/>
            </w:tcBorders>
            <w:shd w:val="clear" w:color="auto" w:fill="auto"/>
            <w:noWrap/>
            <w:vAlign w:val="center"/>
            <w:hideMark/>
          </w:tcPr>
          <w:p w14:paraId="37609DD4" w14:textId="77777777" w:rsidR="00B664E8" w:rsidRPr="001812BE" w:rsidRDefault="00B664E8" w:rsidP="000770D9">
            <w:pPr>
              <w:spacing w:after="0" w:line="240" w:lineRule="auto"/>
              <w:jc w:val="right"/>
              <w:rPr>
                <w:rFonts w:eastAsia="Times New Roman" w:cs="Times New Roman"/>
                <w:b/>
                <w:bCs/>
                <w:color w:val="000000"/>
              </w:rPr>
            </w:pPr>
            <w:r w:rsidRPr="001812BE">
              <w:rPr>
                <w:rFonts w:eastAsia="Times New Roman" w:cs="Times New Roman"/>
                <w:b/>
                <w:bCs/>
                <w:color w:val="000000"/>
              </w:rPr>
              <w:t>Mid-day</w:t>
            </w:r>
          </w:p>
        </w:tc>
        <w:tc>
          <w:tcPr>
            <w:tcW w:w="1491" w:type="dxa"/>
            <w:tcBorders>
              <w:top w:val="double" w:sz="6" w:space="0" w:color="auto"/>
              <w:left w:val="nil"/>
              <w:bottom w:val="double" w:sz="6" w:space="0" w:color="auto"/>
              <w:right w:val="nil"/>
            </w:tcBorders>
            <w:shd w:val="clear" w:color="auto" w:fill="auto"/>
            <w:noWrap/>
            <w:vAlign w:val="center"/>
            <w:hideMark/>
          </w:tcPr>
          <w:p w14:paraId="10939B7F" w14:textId="77777777" w:rsidR="00B664E8" w:rsidRPr="001812BE" w:rsidRDefault="00B664E8" w:rsidP="00A31847">
            <w:pPr>
              <w:spacing w:after="0" w:line="240" w:lineRule="auto"/>
              <w:jc w:val="right"/>
              <w:rPr>
                <w:rFonts w:eastAsia="Times New Roman" w:cs="Times New Roman"/>
                <w:b/>
                <w:bCs/>
                <w:color w:val="000000"/>
              </w:rPr>
            </w:pPr>
            <w:r w:rsidRPr="001812BE">
              <w:rPr>
                <w:rFonts w:eastAsia="Times New Roman" w:cs="Times New Roman"/>
                <w:b/>
                <w:bCs/>
                <w:color w:val="000000"/>
              </w:rPr>
              <w:t>PM Peak</w:t>
            </w:r>
          </w:p>
        </w:tc>
        <w:tc>
          <w:tcPr>
            <w:tcW w:w="1491" w:type="dxa"/>
            <w:tcBorders>
              <w:top w:val="double" w:sz="6" w:space="0" w:color="auto"/>
              <w:left w:val="nil"/>
              <w:bottom w:val="double" w:sz="6" w:space="0" w:color="auto"/>
              <w:right w:val="double" w:sz="6" w:space="0" w:color="auto"/>
            </w:tcBorders>
            <w:shd w:val="clear" w:color="auto" w:fill="auto"/>
            <w:noWrap/>
            <w:vAlign w:val="center"/>
            <w:hideMark/>
          </w:tcPr>
          <w:p w14:paraId="09C10393" w14:textId="77777777" w:rsidR="00B664E8" w:rsidRPr="001812BE" w:rsidRDefault="00B664E8" w:rsidP="009E0FF1">
            <w:pPr>
              <w:spacing w:after="0" w:line="240" w:lineRule="auto"/>
              <w:jc w:val="right"/>
              <w:rPr>
                <w:rFonts w:eastAsia="Times New Roman" w:cs="Times New Roman"/>
                <w:b/>
                <w:bCs/>
                <w:color w:val="000000"/>
              </w:rPr>
            </w:pPr>
            <w:r w:rsidRPr="001812BE">
              <w:rPr>
                <w:rFonts w:eastAsia="Times New Roman" w:cs="Times New Roman"/>
                <w:b/>
                <w:bCs/>
                <w:color w:val="000000"/>
              </w:rPr>
              <w:t>Weekend Night</w:t>
            </w:r>
          </w:p>
        </w:tc>
      </w:tr>
      <w:tr w:rsidR="008A05F5" w:rsidRPr="00B664E8" w14:paraId="04E049CA" w14:textId="77777777" w:rsidTr="00873B6F">
        <w:trPr>
          <w:trHeight w:val="355"/>
        </w:trPr>
        <w:tc>
          <w:tcPr>
            <w:tcW w:w="3307" w:type="dxa"/>
            <w:tcBorders>
              <w:top w:val="nil"/>
              <w:left w:val="double" w:sz="6" w:space="0" w:color="auto"/>
              <w:bottom w:val="nil"/>
              <w:right w:val="nil"/>
            </w:tcBorders>
            <w:shd w:val="clear" w:color="auto" w:fill="auto"/>
            <w:vAlign w:val="center"/>
            <w:hideMark/>
          </w:tcPr>
          <w:p w14:paraId="0183E96D" w14:textId="77777777" w:rsidR="00B664E8" w:rsidRPr="00B664E8" w:rsidRDefault="00B664E8" w:rsidP="00B664E8">
            <w:pPr>
              <w:spacing w:after="0" w:line="240" w:lineRule="auto"/>
              <w:jc w:val="left"/>
              <w:rPr>
                <w:rFonts w:eastAsia="Times New Roman" w:cs="Times New Roman"/>
                <w:b/>
                <w:bCs/>
                <w:color w:val="000000"/>
              </w:rPr>
            </w:pPr>
            <w:r w:rsidRPr="00B664E8">
              <w:rPr>
                <w:rFonts w:eastAsia="Times New Roman" w:cs="Times New Roman"/>
                <w:b/>
                <w:bCs/>
                <w:color w:val="000000"/>
              </w:rPr>
              <w:t>Estimation Sample</w:t>
            </w:r>
          </w:p>
        </w:tc>
        <w:tc>
          <w:tcPr>
            <w:tcW w:w="1490" w:type="dxa"/>
            <w:tcBorders>
              <w:top w:val="nil"/>
              <w:left w:val="nil"/>
              <w:bottom w:val="nil"/>
              <w:right w:val="nil"/>
            </w:tcBorders>
            <w:shd w:val="clear" w:color="auto" w:fill="auto"/>
            <w:noWrap/>
            <w:vAlign w:val="center"/>
            <w:hideMark/>
          </w:tcPr>
          <w:p w14:paraId="3C9EA59B" w14:textId="77777777" w:rsidR="00B664E8" w:rsidRPr="00873B6F" w:rsidRDefault="00B664E8" w:rsidP="00873B6F">
            <w:pPr>
              <w:spacing w:after="0" w:line="240" w:lineRule="auto"/>
              <w:jc w:val="right"/>
              <w:rPr>
                <w:rFonts w:eastAsia="Times New Roman" w:cs="Times New Roman"/>
                <w:b/>
                <w:bCs/>
                <w:color w:val="000000"/>
                <w:sz w:val="20"/>
                <w:szCs w:val="20"/>
              </w:rPr>
            </w:pPr>
          </w:p>
        </w:tc>
        <w:tc>
          <w:tcPr>
            <w:tcW w:w="1491" w:type="dxa"/>
            <w:tcBorders>
              <w:top w:val="nil"/>
              <w:left w:val="nil"/>
              <w:bottom w:val="nil"/>
              <w:right w:val="nil"/>
            </w:tcBorders>
            <w:shd w:val="clear" w:color="auto" w:fill="auto"/>
            <w:noWrap/>
            <w:vAlign w:val="center"/>
            <w:hideMark/>
          </w:tcPr>
          <w:p w14:paraId="2D440F31" w14:textId="77777777" w:rsidR="00B664E8" w:rsidRPr="008A05F5" w:rsidRDefault="00B664E8" w:rsidP="00873B6F">
            <w:pPr>
              <w:spacing w:after="0" w:line="240" w:lineRule="auto"/>
              <w:jc w:val="right"/>
              <w:rPr>
                <w:rFonts w:eastAsia="Times New Roman" w:cs="Times New Roman"/>
                <w:sz w:val="20"/>
                <w:szCs w:val="20"/>
              </w:rPr>
            </w:pPr>
          </w:p>
        </w:tc>
        <w:tc>
          <w:tcPr>
            <w:tcW w:w="1491" w:type="dxa"/>
            <w:tcBorders>
              <w:top w:val="nil"/>
              <w:left w:val="nil"/>
              <w:bottom w:val="nil"/>
              <w:right w:val="nil"/>
            </w:tcBorders>
            <w:shd w:val="clear" w:color="auto" w:fill="auto"/>
            <w:noWrap/>
            <w:vAlign w:val="center"/>
            <w:hideMark/>
          </w:tcPr>
          <w:p w14:paraId="27078E9D" w14:textId="77777777" w:rsidR="00B664E8" w:rsidRPr="008A05F5" w:rsidRDefault="00B664E8" w:rsidP="00873B6F">
            <w:pPr>
              <w:spacing w:after="0" w:line="240" w:lineRule="auto"/>
              <w:jc w:val="right"/>
              <w:rPr>
                <w:rFonts w:eastAsia="Times New Roman" w:cs="Times New Roman"/>
                <w:sz w:val="20"/>
                <w:szCs w:val="20"/>
              </w:rPr>
            </w:pPr>
          </w:p>
        </w:tc>
        <w:tc>
          <w:tcPr>
            <w:tcW w:w="1491" w:type="dxa"/>
            <w:tcBorders>
              <w:top w:val="nil"/>
              <w:left w:val="nil"/>
              <w:bottom w:val="nil"/>
              <w:right w:val="double" w:sz="6" w:space="0" w:color="auto"/>
            </w:tcBorders>
            <w:shd w:val="clear" w:color="auto" w:fill="auto"/>
            <w:noWrap/>
            <w:vAlign w:val="center"/>
            <w:hideMark/>
          </w:tcPr>
          <w:p w14:paraId="67F6DF45" w14:textId="77777777" w:rsidR="00B664E8" w:rsidRPr="00873B6F" w:rsidRDefault="00B664E8" w:rsidP="00873B6F">
            <w:pPr>
              <w:spacing w:after="0" w:line="240" w:lineRule="auto"/>
              <w:jc w:val="right"/>
              <w:rPr>
                <w:rFonts w:eastAsia="Times New Roman" w:cs="Times New Roman"/>
                <w:color w:val="000000"/>
                <w:sz w:val="20"/>
                <w:szCs w:val="20"/>
              </w:rPr>
            </w:pPr>
            <w:r w:rsidRPr="00873B6F">
              <w:rPr>
                <w:rFonts w:eastAsia="Times New Roman" w:cs="Times New Roman"/>
                <w:color w:val="000000"/>
                <w:sz w:val="20"/>
                <w:szCs w:val="20"/>
              </w:rPr>
              <w:t> </w:t>
            </w:r>
          </w:p>
        </w:tc>
      </w:tr>
      <w:tr w:rsidR="008A05F5" w:rsidRPr="00B664E8" w14:paraId="0B17DE03" w14:textId="77777777" w:rsidTr="00873B6F">
        <w:trPr>
          <w:trHeight w:val="243"/>
        </w:trPr>
        <w:tc>
          <w:tcPr>
            <w:tcW w:w="3307" w:type="dxa"/>
            <w:tcBorders>
              <w:top w:val="nil"/>
              <w:left w:val="double" w:sz="6" w:space="0" w:color="auto"/>
              <w:bottom w:val="nil"/>
              <w:right w:val="nil"/>
            </w:tcBorders>
            <w:shd w:val="clear" w:color="auto" w:fill="auto"/>
            <w:vAlign w:val="bottom"/>
            <w:hideMark/>
          </w:tcPr>
          <w:p w14:paraId="2B7B7731" w14:textId="77777777" w:rsidR="00B664E8" w:rsidRPr="00B664E8" w:rsidRDefault="00B664E8" w:rsidP="00B664E8">
            <w:pPr>
              <w:spacing w:after="0" w:line="240" w:lineRule="auto"/>
              <w:jc w:val="left"/>
              <w:rPr>
                <w:rFonts w:eastAsia="Times New Roman" w:cs="Times New Roman"/>
                <w:color w:val="000000"/>
              </w:rPr>
            </w:pPr>
            <w:r w:rsidRPr="00B664E8">
              <w:rPr>
                <w:rFonts w:eastAsia="Times New Roman" w:cs="Times New Roman"/>
                <w:color w:val="000000"/>
              </w:rPr>
              <w:t>No. observations</w:t>
            </w:r>
          </w:p>
        </w:tc>
        <w:tc>
          <w:tcPr>
            <w:tcW w:w="1490" w:type="dxa"/>
            <w:tcBorders>
              <w:top w:val="nil"/>
              <w:left w:val="nil"/>
              <w:bottom w:val="nil"/>
              <w:right w:val="nil"/>
            </w:tcBorders>
            <w:shd w:val="clear" w:color="auto" w:fill="auto"/>
            <w:noWrap/>
            <w:vAlign w:val="center"/>
            <w:hideMark/>
          </w:tcPr>
          <w:p w14:paraId="3A985E1B" w14:textId="77777777" w:rsidR="00B664E8" w:rsidRPr="001812BE" w:rsidRDefault="00B664E8" w:rsidP="00323017">
            <w:pPr>
              <w:spacing w:after="0" w:line="240" w:lineRule="auto"/>
              <w:jc w:val="right"/>
              <w:rPr>
                <w:rFonts w:eastAsia="Times New Roman" w:cs="Times New Roman"/>
                <w:color w:val="000000"/>
              </w:rPr>
            </w:pPr>
            <w:r w:rsidRPr="001812BE">
              <w:rPr>
                <w:rFonts w:eastAsia="Times New Roman" w:cs="Times New Roman"/>
                <w:color w:val="000000"/>
              </w:rPr>
              <w:t>31003</w:t>
            </w:r>
          </w:p>
        </w:tc>
        <w:tc>
          <w:tcPr>
            <w:tcW w:w="1491" w:type="dxa"/>
            <w:tcBorders>
              <w:top w:val="nil"/>
              <w:left w:val="nil"/>
              <w:bottom w:val="nil"/>
              <w:right w:val="nil"/>
            </w:tcBorders>
            <w:shd w:val="clear" w:color="auto" w:fill="auto"/>
            <w:noWrap/>
            <w:vAlign w:val="center"/>
            <w:hideMark/>
          </w:tcPr>
          <w:p w14:paraId="025EFA58" w14:textId="77777777" w:rsidR="00B664E8" w:rsidRPr="001812BE" w:rsidRDefault="00B664E8" w:rsidP="000770D9">
            <w:pPr>
              <w:spacing w:after="0" w:line="240" w:lineRule="auto"/>
              <w:jc w:val="right"/>
              <w:rPr>
                <w:rFonts w:eastAsia="Times New Roman" w:cs="Times New Roman"/>
                <w:color w:val="000000"/>
              </w:rPr>
            </w:pPr>
            <w:r w:rsidRPr="001812BE">
              <w:rPr>
                <w:rFonts w:eastAsia="Times New Roman" w:cs="Times New Roman"/>
                <w:color w:val="000000"/>
              </w:rPr>
              <w:t>72858</w:t>
            </w:r>
          </w:p>
        </w:tc>
        <w:tc>
          <w:tcPr>
            <w:tcW w:w="1491" w:type="dxa"/>
            <w:tcBorders>
              <w:top w:val="nil"/>
              <w:left w:val="nil"/>
              <w:bottom w:val="nil"/>
              <w:right w:val="nil"/>
            </w:tcBorders>
            <w:shd w:val="clear" w:color="auto" w:fill="auto"/>
            <w:noWrap/>
            <w:vAlign w:val="center"/>
            <w:hideMark/>
          </w:tcPr>
          <w:p w14:paraId="10B6AEDB" w14:textId="77777777" w:rsidR="00B664E8" w:rsidRPr="001812BE" w:rsidRDefault="00B664E8" w:rsidP="00A31847">
            <w:pPr>
              <w:spacing w:after="0" w:line="240" w:lineRule="auto"/>
              <w:jc w:val="right"/>
              <w:rPr>
                <w:rFonts w:eastAsia="Times New Roman" w:cs="Times New Roman"/>
                <w:color w:val="000000"/>
              </w:rPr>
            </w:pPr>
            <w:r w:rsidRPr="001812BE">
              <w:rPr>
                <w:rFonts w:eastAsia="Times New Roman" w:cs="Times New Roman"/>
                <w:color w:val="000000"/>
              </w:rPr>
              <w:t>59261</w:t>
            </w:r>
          </w:p>
        </w:tc>
        <w:tc>
          <w:tcPr>
            <w:tcW w:w="1491" w:type="dxa"/>
            <w:tcBorders>
              <w:top w:val="nil"/>
              <w:left w:val="nil"/>
              <w:bottom w:val="nil"/>
              <w:right w:val="double" w:sz="6" w:space="0" w:color="auto"/>
            </w:tcBorders>
            <w:shd w:val="clear" w:color="auto" w:fill="auto"/>
            <w:noWrap/>
            <w:vAlign w:val="center"/>
            <w:hideMark/>
          </w:tcPr>
          <w:p w14:paraId="4B5EB378" w14:textId="77777777" w:rsidR="00B664E8" w:rsidRPr="001812BE" w:rsidRDefault="00B664E8" w:rsidP="009E0FF1">
            <w:pPr>
              <w:spacing w:after="0" w:line="240" w:lineRule="auto"/>
              <w:jc w:val="right"/>
              <w:rPr>
                <w:rFonts w:eastAsia="Times New Roman" w:cs="Times New Roman"/>
                <w:color w:val="000000"/>
              </w:rPr>
            </w:pPr>
            <w:r w:rsidRPr="001812BE">
              <w:rPr>
                <w:rFonts w:eastAsia="Times New Roman" w:cs="Times New Roman"/>
                <w:color w:val="000000"/>
              </w:rPr>
              <w:t>127899</w:t>
            </w:r>
          </w:p>
        </w:tc>
      </w:tr>
      <w:tr w:rsidR="008A05F5" w:rsidRPr="00B664E8" w14:paraId="36A08255" w14:textId="77777777" w:rsidTr="00873B6F">
        <w:trPr>
          <w:trHeight w:val="243"/>
        </w:trPr>
        <w:tc>
          <w:tcPr>
            <w:tcW w:w="3307" w:type="dxa"/>
            <w:tcBorders>
              <w:top w:val="nil"/>
              <w:left w:val="double" w:sz="6" w:space="0" w:color="auto"/>
              <w:bottom w:val="nil"/>
              <w:right w:val="nil"/>
            </w:tcBorders>
            <w:shd w:val="clear" w:color="auto" w:fill="auto"/>
            <w:vAlign w:val="bottom"/>
            <w:hideMark/>
          </w:tcPr>
          <w:p w14:paraId="2DACBD48" w14:textId="77777777" w:rsidR="00B664E8" w:rsidRPr="00B664E8" w:rsidRDefault="00B664E8" w:rsidP="00B664E8">
            <w:pPr>
              <w:spacing w:after="0" w:line="240" w:lineRule="auto"/>
              <w:jc w:val="left"/>
              <w:rPr>
                <w:rFonts w:eastAsia="Times New Roman" w:cs="Times New Roman"/>
                <w:color w:val="000000"/>
              </w:rPr>
            </w:pPr>
            <w:r w:rsidRPr="00B664E8">
              <w:rPr>
                <w:rFonts w:eastAsia="Times New Roman" w:cs="Times New Roman"/>
                <w:color w:val="000000"/>
              </w:rPr>
              <w:t>Log-likelihood at zero</w:t>
            </w:r>
          </w:p>
        </w:tc>
        <w:tc>
          <w:tcPr>
            <w:tcW w:w="1490" w:type="dxa"/>
            <w:tcBorders>
              <w:top w:val="nil"/>
              <w:left w:val="nil"/>
              <w:bottom w:val="nil"/>
              <w:right w:val="nil"/>
            </w:tcBorders>
            <w:shd w:val="clear" w:color="auto" w:fill="auto"/>
            <w:noWrap/>
            <w:vAlign w:val="center"/>
            <w:hideMark/>
          </w:tcPr>
          <w:p w14:paraId="56E642BB" w14:textId="77777777" w:rsidR="00B664E8" w:rsidRPr="001812BE" w:rsidRDefault="00B664E8" w:rsidP="00323017">
            <w:pPr>
              <w:spacing w:after="0" w:line="240" w:lineRule="auto"/>
              <w:jc w:val="right"/>
              <w:rPr>
                <w:rFonts w:eastAsia="Times New Roman" w:cs="Times New Roman"/>
                <w:color w:val="000000"/>
              </w:rPr>
            </w:pPr>
            <w:r w:rsidRPr="001812BE">
              <w:rPr>
                <w:rFonts w:eastAsia="Times New Roman" w:cs="Times New Roman"/>
                <w:color w:val="000000"/>
              </w:rPr>
              <w:t>-105447.32</w:t>
            </w:r>
          </w:p>
        </w:tc>
        <w:tc>
          <w:tcPr>
            <w:tcW w:w="1491" w:type="dxa"/>
            <w:tcBorders>
              <w:top w:val="nil"/>
              <w:left w:val="nil"/>
              <w:bottom w:val="nil"/>
              <w:right w:val="nil"/>
            </w:tcBorders>
            <w:shd w:val="clear" w:color="auto" w:fill="auto"/>
            <w:noWrap/>
            <w:vAlign w:val="center"/>
            <w:hideMark/>
          </w:tcPr>
          <w:p w14:paraId="5A9AD606" w14:textId="77777777" w:rsidR="00B664E8" w:rsidRPr="001812BE" w:rsidRDefault="00B664E8" w:rsidP="000770D9">
            <w:pPr>
              <w:spacing w:after="0" w:line="240" w:lineRule="auto"/>
              <w:jc w:val="right"/>
              <w:rPr>
                <w:rFonts w:eastAsia="Times New Roman" w:cs="Times New Roman"/>
                <w:color w:val="000000"/>
              </w:rPr>
            </w:pPr>
            <w:r w:rsidRPr="001812BE">
              <w:rPr>
                <w:rFonts w:eastAsia="Times New Roman" w:cs="Times New Roman"/>
                <w:color w:val="000000"/>
              </w:rPr>
              <w:t>-247804.44</w:t>
            </w:r>
          </w:p>
        </w:tc>
        <w:tc>
          <w:tcPr>
            <w:tcW w:w="1491" w:type="dxa"/>
            <w:tcBorders>
              <w:top w:val="nil"/>
              <w:left w:val="nil"/>
              <w:bottom w:val="nil"/>
              <w:right w:val="nil"/>
            </w:tcBorders>
            <w:shd w:val="clear" w:color="auto" w:fill="auto"/>
            <w:noWrap/>
            <w:vAlign w:val="center"/>
            <w:hideMark/>
          </w:tcPr>
          <w:p w14:paraId="01119912" w14:textId="77777777" w:rsidR="00B664E8" w:rsidRPr="001812BE" w:rsidRDefault="00B664E8" w:rsidP="00A31847">
            <w:pPr>
              <w:spacing w:after="0" w:line="240" w:lineRule="auto"/>
              <w:jc w:val="right"/>
              <w:rPr>
                <w:rFonts w:eastAsia="Times New Roman" w:cs="Times New Roman"/>
                <w:color w:val="000000"/>
              </w:rPr>
            </w:pPr>
            <w:r w:rsidRPr="001812BE">
              <w:rPr>
                <w:rFonts w:eastAsia="Times New Roman" w:cs="Times New Roman"/>
                <w:color w:val="000000"/>
              </w:rPr>
              <w:t>-201558.36</w:t>
            </w:r>
          </w:p>
        </w:tc>
        <w:tc>
          <w:tcPr>
            <w:tcW w:w="1491" w:type="dxa"/>
            <w:tcBorders>
              <w:top w:val="nil"/>
              <w:left w:val="nil"/>
              <w:bottom w:val="nil"/>
              <w:right w:val="double" w:sz="6" w:space="0" w:color="auto"/>
            </w:tcBorders>
            <w:shd w:val="clear" w:color="auto" w:fill="auto"/>
            <w:noWrap/>
            <w:vAlign w:val="center"/>
            <w:hideMark/>
          </w:tcPr>
          <w:p w14:paraId="1B2A08CE" w14:textId="77777777" w:rsidR="00B664E8" w:rsidRPr="001812BE" w:rsidRDefault="00B664E8" w:rsidP="009E0FF1">
            <w:pPr>
              <w:spacing w:after="0" w:line="240" w:lineRule="auto"/>
              <w:jc w:val="right"/>
              <w:rPr>
                <w:rFonts w:eastAsia="Times New Roman" w:cs="Times New Roman"/>
                <w:color w:val="000000"/>
              </w:rPr>
            </w:pPr>
            <w:r w:rsidRPr="001812BE">
              <w:rPr>
                <w:rFonts w:eastAsia="Times New Roman" w:cs="Times New Roman"/>
                <w:color w:val="000000"/>
              </w:rPr>
              <w:t>-435009.74</w:t>
            </w:r>
          </w:p>
        </w:tc>
      </w:tr>
      <w:tr w:rsidR="008A05F5" w:rsidRPr="00B664E8" w14:paraId="0EBDD47D" w14:textId="77777777" w:rsidTr="00873B6F">
        <w:trPr>
          <w:trHeight w:val="477"/>
        </w:trPr>
        <w:tc>
          <w:tcPr>
            <w:tcW w:w="3307" w:type="dxa"/>
            <w:tcBorders>
              <w:top w:val="nil"/>
              <w:left w:val="double" w:sz="6" w:space="0" w:color="auto"/>
              <w:bottom w:val="nil"/>
              <w:right w:val="nil"/>
            </w:tcBorders>
            <w:shd w:val="clear" w:color="auto" w:fill="auto"/>
            <w:vAlign w:val="bottom"/>
            <w:hideMark/>
          </w:tcPr>
          <w:p w14:paraId="46B4BE66" w14:textId="77777777" w:rsidR="00B664E8" w:rsidRPr="00B664E8" w:rsidRDefault="00B664E8" w:rsidP="00B664E8">
            <w:pPr>
              <w:spacing w:after="0" w:line="240" w:lineRule="auto"/>
              <w:jc w:val="left"/>
              <w:rPr>
                <w:rFonts w:eastAsia="Times New Roman" w:cs="Times New Roman"/>
                <w:color w:val="000000"/>
              </w:rPr>
            </w:pPr>
            <w:r w:rsidRPr="00B664E8">
              <w:rPr>
                <w:rFonts w:eastAsia="Times New Roman" w:cs="Times New Roman"/>
                <w:color w:val="000000"/>
              </w:rPr>
              <w:t>Probability of correct prediction (random selection)</w:t>
            </w:r>
          </w:p>
        </w:tc>
        <w:tc>
          <w:tcPr>
            <w:tcW w:w="1490" w:type="dxa"/>
            <w:tcBorders>
              <w:top w:val="nil"/>
              <w:left w:val="nil"/>
              <w:bottom w:val="nil"/>
              <w:right w:val="nil"/>
            </w:tcBorders>
            <w:shd w:val="clear" w:color="auto" w:fill="auto"/>
            <w:noWrap/>
            <w:vAlign w:val="center"/>
            <w:hideMark/>
          </w:tcPr>
          <w:p w14:paraId="1EF9242D" w14:textId="77777777" w:rsidR="00B664E8" w:rsidRPr="001812BE" w:rsidRDefault="00B664E8" w:rsidP="00323017">
            <w:pPr>
              <w:spacing w:after="0" w:line="240" w:lineRule="auto"/>
              <w:jc w:val="right"/>
              <w:rPr>
                <w:rFonts w:eastAsia="Times New Roman" w:cs="Times New Roman"/>
                <w:color w:val="000000"/>
              </w:rPr>
            </w:pPr>
            <w:r w:rsidRPr="001812BE">
              <w:rPr>
                <w:rFonts w:eastAsia="Times New Roman" w:cs="Times New Roman"/>
                <w:color w:val="000000"/>
              </w:rPr>
              <w:t>0.0012</w:t>
            </w:r>
          </w:p>
        </w:tc>
        <w:tc>
          <w:tcPr>
            <w:tcW w:w="1491" w:type="dxa"/>
            <w:tcBorders>
              <w:top w:val="nil"/>
              <w:left w:val="nil"/>
              <w:bottom w:val="nil"/>
              <w:right w:val="nil"/>
            </w:tcBorders>
            <w:shd w:val="clear" w:color="auto" w:fill="auto"/>
            <w:noWrap/>
            <w:vAlign w:val="center"/>
            <w:hideMark/>
          </w:tcPr>
          <w:p w14:paraId="56ED9302" w14:textId="77777777" w:rsidR="00B664E8" w:rsidRPr="001812BE" w:rsidRDefault="00B664E8" w:rsidP="000770D9">
            <w:pPr>
              <w:spacing w:after="0" w:line="240" w:lineRule="auto"/>
              <w:jc w:val="right"/>
              <w:rPr>
                <w:rFonts w:eastAsia="Times New Roman" w:cs="Times New Roman"/>
                <w:color w:val="000000"/>
              </w:rPr>
            </w:pPr>
            <w:r w:rsidRPr="001812BE">
              <w:rPr>
                <w:rFonts w:eastAsia="Times New Roman" w:cs="Times New Roman"/>
                <w:color w:val="000000"/>
              </w:rPr>
              <w:t>0.0012</w:t>
            </w:r>
          </w:p>
        </w:tc>
        <w:tc>
          <w:tcPr>
            <w:tcW w:w="1491" w:type="dxa"/>
            <w:tcBorders>
              <w:top w:val="nil"/>
              <w:left w:val="nil"/>
              <w:bottom w:val="nil"/>
              <w:right w:val="nil"/>
            </w:tcBorders>
            <w:shd w:val="clear" w:color="auto" w:fill="auto"/>
            <w:noWrap/>
            <w:vAlign w:val="center"/>
            <w:hideMark/>
          </w:tcPr>
          <w:p w14:paraId="732DAA8F" w14:textId="77777777" w:rsidR="00B664E8" w:rsidRPr="001812BE" w:rsidRDefault="00B664E8" w:rsidP="00A31847">
            <w:pPr>
              <w:spacing w:after="0" w:line="240" w:lineRule="auto"/>
              <w:jc w:val="right"/>
              <w:rPr>
                <w:rFonts w:eastAsia="Times New Roman" w:cs="Times New Roman"/>
                <w:color w:val="000000"/>
              </w:rPr>
            </w:pPr>
            <w:r w:rsidRPr="001812BE">
              <w:rPr>
                <w:rFonts w:eastAsia="Times New Roman" w:cs="Times New Roman"/>
                <w:color w:val="000000"/>
              </w:rPr>
              <w:t>0.0012</w:t>
            </w:r>
          </w:p>
        </w:tc>
        <w:tc>
          <w:tcPr>
            <w:tcW w:w="1491" w:type="dxa"/>
            <w:tcBorders>
              <w:top w:val="nil"/>
              <w:left w:val="nil"/>
              <w:bottom w:val="nil"/>
              <w:right w:val="double" w:sz="6" w:space="0" w:color="auto"/>
            </w:tcBorders>
            <w:shd w:val="clear" w:color="auto" w:fill="auto"/>
            <w:noWrap/>
            <w:vAlign w:val="center"/>
            <w:hideMark/>
          </w:tcPr>
          <w:p w14:paraId="39F5334D" w14:textId="77777777" w:rsidR="00B664E8" w:rsidRPr="001812BE" w:rsidRDefault="00B664E8" w:rsidP="009E0FF1">
            <w:pPr>
              <w:spacing w:after="0" w:line="240" w:lineRule="auto"/>
              <w:jc w:val="right"/>
              <w:rPr>
                <w:rFonts w:eastAsia="Times New Roman" w:cs="Times New Roman"/>
                <w:color w:val="000000"/>
              </w:rPr>
            </w:pPr>
            <w:r w:rsidRPr="001812BE">
              <w:rPr>
                <w:rFonts w:eastAsia="Times New Roman" w:cs="Times New Roman"/>
                <w:color w:val="000000"/>
              </w:rPr>
              <w:t>0.0012</w:t>
            </w:r>
          </w:p>
        </w:tc>
      </w:tr>
      <w:tr w:rsidR="008A05F5" w:rsidRPr="00B664E8" w14:paraId="6682C0D3" w14:textId="77777777" w:rsidTr="00873B6F">
        <w:trPr>
          <w:trHeight w:val="243"/>
        </w:trPr>
        <w:tc>
          <w:tcPr>
            <w:tcW w:w="3307" w:type="dxa"/>
            <w:tcBorders>
              <w:top w:val="single" w:sz="4" w:space="0" w:color="auto"/>
              <w:left w:val="double" w:sz="6" w:space="0" w:color="auto"/>
              <w:bottom w:val="nil"/>
              <w:right w:val="nil"/>
            </w:tcBorders>
            <w:shd w:val="clear" w:color="auto" w:fill="auto"/>
            <w:vAlign w:val="bottom"/>
            <w:hideMark/>
          </w:tcPr>
          <w:p w14:paraId="238D65C7" w14:textId="77777777" w:rsidR="00B664E8" w:rsidRPr="00B664E8" w:rsidRDefault="00B664E8" w:rsidP="00B664E8">
            <w:pPr>
              <w:spacing w:after="0" w:line="240" w:lineRule="auto"/>
              <w:jc w:val="left"/>
              <w:rPr>
                <w:rFonts w:eastAsia="Times New Roman" w:cs="Times New Roman"/>
                <w:color w:val="000000"/>
              </w:rPr>
            </w:pPr>
            <w:r w:rsidRPr="00B664E8">
              <w:rPr>
                <w:rFonts w:eastAsia="Times New Roman" w:cs="Times New Roman"/>
                <w:color w:val="000000"/>
              </w:rPr>
              <w:t>NPMNL</w:t>
            </w:r>
          </w:p>
        </w:tc>
        <w:tc>
          <w:tcPr>
            <w:tcW w:w="1490" w:type="dxa"/>
            <w:tcBorders>
              <w:top w:val="single" w:sz="4" w:space="0" w:color="auto"/>
              <w:left w:val="nil"/>
              <w:bottom w:val="nil"/>
              <w:right w:val="nil"/>
            </w:tcBorders>
            <w:shd w:val="clear" w:color="auto" w:fill="auto"/>
            <w:noWrap/>
            <w:vAlign w:val="center"/>
            <w:hideMark/>
          </w:tcPr>
          <w:p w14:paraId="028636C6" w14:textId="77777777" w:rsidR="00B664E8" w:rsidRPr="001812BE" w:rsidRDefault="00B664E8" w:rsidP="00873B6F">
            <w:pPr>
              <w:spacing w:after="0" w:line="240" w:lineRule="auto"/>
              <w:jc w:val="right"/>
              <w:rPr>
                <w:rFonts w:eastAsia="Times New Roman" w:cs="Times New Roman"/>
                <w:color w:val="000000"/>
              </w:rPr>
            </w:pPr>
            <w:r w:rsidRPr="001812BE">
              <w:rPr>
                <w:rFonts w:eastAsia="Times New Roman" w:cs="Times New Roman"/>
                <w:color w:val="000000"/>
              </w:rPr>
              <w:t> </w:t>
            </w:r>
          </w:p>
        </w:tc>
        <w:tc>
          <w:tcPr>
            <w:tcW w:w="1491" w:type="dxa"/>
            <w:tcBorders>
              <w:top w:val="single" w:sz="4" w:space="0" w:color="auto"/>
              <w:left w:val="nil"/>
              <w:bottom w:val="nil"/>
              <w:right w:val="nil"/>
            </w:tcBorders>
            <w:shd w:val="clear" w:color="auto" w:fill="auto"/>
            <w:noWrap/>
            <w:vAlign w:val="center"/>
            <w:hideMark/>
          </w:tcPr>
          <w:p w14:paraId="71EFF53C" w14:textId="77777777" w:rsidR="00B664E8" w:rsidRPr="001812BE" w:rsidRDefault="00B664E8" w:rsidP="00873B6F">
            <w:pPr>
              <w:spacing w:after="0" w:line="240" w:lineRule="auto"/>
              <w:jc w:val="right"/>
              <w:rPr>
                <w:rFonts w:eastAsia="Times New Roman" w:cs="Times New Roman"/>
                <w:color w:val="000000"/>
              </w:rPr>
            </w:pPr>
            <w:r w:rsidRPr="001812BE">
              <w:rPr>
                <w:rFonts w:eastAsia="Times New Roman" w:cs="Times New Roman"/>
                <w:color w:val="000000"/>
              </w:rPr>
              <w:t> </w:t>
            </w:r>
          </w:p>
        </w:tc>
        <w:tc>
          <w:tcPr>
            <w:tcW w:w="1491" w:type="dxa"/>
            <w:tcBorders>
              <w:top w:val="single" w:sz="4" w:space="0" w:color="auto"/>
              <w:left w:val="nil"/>
              <w:bottom w:val="nil"/>
              <w:right w:val="nil"/>
            </w:tcBorders>
            <w:shd w:val="clear" w:color="auto" w:fill="auto"/>
            <w:noWrap/>
            <w:vAlign w:val="center"/>
            <w:hideMark/>
          </w:tcPr>
          <w:p w14:paraId="1D9FFE8E" w14:textId="77777777" w:rsidR="00B664E8" w:rsidRPr="001812BE" w:rsidRDefault="00B664E8" w:rsidP="00873B6F">
            <w:pPr>
              <w:spacing w:after="0" w:line="240" w:lineRule="auto"/>
              <w:jc w:val="right"/>
              <w:rPr>
                <w:rFonts w:eastAsia="Times New Roman" w:cs="Times New Roman"/>
                <w:color w:val="000000"/>
              </w:rPr>
            </w:pPr>
            <w:r w:rsidRPr="001812BE">
              <w:rPr>
                <w:rFonts w:eastAsia="Times New Roman" w:cs="Times New Roman"/>
                <w:color w:val="000000"/>
              </w:rPr>
              <w:t> </w:t>
            </w:r>
          </w:p>
        </w:tc>
        <w:tc>
          <w:tcPr>
            <w:tcW w:w="1491" w:type="dxa"/>
            <w:tcBorders>
              <w:top w:val="single" w:sz="4" w:space="0" w:color="auto"/>
              <w:left w:val="nil"/>
              <w:bottom w:val="nil"/>
              <w:right w:val="double" w:sz="6" w:space="0" w:color="auto"/>
            </w:tcBorders>
            <w:shd w:val="clear" w:color="auto" w:fill="auto"/>
            <w:noWrap/>
            <w:vAlign w:val="center"/>
            <w:hideMark/>
          </w:tcPr>
          <w:p w14:paraId="1DF54C74" w14:textId="77777777" w:rsidR="00B664E8" w:rsidRPr="001812BE" w:rsidRDefault="00B664E8" w:rsidP="00873B6F">
            <w:pPr>
              <w:spacing w:after="0" w:line="240" w:lineRule="auto"/>
              <w:jc w:val="right"/>
              <w:rPr>
                <w:rFonts w:eastAsia="Times New Roman" w:cs="Times New Roman"/>
                <w:color w:val="000000"/>
              </w:rPr>
            </w:pPr>
            <w:r w:rsidRPr="001812BE">
              <w:rPr>
                <w:rFonts w:eastAsia="Times New Roman" w:cs="Times New Roman"/>
                <w:color w:val="000000"/>
              </w:rPr>
              <w:t> </w:t>
            </w:r>
          </w:p>
        </w:tc>
      </w:tr>
      <w:tr w:rsidR="006B42BA" w:rsidRPr="00B664E8" w14:paraId="2771201B" w14:textId="77777777" w:rsidTr="00873B6F">
        <w:trPr>
          <w:trHeight w:val="243"/>
        </w:trPr>
        <w:tc>
          <w:tcPr>
            <w:tcW w:w="3307" w:type="dxa"/>
            <w:tcBorders>
              <w:top w:val="nil"/>
              <w:left w:val="double" w:sz="6" w:space="0" w:color="auto"/>
              <w:bottom w:val="nil"/>
              <w:right w:val="nil"/>
            </w:tcBorders>
            <w:shd w:val="clear" w:color="auto" w:fill="auto"/>
            <w:vAlign w:val="bottom"/>
            <w:hideMark/>
          </w:tcPr>
          <w:p w14:paraId="412C51D1" w14:textId="77777777" w:rsidR="006B42BA" w:rsidRPr="00B664E8" w:rsidRDefault="006B42BA" w:rsidP="006B42BA">
            <w:pPr>
              <w:spacing w:after="0" w:line="240" w:lineRule="auto"/>
              <w:jc w:val="left"/>
              <w:rPr>
                <w:rFonts w:eastAsia="Times New Roman" w:cs="Times New Roman"/>
                <w:color w:val="000000"/>
              </w:rPr>
            </w:pPr>
            <w:r w:rsidRPr="00B664E8">
              <w:rPr>
                <w:rFonts w:eastAsia="Times New Roman" w:cs="Times New Roman"/>
                <w:color w:val="000000"/>
              </w:rPr>
              <w:t>Number of parameters</w:t>
            </w:r>
          </w:p>
        </w:tc>
        <w:tc>
          <w:tcPr>
            <w:tcW w:w="1490" w:type="dxa"/>
            <w:tcBorders>
              <w:top w:val="nil"/>
              <w:left w:val="nil"/>
              <w:bottom w:val="nil"/>
              <w:right w:val="nil"/>
            </w:tcBorders>
            <w:shd w:val="clear" w:color="auto" w:fill="auto"/>
            <w:noWrap/>
            <w:vAlign w:val="center"/>
            <w:hideMark/>
          </w:tcPr>
          <w:p w14:paraId="5C4B9FBB" w14:textId="3B5082D5" w:rsidR="006B42BA" w:rsidRPr="001812BE" w:rsidRDefault="006B42BA" w:rsidP="00323017">
            <w:pPr>
              <w:spacing w:after="0" w:line="240" w:lineRule="auto"/>
              <w:jc w:val="right"/>
              <w:rPr>
                <w:rFonts w:eastAsia="Times New Roman" w:cs="Times New Roman"/>
                <w:color w:val="000000"/>
              </w:rPr>
            </w:pPr>
            <w:r>
              <w:rPr>
                <w:color w:val="000000"/>
              </w:rPr>
              <w:t>17</w:t>
            </w:r>
          </w:p>
        </w:tc>
        <w:tc>
          <w:tcPr>
            <w:tcW w:w="1491" w:type="dxa"/>
            <w:tcBorders>
              <w:top w:val="nil"/>
              <w:left w:val="nil"/>
              <w:bottom w:val="nil"/>
              <w:right w:val="nil"/>
            </w:tcBorders>
            <w:shd w:val="clear" w:color="auto" w:fill="auto"/>
            <w:noWrap/>
            <w:vAlign w:val="center"/>
            <w:hideMark/>
          </w:tcPr>
          <w:p w14:paraId="5C3BBCD9" w14:textId="1AB7EC6A" w:rsidR="006B42BA" w:rsidRPr="001812BE" w:rsidRDefault="006B42BA" w:rsidP="000770D9">
            <w:pPr>
              <w:spacing w:after="0" w:line="240" w:lineRule="auto"/>
              <w:jc w:val="right"/>
              <w:rPr>
                <w:rFonts w:eastAsia="Times New Roman" w:cs="Times New Roman"/>
                <w:color w:val="000000"/>
              </w:rPr>
            </w:pPr>
            <w:r>
              <w:rPr>
                <w:color w:val="000000"/>
              </w:rPr>
              <w:t>19</w:t>
            </w:r>
          </w:p>
        </w:tc>
        <w:tc>
          <w:tcPr>
            <w:tcW w:w="1491" w:type="dxa"/>
            <w:tcBorders>
              <w:top w:val="nil"/>
              <w:left w:val="nil"/>
              <w:bottom w:val="nil"/>
              <w:right w:val="nil"/>
            </w:tcBorders>
            <w:shd w:val="clear" w:color="auto" w:fill="auto"/>
            <w:noWrap/>
            <w:vAlign w:val="center"/>
            <w:hideMark/>
          </w:tcPr>
          <w:p w14:paraId="7AC8AA98" w14:textId="1CF5597B" w:rsidR="006B42BA" w:rsidRPr="001812BE" w:rsidRDefault="006B42BA" w:rsidP="0010666D">
            <w:pPr>
              <w:spacing w:after="0" w:line="240" w:lineRule="auto"/>
              <w:jc w:val="right"/>
              <w:rPr>
                <w:rFonts w:eastAsia="Times New Roman" w:cs="Times New Roman"/>
                <w:color w:val="000000"/>
              </w:rPr>
            </w:pPr>
            <w:r>
              <w:rPr>
                <w:color w:val="000000"/>
              </w:rPr>
              <w:t>1</w:t>
            </w:r>
            <w:r w:rsidR="00FE5367">
              <w:rPr>
                <w:color w:val="000000"/>
              </w:rPr>
              <w:t>9</w:t>
            </w:r>
          </w:p>
        </w:tc>
        <w:tc>
          <w:tcPr>
            <w:tcW w:w="1491" w:type="dxa"/>
            <w:tcBorders>
              <w:top w:val="nil"/>
              <w:left w:val="nil"/>
              <w:bottom w:val="nil"/>
              <w:right w:val="double" w:sz="6" w:space="0" w:color="auto"/>
            </w:tcBorders>
            <w:shd w:val="clear" w:color="auto" w:fill="auto"/>
            <w:noWrap/>
            <w:vAlign w:val="center"/>
            <w:hideMark/>
          </w:tcPr>
          <w:p w14:paraId="7F457A48" w14:textId="0B76754A" w:rsidR="006B42BA" w:rsidRPr="001812BE" w:rsidRDefault="006B42BA" w:rsidP="009E0FF1">
            <w:pPr>
              <w:spacing w:after="0" w:line="240" w:lineRule="auto"/>
              <w:jc w:val="right"/>
              <w:rPr>
                <w:rFonts w:eastAsia="Times New Roman" w:cs="Times New Roman"/>
                <w:color w:val="000000"/>
              </w:rPr>
            </w:pPr>
            <w:r>
              <w:rPr>
                <w:color w:val="000000"/>
              </w:rPr>
              <w:t>15</w:t>
            </w:r>
          </w:p>
        </w:tc>
      </w:tr>
      <w:tr w:rsidR="006B42BA" w:rsidRPr="00B664E8" w14:paraId="4B2957EF" w14:textId="77777777" w:rsidTr="00873B6F">
        <w:trPr>
          <w:trHeight w:val="243"/>
        </w:trPr>
        <w:tc>
          <w:tcPr>
            <w:tcW w:w="3307" w:type="dxa"/>
            <w:tcBorders>
              <w:top w:val="nil"/>
              <w:left w:val="double" w:sz="6" w:space="0" w:color="auto"/>
              <w:bottom w:val="nil"/>
              <w:right w:val="nil"/>
            </w:tcBorders>
            <w:shd w:val="clear" w:color="auto" w:fill="auto"/>
            <w:vAlign w:val="bottom"/>
            <w:hideMark/>
          </w:tcPr>
          <w:p w14:paraId="39E980B4" w14:textId="77777777" w:rsidR="006B42BA" w:rsidRPr="00B664E8" w:rsidRDefault="006B42BA" w:rsidP="006B42BA">
            <w:pPr>
              <w:spacing w:after="0" w:line="240" w:lineRule="auto"/>
              <w:jc w:val="left"/>
              <w:rPr>
                <w:rFonts w:eastAsia="Times New Roman" w:cs="Times New Roman"/>
                <w:color w:val="000000"/>
              </w:rPr>
            </w:pPr>
            <w:r w:rsidRPr="00B664E8">
              <w:rPr>
                <w:rFonts w:eastAsia="Times New Roman" w:cs="Times New Roman"/>
                <w:color w:val="000000"/>
              </w:rPr>
              <w:t>Log-likelihood at convergence</w:t>
            </w:r>
          </w:p>
        </w:tc>
        <w:tc>
          <w:tcPr>
            <w:tcW w:w="1490" w:type="dxa"/>
            <w:tcBorders>
              <w:top w:val="nil"/>
              <w:left w:val="nil"/>
              <w:bottom w:val="nil"/>
              <w:right w:val="nil"/>
            </w:tcBorders>
            <w:shd w:val="clear" w:color="auto" w:fill="auto"/>
            <w:noWrap/>
            <w:vAlign w:val="center"/>
            <w:hideMark/>
          </w:tcPr>
          <w:p w14:paraId="4DFB4B83" w14:textId="5A7E54CC" w:rsidR="006B42BA" w:rsidRPr="001812BE" w:rsidRDefault="006B42BA" w:rsidP="00323017">
            <w:pPr>
              <w:spacing w:after="0" w:line="240" w:lineRule="auto"/>
              <w:jc w:val="right"/>
              <w:rPr>
                <w:rFonts w:eastAsia="Times New Roman" w:cs="Times New Roman"/>
                <w:color w:val="000000"/>
              </w:rPr>
            </w:pPr>
            <w:r>
              <w:rPr>
                <w:color w:val="000000"/>
              </w:rPr>
              <w:t>-67575.69</w:t>
            </w:r>
          </w:p>
        </w:tc>
        <w:tc>
          <w:tcPr>
            <w:tcW w:w="1491" w:type="dxa"/>
            <w:tcBorders>
              <w:top w:val="nil"/>
              <w:left w:val="nil"/>
              <w:bottom w:val="nil"/>
              <w:right w:val="nil"/>
            </w:tcBorders>
            <w:shd w:val="clear" w:color="auto" w:fill="auto"/>
            <w:noWrap/>
            <w:vAlign w:val="center"/>
            <w:hideMark/>
          </w:tcPr>
          <w:p w14:paraId="3C8CBD6D" w14:textId="3B8809CD" w:rsidR="006B42BA" w:rsidRPr="001812BE" w:rsidRDefault="006B42BA" w:rsidP="000770D9">
            <w:pPr>
              <w:spacing w:after="0" w:line="240" w:lineRule="auto"/>
              <w:jc w:val="right"/>
              <w:rPr>
                <w:rFonts w:eastAsia="Times New Roman" w:cs="Times New Roman"/>
                <w:color w:val="000000"/>
              </w:rPr>
            </w:pPr>
            <w:r>
              <w:rPr>
                <w:color w:val="000000"/>
              </w:rPr>
              <w:t>-156952.16</w:t>
            </w:r>
          </w:p>
        </w:tc>
        <w:tc>
          <w:tcPr>
            <w:tcW w:w="1491" w:type="dxa"/>
            <w:tcBorders>
              <w:top w:val="nil"/>
              <w:left w:val="nil"/>
              <w:bottom w:val="nil"/>
              <w:right w:val="nil"/>
            </w:tcBorders>
            <w:shd w:val="clear" w:color="auto" w:fill="auto"/>
            <w:noWrap/>
            <w:vAlign w:val="center"/>
            <w:hideMark/>
          </w:tcPr>
          <w:p w14:paraId="7E4BDA75" w14:textId="6CECC254" w:rsidR="006B42BA" w:rsidRPr="001812BE" w:rsidRDefault="006B42BA" w:rsidP="00A31847">
            <w:pPr>
              <w:spacing w:after="0" w:line="240" w:lineRule="auto"/>
              <w:jc w:val="right"/>
              <w:rPr>
                <w:rFonts w:eastAsia="Times New Roman" w:cs="Times New Roman"/>
                <w:color w:val="000000"/>
              </w:rPr>
            </w:pPr>
            <w:r>
              <w:rPr>
                <w:color w:val="000000"/>
              </w:rPr>
              <w:t>-112213.67</w:t>
            </w:r>
          </w:p>
        </w:tc>
        <w:tc>
          <w:tcPr>
            <w:tcW w:w="1491" w:type="dxa"/>
            <w:tcBorders>
              <w:top w:val="nil"/>
              <w:left w:val="nil"/>
              <w:bottom w:val="nil"/>
              <w:right w:val="double" w:sz="6" w:space="0" w:color="auto"/>
            </w:tcBorders>
            <w:shd w:val="clear" w:color="auto" w:fill="auto"/>
            <w:noWrap/>
            <w:vAlign w:val="center"/>
            <w:hideMark/>
          </w:tcPr>
          <w:p w14:paraId="3F08AEDE" w14:textId="51E80DF2" w:rsidR="006B42BA" w:rsidRPr="001812BE" w:rsidRDefault="006B42BA" w:rsidP="009E0FF1">
            <w:pPr>
              <w:spacing w:after="0" w:line="240" w:lineRule="auto"/>
              <w:jc w:val="right"/>
              <w:rPr>
                <w:rFonts w:eastAsia="Times New Roman" w:cs="Times New Roman"/>
                <w:color w:val="000000"/>
              </w:rPr>
            </w:pPr>
            <w:r>
              <w:rPr>
                <w:color w:val="000000"/>
              </w:rPr>
              <w:t>-241202.17</w:t>
            </w:r>
          </w:p>
        </w:tc>
      </w:tr>
      <w:tr w:rsidR="006B42BA" w:rsidRPr="00B664E8" w14:paraId="362D5F8F" w14:textId="77777777" w:rsidTr="00873B6F">
        <w:trPr>
          <w:trHeight w:val="243"/>
        </w:trPr>
        <w:tc>
          <w:tcPr>
            <w:tcW w:w="3307" w:type="dxa"/>
            <w:tcBorders>
              <w:top w:val="nil"/>
              <w:left w:val="double" w:sz="6" w:space="0" w:color="auto"/>
              <w:bottom w:val="nil"/>
              <w:right w:val="nil"/>
            </w:tcBorders>
            <w:shd w:val="clear" w:color="auto" w:fill="auto"/>
            <w:vAlign w:val="bottom"/>
            <w:hideMark/>
          </w:tcPr>
          <w:p w14:paraId="0C1F4B23" w14:textId="77777777" w:rsidR="006B42BA" w:rsidRPr="00B664E8" w:rsidRDefault="006B42BA" w:rsidP="006B42BA">
            <w:pPr>
              <w:spacing w:after="0" w:line="240" w:lineRule="auto"/>
              <w:jc w:val="left"/>
              <w:rPr>
                <w:rFonts w:eastAsia="Times New Roman" w:cs="Times New Roman"/>
                <w:color w:val="000000"/>
              </w:rPr>
            </w:pPr>
            <w:r w:rsidRPr="00B664E8">
              <w:rPr>
                <w:rFonts w:eastAsia="Times New Roman" w:cs="Times New Roman"/>
                <w:color w:val="000000"/>
              </w:rPr>
              <w:t>ADLRI</w:t>
            </w:r>
          </w:p>
        </w:tc>
        <w:tc>
          <w:tcPr>
            <w:tcW w:w="1490" w:type="dxa"/>
            <w:tcBorders>
              <w:top w:val="nil"/>
              <w:left w:val="nil"/>
              <w:bottom w:val="nil"/>
              <w:right w:val="nil"/>
            </w:tcBorders>
            <w:shd w:val="clear" w:color="auto" w:fill="auto"/>
            <w:noWrap/>
            <w:vAlign w:val="center"/>
            <w:hideMark/>
          </w:tcPr>
          <w:p w14:paraId="279232FE" w14:textId="4E6BD973" w:rsidR="006B42BA" w:rsidRPr="001812BE" w:rsidRDefault="006B42BA" w:rsidP="00323017">
            <w:pPr>
              <w:spacing w:after="0" w:line="240" w:lineRule="auto"/>
              <w:jc w:val="right"/>
              <w:rPr>
                <w:rFonts w:eastAsia="Times New Roman" w:cs="Times New Roman"/>
                <w:color w:val="000000"/>
              </w:rPr>
            </w:pPr>
            <w:r>
              <w:rPr>
                <w:color w:val="000000"/>
              </w:rPr>
              <w:t>0.3590</w:t>
            </w:r>
          </w:p>
        </w:tc>
        <w:tc>
          <w:tcPr>
            <w:tcW w:w="1491" w:type="dxa"/>
            <w:tcBorders>
              <w:top w:val="nil"/>
              <w:left w:val="nil"/>
              <w:bottom w:val="nil"/>
              <w:right w:val="nil"/>
            </w:tcBorders>
            <w:shd w:val="clear" w:color="auto" w:fill="auto"/>
            <w:noWrap/>
            <w:vAlign w:val="center"/>
            <w:hideMark/>
          </w:tcPr>
          <w:p w14:paraId="2EBAF35F" w14:textId="1A81F722" w:rsidR="006B42BA" w:rsidRPr="001812BE" w:rsidRDefault="006B42BA" w:rsidP="000770D9">
            <w:pPr>
              <w:spacing w:after="0" w:line="240" w:lineRule="auto"/>
              <w:jc w:val="right"/>
              <w:rPr>
                <w:rFonts w:eastAsia="Times New Roman" w:cs="Times New Roman"/>
                <w:color w:val="000000"/>
              </w:rPr>
            </w:pPr>
            <w:r>
              <w:rPr>
                <w:color w:val="000000"/>
              </w:rPr>
              <w:t>0.3666</w:t>
            </w:r>
          </w:p>
        </w:tc>
        <w:tc>
          <w:tcPr>
            <w:tcW w:w="1491" w:type="dxa"/>
            <w:tcBorders>
              <w:top w:val="nil"/>
              <w:left w:val="nil"/>
              <w:bottom w:val="nil"/>
              <w:right w:val="nil"/>
            </w:tcBorders>
            <w:shd w:val="clear" w:color="auto" w:fill="auto"/>
            <w:noWrap/>
            <w:vAlign w:val="center"/>
            <w:hideMark/>
          </w:tcPr>
          <w:p w14:paraId="551746B9" w14:textId="06F28B7A" w:rsidR="006B42BA" w:rsidRPr="001812BE" w:rsidRDefault="006B42BA" w:rsidP="00A31847">
            <w:pPr>
              <w:spacing w:after="0" w:line="240" w:lineRule="auto"/>
              <w:jc w:val="right"/>
              <w:rPr>
                <w:rFonts w:eastAsia="Times New Roman" w:cs="Times New Roman"/>
                <w:color w:val="000000"/>
              </w:rPr>
            </w:pPr>
            <w:r>
              <w:rPr>
                <w:color w:val="000000"/>
              </w:rPr>
              <w:t>0.4432</w:t>
            </w:r>
          </w:p>
        </w:tc>
        <w:tc>
          <w:tcPr>
            <w:tcW w:w="1491" w:type="dxa"/>
            <w:tcBorders>
              <w:top w:val="nil"/>
              <w:left w:val="nil"/>
              <w:bottom w:val="nil"/>
              <w:right w:val="double" w:sz="6" w:space="0" w:color="auto"/>
            </w:tcBorders>
            <w:shd w:val="clear" w:color="auto" w:fill="auto"/>
            <w:noWrap/>
            <w:vAlign w:val="center"/>
            <w:hideMark/>
          </w:tcPr>
          <w:p w14:paraId="7900FE6C" w14:textId="21DD7CAC" w:rsidR="006B42BA" w:rsidRPr="001812BE" w:rsidRDefault="006B42BA" w:rsidP="009E0FF1">
            <w:pPr>
              <w:spacing w:after="0" w:line="240" w:lineRule="auto"/>
              <w:jc w:val="right"/>
              <w:rPr>
                <w:rFonts w:eastAsia="Times New Roman" w:cs="Times New Roman"/>
                <w:color w:val="000000"/>
              </w:rPr>
            </w:pPr>
            <w:r>
              <w:rPr>
                <w:color w:val="000000"/>
              </w:rPr>
              <w:t>0.4455</w:t>
            </w:r>
          </w:p>
        </w:tc>
      </w:tr>
      <w:tr w:rsidR="006B42BA" w:rsidRPr="00B664E8" w14:paraId="7BDFFFE0" w14:textId="77777777" w:rsidTr="00873B6F">
        <w:trPr>
          <w:trHeight w:val="243"/>
        </w:trPr>
        <w:tc>
          <w:tcPr>
            <w:tcW w:w="3307" w:type="dxa"/>
            <w:tcBorders>
              <w:top w:val="nil"/>
              <w:left w:val="double" w:sz="6" w:space="0" w:color="auto"/>
              <w:bottom w:val="nil"/>
              <w:right w:val="nil"/>
            </w:tcBorders>
            <w:shd w:val="clear" w:color="auto" w:fill="auto"/>
            <w:vAlign w:val="bottom"/>
            <w:hideMark/>
          </w:tcPr>
          <w:p w14:paraId="05B7C134" w14:textId="77777777" w:rsidR="006B42BA" w:rsidRPr="00B664E8" w:rsidRDefault="006B42BA" w:rsidP="006B42BA">
            <w:pPr>
              <w:spacing w:after="0" w:line="240" w:lineRule="auto"/>
              <w:jc w:val="left"/>
              <w:rPr>
                <w:rFonts w:eastAsia="Times New Roman" w:cs="Times New Roman"/>
                <w:color w:val="000000"/>
              </w:rPr>
            </w:pPr>
            <w:r w:rsidRPr="00B664E8">
              <w:rPr>
                <w:rFonts w:eastAsia="Times New Roman" w:cs="Times New Roman"/>
                <w:color w:val="000000"/>
              </w:rPr>
              <w:t>Probability of correct prediction</w:t>
            </w:r>
          </w:p>
        </w:tc>
        <w:tc>
          <w:tcPr>
            <w:tcW w:w="1490" w:type="dxa"/>
            <w:tcBorders>
              <w:top w:val="nil"/>
              <w:left w:val="nil"/>
              <w:bottom w:val="nil"/>
              <w:right w:val="nil"/>
            </w:tcBorders>
            <w:shd w:val="clear" w:color="auto" w:fill="auto"/>
            <w:noWrap/>
            <w:vAlign w:val="center"/>
            <w:hideMark/>
          </w:tcPr>
          <w:p w14:paraId="757B899B" w14:textId="4904928C" w:rsidR="006B42BA" w:rsidRPr="001812BE" w:rsidRDefault="006B42BA" w:rsidP="00323017">
            <w:pPr>
              <w:spacing w:after="0" w:line="240" w:lineRule="auto"/>
              <w:jc w:val="right"/>
              <w:rPr>
                <w:rFonts w:eastAsia="Times New Roman" w:cs="Times New Roman"/>
                <w:color w:val="000000"/>
              </w:rPr>
            </w:pPr>
            <w:r>
              <w:rPr>
                <w:color w:val="000000"/>
              </w:rPr>
              <w:t>0.0110</w:t>
            </w:r>
          </w:p>
        </w:tc>
        <w:tc>
          <w:tcPr>
            <w:tcW w:w="1491" w:type="dxa"/>
            <w:tcBorders>
              <w:top w:val="nil"/>
              <w:left w:val="nil"/>
              <w:bottom w:val="nil"/>
              <w:right w:val="nil"/>
            </w:tcBorders>
            <w:shd w:val="clear" w:color="auto" w:fill="auto"/>
            <w:noWrap/>
            <w:vAlign w:val="center"/>
            <w:hideMark/>
          </w:tcPr>
          <w:p w14:paraId="1F5AF579" w14:textId="4F76EA50" w:rsidR="006B42BA" w:rsidRPr="001812BE" w:rsidRDefault="006B42BA" w:rsidP="000770D9">
            <w:pPr>
              <w:spacing w:after="0" w:line="240" w:lineRule="auto"/>
              <w:jc w:val="right"/>
              <w:rPr>
                <w:rFonts w:eastAsia="Times New Roman" w:cs="Times New Roman"/>
                <w:color w:val="000000"/>
              </w:rPr>
            </w:pPr>
            <w:r>
              <w:rPr>
                <w:color w:val="000000"/>
              </w:rPr>
              <w:t>0.0195</w:t>
            </w:r>
          </w:p>
        </w:tc>
        <w:tc>
          <w:tcPr>
            <w:tcW w:w="1491" w:type="dxa"/>
            <w:tcBorders>
              <w:top w:val="nil"/>
              <w:left w:val="nil"/>
              <w:bottom w:val="nil"/>
              <w:right w:val="nil"/>
            </w:tcBorders>
            <w:shd w:val="clear" w:color="auto" w:fill="auto"/>
            <w:noWrap/>
            <w:vAlign w:val="center"/>
            <w:hideMark/>
          </w:tcPr>
          <w:p w14:paraId="7F87E7AA" w14:textId="2007D6A8" w:rsidR="006B42BA" w:rsidRPr="001812BE" w:rsidRDefault="006B42BA" w:rsidP="00A31847">
            <w:pPr>
              <w:spacing w:after="0" w:line="240" w:lineRule="auto"/>
              <w:jc w:val="right"/>
              <w:rPr>
                <w:rFonts w:eastAsia="Times New Roman" w:cs="Times New Roman"/>
                <w:color w:val="000000"/>
              </w:rPr>
            </w:pPr>
            <w:r>
              <w:rPr>
                <w:color w:val="000000"/>
              </w:rPr>
              <w:t>0.0290</w:t>
            </w:r>
          </w:p>
        </w:tc>
        <w:tc>
          <w:tcPr>
            <w:tcW w:w="1491" w:type="dxa"/>
            <w:tcBorders>
              <w:top w:val="nil"/>
              <w:left w:val="nil"/>
              <w:bottom w:val="nil"/>
              <w:right w:val="double" w:sz="6" w:space="0" w:color="auto"/>
            </w:tcBorders>
            <w:shd w:val="clear" w:color="auto" w:fill="auto"/>
            <w:noWrap/>
            <w:vAlign w:val="center"/>
            <w:hideMark/>
          </w:tcPr>
          <w:p w14:paraId="1BCF5441" w14:textId="67C2AB78" w:rsidR="006B42BA" w:rsidRPr="001812BE" w:rsidRDefault="006B42BA" w:rsidP="009E0FF1">
            <w:pPr>
              <w:spacing w:after="0" w:line="240" w:lineRule="auto"/>
              <w:jc w:val="right"/>
              <w:rPr>
                <w:rFonts w:eastAsia="Times New Roman" w:cs="Times New Roman"/>
                <w:color w:val="000000"/>
              </w:rPr>
            </w:pPr>
            <w:r>
              <w:rPr>
                <w:color w:val="000000"/>
              </w:rPr>
              <w:t>0.0150</w:t>
            </w:r>
          </w:p>
        </w:tc>
      </w:tr>
      <w:tr w:rsidR="006B42BA" w:rsidRPr="00B664E8" w14:paraId="2DB56C79" w14:textId="77777777" w:rsidTr="00873B6F">
        <w:trPr>
          <w:trHeight w:val="243"/>
        </w:trPr>
        <w:tc>
          <w:tcPr>
            <w:tcW w:w="3307" w:type="dxa"/>
            <w:tcBorders>
              <w:top w:val="single" w:sz="4" w:space="0" w:color="auto"/>
              <w:left w:val="double" w:sz="6" w:space="0" w:color="auto"/>
              <w:bottom w:val="nil"/>
              <w:right w:val="nil"/>
            </w:tcBorders>
            <w:shd w:val="clear" w:color="auto" w:fill="auto"/>
            <w:vAlign w:val="bottom"/>
            <w:hideMark/>
          </w:tcPr>
          <w:p w14:paraId="5B683267" w14:textId="77777777" w:rsidR="006B42BA" w:rsidRPr="00B664E8" w:rsidRDefault="006B42BA" w:rsidP="006B42BA">
            <w:pPr>
              <w:spacing w:after="0" w:line="240" w:lineRule="auto"/>
              <w:jc w:val="left"/>
              <w:rPr>
                <w:rFonts w:eastAsia="Times New Roman" w:cs="Times New Roman"/>
                <w:color w:val="000000"/>
              </w:rPr>
            </w:pPr>
            <w:r w:rsidRPr="00B664E8">
              <w:rPr>
                <w:rFonts w:eastAsia="Times New Roman" w:cs="Times New Roman"/>
                <w:color w:val="000000"/>
              </w:rPr>
              <w:t>MNL</w:t>
            </w:r>
          </w:p>
        </w:tc>
        <w:tc>
          <w:tcPr>
            <w:tcW w:w="1490" w:type="dxa"/>
            <w:tcBorders>
              <w:top w:val="single" w:sz="4" w:space="0" w:color="auto"/>
              <w:left w:val="nil"/>
              <w:bottom w:val="nil"/>
              <w:right w:val="nil"/>
            </w:tcBorders>
            <w:shd w:val="clear" w:color="auto" w:fill="auto"/>
            <w:noWrap/>
            <w:vAlign w:val="center"/>
            <w:hideMark/>
          </w:tcPr>
          <w:p w14:paraId="47628756" w14:textId="3238FC87" w:rsidR="006B42BA" w:rsidRPr="001812BE" w:rsidRDefault="006B42BA" w:rsidP="00873B6F">
            <w:pPr>
              <w:spacing w:after="0" w:line="240" w:lineRule="auto"/>
              <w:jc w:val="right"/>
              <w:rPr>
                <w:rFonts w:eastAsia="Times New Roman" w:cs="Times New Roman"/>
                <w:color w:val="000000"/>
              </w:rPr>
            </w:pPr>
            <w:r>
              <w:rPr>
                <w:color w:val="000000"/>
              </w:rPr>
              <w:t> </w:t>
            </w:r>
          </w:p>
        </w:tc>
        <w:tc>
          <w:tcPr>
            <w:tcW w:w="1491" w:type="dxa"/>
            <w:tcBorders>
              <w:top w:val="single" w:sz="4" w:space="0" w:color="auto"/>
              <w:left w:val="nil"/>
              <w:bottom w:val="nil"/>
              <w:right w:val="nil"/>
            </w:tcBorders>
            <w:shd w:val="clear" w:color="auto" w:fill="auto"/>
            <w:noWrap/>
            <w:vAlign w:val="center"/>
            <w:hideMark/>
          </w:tcPr>
          <w:p w14:paraId="29EED9FE" w14:textId="4F3C8A07" w:rsidR="006B42BA" w:rsidRPr="001812BE" w:rsidRDefault="006B42BA" w:rsidP="00873B6F">
            <w:pPr>
              <w:spacing w:after="0" w:line="240" w:lineRule="auto"/>
              <w:jc w:val="right"/>
              <w:rPr>
                <w:rFonts w:eastAsia="Times New Roman" w:cs="Times New Roman"/>
                <w:color w:val="000000"/>
              </w:rPr>
            </w:pPr>
            <w:r>
              <w:rPr>
                <w:color w:val="000000"/>
              </w:rPr>
              <w:t> </w:t>
            </w:r>
          </w:p>
        </w:tc>
        <w:tc>
          <w:tcPr>
            <w:tcW w:w="1491" w:type="dxa"/>
            <w:tcBorders>
              <w:top w:val="single" w:sz="4" w:space="0" w:color="auto"/>
              <w:left w:val="nil"/>
              <w:bottom w:val="nil"/>
              <w:right w:val="nil"/>
            </w:tcBorders>
            <w:shd w:val="clear" w:color="auto" w:fill="auto"/>
            <w:noWrap/>
            <w:vAlign w:val="center"/>
            <w:hideMark/>
          </w:tcPr>
          <w:p w14:paraId="4B2DA064" w14:textId="60881737" w:rsidR="006B42BA" w:rsidRPr="001812BE" w:rsidRDefault="006B42BA" w:rsidP="00873B6F">
            <w:pPr>
              <w:spacing w:after="0" w:line="240" w:lineRule="auto"/>
              <w:jc w:val="right"/>
              <w:rPr>
                <w:rFonts w:eastAsia="Times New Roman" w:cs="Times New Roman"/>
                <w:color w:val="000000"/>
              </w:rPr>
            </w:pPr>
            <w:r>
              <w:rPr>
                <w:color w:val="000000"/>
              </w:rPr>
              <w:t> </w:t>
            </w:r>
          </w:p>
        </w:tc>
        <w:tc>
          <w:tcPr>
            <w:tcW w:w="1491" w:type="dxa"/>
            <w:tcBorders>
              <w:top w:val="single" w:sz="4" w:space="0" w:color="auto"/>
              <w:left w:val="nil"/>
              <w:bottom w:val="nil"/>
              <w:right w:val="double" w:sz="6" w:space="0" w:color="auto"/>
            </w:tcBorders>
            <w:shd w:val="clear" w:color="auto" w:fill="auto"/>
            <w:noWrap/>
            <w:vAlign w:val="center"/>
            <w:hideMark/>
          </w:tcPr>
          <w:p w14:paraId="306F023B" w14:textId="5FEF8FAA" w:rsidR="006B42BA" w:rsidRPr="001812BE" w:rsidRDefault="006B42BA" w:rsidP="00873B6F">
            <w:pPr>
              <w:spacing w:after="0" w:line="240" w:lineRule="auto"/>
              <w:jc w:val="right"/>
              <w:rPr>
                <w:rFonts w:eastAsia="Times New Roman" w:cs="Times New Roman"/>
                <w:color w:val="000000"/>
              </w:rPr>
            </w:pPr>
            <w:r>
              <w:rPr>
                <w:color w:val="000000"/>
              </w:rPr>
              <w:t> </w:t>
            </w:r>
          </w:p>
        </w:tc>
      </w:tr>
      <w:tr w:rsidR="006B42BA" w:rsidRPr="00B664E8" w14:paraId="3E5D64B4" w14:textId="77777777" w:rsidTr="00873B6F">
        <w:trPr>
          <w:trHeight w:val="243"/>
        </w:trPr>
        <w:tc>
          <w:tcPr>
            <w:tcW w:w="3307" w:type="dxa"/>
            <w:tcBorders>
              <w:top w:val="nil"/>
              <w:left w:val="double" w:sz="6" w:space="0" w:color="auto"/>
              <w:bottom w:val="nil"/>
              <w:right w:val="nil"/>
            </w:tcBorders>
            <w:shd w:val="clear" w:color="auto" w:fill="auto"/>
            <w:vAlign w:val="bottom"/>
            <w:hideMark/>
          </w:tcPr>
          <w:p w14:paraId="240F2C09" w14:textId="77777777" w:rsidR="006B42BA" w:rsidRPr="00B664E8" w:rsidRDefault="006B42BA" w:rsidP="006B42BA">
            <w:pPr>
              <w:spacing w:after="0" w:line="240" w:lineRule="auto"/>
              <w:jc w:val="left"/>
              <w:rPr>
                <w:rFonts w:eastAsia="Times New Roman" w:cs="Times New Roman"/>
                <w:color w:val="000000"/>
              </w:rPr>
            </w:pPr>
            <w:r w:rsidRPr="00B664E8">
              <w:rPr>
                <w:rFonts w:eastAsia="Times New Roman" w:cs="Times New Roman"/>
                <w:color w:val="000000"/>
              </w:rPr>
              <w:t>Number of parameters</w:t>
            </w:r>
          </w:p>
        </w:tc>
        <w:tc>
          <w:tcPr>
            <w:tcW w:w="1490" w:type="dxa"/>
            <w:tcBorders>
              <w:top w:val="nil"/>
              <w:left w:val="nil"/>
              <w:bottom w:val="nil"/>
              <w:right w:val="nil"/>
            </w:tcBorders>
            <w:shd w:val="clear" w:color="auto" w:fill="auto"/>
            <w:noWrap/>
            <w:vAlign w:val="center"/>
            <w:hideMark/>
          </w:tcPr>
          <w:p w14:paraId="75191315" w14:textId="0467622D" w:rsidR="006B42BA" w:rsidRPr="001812BE" w:rsidRDefault="006B42BA" w:rsidP="00323017">
            <w:pPr>
              <w:spacing w:after="0" w:line="240" w:lineRule="auto"/>
              <w:jc w:val="right"/>
              <w:rPr>
                <w:rFonts w:eastAsia="Times New Roman" w:cs="Times New Roman"/>
                <w:color w:val="000000"/>
              </w:rPr>
            </w:pPr>
            <w:r>
              <w:rPr>
                <w:color w:val="000000"/>
              </w:rPr>
              <w:t>12</w:t>
            </w:r>
          </w:p>
        </w:tc>
        <w:tc>
          <w:tcPr>
            <w:tcW w:w="1491" w:type="dxa"/>
            <w:tcBorders>
              <w:top w:val="nil"/>
              <w:left w:val="nil"/>
              <w:bottom w:val="nil"/>
              <w:right w:val="nil"/>
            </w:tcBorders>
            <w:shd w:val="clear" w:color="auto" w:fill="auto"/>
            <w:noWrap/>
            <w:vAlign w:val="center"/>
            <w:hideMark/>
          </w:tcPr>
          <w:p w14:paraId="5DFE0736" w14:textId="0D2DFDAA" w:rsidR="006B42BA" w:rsidRPr="001812BE" w:rsidRDefault="006B42BA" w:rsidP="000770D9">
            <w:pPr>
              <w:spacing w:after="0" w:line="240" w:lineRule="auto"/>
              <w:jc w:val="right"/>
              <w:rPr>
                <w:rFonts w:eastAsia="Times New Roman" w:cs="Times New Roman"/>
                <w:color w:val="000000"/>
              </w:rPr>
            </w:pPr>
            <w:r>
              <w:rPr>
                <w:color w:val="000000"/>
              </w:rPr>
              <w:t>13</w:t>
            </w:r>
          </w:p>
        </w:tc>
        <w:tc>
          <w:tcPr>
            <w:tcW w:w="1491" w:type="dxa"/>
            <w:tcBorders>
              <w:top w:val="nil"/>
              <w:left w:val="nil"/>
              <w:bottom w:val="nil"/>
              <w:right w:val="nil"/>
            </w:tcBorders>
            <w:shd w:val="clear" w:color="auto" w:fill="auto"/>
            <w:noWrap/>
            <w:vAlign w:val="center"/>
            <w:hideMark/>
          </w:tcPr>
          <w:p w14:paraId="756782BF" w14:textId="386927C4" w:rsidR="006B42BA" w:rsidRPr="001812BE" w:rsidRDefault="006B42BA" w:rsidP="0010666D">
            <w:pPr>
              <w:spacing w:after="0" w:line="240" w:lineRule="auto"/>
              <w:jc w:val="right"/>
              <w:rPr>
                <w:rFonts w:eastAsia="Times New Roman" w:cs="Times New Roman"/>
                <w:color w:val="000000"/>
              </w:rPr>
            </w:pPr>
            <w:r>
              <w:rPr>
                <w:color w:val="000000"/>
              </w:rPr>
              <w:t>1</w:t>
            </w:r>
            <w:r w:rsidR="00FE5367">
              <w:rPr>
                <w:color w:val="000000"/>
              </w:rPr>
              <w:t>3</w:t>
            </w:r>
          </w:p>
        </w:tc>
        <w:tc>
          <w:tcPr>
            <w:tcW w:w="1491" w:type="dxa"/>
            <w:tcBorders>
              <w:top w:val="nil"/>
              <w:left w:val="nil"/>
              <w:bottom w:val="nil"/>
              <w:right w:val="double" w:sz="6" w:space="0" w:color="auto"/>
            </w:tcBorders>
            <w:shd w:val="clear" w:color="auto" w:fill="auto"/>
            <w:noWrap/>
            <w:vAlign w:val="center"/>
            <w:hideMark/>
          </w:tcPr>
          <w:p w14:paraId="1F0FDB51" w14:textId="35276F35" w:rsidR="006B42BA" w:rsidRPr="001812BE" w:rsidRDefault="006B42BA" w:rsidP="009E0FF1">
            <w:pPr>
              <w:spacing w:after="0" w:line="240" w:lineRule="auto"/>
              <w:jc w:val="right"/>
              <w:rPr>
                <w:rFonts w:eastAsia="Times New Roman" w:cs="Times New Roman"/>
                <w:color w:val="000000"/>
              </w:rPr>
            </w:pPr>
            <w:r>
              <w:rPr>
                <w:color w:val="000000"/>
              </w:rPr>
              <w:t>12</w:t>
            </w:r>
          </w:p>
        </w:tc>
      </w:tr>
      <w:tr w:rsidR="006B42BA" w:rsidRPr="00B664E8" w14:paraId="7974A954" w14:textId="77777777" w:rsidTr="00873B6F">
        <w:trPr>
          <w:trHeight w:val="243"/>
        </w:trPr>
        <w:tc>
          <w:tcPr>
            <w:tcW w:w="3307" w:type="dxa"/>
            <w:tcBorders>
              <w:top w:val="nil"/>
              <w:left w:val="double" w:sz="6" w:space="0" w:color="auto"/>
              <w:bottom w:val="nil"/>
              <w:right w:val="nil"/>
            </w:tcBorders>
            <w:shd w:val="clear" w:color="auto" w:fill="auto"/>
            <w:vAlign w:val="bottom"/>
            <w:hideMark/>
          </w:tcPr>
          <w:p w14:paraId="1FED22A9" w14:textId="77777777" w:rsidR="006B42BA" w:rsidRPr="00B664E8" w:rsidRDefault="006B42BA" w:rsidP="006B42BA">
            <w:pPr>
              <w:spacing w:after="0" w:line="240" w:lineRule="auto"/>
              <w:jc w:val="left"/>
              <w:rPr>
                <w:rFonts w:eastAsia="Times New Roman" w:cs="Times New Roman"/>
                <w:color w:val="000000"/>
              </w:rPr>
            </w:pPr>
            <w:r w:rsidRPr="00B664E8">
              <w:rPr>
                <w:rFonts w:eastAsia="Times New Roman" w:cs="Times New Roman"/>
                <w:color w:val="000000"/>
              </w:rPr>
              <w:t>Log-likelihood at convergence</w:t>
            </w:r>
          </w:p>
        </w:tc>
        <w:tc>
          <w:tcPr>
            <w:tcW w:w="1490" w:type="dxa"/>
            <w:tcBorders>
              <w:top w:val="nil"/>
              <w:left w:val="nil"/>
              <w:bottom w:val="nil"/>
              <w:right w:val="nil"/>
            </w:tcBorders>
            <w:shd w:val="clear" w:color="auto" w:fill="auto"/>
            <w:noWrap/>
            <w:vAlign w:val="center"/>
            <w:hideMark/>
          </w:tcPr>
          <w:p w14:paraId="67577BFE" w14:textId="44E21866" w:rsidR="006B42BA" w:rsidRPr="001812BE" w:rsidRDefault="006B42BA" w:rsidP="00323017">
            <w:pPr>
              <w:spacing w:after="0" w:line="240" w:lineRule="auto"/>
              <w:jc w:val="right"/>
              <w:rPr>
                <w:rFonts w:eastAsia="Times New Roman" w:cs="Times New Roman"/>
                <w:color w:val="000000"/>
              </w:rPr>
            </w:pPr>
            <w:r>
              <w:rPr>
                <w:color w:val="000000"/>
              </w:rPr>
              <w:t>-70344.57</w:t>
            </w:r>
          </w:p>
        </w:tc>
        <w:tc>
          <w:tcPr>
            <w:tcW w:w="1491" w:type="dxa"/>
            <w:tcBorders>
              <w:top w:val="nil"/>
              <w:left w:val="nil"/>
              <w:bottom w:val="nil"/>
              <w:right w:val="nil"/>
            </w:tcBorders>
            <w:shd w:val="clear" w:color="auto" w:fill="auto"/>
            <w:noWrap/>
            <w:vAlign w:val="center"/>
            <w:hideMark/>
          </w:tcPr>
          <w:p w14:paraId="223CADDF" w14:textId="30CEDA38" w:rsidR="006B42BA" w:rsidRPr="001812BE" w:rsidRDefault="006B42BA" w:rsidP="000770D9">
            <w:pPr>
              <w:spacing w:after="0" w:line="240" w:lineRule="auto"/>
              <w:jc w:val="right"/>
              <w:rPr>
                <w:rFonts w:eastAsia="Times New Roman" w:cs="Times New Roman"/>
                <w:color w:val="000000"/>
              </w:rPr>
            </w:pPr>
            <w:r>
              <w:rPr>
                <w:color w:val="000000"/>
              </w:rPr>
              <w:t>-163140.72</w:t>
            </w:r>
          </w:p>
        </w:tc>
        <w:tc>
          <w:tcPr>
            <w:tcW w:w="1491" w:type="dxa"/>
            <w:tcBorders>
              <w:top w:val="nil"/>
              <w:left w:val="nil"/>
              <w:bottom w:val="nil"/>
              <w:right w:val="nil"/>
            </w:tcBorders>
            <w:shd w:val="clear" w:color="auto" w:fill="auto"/>
            <w:noWrap/>
            <w:vAlign w:val="center"/>
            <w:hideMark/>
          </w:tcPr>
          <w:p w14:paraId="0CE6FB63" w14:textId="0A967608" w:rsidR="006B42BA" w:rsidRPr="001812BE" w:rsidRDefault="006B42BA" w:rsidP="00A31847">
            <w:pPr>
              <w:spacing w:after="0" w:line="240" w:lineRule="auto"/>
              <w:jc w:val="right"/>
              <w:rPr>
                <w:rFonts w:eastAsia="Times New Roman" w:cs="Times New Roman"/>
                <w:color w:val="000000"/>
              </w:rPr>
            </w:pPr>
            <w:r>
              <w:rPr>
                <w:color w:val="000000"/>
              </w:rPr>
              <w:t>-117388.93</w:t>
            </w:r>
          </w:p>
        </w:tc>
        <w:tc>
          <w:tcPr>
            <w:tcW w:w="1491" w:type="dxa"/>
            <w:tcBorders>
              <w:top w:val="nil"/>
              <w:left w:val="nil"/>
              <w:bottom w:val="nil"/>
              <w:right w:val="double" w:sz="6" w:space="0" w:color="auto"/>
            </w:tcBorders>
            <w:shd w:val="clear" w:color="auto" w:fill="auto"/>
            <w:noWrap/>
            <w:vAlign w:val="center"/>
            <w:hideMark/>
          </w:tcPr>
          <w:p w14:paraId="1446C15C" w14:textId="493AC2A9" w:rsidR="006B42BA" w:rsidRPr="001812BE" w:rsidRDefault="006B42BA" w:rsidP="009E0FF1">
            <w:pPr>
              <w:spacing w:after="0" w:line="240" w:lineRule="auto"/>
              <w:jc w:val="right"/>
              <w:rPr>
                <w:rFonts w:eastAsia="Times New Roman" w:cs="Times New Roman"/>
                <w:color w:val="000000"/>
              </w:rPr>
            </w:pPr>
            <w:r>
              <w:rPr>
                <w:color w:val="000000"/>
              </w:rPr>
              <w:t>-254079.04</w:t>
            </w:r>
          </w:p>
        </w:tc>
      </w:tr>
      <w:tr w:rsidR="006B42BA" w:rsidRPr="00B664E8" w14:paraId="0C718F87" w14:textId="77777777" w:rsidTr="00873B6F">
        <w:trPr>
          <w:trHeight w:val="243"/>
        </w:trPr>
        <w:tc>
          <w:tcPr>
            <w:tcW w:w="3307" w:type="dxa"/>
            <w:tcBorders>
              <w:top w:val="nil"/>
              <w:left w:val="double" w:sz="6" w:space="0" w:color="auto"/>
              <w:bottom w:val="nil"/>
              <w:right w:val="nil"/>
            </w:tcBorders>
            <w:shd w:val="clear" w:color="auto" w:fill="auto"/>
            <w:vAlign w:val="bottom"/>
            <w:hideMark/>
          </w:tcPr>
          <w:p w14:paraId="0B910397" w14:textId="77777777" w:rsidR="006B42BA" w:rsidRPr="00B664E8" w:rsidRDefault="006B42BA" w:rsidP="006B42BA">
            <w:pPr>
              <w:spacing w:after="0" w:line="240" w:lineRule="auto"/>
              <w:jc w:val="left"/>
              <w:rPr>
                <w:rFonts w:eastAsia="Times New Roman" w:cs="Times New Roman"/>
                <w:color w:val="000000"/>
              </w:rPr>
            </w:pPr>
            <w:r w:rsidRPr="00B664E8">
              <w:rPr>
                <w:rFonts w:eastAsia="Times New Roman" w:cs="Times New Roman"/>
                <w:color w:val="000000"/>
              </w:rPr>
              <w:t>ADLRI</w:t>
            </w:r>
          </w:p>
        </w:tc>
        <w:tc>
          <w:tcPr>
            <w:tcW w:w="1490" w:type="dxa"/>
            <w:tcBorders>
              <w:top w:val="nil"/>
              <w:left w:val="nil"/>
              <w:bottom w:val="nil"/>
              <w:right w:val="nil"/>
            </w:tcBorders>
            <w:shd w:val="clear" w:color="auto" w:fill="auto"/>
            <w:noWrap/>
            <w:vAlign w:val="center"/>
            <w:hideMark/>
          </w:tcPr>
          <w:p w14:paraId="554365EF" w14:textId="6E4A983F" w:rsidR="006B42BA" w:rsidRPr="001812BE" w:rsidRDefault="006B42BA" w:rsidP="00323017">
            <w:pPr>
              <w:spacing w:after="0" w:line="240" w:lineRule="auto"/>
              <w:jc w:val="right"/>
              <w:rPr>
                <w:rFonts w:eastAsia="Times New Roman" w:cs="Times New Roman"/>
                <w:color w:val="000000"/>
              </w:rPr>
            </w:pPr>
            <w:r>
              <w:rPr>
                <w:color w:val="000000"/>
              </w:rPr>
              <w:t>0.3328</w:t>
            </w:r>
          </w:p>
        </w:tc>
        <w:tc>
          <w:tcPr>
            <w:tcW w:w="1491" w:type="dxa"/>
            <w:tcBorders>
              <w:top w:val="nil"/>
              <w:left w:val="nil"/>
              <w:bottom w:val="nil"/>
              <w:right w:val="nil"/>
            </w:tcBorders>
            <w:shd w:val="clear" w:color="auto" w:fill="auto"/>
            <w:noWrap/>
            <w:vAlign w:val="center"/>
            <w:hideMark/>
          </w:tcPr>
          <w:p w14:paraId="15AA76DD" w14:textId="3EBF9456" w:rsidR="006B42BA" w:rsidRPr="001812BE" w:rsidRDefault="006B42BA" w:rsidP="000770D9">
            <w:pPr>
              <w:spacing w:after="0" w:line="240" w:lineRule="auto"/>
              <w:jc w:val="right"/>
              <w:rPr>
                <w:rFonts w:eastAsia="Times New Roman" w:cs="Times New Roman"/>
                <w:color w:val="000000"/>
              </w:rPr>
            </w:pPr>
            <w:r>
              <w:rPr>
                <w:color w:val="000000"/>
              </w:rPr>
              <w:t>0.3416</w:t>
            </w:r>
          </w:p>
        </w:tc>
        <w:tc>
          <w:tcPr>
            <w:tcW w:w="1491" w:type="dxa"/>
            <w:tcBorders>
              <w:top w:val="nil"/>
              <w:left w:val="nil"/>
              <w:bottom w:val="nil"/>
              <w:right w:val="nil"/>
            </w:tcBorders>
            <w:shd w:val="clear" w:color="auto" w:fill="auto"/>
            <w:noWrap/>
            <w:vAlign w:val="center"/>
            <w:hideMark/>
          </w:tcPr>
          <w:p w14:paraId="479ECB7C" w14:textId="56AA6D00" w:rsidR="006B42BA" w:rsidRPr="001812BE" w:rsidRDefault="006B42BA" w:rsidP="00A31847">
            <w:pPr>
              <w:spacing w:after="0" w:line="240" w:lineRule="auto"/>
              <w:jc w:val="right"/>
              <w:rPr>
                <w:rFonts w:eastAsia="Times New Roman" w:cs="Times New Roman"/>
                <w:color w:val="000000"/>
              </w:rPr>
            </w:pPr>
            <w:r>
              <w:rPr>
                <w:color w:val="000000"/>
              </w:rPr>
              <w:t>0.4175</w:t>
            </w:r>
          </w:p>
        </w:tc>
        <w:tc>
          <w:tcPr>
            <w:tcW w:w="1491" w:type="dxa"/>
            <w:tcBorders>
              <w:top w:val="nil"/>
              <w:left w:val="nil"/>
              <w:bottom w:val="nil"/>
              <w:right w:val="double" w:sz="6" w:space="0" w:color="auto"/>
            </w:tcBorders>
            <w:shd w:val="clear" w:color="auto" w:fill="auto"/>
            <w:noWrap/>
            <w:vAlign w:val="center"/>
            <w:hideMark/>
          </w:tcPr>
          <w:p w14:paraId="31F12DAA" w14:textId="632476F5" w:rsidR="006B42BA" w:rsidRPr="001812BE" w:rsidRDefault="006B42BA" w:rsidP="009E0FF1">
            <w:pPr>
              <w:spacing w:after="0" w:line="240" w:lineRule="auto"/>
              <w:jc w:val="right"/>
              <w:rPr>
                <w:rFonts w:eastAsia="Times New Roman" w:cs="Times New Roman"/>
                <w:color w:val="000000"/>
              </w:rPr>
            </w:pPr>
            <w:r>
              <w:rPr>
                <w:color w:val="000000"/>
              </w:rPr>
              <w:t>0.4159</w:t>
            </w:r>
          </w:p>
        </w:tc>
      </w:tr>
      <w:tr w:rsidR="006B42BA" w:rsidRPr="00B664E8" w14:paraId="4E7F4776" w14:textId="77777777" w:rsidTr="00873B6F">
        <w:trPr>
          <w:trHeight w:val="243"/>
        </w:trPr>
        <w:tc>
          <w:tcPr>
            <w:tcW w:w="3307" w:type="dxa"/>
            <w:tcBorders>
              <w:top w:val="nil"/>
              <w:left w:val="double" w:sz="6" w:space="0" w:color="auto"/>
              <w:bottom w:val="single" w:sz="4" w:space="0" w:color="auto"/>
              <w:right w:val="nil"/>
            </w:tcBorders>
            <w:shd w:val="clear" w:color="auto" w:fill="auto"/>
            <w:vAlign w:val="bottom"/>
            <w:hideMark/>
          </w:tcPr>
          <w:p w14:paraId="7B9BED6E" w14:textId="77777777" w:rsidR="006B42BA" w:rsidRPr="00B664E8" w:rsidRDefault="006B42BA" w:rsidP="006B42BA">
            <w:pPr>
              <w:spacing w:after="0" w:line="240" w:lineRule="auto"/>
              <w:jc w:val="left"/>
              <w:rPr>
                <w:rFonts w:eastAsia="Times New Roman" w:cs="Times New Roman"/>
                <w:color w:val="000000"/>
              </w:rPr>
            </w:pPr>
            <w:r w:rsidRPr="00B664E8">
              <w:rPr>
                <w:rFonts w:eastAsia="Times New Roman" w:cs="Times New Roman"/>
                <w:color w:val="000000"/>
              </w:rPr>
              <w:t>Probability of correct prediction</w:t>
            </w:r>
          </w:p>
        </w:tc>
        <w:tc>
          <w:tcPr>
            <w:tcW w:w="1490" w:type="dxa"/>
            <w:tcBorders>
              <w:top w:val="nil"/>
              <w:left w:val="nil"/>
              <w:bottom w:val="single" w:sz="4" w:space="0" w:color="auto"/>
              <w:right w:val="nil"/>
            </w:tcBorders>
            <w:shd w:val="clear" w:color="auto" w:fill="auto"/>
            <w:noWrap/>
            <w:vAlign w:val="center"/>
            <w:hideMark/>
          </w:tcPr>
          <w:p w14:paraId="27F0886D" w14:textId="08F48CAB" w:rsidR="006B42BA" w:rsidRPr="001812BE" w:rsidRDefault="006B42BA" w:rsidP="00323017">
            <w:pPr>
              <w:spacing w:after="0" w:line="240" w:lineRule="auto"/>
              <w:jc w:val="right"/>
              <w:rPr>
                <w:rFonts w:eastAsia="Times New Roman" w:cs="Times New Roman"/>
                <w:color w:val="000000"/>
              </w:rPr>
            </w:pPr>
            <w:r>
              <w:rPr>
                <w:color w:val="000000"/>
              </w:rPr>
              <w:t>0.0094</w:t>
            </w:r>
          </w:p>
        </w:tc>
        <w:tc>
          <w:tcPr>
            <w:tcW w:w="1491" w:type="dxa"/>
            <w:tcBorders>
              <w:top w:val="nil"/>
              <w:left w:val="nil"/>
              <w:bottom w:val="single" w:sz="4" w:space="0" w:color="auto"/>
              <w:right w:val="nil"/>
            </w:tcBorders>
            <w:shd w:val="clear" w:color="auto" w:fill="auto"/>
            <w:noWrap/>
            <w:vAlign w:val="center"/>
            <w:hideMark/>
          </w:tcPr>
          <w:p w14:paraId="51AE93FD" w14:textId="28C532AC" w:rsidR="006B42BA" w:rsidRPr="001812BE" w:rsidRDefault="006B42BA" w:rsidP="000770D9">
            <w:pPr>
              <w:spacing w:after="0" w:line="240" w:lineRule="auto"/>
              <w:jc w:val="right"/>
              <w:rPr>
                <w:rFonts w:eastAsia="Times New Roman" w:cs="Times New Roman"/>
                <w:color w:val="000000"/>
              </w:rPr>
            </w:pPr>
            <w:r>
              <w:rPr>
                <w:color w:val="000000"/>
              </w:rPr>
              <w:t>0.0178</w:t>
            </w:r>
          </w:p>
        </w:tc>
        <w:tc>
          <w:tcPr>
            <w:tcW w:w="1491" w:type="dxa"/>
            <w:tcBorders>
              <w:top w:val="nil"/>
              <w:left w:val="nil"/>
              <w:bottom w:val="single" w:sz="4" w:space="0" w:color="auto"/>
              <w:right w:val="nil"/>
            </w:tcBorders>
            <w:shd w:val="clear" w:color="auto" w:fill="auto"/>
            <w:noWrap/>
            <w:vAlign w:val="center"/>
            <w:hideMark/>
          </w:tcPr>
          <w:p w14:paraId="31703B4F" w14:textId="3035ACF4" w:rsidR="006B42BA" w:rsidRPr="001812BE" w:rsidRDefault="006B42BA" w:rsidP="00A31847">
            <w:pPr>
              <w:spacing w:after="0" w:line="240" w:lineRule="auto"/>
              <w:jc w:val="right"/>
              <w:rPr>
                <w:rFonts w:eastAsia="Times New Roman" w:cs="Times New Roman"/>
                <w:color w:val="000000"/>
              </w:rPr>
            </w:pPr>
            <w:r>
              <w:rPr>
                <w:color w:val="000000"/>
              </w:rPr>
              <w:t>0.0259</w:t>
            </w:r>
          </w:p>
        </w:tc>
        <w:tc>
          <w:tcPr>
            <w:tcW w:w="1491" w:type="dxa"/>
            <w:tcBorders>
              <w:top w:val="nil"/>
              <w:left w:val="nil"/>
              <w:bottom w:val="single" w:sz="4" w:space="0" w:color="auto"/>
              <w:right w:val="double" w:sz="6" w:space="0" w:color="auto"/>
            </w:tcBorders>
            <w:shd w:val="clear" w:color="auto" w:fill="auto"/>
            <w:noWrap/>
            <w:vAlign w:val="center"/>
            <w:hideMark/>
          </w:tcPr>
          <w:p w14:paraId="39A01CD7" w14:textId="1638D686" w:rsidR="006B42BA" w:rsidRPr="001812BE" w:rsidRDefault="006B42BA" w:rsidP="009E0FF1">
            <w:pPr>
              <w:spacing w:after="0" w:line="240" w:lineRule="auto"/>
              <w:jc w:val="right"/>
              <w:rPr>
                <w:rFonts w:eastAsia="Times New Roman" w:cs="Times New Roman"/>
                <w:color w:val="000000"/>
              </w:rPr>
            </w:pPr>
            <w:r>
              <w:rPr>
                <w:color w:val="000000"/>
              </w:rPr>
              <w:t>0.0127</w:t>
            </w:r>
          </w:p>
        </w:tc>
      </w:tr>
      <w:tr w:rsidR="006B42BA" w:rsidRPr="00B664E8" w14:paraId="4E9A087E" w14:textId="77777777" w:rsidTr="00873B6F">
        <w:trPr>
          <w:trHeight w:val="243"/>
        </w:trPr>
        <w:tc>
          <w:tcPr>
            <w:tcW w:w="3307" w:type="dxa"/>
            <w:tcBorders>
              <w:top w:val="nil"/>
              <w:left w:val="double" w:sz="6" w:space="0" w:color="auto"/>
              <w:bottom w:val="nil"/>
              <w:right w:val="nil"/>
            </w:tcBorders>
            <w:shd w:val="clear" w:color="auto" w:fill="auto"/>
            <w:vAlign w:val="bottom"/>
            <w:hideMark/>
          </w:tcPr>
          <w:p w14:paraId="03E54E2A" w14:textId="77777777" w:rsidR="006B42BA" w:rsidRPr="00B664E8" w:rsidRDefault="006B42BA" w:rsidP="006B42BA">
            <w:pPr>
              <w:spacing w:after="0" w:line="240" w:lineRule="auto"/>
              <w:jc w:val="left"/>
              <w:rPr>
                <w:rFonts w:eastAsia="Times New Roman" w:cs="Times New Roman"/>
                <w:color w:val="000000"/>
              </w:rPr>
            </w:pPr>
            <w:r w:rsidRPr="00B664E8">
              <w:rPr>
                <w:rFonts w:eastAsia="Times New Roman" w:cs="Times New Roman"/>
                <w:color w:val="000000"/>
              </w:rPr>
              <w:t>Likelihood ratio test statistic</w:t>
            </w:r>
          </w:p>
        </w:tc>
        <w:tc>
          <w:tcPr>
            <w:tcW w:w="1490" w:type="dxa"/>
            <w:tcBorders>
              <w:top w:val="nil"/>
              <w:left w:val="nil"/>
              <w:bottom w:val="nil"/>
              <w:right w:val="nil"/>
            </w:tcBorders>
            <w:shd w:val="clear" w:color="auto" w:fill="auto"/>
            <w:noWrap/>
            <w:vAlign w:val="center"/>
            <w:hideMark/>
          </w:tcPr>
          <w:p w14:paraId="0EF46200" w14:textId="1D8A89E7" w:rsidR="006B42BA" w:rsidRPr="001812BE" w:rsidRDefault="006B42BA" w:rsidP="00323017">
            <w:pPr>
              <w:spacing w:after="0" w:line="240" w:lineRule="auto"/>
              <w:jc w:val="right"/>
              <w:rPr>
                <w:rFonts w:eastAsia="Times New Roman" w:cs="Times New Roman"/>
                <w:color w:val="000000"/>
              </w:rPr>
            </w:pPr>
            <w:r>
              <w:rPr>
                <w:color w:val="000000"/>
              </w:rPr>
              <w:t>5537.76</w:t>
            </w:r>
          </w:p>
        </w:tc>
        <w:tc>
          <w:tcPr>
            <w:tcW w:w="1491" w:type="dxa"/>
            <w:tcBorders>
              <w:top w:val="nil"/>
              <w:left w:val="nil"/>
              <w:bottom w:val="nil"/>
              <w:right w:val="nil"/>
            </w:tcBorders>
            <w:shd w:val="clear" w:color="auto" w:fill="auto"/>
            <w:noWrap/>
            <w:vAlign w:val="center"/>
            <w:hideMark/>
          </w:tcPr>
          <w:p w14:paraId="50604B14" w14:textId="66D937BC" w:rsidR="006B42BA" w:rsidRPr="001812BE" w:rsidRDefault="006B42BA" w:rsidP="000770D9">
            <w:pPr>
              <w:spacing w:after="0" w:line="240" w:lineRule="auto"/>
              <w:jc w:val="right"/>
              <w:rPr>
                <w:rFonts w:eastAsia="Times New Roman" w:cs="Times New Roman"/>
                <w:color w:val="000000"/>
              </w:rPr>
            </w:pPr>
            <w:r>
              <w:rPr>
                <w:color w:val="000000"/>
              </w:rPr>
              <w:t>12377.12</w:t>
            </w:r>
          </w:p>
        </w:tc>
        <w:tc>
          <w:tcPr>
            <w:tcW w:w="1491" w:type="dxa"/>
            <w:tcBorders>
              <w:top w:val="nil"/>
              <w:left w:val="nil"/>
              <w:bottom w:val="nil"/>
              <w:right w:val="nil"/>
            </w:tcBorders>
            <w:shd w:val="clear" w:color="auto" w:fill="auto"/>
            <w:noWrap/>
            <w:vAlign w:val="center"/>
            <w:hideMark/>
          </w:tcPr>
          <w:p w14:paraId="192D1722" w14:textId="363C18D0" w:rsidR="006B42BA" w:rsidRPr="001812BE" w:rsidRDefault="006B42BA" w:rsidP="00A31847">
            <w:pPr>
              <w:spacing w:after="0" w:line="240" w:lineRule="auto"/>
              <w:jc w:val="right"/>
              <w:rPr>
                <w:rFonts w:eastAsia="Times New Roman" w:cs="Times New Roman"/>
                <w:color w:val="000000"/>
              </w:rPr>
            </w:pPr>
            <w:r>
              <w:rPr>
                <w:color w:val="000000"/>
              </w:rPr>
              <w:t>10350.53</w:t>
            </w:r>
          </w:p>
        </w:tc>
        <w:tc>
          <w:tcPr>
            <w:tcW w:w="1491" w:type="dxa"/>
            <w:tcBorders>
              <w:top w:val="nil"/>
              <w:left w:val="nil"/>
              <w:bottom w:val="nil"/>
              <w:right w:val="double" w:sz="6" w:space="0" w:color="auto"/>
            </w:tcBorders>
            <w:shd w:val="clear" w:color="auto" w:fill="auto"/>
            <w:noWrap/>
            <w:vAlign w:val="center"/>
            <w:hideMark/>
          </w:tcPr>
          <w:p w14:paraId="71DD3729" w14:textId="3A90C485" w:rsidR="006B42BA" w:rsidRPr="001812BE" w:rsidRDefault="006B42BA" w:rsidP="009E0FF1">
            <w:pPr>
              <w:spacing w:after="0" w:line="240" w:lineRule="auto"/>
              <w:jc w:val="right"/>
              <w:rPr>
                <w:rFonts w:eastAsia="Times New Roman" w:cs="Times New Roman"/>
                <w:color w:val="000000"/>
              </w:rPr>
            </w:pPr>
            <w:r>
              <w:rPr>
                <w:color w:val="000000"/>
              </w:rPr>
              <w:t>25822.81</w:t>
            </w:r>
          </w:p>
        </w:tc>
      </w:tr>
      <w:tr w:rsidR="008A05F5" w:rsidRPr="00B664E8" w14:paraId="39690A09" w14:textId="77777777" w:rsidTr="00873B6F">
        <w:trPr>
          <w:trHeight w:val="262"/>
        </w:trPr>
        <w:tc>
          <w:tcPr>
            <w:tcW w:w="3307" w:type="dxa"/>
            <w:tcBorders>
              <w:top w:val="nil"/>
              <w:left w:val="double" w:sz="6" w:space="0" w:color="auto"/>
              <w:bottom w:val="double" w:sz="6" w:space="0" w:color="auto"/>
              <w:right w:val="nil"/>
            </w:tcBorders>
            <w:shd w:val="clear" w:color="auto" w:fill="auto"/>
            <w:vAlign w:val="bottom"/>
            <w:hideMark/>
          </w:tcPr>
          <w:p w14:paraId="0644B97F" w14:textId="47535518" w:rsidR="00B664E8" w:rsidRPr="00B664E8" w:rsidRDefault="00B664E8" w:rsidP="00D565DB">
            <w:pPr>
              <w:spacing w:after="0" w:line="240" w:lineRule="auto"/>
              <w:jc w:val="left"/>
              <w:rPr>
                <w:rFonts w:eastAsia="Times New Roman" w:cs="Times New Roman"/>
                <w:color w:val="000000"/>
              </w:rPr>
            </w:pPr>
            <w:r w:rsidRPr="00B664E8">
              <w:rPr>
                <w:rFonts w:eastAsia="Times New Roman" w:cs="Times New Roman"/>
                <w:color w:val="000000"/>
              </w:rPr>
              <w:t>Chi-square</w:t>
            </w:r>
            <w:r w:rsidR="00C07542">
              <w:rPr>
                <w:rFonts w:eastAsia="Times New Roman" w:cs="Times New Roman"/>
                <w:color w:val="000000"/>
              </w:rPr>
              <w:t xml:space="preserve"> table</w:t>
            </w:r>
            <w:r w:rsidRPr="00B664E8">
              <w:rPr>
                <w:rFonts w:eastAsia="Times New Roman" w:cs="Times New Roman"/>
                <w:color w:val="000000"/>
              </w:rPr>
              <w:t xml:space="preserve"> value </w:t>
            </w:r>
            <w:r w:rsidR="00C07542">
              <w:rPr>
                <w:rFonts w:eastAsia="Times New Roman" w:cs="Times New Roman"/>
                <w:color w:val="000000"/>
              </w:rPr>
              <w:t>at the</w:t>
            </w:r>
            <w:r w:rsidRPr="00B664E8">
              <w:rPr>
                <w:rFonts w:eastAsia="Times New Roman" w:cs="Times New Roman"/>
                <w:color w:val="000000"/>
              </w:rPr>
              <w:t xml:space="preserve"> 0.0001 significance</w:t>
            </w:r>
            <w:r w:rsidR="00C07542">
              <w:rPr>
                <w:rFonts w:eastAsia="Times New Roman" w:cs="Times New Roman"/>
                <w:color w:val="000000"/>
              </w:rPr>
              <w:t xml:space="preserve"> level</w:t>
            </w:r>
          </w:p>
        </w:tc>
        <w:tc>
          <w:tcPr>
            <w:tcW w:w="1490" w:type="dxa"/>
            <w:tcBorders>
              <w:top w:val="nil"/>
              <w:left w:val="nil"/>
              <w:bottom w:val="double" w:sz="6" w:space="0" w:color="auto"/>
              <w:right w:val="nil"/>
            </w:tcBorders>
            <w:shd w:val="clear" w:color="auto" w:fill="auto"/>
            <w:noWrap/>
            <w:vAlign w:val="center"/>
            <w:hideMark/>
          </w:tcPr>
          <w:p w14:paraId="158CE9F2" w14:textId="5ECFFDCD" w:rsidR="00B664E8" w:rsidRPr="001812BE" w:rsidRDefault="006B42BA" w:rsidP="00323017">
            <w:pPr>
              <w:spacing w:after="0" w:line="240" w:lineRule="auto"/>
              <w:ind w:right="-7"/>
              <w:jc w:val="right"/>
              <w:rPr>
                <w:rFonts w:eastAsia="Times New Roman" w:cs="Times New Roman"/>
                <w:color w:val="000000"/>
              </w:rPr>
            </w:pPr>
            <w:r w:rsidRPr="006B42BA">
              <w:rPr>
                <w:position w:val="-12"/>
              </w:rPr>
              <w:object w:dxaOrig="1120" w:dyaOrig="380" w14:anchorId="07CCE449">
                <v:shape id="_x0000_i1079" type="#_x0000_t75" style="width:54.75pt;height:17.25pt" o:ole="">
                  <v:imagedata r:id="rId124" o:title=""/>
                </v:shape>
                <o:OLEObject Type="Embed" ProgID="Equation.DSMT4" ShapeID="_x0000_i1079" DrawAspect="Content" ObjectID="_1646040606" r:id="rId125"/>
              </w:object>
            </w:r>
          </w:p>
        </w:tc>
        <w:tc>
          <w:tcPr>
            <w:tcW w:w="1491" w:type="dxa"/>
            <w:tcBorders>
              <w:top w:val="nil"/>
              <w:left w:val="nil"/>
              <w:bottom w:val="double" w:sz="6" w:space="0" w:color="auto"/>
              <w:right w:val="nil"/>
            </w:tcBorders>
            <w:shd w:val="clear" w:color="auto" w:fill="auto"/>
            <w:noWrap/>
            <w:vAlign w:val="center"/>
            <w:hideMark/>
          </w:tcPr>
          <w:p w14:paraId="59F7B437" w14:textId="6C48995B" w:rsidR="00B664E8" w:rsidRPr="001812BE" w:rsidRDefault="001812BE" w:rsidP="00323017">
            <w:pPr>
              <w:spacing w:after="0" w:line="240" w:lineRule="auto"/>
              <w:jc w:val="right"/>
              <w:rPr>
                <w:rFonts w:eastAsia="Times New Roman" w:cs="Times New Roman"/>
                <w:color w:val="000000"/>
              </w:rPr>
            </w:pPr>
            <w:r w:rsidRPr="006C46E5">
              <w:rPr>
                <w:position w:val="-12"/>
              </w:rPr>
              <w:object w:dxaOrig="1120" w:dyaOrig="380" w14:anchorId="70CF8B99">
                <v:shape id="_x0000_i1080" type="#_x0000_t75" style="width:54.75pt;height:17.25pt" o:ole="">
                  <v:imagedata r:id="rId126" o:title=""/>
                </v:shape>
                <o:OLEObject Type="Embed" ProgID="Equation.DSMT4" ShapeID="_x0000_i1080" DrawAspect="Content" ObjectID="_1646040607" r:id="rId127"/>
              </w:object>
            </w:r>
          </w:p>
        </w:tc>
        <w:tc>
          <w:tcPr>
            <w:tcW w:w="1491" w:type="dxa"/>
            <w:tcBorders>
              <w:top w:val="nil"/>
              <w:left w:val="nil"/>
              <w:bottom w:val="double" w:sz="6" w:space="0" w:color="auto"/>
              <w:right w:val="nil"/>
            </w:tcBorders>
            <w:shd w:val="clear" w:color="auto" w:fill="auto"/>
            <w:noWrap/>
            <w:vAlign w:val="center"/>
            <w:hideMark/>
          </w:tcPr>
          <w:p w14:paraId="0EC990E1" w14:textId="383029E0" w:rsidR="00B664E8" w:rsidRPr="001812BE" w:rsidRDefault="001812BE" w:rsidP="00323017">
            <w:pPr>
              <w:spacing w:after="0" w:line="240" w:lineRule="auto"/>
              <w:jc w:val="right"/>
              <w:rPr>
                <w:rFonts w:eastAsia="Times New Roman" w:cs="Times New Roman"/>
                <w:color w:val="000000"/>
              </w:rPr>
            </w:pPr>
            <w:r w:rsidRPr="006C46E5">
              <w:rPr>
                <w:position w:val="-12"/>
              </w:rPr>
              <w:object w:dxaOrig="1120" w:dyaOrig="380" w14:anchorId="1F8AA91E">
                <v:shape id="_x0000_i1081" type="#_x0000_t75" style="width:54.75pt;height:17.25pt" o:ole="">
                  <v:imagedata r:id="rId126" o:title=""/>
                </v:shape>
                <o:OLEObject Type="Embed" ProgID="Equation.DSMT4" ShapeID="_x0000_i1081" DrawAspect="Content" ObjectID="_1646040608" r:id="rId128"/>
              </w:object>
            </w:r>
          </w:p>
        </w:tc>
        <w:tc>
          <w:tcPr>
            <w:tcW w:w="1491" w:type="dxa"/>
            <w:tcBorders>
              <w:top w:val="nil"/>
              <w:left w:val="nil"/>
              <w:bottom w:val="double" w:sz="6" w:space="0" w:color="auto"/>
              <w:right w:val="double" w:sz="6" w:space="0" w:color="auto"/>
            </w:tcBorders>
            <w:shd w:val="clear" w:color="auto" w:fill="auto"/>
            <w:noWrap/>
            <w:vAlign w:val="center"/>
            <w:hideMark/>
          </w:tcPr>
          <w:p w14:paraId="65C7B49E" w14:textId="2AC34CEB" w:rsidR="00B664E8" w:rsidRPr="001812BE" w:rsidRDefault="006B42BA" w:rsidP="000770D9">
            <w:pPr>
              <w:spacing w:after="0" w:line="240" w:lineRule="auto"/>
              <w:jc w:val="right"/>
              <w:rPr>
                <w:rFonts w:eastAsia="Times New Roman" w:cs="Times New Roman"/>
                <w:color w:val="000000"/>
              </w:rPr>
            </w:pPr>
            <w:r w:rsidRPr="006C46E5">
              <w:rPr>
                <w:position w:val="-12"/>
              </w:rPr>
              <w:object w:dxaOrig="1100" w:dyaOrig="380" w14:anchorId="4DAA8FBB">
                <v:shape id="_x0000_i1082" type="#_x0000_t75" style="width:53.25pt;height:17.25pt" o:ole="">
                  <v:imagedata r:id="rId129" o:title=""/>
                </v:shape>
                <o:OLEObject Type="Embed" ProgID="Equation.DSMT4" ShapeID="_x0000_i1082" DrawAspect="Content" ObjectID="_1646040609" r:id="rId130"/>
              </w:object>
            </w:r>
          </w:p>
        </w:tc>
      </w:tr>
      <w:tr w:rsidR="008A05F5" w:rsidRPr="00B664E8" w14:paraId="733AD06C" w14:textId="77777777" w:rsidTr="00873B6F">
        <w:trPr>
          <w:trHeight w:val="355"/>
        </w:trPr>
        <w:tc>
          <w:tcPr>
            <w:tcW w:w="3307" w:type="dxa"/>
            <w:tcBorders>
              <w:top w:val="nil"/>
              <w:left w:val="double" w:sz="6" w:space="0" w:color="auto"/>
              <w:bottom w:val="nil"/>
              <w:right w:val="nil"/>
            </w:tcBorders>
            <w:shd w:val="clear" w:color="auto" w:fill="auto"/>
            <w:vAlign w:val="center"/>
            <w:hideMark/>
          </w:tcPr>
          <w:p w14:paraId="0DB2BFAF" w14:textId="77777777" w:rsidR="00B664E8" w:rsidRPr="00B664E8" w:rsidRDefault="00B664E8" w:rsidP="00B664E8">
            <w:pPr>
              <w:spacing w:after="0" w:line="240" w:lineRule="auto"/>
              <w:jc w:val="left"/>
              <w:rPr>
                <w:rFonts w:eastAsia="Times New Roman" w:cs="Times New Roman"/>
                <w:b/>
                <w:bCs/>
                <w:color w:val="000000"/>
              </w:rPr>
            </w:pPr>
            <w:r w:rsidRPr="00B664E8">
              <w:rPr>
                <w:rFonts w:eastAsia="Times New Roman" w:cs="Times New Roman"/>
                <w:b/>
                <w:bCs/>
                <w:color w:val="000000"/>
              </w:rPr>
              <w:t>Validation Sample</w:t>
            </w:r>
          </w:p>
        </w:tc>
        <w:tc>
          <w:tcPr>
            <w:tcW w:w="1490" w:type="dxa"/>
            <w:tcBorders>
              <w:top w:val="nil"/>
              <w:left w:val="nil"/>
              <w:bottom w:val="nil"/>
              <w:right w:val="nil"/>
            </w:tcBorders>
            <w:shd w:val="clear" w:color="auto" w:fill="auto"/>
            <w:noWrap/>
            <w:vAlign w:val="center"/>
            <w:hideMark/>
          </w:tcPr>
          <w:p w14:paraId="1D7049D5" w14:textId="77777777" w:rsidR="00B664E8" w:rsidRPr="001812BE" w:rsidRDefault="00B664E8" w:rsidP="00873B6F">
            <w:pPr>
              <w:spacing w:after="0" w:line="240" w:lineRule="auto"/>
              <w:jc w:val="right"/>
              <w:rPr>
                <w:rFonts w:eastAsia="Times New Roman" w:cs="Times New Roman"/>
                <w:b/>
                <w:bCs/>
                <w:color w:val="000000"/>
              </w:rPr>
            </w:pPr>
          </w:p>
        </w:tc>
        <w:tc>
          <w:tcPr>
            <w:tcW w:w="1491" w:type="dxa"/>
            <w:tcBorders>
              <w:top w:val="nil"/>
              <w:left w:val="nil"/>
              <w:bottom w:val="nil"/>
              <w:right w:val="nil"/>
            </w:tcBorders>
            <w:shd w:val="clear" w:color="auto" w:fill="auto"/>
            <w:noWrap/>
            <w:vAlign w:val="center"/>
            <w:hideMark/>
          </w:tcPr>
          <w:p w14:paraId="77CD3F20" w14:textId="77777777" w:rsidR="00B664E8" w:rsidRPr="00873B6F" w:rsidRDefault="00B664E8" w:rsidP="00873B6F">
            <w:pPr>
              <w:spacing w:after="0" w:line="240" w:lineRule="auto"/>
              <w:jc w:val="right"/>
              <w:rPr>
                <w:rFonts w:eastAsia="Times New Roman" w:cs="Times New Roman"/>
              </w:rPr>
            </w:pPr>
          </w:p>
        </w:tc>
        <w:tc>
          <w:tcPr>
            <w:tcW w:w="1491" w:type="dxa"/>
            <w:tcBorders>
              <w:top w:val="nil"/>
              <w:left w:val="nil"/>
              <w:bottom w:val="nil"/>
              <w:right w:val="nil"/>
            </w:tcBorders>
            <w:shd w:val="clear" w:color="auto" w:fill="auto"/>
            <w:noWrap/>
            <w:vAlign w:val="center"/>
            <w:hideMark/>
          </w:tcPr>
          <w:p w14:paraId="17FBAB29" w14:textId="77777777" w:rsidR="00B664E8" w:rsidRPr="00873B6F" w:rsidRDefault="00B664E8" w:rsidP="00873B6F">
            <w:pPr>
              <w:spacing w:after="0" w:line="240" w:lineRule="auto"/>
              <w:jc w:val="right"/>
              <w:rPr>
                <w:rFonts w:eastAsia="Times New Roman" w:cs="Times New Roman"/>
              </w:rPr>
            </w:pPr>
          </w:p>
        </w:tc>
        <w:tc>
          <w:tcPr>
            <w:tcW w:w="1491" w:type="dxa"/>
            <w:tcBorders>
              <w:top w:val="nil"/>
              <w:left w:val="nil"/>
              <w:bottom w:val="nil"/>
              <w:right w:val="double" w:sz="6" w:space="0" w:color="auto"/>
            </w:tcBorders>
            <w:shd w:val="clear" w:color="auto" w:fill="auto"/>
            <w:noWrap/>
            <w:vAlign w:val="center"/>
            <w:hideMark/>
          </w:tcPr>
          <w:p w14:paraId="2CE1F32D" w14:textId="77777777" w:rsidR="00B664E8" w:rsidRPr="001812BE" w:rsidRDefault="00B664E8" w:rsidP="00873B6F">
            <w:pPr>
              <w:spacing w:after="0" w:line="240" w:lineRule="auto"/>
              <w:jc w:val="right"/>
              <w:rPr>
                <w:rFonts w:eastAsia="Times New Roman" w:cs="Times New Roman"/>
                <w:color w:val="000000"/>
              </w:rPr>
            </w:pPr>
            <w:r w:rsidRPr="001812BE">
              <w:rPr>
                <w:rFonts w:eastAsia="Times New Roman" w:cs="Times New Roman"/>
                <w:color w:val="000000"/>
              </w:rPr>
              <w:t> </w:t>
            </w:r>
          </w:p>
        </w:tc>
      </w:tr>
      <w:tr w:rsidR="006B42BA" w:rsidRPr="00B664E8" w14:paraId="4582CCE0" w14:textId="77777777" w:rsidTr="00873B6F">
        <w:trPr>
          <w:trHeight w:val="243"/>
        </w:trPr>
        <w:tc>
          <w:tcPr>
            <w:tcW w:w="3307" w:type="dxa"/>
            <w:tcBorders>
              <w:top w:val="nil"/>
              <w:left w:val="double" w:sz="6" w:space="0" w:color="auto"/>
              <w:bottom w:val="nil"/>
              <w:right w:val="nil"/>
            </w:tcBorders>
            <w:shd w:val="clear" w:color="auto" w:fill="auto"/>
            <w:vAlign w:val="bottom"/>
            <w:hideMark/>
          </w:tcPr>
          <w:p w14:paraId="325ABF96" w14:textId="77777777" w:rsidR="006B42BA" w:rsidRPr="00B664E8" w:rsidRDefault="006B42BA" w:rsidP="006B42BA">
            <w:pPr>
              <w:spacing w:after="0" w:line="240" w:lineRule="auto"/>
              <w:jc w:val="left"/>
              <w:rPr>
                <w:rFonts w:eastAsia="Times New Roman" w:cs="Times New Roman"/>
                <w:color w:val="000000"/>
              </w:rPr>
            </w:pPr>
            <w:r w:rsidRPr="00B664E8">
              <w:rPr>
                <w:rFonts w:eastAsia="Times New Roman" w:cs="Times New Roman"/>
                <w:color w:val="000000"/>
              </w:rPr>
              <w:t>No. observations</w:t>
            </w:r>
          </w:p>
        </w:tc>
        <w:tc>
          <w:tcPr>
            <w:tcW w:w="1490" w:type="dxa"/>
            <w:tcBorders>
              <w:top w:val="nil"/>
              <w:left w:val="nil"/>
              <w:bottom w:val="nil"/>
              <w:right w:val="nil"/>
            </w:tcBorders>
            <w:shd w:val="clear" w:color="auto" w:fill="auto"/>
            <w:noWrap/>
            <w:vAlign w:val="center"/>
            <w:hideMark/>
          </w:tcPr>
          <w:p w14:paraId="5E74BD2D" w14:textId="216AA558" w:rsidR="006B42BA" w:rsidRPr="001812BE" w:rsidRDefault="006B42BA" w:rsidP="00323017">
            <w:pPr>
              <w:spacing w:after="0" w:line="240" w:lineRule="auto"/>
              <w:jc w:val="right"/>
              <w:rPr>
                <w:rFonts w:eastAsia="Times New Roman" w:cs="Times New Roman"/>
                <w:color w:val="000000"/>
              </w:rPr>
            </w:pPr>
            <w:r>
              <w:rPr>
                <w:color w:val="000000"/>
              </w:rPr>
              <w:t>15502</w:t>
            </w:r>
          </w:p>
        </w:tc>
        <w:tc>
          <w:tcPr>
            <w:tcW w:w="1491" w:type="dxa"/>
            <w:tcBorders>
              <w:top w:val="nil"/>
              <w:left w:val="nil"/>
              <w:bottom w:val="nil"/>
              <w:right w:val="nil"/>
            </w:tcBorders>
            <w:shd w:val="clear" w:color="auto" w:fill="auto"/>
            <w:noWrap/>
            <w:vAlign w:val="center"/>
            <w:hideMark/>
          </w:tcPr>
          <w:p w14:paraId="3F8A3F77" w14:textId="1355EFDF" w:rsidR="006B42BA" w:rsidRPr="001812BE" w:rsidRDefault="006B42BA" w:rsidP="000770D9">
            <w:pPr>
              <w:spacing w:after="0" w:line="240" w:lineRule="auto"/>
              <w:jc w:val="right"/>
              <w:rPr>
                <w:rFonts w:eastAsia="Times New Roman" w:cs="Times New Roman"/>
                <w:color w:val="000000"/>
              </w:rPr>
            </w:pPr>
            <w:r>
              <w:rPr>
                <w:color w:val="000000"/>
              </w:rPr>
              <w:t>36429</w:t>
            </w:r>
          </w:p>
        </w:tc>
        <w:tc>
          <w:tcPr>
            <w:tcW w:w="1491" w:type="dxa"/>
            <w:tcBorders>
              <w:top w:val="nil"/>
              <w:left w:val="nil"/>
              <w:bottom w:val="nil"/>
              <w:right w:val="nil"/>
            </w:tcBorders>
            <w:shd w:val="clear" w:color="auto" w:fill="auto"/>
            <w:noWrap/>
            <w:vAlign w:val="center"/>
            <w:hideMark/>
          </w:tcPr>
          <w:p w14:paraId="35B18316" w14:textId="62DFFBC0" w:rsidR="006B42BA" w:rsidRPr="001812BE" w:rsidRDefault="006B42BA" w:rsidP="00A31847">
            <w:pPr>
              <w:spacing w:after="0" w:line="240" w:lineRule="auto"/>
              <w:jc w:val="right"/>
              <w:rPr>
                <w:rFonts w:eastAsia="Times New Roman" w:cs="Times New Roman"/>
                <w:color w:val="000000"/>
              </w:rPr>
            </w:pPr>
            <w:r>
              <w:rPr>
                <w:color w:val="000000"/>
              </w:rPr>
              <w:t>29621</w:t>
            </w:r>
          </w:p>
        </w:tc>
        <w:tc>
          <w:tcPr>
            <w:tcW w:w="1491" w:type="dxa"/>
            <w:tcBorders>
              <w:top w:val="nil"/>
              <w:left w:val="nil"/>
              <w:bottom w:val="nil"/>
              <w:right w:val="double" w:sz="6" w:space="0" w:color="auto"/>
            </w:tcBorders>
            <w:shd w:val="clear" w:color="auto" w:fill="auto"/>
            <w:noWrap/>
            <w:vAlign w:val="center"/>
            <w:hideMark/>
          </w:tcPr>
          <w:p w14:paraId="75FEA813" w14:textId="45C9E85D" w:rsidR="006B42BA" w:rsidRPr="001812BE" w:rsidRDefault="006B42BA" w:rsidP="009E0FF1">
            <w:pPr>
              <w:spacing w:after="0" w:line="240" w:lineRule="auto"/>
              <w:jc w:val="right"/>
              <w:rPr>
                <w:rFonts w:eastAsia="Times New Roman" w:cs="Times New Roman"/>
                <w:color w:val="000000"/>
              </w:rPr>
            </w:pPr>
            <w:r>
              <w:rPr>
                <w:color w:val="000000"/>
              </w:rPr>
              <w:t>63950</w:t>
            </w:r>
          </w:p>
        </w:tc>
      </w:tr>
      <w:tr w:rsidR="006B42BA" w:rsidRPr="00B664E8" w14:paraId="3C0B8D16" w14:textId="77777777" w:rsidTr="00873B6F">
        <w:trPr>
          <w:trHeight w:val="243"/>
        </w:trPr>
        <w:tc>
          <w:tcPr>
            <w:tcW w:w="3307" w:type="dxa"/>
            <w:tcBorders>
              <w:top w:val="nil"/>
              <w:left w:val="double" w:sz="6" w:space="0" w:color="auto"/>
              <w:bottom w:val="nil"/>
              <w:right w:val="nil"/>
            </w:tcBorders>
            <w:shd w:val="clear" w:color="auto" w:fill="auto"/>
            <w:vAlign w:val="bottom"/>
            <w:hideMark/>
          </w:tcPr>
          <w:p w14:paraId="45FA7D79" w14:textId="77777777" w:rsidR="006B42BA" w:rsidRPr="00B664E8" w:rsidRDefault="006B42BA" w:rsidP="006B42BA">
            <w:pPr>
              <w:spacing w:after="0" w:line="240" w:lineRule="auto"/>
              <w:jc w:val="left"/>
              <w:rPr>
                <w:rFonts w:eastAsia="Times New Roman" w:cs="Times New Roman"/>
                <w:color w:val="000000"/>
              </w:rPr>
            </w:pPr>
            <w:r w:rsidRPr="00B664E8">
              <w:rPr>
                <w:rFonts w:eastAsia="Times New Roman" w:cs="Times New Roman"/>
                <w:color w:val="000000"/>
              </w:rPr>
              <w:t>Log-likelihood at zero</w:t>
            </w:r>
          </w:p>
        </w:tc>
        <w:tc>
          <w:tcPr>
            <w:tcW w:w="1490" w:type="dxa"/>
            <w:tcBorders>
              <w:top w:val="nil"/>
              <w:left w:val="nil"/>
              <w:bottom w:val="nil"/>
              <w:right w:val="nil"/>
            </w:tcBorders>
            <w:shd w:val="clear" w:color="auto" w:fill="auto"/>
            <w:noWrap/>
            <w:vAlign w:val="center"/>
            <w:hideMark/>
          </w:tcPr>
          <w:p w14:paraId="35AC6B77" w14:textId="631486D2" w:rsidR="006B42BA" w:rsidRPr="001812BE" w:rsidRDefault="006B42BA" w:rsidP="00323017">
            <w:pPr>
              <w:spacing w:after="0" w:line="240" w:lineRule="auto"/>
              <w:jc w:val="right"/>
              <w:rPr>
                <w:rFonts w:eastAsia="Times New Roman" w:cs="Times New Roman"/>
                <w:color w:val="000000"/>
              </w:rPr>
            </w:pPr>
            <w:r>
              <w:rPr>
                <w:color w:val="000000"/>
              </w:rPr>
              <w:t>-52725.36</w:t>
            </w:r>
          </w:p>
        </w:tc>
        <w:tc>
          <w:tcPr>
            <w:tcW w:w="1491" w:type="dxa"/>
            <w:tcBorders>
              <w:top w:val="nil"/>
              <w:left w:val="nil"/>
              <w:bottom w:val="nil"/>
              <w:right w:val="nil"/>
            </w:tcBorders>
            <w:shd w:val="clear" w:color="auto" w:fill="auto"/>
            <w:noWrap/>
            <w:vAlign w:val="center"/>
            <w:hideMark/>
          </w:tcPr>
          <w:p w14:paraId="32A38C46" w14:textId="25850261" w:rsidR="006B42BA" w:rsidRPr="001812BE" w:rsidRDefault="006B42BA" w:rsidP="000770D9">
            <w:pPr>
              <w:spacing w:after="0" w:line="240" w:lineRule="auto"/>
              <w:jc w:val="right"/>
              <w:rPr>
                <w:rFonts w:eastAsia="Times New Roman" w:cs="Times New Roman"/>
                <w:color w:val="000000"/>
              </w:rPr>
            </w:pPr>
            <w:r>
              <w:rPr>
                <w:color w:val="000000"/>
              </w:rPr>
              <w:t>-123902.22</w:t>
            </w:r>
          </w:p>
        </w:tc>
        <w:tc>
          <w:tcPr>
            <w:tcW w:w="1491" w:type="dxa"/>
            <w:tcBorders>
              <w:top w:val="nil"/>
              <w:left w:val="nil"/>
              <w:bottom w:val="nil"/>
              <w:right w:val="nil"/>
            </w:tcBorders>
            <w:shd w:val="clear" w:color="auto" w:fill="auto"/>
            <w:noWrap/>
            <w:vAlign w:val="center"/>
            <w:hideMark/>
          </w:tcPr>
          <w:p w14:paraId="47491D51" w14:textId="7AB8FFC7" w:rsidR="006B42BA" w:rsidRPr="001812BE" w:rsidRDefault="006B42BA" w:rsidP="00A31847">
            <w:pPr>
              <w:spacing w:after="0" w:line="240" w:lineRule="auto"/>
              <w:jc w:val="right"/>
              <w:rPr>
                <w:rFonts w:eastAsia="Times New Roman" w:cs="Times New Roman"/>
                <w:color w:val="000000"/>
              </w:rPr>
            </w:pPr>
            <w:r>
              <w:rPr>
                <w:color w:val="000000"/>
              </w:rPr>
              <w:t>-100746.87</w:t>
            </w:r>
          </w:p>
        </w:tc>
        <w:tc>
          <w:tcPr>
            <w:tcW w:w="1491" w:type="dxa"/>
            <w:tcBorders>
              <w:top w:val="nil"/>
              <w:left w:val="nil"/>
              <w:bottom w:val="nil"/>
              <w:right w:val="double" w:sz="6" w:space="0" w:color="auto"/>
            </w:tcBorders>
            <w:shd w:val="clear" w:color="auto" w:fill="auto"/>
            <w:noWrap/>
            <w:vAlign w:val="center"/>
            <w:hideMark/>
          </w:tcPr>
          <w:p w14:paraId="5AF675A1" w14:textId="26396C81" w:rsidR="006B42BA" w:rsidRPr="001812BE" w:rsidRDefault="006B42BA" w:rsidP="009E0FF1">
            <w:pPr>
              <w:spacing w:after="0" w:line="240" w:lineRule="auto"/>
              <w:jc w:val="right"/>
              <w:rPr>
                <w:rFonts w:eastAsia="Times New Roman" w:cs="Times New Roman"/>
                <w:color w:val="000000"/>
              </w:rPr>
            </w:pPr>
            <w:r>
              <w:rPr>
                <w:color w:val="000000"/>
              </w:rPr>
              <w:t>-217506.57</w:t>
            </w:r>
          </w:p>
        </w:tc>
      </w:tr>
      <w:tr w:rsidR="006B42BA" w:rsidRPr="00B664E8" w14:paraId="5200380E" w14:textId="77777777" w:rsidTr="00873B6F">
        <w:trPr>
          <w:trHeight w:val="477"/>
        </w:trPr>
        <w:tc>
          <w:tcPr>
            <w:tcW w:w="3307" w:type="dxa"/>
            <w:tcBorders>
              <w:top w:val="nil"/>
              <w:left w:val="double" w:sz="6" w:space="0" w:color="auto"/>
              <w:bottom w:val="nil"/>
              <w:right w:val="nil"/>
            </w:tcBorders>
            <w:shd w:val="clear" w:color="auto" w:fill="auto"/>
            <w:vAlign w:val="bottom"/>
            <w:hideMark/>
          </w:tcPr>
          <w:p w14:paraId="2230588A" w14:textId="77777777" w:rsidR="006B42BA" w:rsidRPr="00B664E8" w:rsidRDefault="006B42BA" w:rsidP="006B42BA">
            <w:pPr>
              <w:spacing w:after="0" w:line="240" w:lineRule="auto"/>
              <w:jc w:val="left"/>
              <w:rPr>
                <w:rFonts w:eastAsia="Times New Roman" w:cs="Times New Roman"/>
                <w:color w:val="000000"/>
              </w:rPr>
            </w:pPr>
            <w:r w:rsidRPr="00B664E8">
              <w:rPr>
                <w:rFonts w:eastAsia="Times New Roman" w:cs="Times New Roman"/>
                <w:color w:val="000000"/>
              </w:rPr>
              <w:t>Probability of correct prediction (random selection)</w:t>
            </w:r>
          </w:p>
        </w:tc>
        <w:tc>
          <w:tcPr>
            <w:tcW w:w="1490" w:type="dxa"/>
            <w:tcBorders>
              <w:top w:val="nil"/>
              <w:left w:val="nil"/>
              <w:bottom w:val="nil"/>
              <w:right w:val="nil"/>
            </w:tcBorders>
            <w:shd w:val="clear" w:color="auto" w:fill="auto"/>
            <w:noWrap/>
            <w:vAlign w:val="center"/>
            <w:hideMark/>
          </w:tcPr>
          <w:p w14:paraId="33C16DEA" w14:textId="04046A68" w:rsidR="006B42BA" w:rsidRPr="001812BE" w:rsidRDefault="006B42BA" w:rsidP="00323017">
            <w:pPr>
              <w:spacing w:after="0" w:line="240" w:lineRule="auto"/>
              <w:jc w:val="right"/>
              <w:rPr>
                <w:rFonts w:eastAsia="Times New Roman" w:cs="Times New Roman"/>
                <w:color w:val="000000"/>
              </w:rPr>
            </w:pPr>
            <w:r>
              <w:rPr>
                <w:color w:val="000000"/>
              </w:rPr>
              <w:t>0.0012</w:t>
            </w:r>
          </w:p>
        </w:tc>
        <w:tc>
          <w:tcPr>
            <w:tcW w:w="1491" w:type="dxa"/>
            <w:tcBorders>
              <w:top w:val="nil"/>
              <w:left w:val="nil"/>
              <w:bottom w:val="nil"/>
              <w:right w:val="nil"/>
            </w:tcBorders>
            <w:shd w:val="clear" w:color="auto" w:fill="auto"/>
            <w:noWrap/>
            <w:vAlign w:val="center"/>
            <w:hideMark/>
          </w:tcPr>
          <w:p w14:paraId="1EA2844C" w14:textId="3872CD95" w:rsidR="006B42BA" w:rsidRPr="001812BE" w:rsidRDefault="006B42BA" w:rsidP="000770D9">
            <w:pPr>
              <w:spacing w:after="0" w:line="240" w:lineRule="auto"/>
              <w:jc w:val="right"/>
              <w:rPr>
                <w:rFonts w:eastAsia="Times New Roman" w:cs="Times New Roman"/>
                <w:color w:val="000000"/>
              </w:rPr>
            </w:pPr>
            <w:r>
              <w:rPr>
                <w:color w:val="000000"/>
              </w:rPr>
              <w:t>0.0012</w:t>
            </w:r>
          </w:p>
        </w:tc>
        <w:tc>
          <w:tcPr>
            <w:tcW w:w="1491" w:type="dxa"/>
            <w:tcBorders>
              <w:top w:val="nil"/>
              <w:left w:val="nil"/>
              <w:bottom w:val="nil"/>
              <w:right w:val="nil"/>
            </w:tcBorders>
            <w:shd w:val="clear" w:color="auto" w:fill="auto"/>
            <w:noWrap/>
            <w:vAlign w:val="center"/>
            <w:hideMark/>
          </w:tcPr>
          <w:p w14:paraId="5BBA2CBA" w14:textId="274590A4" w:rsidR="006B42BA" w:rsidRPr="001812BE" w:rsidRDefault="006B42BA" w:rsidP="00A31847">
            <w:pPr>
              <w:spacing w:after="0" w:line="240" w:lineRule="auto"/>
              <w:jc w:val="right"/>
              <w:rPr>
                <w:rFonts w:eastAsia="Times New Roman" w:cs="Times New Roman"/>
                <w:color w:val="000000"/>
              </w:rPr>
            </w:pPr>
            <w:r>
              <w:rPr>
                <w:color w:val="000000"/>
              </w:rPr>
              <w:t>0.0012</w:t>
            </w:r>
          </w:p>
        </w:tc>
        <w:tc>
          <w:tcPr>
            <w:tcW w:w="1491" w:type="dxa"/>
            <w:tcBorders>
              <w:top w:val="nil"/>
              <w:left w:val="nil"/>
              <w:bottom w:val="nil"/>
              <w:right w:val="double" w:sz="6" w:space="0" w:color="auto"/>
            </w:tcBorders>
            <w:shd w:val="clear" w:color="auto" w:fill="auto"/>
            <w:noWrap/>
            <w:vAlign w:val="center"/>
            <w:hideMark/>
          </w:tcPr>
          <w:p w14:paraId="1052C29A" w14:textId="32CAB04E" w:rsidR="006B42BA" w:rsidRPr="001812BE" w:rsidRDefault="006B42BA" w:rsidP="009E0FF1">
            <w:pPr>
              <w:spacing w:after="0" w:line="240" w:lineRule="auto"/>
              <w:jc w:val="right"/>
              <w:rPr>
                <w:rFonts w:eastAsia="Times New Roman" w:cs="Times New Roman"/>
                <w:color w:val="000000"/>
              </w:rPr>
            </w:pPr>
            <w:r>
              <w:rPr>
                <w:color w:val="000000"/>
              </w:rPr>
              <w:t>0.0012</w:t>
            </w:r>
          </w:p>
        </w:tc>
      </w:tr>
      <w:tr w:rsidR="006B42BA" w:rsidRPr="00B664E8" w14:paraId="4541D974" w14:textId="77777777" w:rsidTr="00873B6F">
        <w:trPr>
          <w:trHeight w:val="243"/>
        </w:trPr>
        <w:tc>
          <w:tcPr>
            <w:tcW w:w="3307" w:type="dxa"/>
            <w:tcBorders>
              <w:top w:val="single" w:sz="4" w:space="0" w:color="auto"/>
              <w:left w:val="double" w:sz="6" w:space="0" w:color="auto"/>
              <w:bottom w:val="nil"/>
              <w:right w:val="nil"/>
            </w:tcBorders>
            <w:shd w:val="clear" w:color="auto" w:fill="auto"/>
            <w:vAlign w:val="bottom"/>
            <w:hideMark/>
          </w:tcPr>
          <w:p w14:paraId="6D734E12" w14:textId="77777777" w:rsidR="006B42BA" w:rsidRPr="00B664E8" w:rsidRDefault="006B42BA" w:rsidP="006B42BA">
            <w:pPr>
              <w:spacing w:after="0" w:line="240" w:lineRule="auto"/>
              <w:jc w:val="left"/>
              <w:rPr>
                <w:rFonts w:eastAsia="Times New Roman" w:cs="Times New Roman"/>
                <w:color w:val="000000"/>
              </w:rPr>
            </w:pPr>
            <w:r w:rsidRPr="00B664E8">
              <w:rPr>
                <w:rFonts w:eastAsia="Times New Roman" w:cs="Times New Roman"/>
                <w:color w:val="000000"/>
              </w:rPr>
              <w:t>NPMNL</w:t>
            </w:r>
          </w:p>
        </w:tc>
        <w:tc>
          <w:tcPr>
            <w:tcW w:w="1490" w:type="dxa"/>
            <w:tcBorders>
              <w:top w:val="single" w:sz="4" w:space="0" w:color="auto"/>
              <w:left w:val="nil"/>
              <w:bottom w:val="nil"/>
              <w:right w:val="nil"/>
            </w:tcBorders>
            <w:shd w:val="clear" w:color="auto" w:fill="auto"/>
            <w:noWrap/>
            <w:vAlign w:val="center"/>
            <w:hideMark/>
          </w:tcPr>
          <w:p w14:paraId="7B86F256" w14:textId="24DA7A2D" w:rsidR="006B42BA" w:rsidRPr="001812BE" w:rsidRDefault="006B42BA" w:rsidP="00873B6F">
            <w:pPr>
              <w:spacing w:after="0" w:line="240" w:lineRule="auto"/>
              <w:jc w:val="right"/>
              <w:rPr>
                <w:rFonts w:eastAsia="Times New Roman" w:cs="Times New Roman"/>
                <w:color w:val="000000"/>
              </w:rPr>
            </w:pPr>
            <w:r>
              <w:rPr>
                <w:color w:val="000000"/>
              </w:rPr>
              <w:t> </w:t>
            </w:r>
          </w:p>
        </w:tc>
        <w:tc>
          <w:tcPr>
            <w:tcW w:w="1491" w:type="dxa"/>
            <w:tcBorders>
              <w:top w:val="single" w:sz="4" w:space="0" w:color="auto"/>
              <w:left w:val="nil"/>
              <w:bottom w:val="nil"/>
              <w:right w:val="nil"/>
            </w:tcBorders>
            <w:shd w:val="clear" w:color="auto" w:fill="auto"/>
            <w:noWrap/>
            <w:vAlign w:val="center"/>
            <w:hideMark/>
          </w:tcPr>
          <w:p w14:paraId="030BB95E" w14:textId="6C8DE204" w:rsidR="006B42BA" w:rsidRPr="001812BE" w:rsidRDefault="006B42BA" w:rsidP="00873B6F">
            <w:pPr>
              <w:spacing w:after="0" w:line="240" w:lineRule="auto"/>
              <w:jc w:val="right"/>
              <w:rPr>
                <w:rFonts w:eastAsia="Times New Roman" w:cs="Times New Roman"/>
                <w:color w:val="000000"/>
              </w:rPr>
            </w:pPr>
            <w:r>
              <w:rPr>
                <w:color w:val="000000"/>
              </w:rPr>
              <w:t> </w:t>
            </w:r>
          </w:p>
        </w:tc>
        <w:tc>
          <w:tcPr>
            <w:tcW w:w="1491" w:type="dxa"/>
            <w:tcBorders>
              <w:top w:val="single" w:sz="4" w:space="0" w:color="auto"/>
              <w:left w:val="nil"/>
              <w:bottom w:val="nil"/>
              <w:right w:val="nil"/>
            </w:tcBorders>
            <w:shd w:val="clear" w:color="auto" w:fill="auto"/>
            <w:noWrap/>
            <w:vAlign w:val="center"/>
            <w:hideMark/>
          </w:tcPr>
          <w:p w14:paraId="73D302D1" w14:textId="1A24B335" w:rsidR="006B42BA" w:rsidRPr="001812BE" w:rsidRDefault="006B42BA" w:rsidP="00873B6F">
            <w:pPr>
              <w:spacing w:after="0" w:line="240" w:lineRule="auto"/>
              <w:jc w:val="right"/>
              <w:rPr>
                <w:rFonts w:eastAsia="Times New Roman" w:cs="Times New Roman"/>
                <w:color w:val="000000"/>
              </w:rPr>
            </w:pPr>
            <w:r>
              <w:rPr>
                <w:color w:val="000000"/>
              </w:rPr>
              <w:t> </w:t>
            </w:r>
          </w:p>
        </w:tc>
        <w:tc>
          <w:tcPr>
            <w:tcW w:w="1491" w:type="dxa"/>
            <w:tcBorders>
              <w:top w:val="single" w:sz="4" w:space="0" w:color="auto"/>
              <w:left w:val="nil"/>
              <w:bottom w:val="nil"/>
              <w:right w:val="double" w:sz="6" w:space="0" w:color="auto"/>
            </w:tcBorders>
            <w:shd w:val="clear" w:color="auto" w:fill="auto"/>
            <w:noWrap/>
            <w:vAlign w:val="center"/>
            <w:hideMark/>
          </w:tcPr>
          <w:p w14:paraId="01200A90" w14:textId="0CFBC68F" w:rsidR="006B42BA" w:rsidRPr="001812BE" w:rsidRDefault="006B42BA" w:rsidP="00873B6F">
            <w:pPr>
              <w:spacing w:after="0" w:line="240" w:lineRule="auto"/>
              <w:jc w:val="right"/>
              <w:rPr>
                <w:rFonts w:eastAsia="Times New Roman" w:cs="Times New Roman"/>
                <w:color w:val="000000"/>
              </w:rPr>
            </w:pPr>
            <w:r>
              <w:rPr>
                <w:color w:val="000000"/>
              </w:rPr>
              <w:t> </w:t>
            </w:r>
          </w:p>
        </w:tc>
      </w:tr>
      <w:tr w:rsidR="006B42BA" w:rsidRPr="00B664E8" w14:paraId="119E12C3" w14:textId="77777777" w:rsidTr="00873B6F">
        <w:trPr>
          <w:trHeight w:val="243"/>
        </w:trPr>
        <w:tc>
          <w:tcPr>
            <w:tcW w:w="3307" w:type="dxa"/>
            <w:tcBorders>
              <w:top w:val="nil"/>
              <w:left w:val="double" w:sz="6" w:space="0" w:color="auto"/>
              <w:bottom w:val="nil"/>
              <w:right w:val="nil"/>
            </w:tcBorders>
            <w:shd w:val="clear" w:color="auto" w:fill="auto"/>
            <w:vAlign w:val="bottom"/>
            <w:hideMark/>
          </w:tcPr>
          <w:p w14:paraId="0A401841" w14:textId="77777777" w:rsidR="006B42BA" w:rsidRPr="00B664E8" w:rsidRDefault="006B42BA" w:rsidP="006B42BA">
            <w:pPr>
              <w:spacing w:after="0" w:line="240" w:lineRule="auto"/>
              <w:jc w:val="left"/>
              <w:rPr>
                <w:rFonts w:eastAsia="Times New Roman" w:cs="Times New Roman"/>
                <w:color w:val="000000"/>
              </w:rPr>
            </w:pPr>
            <w:r w:rsidRPr="00B664E8">
              <w:rPr>
                <w:rFonts w:eastAsia="Times New Roman" w:cs="Times New Roman"/>
                <w:color w:val="000000"/>
              </w:rPr>
              <w:t>Number of parameters</w:t>
            </w:r>
          </w:p>
        </w:tc>
        <w:tc>
          <w:tcPr>
            <w:tcW w:w="1490" w:type="dxa"/>
            <w:tcBorders>
              <w:top w:val="nil"/>
              <w:left w:val="nil"/>
              <w:bottom w:val="nil"/>
              <w:right w:val="nil"/>
            </w:tcBorders>
            <w:shd w:val="clear" w:color="auto" w:fill="auto"/>
            <w:noWrap/>
            <w:vAlign w:val="center"/>
            <w:hideMark/>
          </w:tcPr>
          <w:p w14:paraId="57EF1DC6" w14:textId="31FD084F" w:rsidR="006B42BA" w:rsidRPr="001812BE" w:rsidRDefault="006B42BA" w:rsidP="00323017">
            <w:pPr>
              <w:spacing w:after="0" w:line="240" w:lineRule="auto"/>
              <w:jc w:val="right"/>
              <w:rPr>
                <w:rFonts w:eastAsia="Times New Roman" w:cs="Times New Roman"/>
                <w:color w:val="000000"/>
              </w:rPr>
            </w:pPr>
            <w:r>
              <w:rPr>
                <w:color w:val="000000"/>
              </w:rPr>
              <w:t>17</w:t>
            </w:r>
          </w:p>
        </w:tc>
        <w:tc>
          <w:tcPr>
            <w:tcW w:w="1491" w:type="dxa"/>
            <w:tcBorders>
              <w:top w:val="nil"/>
              <w:left w:val="nil"/>
              <w:bottom w:val="nil"/>
              <w:right w:val="nil"/>
            </w:tcBorders>
            <w:shd w:val="clear" w:color="auto" w:fill="auto"/>
            <w:noWrap/>
            <w:vAlign w:val="center"/>
            <w:hideMark/>
          </w:tcPr>
          <w:p w14:paraId="0B561C8F" w14:textId="5334868E" w:rsidR="006B42BA" w:rsidRPr="001812BE" w:rsidRDefault="006B42BA" w:rsidP="000770D9">
            <w:pPr>
              <w:spacing w:after="0" w:line="240" w:lineRule="auto"/>
              <w:jc w:val="right"/>
              <w:rPr>
                <w:rFonts w:eastAsia="Times New Roman" w:cs="Times New Roman"/>
                <w:color w:val="000000"/>
              </w:rPr>
            </w:pPr>
            <w:r>
              <w:rPr>
                <w:color w:val="000000"/>
              </w:rPr>
              <w:t>19</w:t>
            </w:r>
          </w:p>
        </w:tc>
        <w:tc>
          <w:tcPr>
            <w:tcW w:w="1491" w:type="dxa"/>
            <w:tcBorders>
              <w:top w:val="nil"/>
              <w:left w:val="nil"/>
              <w:bottom w:val="nil"/>
              <w:right w:val="nil"/>
            </w:tcBorders>
            <w:shd w:val="clear" w:color="auto" w:fill="auto"/>
            <w:noWrap/>
            <w:vAlign w:val="center"/>
            <w:hideMark/>
          </w:tcPr>
          <w:p w14:paraId="01925572" w14:textId="211AD6D8" w:rsidR="006B42BA" w:rsidRPr="001812BE" w:rsidRDefault="006B42BA" w:rsidP="0010666D">
            <w:pPr>
              <w:spacing w:after="0" w:line="240" w:lineRule="auto"/>
              <w:jc w:val="right"/>
              <w:rPr>
                <w:rFonts w:eastAsia="Times New Roman" w:cs="Times New Roman"/>
                <w:color w:val="000000"/>
              </w:rPr>
            </w:pPr>
            <w:r>
              <w:rPr>
                <w:color w:val="000000"/>
              </w:rPr>
              <w:t>1</w:t>
            </w:r>
            <w:r w:rsidR="00FE5367">
              <w:rPr>
                <w:color w:val="000000"/>
              </w:rPr>
              <w:t>9</w:t>
            </w:r>
          </w:p>
        </w:tc>
        <w:tc>
          <w:tcPr>
            <w:tcW w:w="1491" w:type="dxa"/>
            <w:tcBorders>
              <w:top w:val="nil"/>
              <w:left w:val="nil"/>
              <w:bottom w:val="nil"/>
              <w:right w:val="double" w:sz="6" w:space="0" w:color="auto"/>
            </w:tcBorders>
            <w:shd w:val="clear" w:color="auto" w:fill="auto"/>
            <w:noWrap/>
            <w:vAlign w:val="center"/>
            <w:hideMark/>
          </w:tcPr>
          <w:p w14:paraId="65E4B26E" w14:textId="1DB0ED78" w:rsidR="006B42BA" w:rsidRPr="001812BE" w:rsidRDefault="006B42BA" w:rsidP="009E0FF1">
            <w:pPr>
              <w:spacing w:after="0" w:line="240" w:lineRule="auto"/>
              <w:jc w:val="right"/>
              <w:rPr>
                <w:rFonts w:eastAsia="Times New Roman" w:cs="Times New Roman"/>
                <w:color w:val="000000"/>
              </w:rPr>
            </w:pPr>
            <w:r>
              <w:rPr>
                <w:color w:val="000000"/>
              </w:rPr>
              <w:t>15</w:t>
            </w:r>
          </w:p>
        </w:tc>
      </w:tr>
      <w:tr w:rsidR="006B42BA" w:rsidRPr="00B664E8" w14:paraId="7184C73A" w14:textId="77777777" w:rsidTr="00873B6F">
        <w:trPr>
          <w:trHeight w:val="243"/>
        </w:trPr>
        <w:tc>
          <w:tcPr>
            <w:tcW w:w="3307" w:type="dxa"/>
            <w:tcBorders>
              <w:top w:val="nil"/>
              <w:left w:val="double" w:sz="6" w:space="0" w:color="auto"/>
              <w:bottom w:val="nil"/>
              <w:right w:val="nil"/>
            </w:tcBorders>
            <w:shd w:val="clear" w:color="auto" w:fill="auto"/>
            <w:vAlign w:val="bottom"/>
            <w:hideMark/>
          </w:tcPr>
          <w:p w14:paraId="784277E3" w14:textId="77777777" w:rsidR="006B42BA" w:rsidRPr="00B664E8" w:rsidRDefault="006B42BA" w:rsidP="006B42BA">
            <w:pPr>
              <w:spacing w:after="0" w:line="240" w:lineRule="auto"/>
              <w:jc w:val="left"/>
              <w:rPr>
                <w:rFonts w:eastAsia="Times New Roman" w:cs="Times New Roman"/>
                <w:color w:val="000000"/>
              </w:rPr>
            </w:pPr>
            <w:r w:rsidRPr="00B664E8">
              <w:rPr>
                <w:rFonts w:eastAsia="Times New Roman" w:cs="Times New Roman"/>
                <w:color w:val="000000"/>
              </w:rPr>
              <w:t>Predictive Log-likelihood</w:t>
            </w:r>
          </w:p>
        </w:tc>
        <w:tc>
          <w:tcPr>
            <w:tcW w:w="1490" w:type="dxa"/>
            <w:tcBorders>
              <w:top w:val="nil"/>
              <w:left w:val="nil"/>
              <w:bottom w:val="nil"/>
              <w:right w:val="nil"/>
            </w:tcBorders>
            <w:shd w:val="clear" w:color="auto" w:fill="auto"/>
            <w:noWrap/>
            <w:vAlign w:val="center"/>
            <w:hideMark/>
          </w:tcPr>
          <w:p w14:paraId="28FE3062" w14:textId="2792D5A2" w:rsidR="006B42BA" w:rsidRPr="001812BE" w:rsidRDefault="006B42BA" w:rsidP="00323017">
            <w:pPr>
              <w:spacing w:after="0" w:line="240" w:lineRule="auto"/>
              <w:jc w:val="right"/>
              <w:rPr>
                <w:rFonts w:eastAsia="Times New Roman" w:cs="Times New Roman"/>
                <w:color w:val="000000"/>
              </w:rPr>
            </w:pPr>
            <w:r>
              <w:rPr>
                <w:color w:val="000000"/>
              </w:rPr>
              <w:t>-33790.79</w:t>
            </w:r>
          </w:p>
        </w:tc>
        <w:tc>
          <w:tcPr>
            <w:tcW w:w="1491" w:type="dxa"/>
            <w:tcBorders>
              <w:top w:val="nil"/>
              <w:left w:val="nil"/>
              <w:bottom w:val="nil"/>
              <w:right w:val="nil"/>
            </w:tcBorders>
            <w:shd w:val="clear" w:color="auto" w:fill="auto"/>
            <w:noWrap/>
            <w:vAlign w:val="center"/>
            <w:hideMark/>
          </w:tcPr>
          <w:p w14:paraId="3A92EF40" w14:textId="471A74CE" w:rsidR="006B42BA" w:rsidRPr="001812BE" w:rsidRDefault="006B42BA" w:rsidP="000770D9">
            <w:pPr>
              <w:spacing w:after="0" w:line="240" w:lineRule="auto"/>
              <w:jc w:val="right"/>
              <w:rPr>
                <w:rFonts w:eastAsia="Times New Roman" w:cs="Times New Roman"/>
                <w:color w:val="000000"/>
              </w:rPr>
            </w:pPr>
            <w:r>
              <w:rPr>
                <w:color w:val="000000"/>
              </w:rPr>
              <w:t>-77944.95</w:t>
            </w:r>
          </w:p>
        </w:tc>
        <w:tc>
          <w:tcPr>
            <w:tcW w:w="1491" w:type="dxa"/>
            <w:tcBorders>
              <w:top w:val="nil"/>
              <w:left w:val="nil"/>
              <w:bottom w:val="nil"/>
              <w:right w:val="nil"/>
            </w:tcBorders>
            <w:shd w:val="clear" w:color="auto" w:fill="auto"/>
            <w:noWrap/>
            <w:vAlign w:val="center"/>
            <w:hideMark/>
          </w:tcPr>
          <w:p w14:paraId="31F14750" w14:textId="5CFFCB37" w:rsidR="006B42BA" w:rsidRPr="001812BE" w:rsidRDefault="006B42BA" w:rsidP="00A31847">
            <w:pPr>
              <w:spacing w:after="0" w:line="240" w:lineRule="auto"/>
              <w:jc w:val="right"/>
              <w:rPr>
                <w:rFonts w:eastAsia="Times New Roman" w:cs="Times New Roman"/>
                <w:color w:val="000000"/>
              </w:rPr>
            </w:pPr>
            <w:r>
              <w:rPr>
                <w:color w:val="000000"/>
              </w:rPr>
              <w:t>-56543.28</w:t>
            </w:r>
          </w:p>
        </w:tc>
        <w:tc>
          <w:tcPr>
            <w:tcW w:w="1491" w:type="dxa"/>
            <w:tcBorders>
              <w:top w:val="nil"/>
              <w:left w:val="nil"/>
              <w:bottom w:val="nil"/>
              <w:right w:val="double" w:sz="6" w:space="0" w:color="auto"/>
            </w:tcBorders>
            <w:shd w:val="clear" w:color="auto" w:fill="auto"/>
            <w:noWrap/>
            <w:vAlign w:val="center"/>
            <w:hideMark/>
          </w:tcPr>
          <w:p w14:paraId="10499278" w14:textId="5C23E8A7" w:rsidR="006B42BA" w:rsidRPr="001812BE" w:rsidRDefault="006B42BA" w:rsidP="009E0FF1">
            <w:pPr>
              <w:spacing w:after="0" w:line="240" w:lineRule="auto"/>
              <w:jc w:val="right"/>
              <w:rPr>
                <w:rFonts w:eastAsia="Times New Roman" w:cs="Times New Roman"/>
                <w:color w:val="000000"/>
              </w:rPr>
            </w:pPr>
            <w:r>
              <w:rPr>
                <w:color w:val="000000"/>
              </w:rPr>
              <w:t>-120449.76</w:t>
            </w:r>
          </w:p>
        </w:tc>
      </w:tr>
      <w:tr w:rsidR="006B42BA" w:rsidRPr="00B664E8" w14:paraId="7B746F90" w14:textId="77777777" w:rsidTr="00873B6F">
        <w:trPr>
          <w:trHeight w:val="243"/>
        </w:trPr>
        <w:tc>
          <w:tcPr>
            <w:tcW w:w="3307" w:type="dxa"/>
            <w:tcBorders>
              <w:top w:val="nil"/>
              <w:left w:val="double" w:sz="6" w:space="0" w:color="auto"/>
              <w:bottom w:val="nil"/>
              <w:right w:val="nil"/>
            </w:tcBorders>
            <w:shd w:val="clear" w:color="auto" w:fill="auto"/>
            <w:vAlign w:val="bottom"/>
            <w:hideMark/>
          </w:tcPr>
          <w:p w14:paraId="0DDC00C6" w14:textId="77777777" w:rsidR="006B42BA" w:rsidRPr="00B664E8" w:rsidRDefault="006B42BA" w:rsidP="006B42BA">
            <w:pPr>
              <w:spacing w:after="0" w:line="240" w:lineRule="auto"/>
              <w:jc w:val="left"/>
              <w:rPr>
                <w:rFonts w:eastAsia="Times New Roman" w:cs="Times New Roman"/>
                <w:color w:val="000000"/>
              </w:rPr>
            </w:pPr>
            <w:r w:rsidRPr="00B664E8">
              <w:rPr>
                <w:rFonts w:eastAsia="Times New Roman" w:cs="Times New Roman"/>
                <w:color w:val="000000"/>
              </w:rPr>
              <w:t>Predictive ADLRI</w:t>
            </w:r>
          </w:p>
        </w:tc>
        <w:tc>
          <w:tcPr>
            <w:tcW w:w="1490" w:type="dxa"/>
            <w:tcBorders>
              <w:top w:val="nil"/>
              <w:left w:val="nil"/>
              <w:bottom w:val="nil"/>
              <w:right w:val="nil"/>
            </w:tcBorders>
            <w:shd w:val="clear" w:color="auto" w:fill="auto"/>
            <w:noWrap/>
            <w:vAlign w:val="center"/>
            <w:hideMark/>
          </w:tcPr>
          <w:p w14:paraId="4C16536B" w14:textId="68A1292E" w:rsidR="006B42BA" w:rsidRPr="001812BE" w:rsidRDefault="006B42BA" w:rsidP="00323017">
            <w:pPr>
              <w:spacing w:after="0" w:line="240" w:lineRule="auto"/>
              <w:jc w:val="right"/>
              <w:rPr>
                <w:rFonts w:eastAsia="Times New Roman" w:cs="Times New Roman"/>
                <w:color w:val="000000"/>
              </w:rPr>
            </w:pPr>
            <w:r>
              <w:rPr>
                <w:color w:val="000000"/>
              </w:rPr>
              <w:t>0.3588</w:t>
            </w:r>
          </w:p>
        </w:tc>
        <w:tc>
          <w:tcPr>
            <w:tcW w:w="1491" w:type="dxa"/>
            <w:tcBorders>
              <w:top w:val="nil"/>
              <w:left w:val="nil"/>
              <w:bottom w:val="nil"/>
              <w:right w:val="nil"/>
            </w:tcBorders>
            <w:shd w:val="clear" w:color="auto" w:fill="auto"/>
            <w:noWrap/>
            <w:vAlign w:val="center"/>
            <w:hideMark/>
          </w:tcPr>
          <w:p w14:paraId="0F8AFF26" w14:textId="09B5B3BD" w:rsidR="006B42BA" w:rsidRPr="001812BE" w:rsidRDefault="006B42BA" w:rsidP="000770D9">
            <w:pPr>
              <w:spacing w:after="0" w:line="240" w:lineRule="auto"/>
              <w:jc w:val="right"/>
              <w:rPr>
                <w:rFonts w:eastAsia="Times New Roman" w:cs="Times New Roman"/>
                <w:color w:val="000000"/>
              </w:rPr>
            </w:pPr>
            <w:r>
              <w:rPr>
                <w:color w:val="000000"/>
              </w:rPr>
              <w:t>0.3708</w:t>
            </w:r>
          </w:p>
        </w:tc>
        <w:tc>
          <w:tcPr>
            <w:tcW w:w="1491" w:type="dxa"/>
            <w:tcBorders>
              <w:top w:val="nil"/>
              <w:left w:val="nil"/>
              <w:bottom w:val="nil"/>
              <w:right w:val="nil"/>
            </w:tcBorders>
            <w:shd w:val="clear" w:color="auto" w:fill="auto"/>
            <w:noWrap/>
            <w:vAlign w:val="center"/>
            <w:hideMark/>
          </w:tcPr>
          <w:p w14:paraId="626B0F06" w14:textId="1ABD0DF6" w:rsidR="006B42BA" w:rsidRPr="001812BE" w:rsidRDefault="006B42BA" w:rsidP="00A31847">
            <w:pPr>
              <w:spacing w:after="0" w:line="240" w:lineRule="auto"/>
              <w:jc w:val="right"/>
              <w:rPr>
                <w:rFonts w:eastAsia="Times New Roman" w:cs="Times New Roman"/>
                <w:color w:val="000000"/>
              </w:rPr>
            </w:pPr>
            <w:r>
              <w:rPr>
                <w:color w:val="000000"/>
              </w:rPr>
              <w:t>0.4386</w:t>
            </w:r>
          </w:p>
        </w:tc>
        <w:tc>
          <w:tcPr>
            <w:tcW w:w="1491" w:type="dxa"/>
            <w:tcBorders>
              <w:top w:val="nil"/>
              <w:left w:val="nil"/>
              <w:bottom w:val="nil"/>
              <w:right w:val="double" w:sz="6" w:space="0" w:color="auto"/>
            </w:tcBorders>
            <w:shd w:val="clear" w:color="auto" w:fill="auto"/>
            <w:noWrap/>
            <w:vAlign w:val="center"/>
            <w:hideMark/>
          </w:tcPr>
          <w:p w14:paraId="402C3830" w14:textId="61CD67F6" w:rsidR="006B42BA" w:rsidRPr="001812BE" w:rsidRDefault="006B42BA" w:rsidP="009E0FF1">
            <w:pPr>
              <w:spacing w:after="0" w:line="240" w:lineRule="auto"/>
              <w:jc w:val="right"/>
              <w:rPr>
                <w:rFonts w:eastAsia="Times New Roman" w:cs="Times New Roman"/>
                <w:color w:val="000000"/>
              </w:rPr>
            </w:pPr>
            <w:r>
              <w:rPr>
                <w:color w:val="000000"/>
              </w:rPr>
              <w:t>0.4462</w:t>
            </w:r>
          </w:p>
        </w:tc>
      </w:tr>
      <w:tr w:rsidR="006B42BA" w:rsidRPr="00B664E8" w14:paraId="594D121E" w14:textId="77777777" w:rsidTr="00873B6F">
        <w:trPr>
          <w:trHeight w:val="243"/>
        </w:trPr>
        <w:tc>
          <w:tcPr>
            <w:tcW w:w="3307" w:type="dxa"/>
            <w:tcBorders>
              <w:top w:val="nil"/>
              <w:left w:val="double" w:sz="6" w:space="0" w:color="auto"/>
              <w:bottom w:val="single" w:sz="4" w:space="0" w:color="auto"/>
              <w:right w:val="nil"/>
            </w:tcBorders>
            <w:shd w:val="clear" w:color="auto" w:fill="auto"/>
            <w:vAlign w:val="bottom"/>
            <w:hideMark/>
          </w:tcPr>
          <w:p w14:paraId="3CE8D742" w14:textId="77777777" w:rsidR="006B42BA" w:rsidRPr="00B664E8" w:rsidRDefault="006B42BA" w:rsidP="006B42BA">
            <w:pPr>
              <w:spacing w:after="0" w:line="240" w:lineRule="auto"/>
              <w:jc w:val="left"/>
              <w:rPr>
                <w:rFonts w:eastAsia="Times New Roman" w:cs="Times New Roman"/>
                <w:color w:val="000000"/>
              </w:rPr>
            </w:pPr>
            <w:r w:rsidRPr="00B664E8">
              <w:rPr>
                <w:rFonts w:eastAsia="Times New Roman" w:cs="Times New Roman"/>
                <w:color w:val="000000"/>
              </w:rPr>
              <w:t>Probability of correct prediction</w:t>
            </w:r>
          </w:p>
        </w:tc>
        <w:tc>
          <w:tcPr>
            <w:tcW w:w="1490" w:type="dxa"/>
            <w:tcBorders>
              <w:top w:val="nil"/>
              <w:left w:val="nil"/>
              <w:bottom w:val="single" w:sz="4" w:space="0" w:color="auto"/>
              <w:right w:val="nil"/>
            </w:tcBorders>
            <w:shd w:val="clear" w:color="auto" w:fill="auto"/>
            <w:noWrap/>
            <w:vAlign w:val="center"/>
            <w:hideMark/>
          </w:tcPr>
          <w:p w14:paraId="4B96C0D7" w14:textId="201A4127" w:rsidR="006B42BA" w:rsidRPr="001812BE" w:rsidRDefault="006B42BA" w:rsidP="00323017">
            <w:pPr>
              <w:spacing w:after="0" w:line="240" w:lineRule="auto"/>
              <w:jc w:val="right"/>
              <w:rPr>
                <w:rFonts w:eastAsia="Times New Roman" w:cs="Times New Roman"/>
                <w:color w:val="000000"/>
              </w:rPr>
            </w:pPr>
            <w:r>
              <w:rPr>
                <w:color w:val="000000"/>
              </w:rPr>
              <w:t>0.0108</w:t>
            </w:r>
          </w:p>
        </w:tc>
        <w:tc>
          <w:tcPr>
            <w:tcW w:w="1491" w:type="dxa"/>
            <w:tcBorders>
              <w:top w:val="nil"/>
              <w:left w:val="nil"/>
              <w:bottom w:val="single" w:sz="4" w:space="0" w:color="auto"/>
              <w:right w:val="nil"/>
            </w:tcBorders>
            <w:shd w:val="clear" w:color="auto" w:fill="auto"/>
            <w:noWrap/>
            <w:vAlign w:val="center"/>
            <w:hideMark/>
          </w:tcPr>
          <w:p w14:paraId="7170C4FB" w14:textId="2A424784" w:rsidR="006B42BA" w:rsidRPr="001812BE" w:rsidRDefault="006B42BA" w:rsidP="000770D9">
            <w:pPr>
              <w:spacing w:after="0" w:line="240" w:lineRule="auto"/>
              <w:jc w:val="right"/>
              <w:rPr>
                <w:rFonts w:eastAsia="Times New Roman" w:cs="Times New Roman"/>
                <w:color w:val="000000"/>
              </w:rPr>
            </w:pPr>
            <w:r>
              <w:rPr>
                <w:color w:val="000000"/>
              </w:rPr>
              <w:t>0.0194</w:t>
            </w:r>
          </w:p>
        </w:tc>
        <w:tc>
          <w:tcPr>
            <w:tcW w:w="1491" w:type="dxa"/>
            <w:tcBorders>
              <w:top w:val="nil"/>
              <w:left w:val="nil"/>
              <w:bottom w:val="single" w:sz="4" w:space="0" w:color="auto"/>
              <w:right w:val="nil"/>
            </w:tcBorders>
            <w:shd w:val="clear" w:color="auto" w:fill="auto"/>
            <w:noWrap/>
            <w:vAlign w:val="center"/>
            <w:hideMark/>
          </w:tcPr>
          <w:p w14:paraId="0E41B8F6" w14:textId="4BBE5E55" w:rsidR="006B42BA" w:rsidRPr="001812BE" w:rsidRDefault="006B42BA" w:rsidP="00A31847">
            <w:pPr>
              <w:spacing w:after="0" w:line="240" w:lineRule="auto"/>
              <w:jc w:val="right"/>
              <w:rPr>
                <w:rFonts w:eastAsia="Times New Roman" w:cs="Times New Roman"/>
                <w:color w:val="000000"/>
              </w:rPr>
            </w:pPr>
            <w:r>
              <w:rPr>
                <w:color w:val="000000"/>
              </w:rPr>
              <w:t>0.0280</w:t>
            </w:r>
          </w:p>
        </w:tc>
        <w:tc>
          <w:tcPr>
            <w:tcW w:w="1491" w:type="dxa"/>
            <w:tcBorders>
              <w:top w:val="nil"/>
              <w:left w:val="nil"/>
              <w:bottom w:val="single" w:sz="4" w:space="0" w:color="auto"/>
              <w:right w:val="double" w:sz="6" w:space="0" w:color="auto"/>
            </w:tcBorders>
            <w:shd w:val="clear" w:color="auto" w:fill="auto"/>
            <w:noWrap/>
            <w:vAlign w:val="center"/>
            <w:hideMark/>
          </w:tcPr>
          <w:p w14:paraId="0A617EE0" w14:textId="6135B260" w:rsidR="006B42BA" w:rsidRPr="001812BE" w:rsidRDefault="006B42BA" w:rsidP="009E0FF1">
            <w:pPr>
              <w:spacing w:after="0" w:line="240" w:lineRule="auto"/>
              <w:jc w:val="right"/>
              <w:rPr>
                <w:rFonts w:eastAsia="Times New Roman" w:cs="Times New Roman"/>
                <w:color w:val="000000"/>
              </w:rPr>
            </w:pPr>
            <w:r>
              <w:rPr>
                <w:color w:val="000000"/>
              </w:rPr>
              <w:t>0.0147</w:t>
            </w:r>
          </w:p>
        </w:tc>
      </w:tr>
      <w:tr w:rsidR="006B42BA" w:rsidRPr="00B664E8" w14:paraId="702810CF" w14:textId="77777777" w:rsidTr="00873B6F">
        <w:trPr>
          <w:trHeight w:val="243"/>
        </w:trPr>
        <w:tc>
          <w:tcPr>
            <w:tcW w:w="3307" w:type="dxa"/>
            <w:tcBorders>
              <w:top w:val="nil"/>
              <w:left w:val="double" w:sz="6" w:space="0" w:color="auto"/>
              <w:bottom w:val="nil"/>
              <w:right w:val="nil"/>
            </w:tcBorders>
            <w:shd w:val="clear" w:color="auto" w:fill="auto"/>
            <w:vAlign w:val="bottom"/>
            <w:hideMark/>
          </w:tcPr>
          <w:p w14:paraId="7CBCF252" w14:textId="77777777" w:rsidR="006B42BA" w:rsidRPr="00B664E8" w:rsidRDefault="006B42BA" w:rsidP="006B42BA">
            <w:pPr>
              <w:spacing w:after="0" w:line="240" w:lineRule="auto"/>
              <w:jc w:val="left"/>
              <w:rPr>
                <w:rFonts w:eastAsia="Times New Roman" w:cs="Times New Roman"/>
                <w:color w:val="000000"/>
              </w:rPr>
            </w:pPr>
            <w:r w:rsidRPr="00B664E8">
              <w:rPr>
                <w:rFonts w:eastAsia="Times New Roman" w:cs="Times New Roman"/>
                <w:color w:val="000000"/>
              </w:rPr>
              <w:t>MNL</w:t>
            </w:r>
          </w:p>
        </w:tc>
        <w:tc>
          <w:tcPr>
            <w:tcW w:w="1490" w:type="dxa"/>
            <w:tcBorders>
              <w:top w:val="nil"/>
              <w:left w:val="nil"/>
              <w:bottom w:val="nil"/>
              <w:right w:val="nil"/>
            </w:tcBorders>
            <w:shd w:val="clear" w:color="auto" w:fill="auto"/>
            <w:noWrap/>
            <w:vAlign w:val="center"/>
            <w:hideMark/>
          </w:tcPr>
          <w:p w14:paraId="77A9236E" w14:textId="77777777" w:rsidR="006B42BA" w:rsidRPr="001812BE" w:rsidRDefault="006B42BA" w:rsidP="00873B6F">
            <w:pPr>
              <w:spacing w:after="0" w:line="240" w:lineRule="auto"/>
              <w:jc w:val="right"/>
              <w:rPr>
                <w:rFonts w:eastAsia="Times New Roman" w:cs="Times New Roman"/>
                <w:color w:val="000000"/>
              </w:rPr>
            </w:pPr>
          </w:p>
        </w:tc>
        <w:tc>
          <w:tcPr>
            <w:tcW w:w="1491" w:type="dxa"/>
            <w:tcBorders>
              <w:top w:val="nil"/>
              <w:left w:val="nil"/>
              <w:bottom w:val="nil"/>
              <w:right w:val="nil"/>
            </w:tcBorders>
            <w:shd w:val="clear" w:color="auto" w:fill="auto"/>
            <w:noWrap/>
            <w:vAlign w:val="center"/>
            <w:hideMark/>
          </w:tcPr>
          <w:p w14:paraId="2EC125AD" w14:textId="77777777" w:rsidR="006B42BA" w:rsidRPr="00873B6F" w:rsidRDefault="006B42BA" w:rsidP="00873B6F">
            <w:pPr>
              <w:spacing w:after="0" w:line="240" w:lineRule="auto"/>
              <w:jc w:val="right"/>
              <w:rPr>
                <w:rFonts w:eastAsia="Times New Roman" w:cs="Times New Roman"/>
              </w:rPr>
            </w:pPr>
          </w:p>
        </w:tc>
        <w:tc>
          <w:tcPr>
            <w:tcW w:w="1491" w:type="dxa"/>
            <w:tcBorders>
              <w:top w:val="nil"/>
              <w:left w:val="nil"/>
              <w:bottom w:val="nil"/>
              <w:right w:val="nil"/>
            </w:tcBorders>
            <w:shd w:val="clear" w:color="auto" w:fill="auto"/>
            <w:noWrap/>
            <w:vAlign w:val="center"/>
            <w:hideMark/>
          </w:tcPr>
          <w:p w14:paraId="42CF3B49" w14:textId="77777777" w:rsidR="006B42BA" w:rsidRPr="00873B6F" w:rsidRDefault="006B42BA" w:rsidP="00873B6F">
            <w:pPr>
              <w:spacing w:after="0" w:line="240" w:lineRule="auto"/>
              <w:jc w:val="right"/>
              <w:rPr>
                <w:rFonts w:eastAsia="Times New Roman" w:cs="Times New Roman"/>
              </w:rPr>
            </w:pPr>
          </w:p>
        </w:tc>
        <w:tc>
          <w:tcPr>
            <w:tcW w:w="1491" w:type="dxa"/>
            <w:tcBorders>
              <w:top w:val="nil"/>
              <w:left w:val="nil"/>
              <w:bottom w:val="nil"/>
              <w:right w:val="double" w:sz="6" w:space="0" w:color="auto"/>
            </w:tcBorders>
            <w:shd w:val="clear" w:color="auto" w:fill="auto"/>
            <w:noWrap/>
            <w:vAlign w:val="center"/>
            <w:hideMark/>
          </w:tcPr>
          <w:p w14:paraId="23222667" w14:textId="6409025C" w:rsidR="006B42BA" w:rsidRPr="001812BE" w:rsidRDefault="006B42BA" w:rsidP="00873B6F">
            <w:pPr>
              <w:spacing w:after="0" w:line="240" w:lineRule="auto"/>
              <w:jc w:val="right"/>
              <w:rPr>
                <w:rFonts w:eastAsia="Times New Roman" w:cs="Times New Roman"/>
                <w:color w:val="000000"/>
              </w:rPr>
            </w:pPr>
            <w:r>
              <w:rPr>
                <w:color w:val="000000"/>
              </w:rPr>
              <w:t> </w:t>
            </w:r>
          </w:p>
        </w:tc>
      </w:tr>
      <w:tr w:rsidR="006B42BA" w:rsidRPr="00B664E8" w14:paraId="06F46BE0" w14:textId="77777777" w:rsidTr="00873B6F">
        <w:trPr>
          <w:trHeight w:val="243"/>
        </w:trPr>
        <w:tc>
          <w:tcPr>
            <w:tcW w:w="3307" w:type="dxa"/>
            <w:tcBorders>
              <w:top w:val="nil"/>
              <w:left w:val="double" w:sz="6" w:space="0" w:color="auto"/>
              <w:bottom w:val="nil"/>
              <w:right w:val="nil"/>
            </w:tcBorders>
            <w:shd w:val="clear" w:color="auto" w:fill="auto"/>
            <w:vAlign w:val="bottom"/>
            <w:hideMark/>
          </w:tcPr>
          <w:p w14:paraId="4C19DBC5" w14:textId="77777777" w:rsidR="006B42BA" w:rsidRPr="00B664E8" w:rsidRDefault="006B42BA" w:rsidP="006B42BA">
            <w:pPr>
              <w:spacing w:after="0" w:line="240" w:lineRule="auto"/>
              <w:jc w:val="left"/>
              <w:rPr>
                <w:rFonts w:eastAsia="Times New Roman" w:cs="Times New Roman"/>
                <w:color w:val="000000"/>
              </w:rPr>
            </w:pPr>
            <w:r w:rsidRPr="00B664E8">
              <w:rPr>
                <w:rFonts w:eastAsia="Times New Roman" w:cs="Times New Roman"/>
                <w:color w:val="000000"/>
              </w:rPr>
              <w:t>Number of parameters</w:t>
            </w:r>
          </w:p>
        </w:tc>
        <w:tc>
          <w:tcPr>
            <w:tcW w:w="1490" w:type="dxa"/>
            <w:tcBorders>
              <w:top w:val="nil"/>
              <w:left w:val="nil"/>
              <w:bottom w:val="nil"/>
              <w:right w:val="nil"/>
            </w:tcBorders>
            <w:shd w:val="clear" w:color="auto" w:fill="auto"/>
            <w:noWrap/>
            <w:vAlign w:val="center"/>
            <w:hideMark/>
          </w:tcPr>
          <w:p w14:paraId="1710F71A" w14:textId="48AC7C6E" w:rsidR="006B42BA" w:rsidRPr="001812BE" w:rsidRDefault="006B42BA" w:rsidP="00323017">
            <w:pPr>
              <w:spacing w:after="0" w:line="240" w:lineRule="auto"/>
              <w:jc w:val="right"/>
              <w:rPr>
                <w:rFonts w:eastAsia="Times New Roman" w:cs="Times New Roman"/>
                <w:color w:val="000000"/>
              </w:rPr>
            </w:pPr>
            <w:r>
              <w:rPr>
                <w:color w:val="000000"/>
              </w:rPr>
              <w:t>12</w:t>
            </w:r>
          </w:p>
        </w:tc>
        <w:tc>
          <w:tcPr>
            <w:tcW w:w="1491" w:type="dxa"/>
            <w:tcBorders>
              <w:top w:val="nil"/>
              <w:left w:val="nil"/>
              <w:bottom w:val="nil"/>
              <w:right w:val="nil"/>
            </w:tcBorders>
            <w:shd w:val="clear" w:color="auto" w:fill="auto"/>
            <w:noWrap/>
            <w:vAlign w:val="center"/>
            <w:hideMark/>
          </w:tcPr>
          <w:p w14:paraId="00E44E75" w14:textId="1C2E6F37" w:rsidR="006B42BA" w:rsidRPr="001812BE" w:rsidRDefault="006B42BA" w:rsidP="000770D9">
            <w:pPr>
              <w:spacing w:after="0" w:line="240" w:lineRule="auto"/>
              <w:jc w:val="right"/>
              <w:rPr>
                <w:rFonts w:eastAsia="Times New Roman" w:cs="Times New Roman"/>
                <w:color w:val="000000"/>
              </w:rPr>
            </w:pPr>
            <w:r>
              <w:rPr>
                <w:color w:val="000000"/>
              </w:rPr>
              <w:t>13</w:t>
            </w:r>
          </w:p>
        </w:tc>
        <w:tc>
          <w:tcPr>
            <w:tcW w:w="1491" w:type="dxa"/>
            <w:tcBorders>
              <w:top w:val="nil"/>
              <w:left w:val="nil"/>
              <w:bottom w:val="nil"/>
              <w:right w:val="nil"/>
            </w:tcBorders>
            <w:shd w:val="clear" w:color="auto" w:fill="auto"/>
            <w:noWrap/>
            <w:vAlign w:val="center"/>
            <w:hideMark/>
          </w:tcPr>
          <w:p w14:paraId="51A27FD9" w14:textId="3C6D4FFF" w:rsidR="006B42BA" w:rsidRPr="001812BE" w:rsidRDefault="006B42BA" w:rsidP="0010666D">
            <w:pPr>
              <w:spacing w:after="0" w:line="240" w:lineRule="auto"/>
              <w:jc w:val="right"/>
              <w:rPr>
                <w:rFonts w:eastAsia="Times New Roman" w:cs="Times New Roman"/>
                <w:color w:val="000000"/>
              </w:rPr>
            </w:pPr>
            <w:r>
              <w:rPr>
                <w:color w:val="000000"/>
              </w:rPr>
              <w:t>1</w:t>
            </w:r>
            <w:r w:rsidR="00FE5367">
              <w:rPr>
                <w:color w:val="000000"/>
              </w:rPr>
              <w:t>3</w:t>
            </w:r>
          </w:p>
        </w:tc>
        <w:tc>
          <w:tcPr>
            <w:tcW w:w="1491" w:type="dxa"/>
            <w:tcBorders>
              <w:top w:val="nil"/>
              <w:left w:val="nil"/>
              <w:bottom w:val="nil"/>
              <w:right w:val="double" w:sz="6" w:space="0" w:color="auto"/>
            </w:tcBorders>
            <w:shd w:val="clear" w:color="auto" w:fill="auto"/>
            <w:noWrap/>
            <w:vAlign w:val="center"/>
            <w:hideMark/>
          </w:tcPr>
          <w:p w14:paraId="620F7B27" w14:textId="48A2BA42" w:rsidR="006B42BA" w:rsidRPr="001812BE" w:rsidRDefault="006B42BA" w:rsidP="009E0FF1">
            <w:pPr>
              <w:spacing w:after="0" w:line="240" w:lineRule="auto"/>
              <w:jc w:val="right"/>
              <w:rPr>
                <w:rFonts w:eastAsia="Times New Roman" w:cs="Times New Roman"/>
                <w:color w:val="000000"/>
              </w:rPr>
            </w:pPr>
            <w:r>
              <w:rPr>
                <w:color w:val="000000"/>
              </w:rPr>
              <w:t>12</w:t>
            </w:r>
          </w:p>
        </w:tc>
      </w:tr>
      <w:tr w:rsidR="006B42BA" w:rsidRPr="00B664E8" w14:paraId="1D4CF7D7" w14:textId="77777777" w:rsidTr="00873B6F">
        <w:trPr>
          <w:trHeight w:val="243"/>
        </w:trPr>
        <w:tc>
          <w:tcPr>
            <w:tcW w:w="3307" w:type="dxa"/>
            <w:tcBorders>
              <w:top w:val="nil"/>
              <w:left w:val="double" w:sz="6" w:space="0" w:color="auto"/>
              <w:bottom w:val="nil"/>
              <w:right w:val="nil"/>
            </w:tcBorders>
            <w:shd w:val="clear" w:color="auto" w:fill="auto"/>
            <w:vAlign w:val="bottom"/>
            <w:hideMark/>
          </w:tcPr>
          <w:p w14:paraId="69DB28A5" w14:textId="77777777" w:rsidR="006B42BA" w:rsidRPr="00B664E8" w:rsidRDefault="006B42BA" w:rsidP="006B42BA">
            <w:pPr>
              <w:spacing w:after="0" w:line="240" w:lineRule="auto"/>
              <w:jc w:val="left"/>
              <w:rPr>
                <w:rFonts w:eastAsia="Times New Roman" w:cs="Times New Roman"/>
                <w:color w:val="000000"/>
              </w:rPr>
            </w:pPr>
            <w:r w:rsidRPr="00B664E8">
              <w:rPr>
                <w:rFonts w:eastAsia="Times New Roman" w:cs="Times New Roman"/>
                <w:color w:val="000000"/>
              </w:rPr>
              <w:t>Predictive Log-likelihood</w:t>
            </w:r>
          </w:p>
        </w:tc>
        <w:tc>
          <w:tcPr>
            <w:tcW w:w="1490" w:type="dxa"/>
            <w:tcBorders>
              <w:top w:val="nil"/>
              <w:left w:val="nil"/>
              <w:bottom w:val="nil"/>
              <w:right w:val="nil"/>
            </w:tcBorders>
            <w:shd w:val="clear" w:color="auto" w:fill="auto"/>
            <w:noWrap/>
            <w:vAlign w:val="center"/>
            <w:hideMark/>
          </w:tcPr>
          <w:p w14:paraId="17B32B98" w14:textId="25D060E7" w:rsidR="006B42BA" w:rsidRPr="001812BE" w:rsidRDefault="006B42BA" w:rsidP="00323017">
            <w:pPr>
              <w:spacing w:after="0" w:line="240" w:lineRule="auto"/>
              <w:jc w:val="right"/>
              <w:rPr>
                <w:rFonts w:eastAsia="Times New Roman" w:cs="Times New Roman"/>
                <w:color w:val="000000"/>
              </w:rPr>
            </w:pPr>
            <w:r>
              <w:rPr>
                <w:color w:val="000000"/>
              </w:rPr>
              <w:t>-35175.59</w:t>
            </w:r>
          </w:p>
        </w:tc>
        <w:tc>
          <w:tcPr>
            <w:tcW w:w="1491" w:type="dxa"/>
            <w:tcBorders>
              <w:top w:val="nil"/>
              <w:left w:val="nil"/>
              <w:bottom w:val="nil"/>
              <w:right w:val="nil"/>
            </w:tcBorders>
            <w:shd w:val="clear" w:color="auto" w:fill="auto"/>
            <w:noWrap/>
            <w:vAlign w:val="center"/>
            <w:hideMark/>
          </w:tcPr>
          <w:p w14:paraId="4F9C1E0A" w14:textId="4622391C" w:rsidR="006B42BA" w:rsidRPr="001812BE" w:rsidRDefault="006B42BA" w:rsidP="000770D9">
            <w:pPr>
              <w:spacing w:after="0" w:line="240" w:lineRule="auto"/>
              <w:jc w:val="right"/>
              <w:rPr>
                <w:rFonts w:eastAsia="Times New Roman" w:cs="Times New Roman"/>
                <w:color w:val="000000"/>
              </w:rPr>
            </w:pPr>
            <w:r>
              <w:rPr>
                <w:color w:val="000000"/>
              </w:rPr>
              <w:t>-81212.28</w:t>
            </w:r>
          </w:p>
        </w:tc>
        <w:tc>
          <w:tcPr>
            <w:tcW w:w="1491" w:type="dxa"/>
            <w:tcBorders>
              <w:top w:val="nil"/>
              <w:left w:val="nil"/>
              <w:bottom w:val="nil"/>
              <w:right w:val="nil"/>
            </w:tcBorders>
            <w:shd w:val="clear" w:color="auto" w:fill="auto"/>
            <w:noWrap/>
            <w:vAlign w:val="center"/>
            <w:hideMark/>
          </w:tcPr>
          <w:p w14:paraId="33394BD6" w14:textId="29F5D40B" w:rsidR="006B42BA" w:rsidRPr="001812BE" w:rsidRDefault="006B42BA" w:rsidP="00A31847">
            <w:pPr>
              <w:spacing w:after="0" w:line="240" w:lineRule="auto"/>
              <w:jc w:val="right"/>
              <w:rPr>
                <w:rFonts w:eastAsia="Times New Roman" w:cs="Times New Roman"/>
                <w:color w:val="000000"/>
              </w:rPr>
            </w:pPr>
            <w:r>
              <w:rPr>
                <w:color w:val="000000"/>
              </w:rPr>
              <w:t>-59242.70</w:t>
            </w:r>
          </w:p>
        </w:tc>
        <w:tc>
          <w:tcPr>
            <w:tcW w:w="1491" w:type="dxa"/>
            <w:tcBorders>
              <w:top w:val="nil"/>
              <w:left w:val="nil"/>
              <w:bottom w:val="nil"/>
              <w:right w:val="double" w:sz="6" w:space="0" w:color="auto"/>
            </w:tcBorders>
            <w:shd w:val="clear" w:color="auto" w:fill="auto"/>
            <w:noWrap/>
            <w:vAlign w:val="center"/>
            <w:hideMark/>
          </w:tcPr>
          <w:p w14:paraId="381F214A" w14:textId="56D480E9" w:rsidR="006B42BA" w:rsidRPr="001812BE" w:rsidRDefault="006B42BA" w:rsidP="009E0FF1">
            <w:pPr>
              <w:spacing w:after="0" w:line="240" w:lineRule="auto"/>
              <w:jc w:val="right"/>
              <w:rPr>
                <w:rFonts w:eastAsia="Times New Roman" w:cs="Times New Roman"/>
                <w:color w:val="000000"/>
              </w:rPr>
            </w:pPr>
            <w:r>
              <w:rPr>
                <w:color w:val="000000"/>
              </w:rPr>
              <w:t>-126816.17</w:t>
            </w:r>
          </w:p>
        </w:tc>
      </w:tr>
      <w:tr w:rsidR="006B42BA" w:rsidRPr="00B664E8" w14:paraId="5E8AE42A" w14:textId="77777777" w:rsidTr="00873B6F">
        <w:trPr>
          <w:trHeight w:val="243"/>
        </w:trPr>
        <w:tc>
          <w:tcPr>
            <w:tcW w:w="3307" w:type="dxa"/>
            <w:tcBorders>
              <w:top w:val="nil"/>
              <w:left w:val="double" w:sz="6" w:space="0" w:color="auto"/>
              <w:right w:val="nil"/>
            </w:tcBorders>
            <w:shd w:val="clear" w:color="auto" w:fill="auto"/>
            <w:vAlign w:val="bottom"/>
            <w:hideMark/>
          </w:tcPr>
          <w:p w14:paraId="2CCCB26C" w14:textId="77777777" w:rsidR="006B42BA" w:rsidRPr="00B664E8" w:rsidRDefault="006B42BA" w:rsidP="006B42BA">
            <w:pPr>
              <w:spacing w:after="0" w:line="240" w:lineRule="auto"/>
              <w:jc w:val="left"/>
              <w:rPr>
                <w:rFonts w:eastAsia="Times New Roman" w:cs="Times New Roman"/>
                <w:color w:val="000000"/>
              </w:rPr>
            </w:pPr>
            <w:r w:rsidRPr="00B664E8">
              <w:rPr>
                <w:rFonts w:eastAsia="Times New Roman" w:cs="Times New Roman"/>
                <w:color w:val="000000"/>
              </w:rPr>
              <w:t>Predictive ADLRI</w:t>
            </w:r>
          </w:p>
        </w:tc>
        <w:tc>
          <w:tcPr>
            <w:tcW w:w="1490" w:type="dxa"/>
            <w:tcBorders>
              <w:top w:val="nil"/>
              <w:left w:val="nil"/>
              <w:right w:val="nil"/>
            </w:tcBorders>
            <w:shd w:val="clear" w:color="auto" w:fill="auto"/>
            <w:noWrap/>
            <w:vAlign w:val="center"/>
            <w:hideMark/>
          </w:tcPr>
          <w:p w14:paraId="43E59F5E" w14:textId="31625F75" w:rsidR="006B42BA" w:rsidRPr="001812BE" w:rsidRDefault="006B42BA" w:rsidP="00323017">
            <w:pPr>
              <w:spacing w:after="0" w:line="240" w:lineRule="auto"/>
              <w:jc w:val="right"/>
              <w:rPr>
                <w:rFonts w:eastAsia="Times New Roman" w:cs="Times New Roman"/>
                <w:color w:val="000000"/>
              </w:rPr>
            </w:pPr>
            <w:r>
              <w:rPr>
                <w:color w:val="000000"/>
              </w:rPr>
              <w:t>0.3326</w:t>
            </w:r>
          </w:p>
        </w:tc>
        <w:tc>
          <w:tcPr>
            <w:tcW w:w="1491" w:type="dxa"/>
            <w:tcBorders>
              <w:top w:val="nil"/>
              <w:left w:val="nil"/>
              <w:right w:val="nil"/>
            </w:tcBorders>
            <w:shd w:val="clear" w:color="auto" w:fill="auto"/>
            <w:noWrap/>
            <w:vAlign w:val="center"/>
            <w:hideMark/>
          </w:tcPr>
          <w:p w14:paraId="5B1FB396" w14:textId="25F4EC2A" w:rsidR="006B42BA" w:rsidRPr="001812BE" w:rsidRDefault="006B42BA" w:rsidP="000770D9">
            <w:pPr>
              <w:spacing w:after="0" w:line="240" w:lineRule="auto"/>
              <w:jc w:val="right"/>
              <w:rPr>
                <w:rFonts w:eastAsia="Times New Roman" w:cs="Times New Roman"/>
                <w:color w:val="000000"/>
              </w:rPr>
            </w:pPr>
            <w:r>
              <w:rPr>
                <w:color w:val="000000"/>
              </w:rPr>
              <w:t>0.3444</w:t>
            </w:r>
          </w:p>
        </w:tc>
        <w:tc>
          <w:tcPr>
            <w:tcW w:w="1491" w:type="dxa"/>
            <w:tcBorders>
              <w:top w:val="nil"/>
              <w:left w:val="nil"/>
              <w:right w:val="nil"/>
            </w:tcBorders>
            <w:shd w:val="clear" w:color="auto" w:fill="auto"/>
            <w:noWrap/>
            <w:vAlign w:val="center"/>
            <w:hideMark/>
          </w:tcPr>
          <w:p w14:paraId="6A39648C" w14:textId="4014C6DF" w:rsidR="006B42BA" w:rsidRPr="001812BE" w:rsidRDefault="006B42BA" w:rsidP="00A31847">
            <w:pPr>
              <w:spacing w:after="0" w:line="240" w:lineRule="auto"/>
              <w:jc w:val="right"/>
              <w:rPr>
                <w:rFonts w:eastAsia="Times New Roman" w:cs="Times New Roman"/>
                <w:color w:val="000000"/>
              </w:rPr>
            </w:pPr>
            <w:r>
              <w:rPr>
                <w:color w:val="000000"/>
              </w:rPr>
              <w:t>0.4118</w:t>
            </w:r>
          </w:p>
        </w:tc>
        <w:tc>
          <w:tcPr>
            <w:tcW w:w="1491" w:type="dxa"/>
            <w:tcBorders>
              <w:top w:val="nil"/>
              <w:left w:val="nil"/>
              <w:right w:val="double" w:sz="6" w:space="0" w:color="auto"/>
            </w:tcBorders>
            <w:shd w:val="clear" w:color="auto" w:fill="auto"/>
            <w:noWrap/>
            <w:vAlign w:val="center"/>
            <w:hideMark/>
          </w:tcPr>
          <w:p w14:paraId="36D32DA5" w14:textId="781E3B04" w:rsidR="006B42BA" w:rsidRPr="001812BE" w:rsidRDefault="006B42BA" w:rsidP="009E0FF1">
            <w:pPr>
              <w:spacing w:after="0" w:line="240" w:lineRule="auto"/>
              <w:jc w:val="right"/>
              <w:rPr>
                <w:rFonts w:eastAsia="Times New Roman" w:cs="Times New Roman"/>
                <w:color w:val="000000"/>
              </w:rPr>
            </w:pPr>
            <w:r>
              <w:rPr>
                <w:color w:val="000000"/>
              </w:rPr>
              <w:t>0.4169</w:t>
            </w:r>
          </w:p>
        </w:tc>
      </w:tr>
      <w:tr w:rsidR="006B42BA" w:rsidRPr="00B664E8" w14:paraId="615C5616" w14:textId="77777777" w:rsidTr="00873B6F">
        <w:trPr>
          <w:trHeight w:val="243"/>
        </w:trPr>
        <w:tc>
          <w:tcPr>
            <w:tcW w:w="3307" w:type="dxa"/>
            <w:tcBorders>
              <w:top w:val="nil"/>
              <w:left w:val="double" w:sz="6" w:space="0" w:color="auto"/>
              <w:bottom w:val="double" w:sz="4" w:space="0" w:color="auto"/>
              <w:right w:val="nil"/>
            </w:tcBorders>
            <w:shd w:val="clear" w:color="auto" w:fill="auto"/>
            <w:vAlign w:val="bottom"/>
            <w:hideMark/>
          </w:tcPr>
          <w:p w14:paraId="115FF534" w14:textId="77777777" w:rsidR="006B42BA" w:rsidRPr="00B664E8" w:rsidRDefault="006B42BA" w:rsidP="006B42BA">
            <w:pPr>
              <w:spacing w:after="0" w:line="240" w:lineRule="auto"/>
              <w:jc w:val="left"/>
              <w:rPr>
                <w:rFonts w:eastAsia="Times New Roman" w:cs="Times New Roman"/>
                <w:color w:val="000000"/>
              </w:rPr>
            </w:pPr>
            <w:r w:rsidRPr="00B664E8">
              <w:rPr>
                <w:rFonts w:eastAsia="Times New Roman" w:cs="Times New Roman"/>
                <w:color w:val="000000"/>
              </w:rPr>
              <w:t>Probability of correct prediction</w:t>
            </w:r>
          </w:p>
        </w:tc>
        <w:tc>
          <w:tcPr>
            <w:tcW w:w="1490" w:type="dxa"/>
            <w:tcBorders>
              <w:top w:val="nil"/>
              <w:left w:val="nil"/>
              <w:bottom w:val="double" w:sz="4" w:space="0" w:color="auto"/>
              <w:right w:val="nil"/>
            </w:tcBorders>
            <w:shd w:val="clear" w:color="auto" w:fill="auto"/>
            <w:noWrap/>
            <w:vAlign w:val="center"/>
            <w:hideMark/>
          </w:tcPr>
          <w:p w14:paraId="294E8C7B" w14:textId="17B68233" w:rsidR="006B42BA" w:rsidRPr="001812BE" w:rsidRDefault="006B42BA" w:rsidP="00323017">
            <w:pPr>
              <w:spacing w:after="0" w:line="240" w:lineRule="auto"/>
              <w:jc w:val="right"/>
              <w:rPr>
                <w:rFonts w:eastAsia="Times New Roman" w:cs="Times New Roman"/>
                <w:color w:val="000000"/>
              </w:rPr>
            </w:pPr>
            <w:r>
              <w:rPr>
                <w:color w:val="000000"/>
              </w:rPr>
              <w:t>0.0097</w:t>
            </w:r>
          </w:p>
        </w:tc>
        <w:tc>
          <w:tcPr>
            <w:tcW w:w="1491" w:type="dxa"/>
            <w:tcBorders>
              <w:top w:val="nil"/>
              <w:left w:val="nil"/>
              <w:bottom w:val="double" w:sz="4" w:space="0" w:color="auto"/>
              <w:right w:val="nil"/>
            </w:tcBorders>
            <w:shd w:val="clear" w:color="auto" w:fill="auto"/>
            <w:noWrap/>
            <w:vAlign w:val="center"/>
            <w:hideMark/>
          </w:tcPr>
          <w:p w14:paraId="45701430" w14:textId="4FAD8FD4" w:rsidR="006B42BA" w:rsidRPr="00873B6F" w:rsidRDefault="006B42BA" w:rsidP="00323017">
            <w:pPr>
              <w:spacing w:after="0" w:line="240" w:lineRule="auto"/>
              <w:jc w:val="right"/>
              <w:rPr>
                <w:rFonts w:eastAsia="Times New Roman" w:cs="Times New Roman"/>
              </w:rPr>
            </w:pPr>
            <w:r>
              <w:rPr>
                <w:color w:val="000000"/>
              </w:rPr>
              <w:t>0.0171</w:t>
            </w:r>
          </w:p>
        </w:tc>
        <w:tc>
          <w:tcPr>
            <w:tcW w:w="1491" w:type="dxa"/>
            <w:tcBorders>
              <w:top w:val="nil"/>
              <w:left w:val="nil"/>
              <w:bottom w:val="double" w:sz="4" w:space="0" w:color="auto"/>
              <w:right w:val="nil"/>
            </w:tcBorders>
            <w:shd w:val="clear" w:color="auto" w:fill="auto"/>
            <w:noWrap/>
            <w:vAlign w:val="center"/>
            <w:hideMark/>
          </w:tcPr>
          <w:p w14:paraId="77C3568B" w14:textId="5073A5C9" w:rsidR="006B42BA" w:rsidRPr="00873B6F" w:rsidRDefault="006B42BA" w:rsidP="00323017">
            <w:pPr>
              <w:spacing w:after="0" w:line="240" w:lineRule="auto"/>
              <w:jc w:val="right"/>
              <w:rPr>
                <w:rFonts w:eastAsia="Times New Roman" w:cs="Times New Roman"/>
              </w:rPr>
            </w:pPr>
            <w:r>
              <w:rPr>
                <w:color w:val="000000"/>
              </w:rPr>
              <w:t>0.0251</w:t>
            </w:r>
          </w:p>
        </w:tc>
        <w:tc>
          <w:tcPr>
            <w:tcW w:w="1491" w:type="dxa"/>
            <w:tcBorders>
              <w:top w:val="nil"/>
              <w:left w:val="nil"/>
              <w:bottom w:val="double" w:sz="4" w:space="0" w:color="auto"/>
              <w:right w:val="double" w:sz="6" w:space="0" w:color="auto"/>
            </w:tcBorders>
            <w:shd w:val="clear" w:color="auto" w:fill="auto"/>
            <w:noWrap/>
            <w:vAlign w:val="center"/>
            <w:hideMark/>
          </w:tcPr>
          <w:p w14:paraId="1BDBFBEC" w14:textId="7FABEDD4" w:rsidR="006B42BA" w:rsidRPr="001812BE" w:rsidRDefault="006B42BA" w:rsidP="000770D9">
            <w:pPr>
              <w:spacing w:after="0" w:line="240" w:lineRule="auto"/>
              <w:jc w:val="right"/>
              <w:rPr>
                <w:rFonts w:eastAsia="Times New Roman" w:cs="Times New Roman"/>
                <w:color w:val="000000"/>
              </w:rPr>
            </w:pPr>
            <w:r>
              <w:rPr>
                <w:color w:val="000000"/>
              </w:rPr>
              <w:t>0.0128</w:t>
            </w:r>
          </w:p>
        </w:tc>
      </w:tr>
    </w:tbl>
    <w:p w14:paraId="108FAE5A" w14:textId="365FE58E" w:rsidR="008868C7" w:rsidRDefault="008868C7" w:rsidP="00F7439A">
      <w:pPr>
        <w:spacing w:after="0" w:line="240" w:lineRule="auto"/>
        <w:rPr>
          <w:sz w:val="24"/>
          <w:szCs w:val="24"/>
        </w:rPr>
      </w:pPr>
    </w:p>
    <w:p w14:paraId="1EC38F39" w14:textId="77777777" w:rsidR="00B22782" w:rsidRDefault="00B22782" w:rsidP="00B22782">
      <w:pPr>
        <w:pStyle w:val="Heading1"/>
        <w:spacing w:before="0" w:after="0" w:line="240" w:lineRule="auto"/>
      </w:pPr>
      <w:r>
        <w:t>Implications and Applications of model system</w:t>
      </w:r>
    </w:p>
    <w:p w14:paraId="4F5A427E" w14:textId="77777777" w:rsidR="00B22782" w:rsidRDefault="00B22782" w:rsidP="00B22782">
      <w:pPr>
        <w:spacing w:after="0" w:line="240" w:lineRule="auto"/>
        <w:rPr>
          <w:sz w:val="24"/>
          <w:szCs w:val="24"/>
        </w:rPr>
      </w:pPr>
      <w:r w:rsidRPr="00A149DA">
        <w:rPr>
          <w:sz w:val="24"/>
          <w:szCs w:val="24"/>
        </w:rPr>
        <w:t xml:space="preserve">The models developed in this paper provide </w:t>
      </w:r>
      <w:r>
        <w:rPr>
          <w:sz w:val="24"/>
          <w:szCs w:val="24"/>
        </w:rPr>
        <w:t>key</w:t>
      </w:r>
      <w:r w:rsidRPr="00A149DA">
        <w:rPr>
          <w:sz w:val="24"/>
          <w:szCs w:val="24"/>
        </w:rPr>
        <w:t xml:space="preserve"> insights into the nature of deadheading trip</w:t>
      </w:r>
      <w:r>
        <w:rPr>
          <w:sz w:val="24"/>
          <w:szCs w:val="24"/>
        </w:rPr>
        <w:t>s</w:t>
      </w:r>
      <w:r w:rsidRPr="00A149DA">
        <w:rPr>
          <w:sz w:val="24"/>
          <w:szCs w:val="24"/>
        </w:rPr>
        <w:t xml:space="preserve"> </w:t>
      </w:r>
      <w:r>
        <w:rPr>
          <w:sz w:val="24"/>
          <w:szCs w:val="24"/>
        </w:rPr>
        <w:t>and</w:t>
      </w:r>
      <w:r w:rsidRPr="00A149DA">
        <w:rPr>
          <w:sz w:val="24"/>
          <w:szCs w:val="24"/>
        </w:rPr>
        <w:t xml:space="preserve"> can be used to guide the development of policies related to ride-hailing</w:t>
      </w:r>
      <w:r>
        <w:rPr>
          <w:sz w:val="24"/>
          <w:szCs w:val="24"/>
        </w:rPr>
        <w:t xml:space="preserve"> services</w:t>
      </w:r>
      <w:r w:rsidRPr="00A149DA">
        <w:rPr>
          <w:sz w:val="24"/>
          <w:szCs w:val="24"/>
        </w:rPr>
        <w:t xml:space="preserve">. Additionally, the modeling framework </w:t>
      </w:r>
      <w:r>
        <w:rPr>
          <w:sz w:val="24"/>
          <w:szCs w:val="24"/>
        </w:rPr>
        <w:t>of this study</w:t>
      </w:r>
      <w:r w:rsidRPr="00A149DA">
        <w:rPr>
          <w:sz w:val="24"/>
          <w:szCs w:val="24"/>
        </w:rPr>
        <w:t xml:space="preserve"> can </w:t>
      </w:r>
      <w:r>
        <w:rPr>
          <w:sz w:val="24"/>
          <w:szCs w:val="24"/>
        </w:rPr>
        <w:t>be incorporated in</w:t>
      </w:r>
      <w:r w:rsidRPr="00A149DA">
        <w:rPr>
          <w:sz w:val="24"/>
          <w:szCs w:val="24"/>
        </w:rPr>
        <w:t xml:space="preserve"> travel demand forecasting models, </w:t>
      </w:r>
      <w:r>
        <w:rPr>
          <w:sz w:val="24"/>
          <w:szCs w:val="24"/>
        </w:rPr>
        <w:t>which</w:t>
      </w:r>
      <w:r w:rsidRPr="00A149DA">
        <w:rPr>
          <w:sz w:val="24"/>
          <w:szCs w:val="24"/>
        </w:rPr>
        <w:t xml:space="preserve"> do not </w:t>
      </w:r>
      <w:r>
        <w:rPr>
          <w:sz w:val="24"/>
          <w:szCs w:val="24"/>
        </w:rPr>
        <w:t xml:space="preserve">currently </w:t>
      </w:r>
      <w:proofErr w:type="gramStart"/>
      <w:r w:rsidRPr="00A149DA">
        <w:rPr>
          <w:sz w:val="24"/>
          <w:szCs w:val="24"/>
        </w:rPr>
        <w:t>take into account</w:t>
      </w:r>
      <w:proofErr w:type="gramEnd"/>
      <w:r w:rsidRPr="00A149DA">
        <w:rPr>
          <w:sz w:val="24"/>
          <w:szCs w:val="24"/>
        </w:rPr>
        <w:t xml:space="preserve"> the impacts of deadheading trips. </w:t>
      </w:r>
      <w:r>
        <w:rPr>
          <w:sz w:val="24"/>
          <w:szCs w:val="24"/>
        </w:rPr>
        <w:t xml:space="preserve">This section offers a discussion of the implications and applications of the model system developed in this study. </w:t>
      </w:r>
      <w:r w:rsidRPr="00A149DA">
        <w:rPr>
          <w:sz w:val="24"/>
          <w:szCs w:val="24"/>
        </w:rPr>
        <w:t>Section</w:t>
      </w:r>
      <w:r>
        <w:rPr>
          <w:sz w:val="24"/>
          <w:szCs w:val="24"/>
        </w:rPr>
        <w:t xml:space="preserve"> 6.1 </w:t>
      </w:r>
      <w:r w:rsidRPr="00A149DA">
        <w:rPr>
          <w:sz w:val="24"/>
          <w:szCs w:val="24"/>
        </w:rPr>
        <w:t>provides some of the direct implications of the model results presented in Section</w:t>
      </w:r>
      <w:r>
        <w:rPr>
          <w:sz w:val="24"/>
          <w:szCs w:val="24"/>
        </w:rPr>
        <w:t xml:space="preserve"> 5.1. </w:t>
      </w:r>
      <w:r w:rsidRPr="00A149DA">
        <w:rPr>
          <w:sz w:val="24"/>
          <w:szCs w:val="24"/>
        </w:rPr>
        <w:t>A</w:t>
      </w:r>
      <w:r>
        <w:rPr>
          <w:sz w:val="24"/>
          <w:szCs w:val="24"/>
        </w:rPr>
        <w:t xml:space="preserve"> useful </w:t>
      </w:r>
      <w:r w:rsidRPr="00A149DA">
        <w:rPr>
          <w:sz w:val="24"/>
          <w:szCs w:val="24"/>
        </w:rPr>
        <w:lastRenderedPageBreak/>
        <w:t xml:space="preserve">metric </w:t>
      </w:r>
      <w:r>
        <w:rPr>
          <w:sz w:val="24"/>
          <w:szCs w:val="24"/>
        </w:rPr>
        <w:t xml:space="preserve">for </w:t>
      </w:r>
      <w:r w:rsidRPr="00A149DA">
        <w:rPr>
          <w:sz w:val="24"/>
          <w:szCs w:val="24"/>
        </w:rPr>
        <w:t xml:space="preserve">policy makers and TNCs </w:t>
      </w:r>
      <w:r>
        <w:rPr>
          <w:sz w:val="24"/>
          <w:szCs w:val="24"/>
        </w:rPr>
        <w:t>interested</w:t>
      </w:r>
      <w:r w:rsidRPr="00A149DA">
        <w:rPr>
          <w:sz w:val="24"/>
          <w:szCs w:val="24"/>
        </w:rPr>
        <w:t xml:space="preserve"> </w:t>
      </w:r>
      <w:r>
        <w:rPr>
          <w:sz w:val="24"/>
          <w:szCs w:val="24"/>
        </w:rPr>
        <w:t xml:space="preserve">in </w:t>
      </w:r>
      <w:r w:rsidRPr="00A149DA">
        <w:rPr>
          <w:sz w:val="24"/>
          <w:szCs w:val="24"/>
        </w:rPr>
        <w:t>reduc</w:t>
      </w:r>
      <w:r>
        <w:rPr>
          <w:sz w:val="24"/>
          <w:szCs w:val="24"/>
        </w:rPr>
        <w:t>ing</w:t>
      </w:r>
      <w:r w:rsidRPr="00A149DA">
        <w:rPr>
          <w:sz w:val="24"/>
          <w:szCs w:val="24"/>
        </w:rPr>
        <w:t xml:space="preserve"> deadheading is the expected deadheading distance at</w:t>
      </w:r>
      <w:r>
        <w:rPr>
          <w:sz w:val="24"/>
          <w:szCs w:val="24"/>
        </w:rPr>
        <w:t xml:space="preserve"> various</w:t>
      </w:r>
      <w:r w:rsidRPr="00A149DA">
        <w:rPr>
          <w:sz w:val="24"/>
          <w:szCs w:val="24"/>
        </w:rPr>
        <w:t xml:space="preserve"> location</w:t>
      </w:r>
      <w:r>
        <w:rPr>
          <w:sz w:val="24"/>
          <w:szCs w:val="24"/>
        </w:rPr>
        <w:t>s</w:t>
      </w:r>
      <w:r w:rsidRPr="00A149DA">
        <w:rPr>
          <w:sz w:val="24"/>
          <w:szCs w:val="24"/>
        </w:rPr>
        <w:t>. Section</w:t>
      </w:r>
      <w:r>
        <w:rPr>
          <w:sz w:val="24"/>
          <w:szCs w:val="24"/>
        </w:rPr>
        <w:t xml:space="preserve"> 6.2 </w:t>
      </w:r>
      <w:r w:rsidRPr="00A149DA">
        <w:rPr>
          <w:sz w:val="24"/>
          <w:szCs w:val="24"/>
        </w:rPr>
        <w:t xml:space="preserve">illustrates how this metric may be computed. </w:t>
      </w:r>
      <w:r>
        <w:rPr>
          <w:sz w:val="24"/>
          <w:szCs w:val="24"/>
        </w:rPr>
        <w:t>Section 6.3 presents a discussion on</w:t>
      </w:r>
      <w:r w:rsidRPr="00A149DA">
        <w:rPr>
          <w:sz w:val="24"/>
          <w:szCs w:val="24"/>
        </w:rPr>
        <w:t xml:space="preserve"> how the number of deadheading trip interchanges may be computed from the model results. </w:t>
      </w:r>
    </w:p>
    <w:p w14:paraId="54B5ABDF" w14:textId="77777777" w:rsidR="00B22782" w:rsidRDefault="00B22782" w:rsidP="00B22782">
      <w:pPr>
        <w:spacing w:after="0" w:line="240" w:lineRule="auto"/>
        <w:rPr>
          <w:sz w:val="24"/>
          <w:szCs w:val="24"/>
        </w:rPr>
      </w:pPr>
    </w:p>
    <w:p w14:paraId="588F6A85" w14:textId="77777777" w:rsidR="00B22782" w:rsidRPr="00A149DA" w:rsidRDefault="00B22782" w:rsidP="00B22782">
      <w:pPr>
        <w:pStyle w:val="Heading2"/>
        <w:spacing w:before="0" w:line="240" w:lineRule="auto"/>
        <w:rPr>
          <w:szCs w:val="24"/>
        </w:rPr>
      </w:pPr>
      <w:r>
        <w:rPr>
          <w:szCs w:val="24"/>
        </w:rPr>
        <w:t>Planning and Policy I</w:t>
      </w:r>
      <w:r w:rsidRPr="00A149DA">
        <w:rPr>
          <w:szCs w:val="24"/>
        </w:rPr>
        <w:t>mplications</w:t>
      </w:r>
    </w:p>
    <w:p w14:paraId="453D016C" w14:textId="580C8006" w:rsidR="00DB6DFA" w:rsidRDefault="00B22782" w:rsidP="00F7439A">
      <w:pPr>
        <w:spacing w:after="0" w:line="240" w:lineRule="auto"/>
        <w:rPr>
          <w:sz w:val="24"/>
          <w:szCs w:val="24"/>
        </w:rPr>
      </w:pPr>
      <w:r w:rsidRPr="00A149DA">
        <w:rPr>
          <w:sz w:val="24"/>
          <w:szCs w:val="24"/>
        </w:rPr>
        <w:t>The distance traveled per deadheading trip seems to be higher if the deadheading trip originates (or if the previous passenger was dropped off) in a suburban or rural area. This may be because it is relatively more difficult to find a new passenger in these areas</w:t>
      </w:r>
      <w:r>
        <w:rPr>
          <w:sz w:val="24"/>
          <w:szCs w:val="24"/>
        </w:rPr>
        <w:t xml:space="preserve"> and hence the driver needs to travel a farther distance for the next passenger pick-up</w:t>
      </w:r>
      <w:r w:rsidRPr="00A149DA">
        <w:rPr>
          <w:sz w:val="24"/>
          <w:szCs w:val="24"/>
        </w:rPr>
        <w:t xml:space="preserve">. </w:t>
      </w:r>
      <w:r>
        <w:rPr>
          <w:sz w:val="24"/>
          <w:szCs w:val="24"/>
        </w:rPr>
        <w:t xml:space="preserve">This may suggest that it would be prudent to discourage ride-hailing in suburban and rural areas so that the amount of deadheading mileage can be minimized.  However, if policies that penalize or discourage ride-hailing services to operate </w:t>
      </w:r>
      <w:r w:rsidR="00DB6DFA">
        <w:rPr>
          <w:sz w:val="24"/>
          <w:szCs w:val="24"/>
        </w:rPr>
        <w:t>in suburban and rural areas are implemented, the consequences of such policies need to be considered carefully.  It is generally difficult to serve these areas with conventional transit (due to lower densities) and ride-hailing services constitute a convenient mobility option</w:t>
      </w:r>
      <w:r w:rsidR="00A13DDC">
        <w:rPr>
          <w:sz w:val="24"/>
          <w:szCs w:val="24"/>
        </w:rPr>
        <w:t>, especially</w:t>
      </w:r>
      <w:r w:rsidR="00DB6DFA">
        <w:rPr>
          <w:sz w:val="24"/>
          <w:szCs w:val="24"/>
        </w:rPr>
        <w:t xml:space="preserve"> for the transportation disadvantaged in these locations. </w:t>
      </w:r>
      <w:r w:rsidR="00A13DDC">
        <w:rPr>
          <w:sz w:val="24"/>
          <w:szCs w:val="24"/>
        </w:rPr>
        <w:t xml:space="preserve">The fact is that ride-hailing services fill an important mobility gap in areas that are not well served by other modes of travel.  The question then arises as to how ride-hailing services in these areas can be deployed and priced in such a way that deadheading is minimized </w:t>
      </w:r>
      <w:r w:rsidR="005A1564">
        <w:rPr>
          <w:sz w:val="24"/>
          <w:szCs w:val="24"/>
        </w:rPr>
        <w:t>while fully realizing</w:t>
      </w:r>
      <w:r w:rsidR="00A13DDC">
        <w:rPr>
          <w:sz w:val="24"/>
          <w:szCs w:val="24"/>
        </w:rPr>
        <w:t xml:space="preserve"> the mobility benefits that ride-hailing provide.  </w:t>
      </w:r>
      <w:r w:rsidR="00DB6DFA">
        <w:rPr>
          <w:sz w:val="24"/>
          <w:szCs w:val="24"/>
        </w:rPr>
        <w:t xml:space="preserve"> </w:t>
      </w:r>
    </w:p>
    <w:p w14:paraId="76EBC6D2" w14:textId="41E8010B" w:rsidR="00356263" w:rsidRPr="00A149DA" w:rsidRDefault="00356263" w:rsidP="001C78C3">
      <w:pPr>
        <w:spacing w:after="0" w:line="240" w:lineRule="auto"/>
        <w:rPr>
          <w:sz w:val="24"/>
          <w:szCs w:val="24"/>
        </w:rPr>
      </w:pPr>
      <w:r w:rsidRPr="00A149DA">
        <w:rPr>
          <w:sz w:val="24"/>
          <w:szCs w:val="24"/>
        </w:rPr>
        <w:tab/>
        <w:t xml:space="preserve">The model results suggest that ride-hailing caters to individuals who </w:t>
      </w:r>
      <w:r w:rsidR="005A1564">
        <w:rPr>
          <w:sz w:val="24"/>
          <w:szCs w:val="24"/>
        </w:rPr>
        <w:t>engage in social and entertainment activities</w:t>
      </w:r>
      <w:r w:rsidRPr="00A149DA">
        <w:rPr>
          <w:sz w:val="24"/>
          <w:szCs w:val="24"/>
        </w:rPr>
        <w:t xml:space="preserve"> in the </w:t>
      </w:r>
      <w:r w:rsidR="005A1564">
        <w:rPr>
          <w:sz w:val="24"/>
          <w:szCs w:val="24"/>
        </w:rPr>
        <w:t>w</w:t>
      </w:r>
      <w:r w:rsidRPr="00A149DA">
        <w:rPr>
          <w:sz w:val="24"/>
          <w:szCs w:val="24"/>
        </w:rPr>
        <w:t xml:space="preserve">eekend </w:t>
      </w:r>
      <w:r w:rsidR="005A1564">
        <w:rPr>
          <w:sz w:val="24"/>
          <w:szCs w:val="24"/>
        </w:rPr>
        <w:t>n</w:t>
      </w:r>
      <w:r w:rsidRPr="00A149DA">
        <w:rPr>
          <w:sz w:val="24"/>
          <w:szCs w:val="24"/>
        </w:rPr>
        <w:t>ight period. The use of ride-hailing for th</w:t>
      </w:r>
      <w:r w:rsidR="005A1564">
        <w:rPr>
          <w:sz w:val="24"/>
          <w:szCs w:val="24"/>
        </w:rPr>
        <w:t>ese</w:t>
      </w:r>
      <w:r w:rsidRPr="00A149DA">
        <w:rPr>
          <w:sz w:val="24"/>
          <w:szCs w:val="24"/>
        </w:rPr>
        <w:t xml:space="preserve"> </w:t>
      </w:r>
      <w:r w:rsidR="005A1564">
        <w:rPr>
          <w:sz w:val="24"/>
          <w:szCs w:val="24"/>
        </w:rPr>
        <w:t>activities</w:t>
      </w:r>
      <w:r w:rsidRPr="00A149DA">
        <w:rPr>
          <w:sz w:val="24"/>
          <w:szCs w:val="24"/>
        </w:rPr>
        <w:t xml:space="preserve"> </w:t>
      </w:r>
      <w:r w:rsidR="005A1564">
        <w:rPr>
          <w:sz w:val="24"/>
          <w:szCs w:val="24"/>
        </w:rPr>
        <w:t>has merit</w:t>
      </w:r>
      <w:r w:rsidRPr="00A149DA">
        <w:rPr>
          <w:sz w:val="24"/>
          <w:szCs w:val="24"/>
        </w:rPr>
        <w:t xml:space="preserve"> because it leads to a reduction in the incidence of driving under </w:t>
      </w:r>
      <w:r w:rsidR="005A1564">
        <w:rPr>
          <w:sz w:val="24"/>
          <w:szCs w:val="24"/>
        </w:rPr>
        <w:t xml:space="preserve">the </w:t>
      </w:r>
      <w:r w:rsidRPr="00A149DA">
        <w:rPr>
          <w:sz w:val="24"/>
          <w:szCs w:val="24"/>
        </w:rPr>
        <w:t>influence</w:t>
      </w:r>
      <w:r w:rsidR="005A1564">
        <w:rPr>
          <w:sz w:val="24"/>
          <w:szCs w:val="24"/>
        </w:rPr>
        <w:t xml:space="preserve"> or using transit while intoxicated</w:t>
      </w:r>
      <w:r w:rsidRPr="00A149DA">
        <w:rPr>
          <w:sz w:val="24"/>
          <w:szCs w:val="24"/>
        </w:rPr>
        <w:t xml:space="preserve">. In fact, several cities have </w:t>
      </w:r>
      <w:r w:rsidR="005A1564">
        <w:rPr>
          <w:sz w:val="24"/>
          <w:szCs w:val="24"/>
        </w:rPr>
        <w:t>witnessed</w:t>
      </w:r>
      <w:r w:rsidRPr="00A149DA">
        <w:rPr>
          <w:sz w:val="24"/>
          <w:szCs w:val="24"/>
        </w:rPr>
        <w:t xml:space="preserve"> a </w:t>
      </w:r>
      <w:r w:rsidR="00B922C6">
        <w:rPr>
          <w:sz w:val="24"/>
          <w:szCs w:val="24"/>
        </w:rPr>
        <w:t>drop</w:t>
      </w:r>
      <w:r w:rsidRPr="00A149DA">
        <w:rPr>
          <w:sz w:val="24"/>
          <w:szCs w:val="24"/>
        </w:rPr>
        <w:t xml:space="preserve"> in driving under </w:t>
      </w:r>
      <w:r w:rsidR="00B922C6">
        <w:rPr>
          <w:sz w:val="24"/>
          <w:szCs w:val="24"/>
        </w:rPr>
        <w:t xml:space="preserve">the </w:t>
      </w:r>
      <w:r w:rsidRPr="00A149DA">
        <w:rPr>
          <w:sz w:val="24"/>
          <w:szCs w:val="24"/>
        </w:rPr>
        <w:t xml:space="preserve">influence after ride-hailing services became popular </w:t>
      </w:r>
      <w:r w:rsidRPr="00A149DA">
        <w:rPr>
          <w:sz w:val="24"/>
          <w:szCs w:val="24"/>
        </w:rPr>
        <w:fldChar w:fldCharType="begin"/>
      </w:r>
      <w:r w:rsidR="00B46899">
        <w:rPr>
          <w:sz w:val="24"/>
          <w:szCs w:val="24"/>
        </w:rPr>
        <w:instrText xml:space="preserve"> ADDIN ZOTERO_ITEM CSL_CITATION {"citationID":"oFxhLiPv","properties":{"formattedCitation":"(Rabin, 2018; Richards, 2018)","plainCitation":"(Rabin, 2018; Richards, 2018)","noteIndex":0},"citationItems":[{"id":"pYE2dMDV/usf5BCJq","uris":["http://zotero.org/users/local/CJ2Dv405/items/WEH52BK7"],"uri":["http://zotero.org/users/local/CJ2Dv405/items/WEH52BK7"],"itemData":{"id":336,"type":"article-newspaper","abstract":"DUI arrests have plummeted for the two largest police departments in Miami-Dade the past few years. Experts say it’s a combination of ride-sharing companies like Uber, education, enforcement and millenials who drive less.","container-title":"Miami Herald","language":"en","title":"DUI arrests in South Florida plummet. Uber, Lyft, millennials among the reasons why","URL":"https://www.miamiherald.com/news/local/article215758380.html","author":[{"family":"Rabin","given":"Charles"}],"accessed":{"date-parts":[["2019",6,25]]},"issued":{"date-parts":[["2018",7,31]]}}},{"id":"pYE2dMDV/QOkbokpA","uris":["http://zotero.org/users/local/CJ2Dv405/items/S6JXAE6W"],"uri":["http://zotero.org/users/local/CJ2Dv405/items/S6JXAE6W"],"itemData":{"id":338,"type":"article-newspaper","abstract":"The sharp decline in arrests could be a trend that continues.","container-title":"The Mercury News","language":"en-US","title":"DUI arrests down sharply in California cities — thanks to Lyft and Uber?","URL":"https://www.mercurynews.com/2018/05/10/drunk-driving-arrests-decline-in-some-cities/","author":[{"family":"Richards","given":"Gary"}],"accessed":{"date-parts":[["2019",6,25]]},"issued":{"date-parts":[["2018",5,10]]}}}],"schema":"https://github.com/citation-style-language/schema/raw/master/csl-citation.json"} </w:instrText>
      </w:r>
      <w:r w:rsidRPr="00A149DA">
        <w:rPr>
          <w:sz w:val="24"/>
          <w:szCs w:val="24"/>
        </w:rPr>
        <w:fldChar w:fldCharType="separate"/>
      </w:r>
      <w:r w:rsidR="007F3935" w:rsidRPr="007F3935">
        <w:rPr>
          <w:rFonts w:cs="Times New Roman"/>
          <w:sz w:val="24"/>
        </w:rPr>
        <w:t>(Rabin, 2018; Richards, 2018)</w:t>
      </w:r>
      <w:r w:rsidRPr="00A149DA">
        <w:rPr>
          <w:sz w:val="24"/>
          <w:szCs w:val="24"/>
        </w:rPr>
        <w:fldChar w:fldCharType="end"/>
      </w:r>
      <w:r w:rsidRPr="00A149DA">
        <w:rPr>
          <w:sz w:val="24"/>
          <w:szCs w:val="24"/>
        </w:rPr>
        <w:t>.</w:t>
      </w:r>
      <w:r w:rsidR="00CC354E">
        <w:rPr>
          <w:sz w:val="24"/>
          <w:szCs w:val="24"/>
        </w:rPr>
        <w:t xml:space="preserve"> Also, r</w:t>
      </w:r>
      <w:r w:rsidR="00955E78">
        <w:rPr>
          <w:sz w:val="24"/>
          <w:szCs w:val="24"/>
        </w:rPr>
        <w:t xml:space="preserve">ide-hailing demand is higher in zones well served by transit, particularly in the mid-day and PM peak periods when people are more likely to be engaging in out-of-home activities. Whether this is indicative of a competitive effect on transit usage remains to be determined, although recent evidence suggests that ride-hailing is likely to be substituting transit trips </w:t>
      </w:r>
      <w:r w:rsidR="005E652D">
        <w:rPr>
          <w:sz w:val="24"/>
          <w:szCs w:val="24"/>
        </w:rPr>
        <w:fldChar w:fldCharType="begin"/>
      </w:r>
      <w:r w:rsidR="00B46899">
        <w:rPr>
          <w:sz w:val="24"/>
          <w:szCs w:val="24"/>
        </w:rPr>
        <w:instrText xml:space="preserve"> ADDIN ZOTERO_ITEM CSL_CITATION {"citationID":"Us9Dzp3t","properties":{"formattedCitation":"(Schaller, 2018)","plainCitation":"(Schaller, 2018)","noteIndex":0},"citationItems":[{"id":"pYE2dMDV/OEJtQ0A8","uris":["http://zotero.org/users/local/CJ2Dv405/items/FUK4DZK5"],"uri":["http://zotero.org/users/local/CJ2Dv405/items/FUK4DZK5"],"itemData":{"id":367,"type":"article-journal","container-title":"TR News","ISSN":"0738-6826","issue":"315","source":"trid.trb.org","title":"Second Chances: Regulation and Deregulation of Taxi and For-Hire Ride Services","title-short":"Second Chances","URL":"https://trid.trb.org/view/1516860","author":[{"family":"Schaller","given":"Bruce"}],"accessed":{"date-parts":[["2019",7,28]]},"issued":{"date-parts":[["2018",5]]}}}],"schema":"https://github.com/citation-style-language/schema/raw/master/csl-citation.json"} </w:instrText>
      </w:r>
      <w:r w:rsidR="005E652D">
        <w:rPr>
          <w:sz w:val="24"/>
          <w:szCs w:val="24"/>
        </w:rPr>
        <w:fldChar w:fldCharType="separate"/>
      </w:r>
      <w:r w:rsidR="005E652D" w:rsidRPr="00D30FA8">
        <w:rPr>
          <w:rFonts w:cs="Times New Roman"/>
          <w:sz w:val="24"/>
        </w:rPr>
        <w:t>(Schaller, 2018)</w:t>
      </w:r>
      <w:r w:rsidR="005E652D">
        <w:rPr>
          <w:sz w:val="24"/>
          <w:szCs w:val="24"/>
        </w:rPr>
        <w:fldChar w:fldCharType="end"/>
      </w:r>
      <w:r w:rsidR="005D1047">
        <w:rPr>
          <w:sz w:val="24"/>
          <w:szCs w:val="24"/>
        </w:rPr>
        <w:t xml:space="preserve">, but complementing transit in some markets (Hall </w:t>
      </w:r>
      <w:r w:rsidR="005D1047" w:rsidRPr="00C020FB">
        <w:rPr>
          <w:i/>
          <w:sz w:val="24"/>
          <w:szCs w:val="24"/>
        </w:rPr>
        <w:t>et al</w:t>
      </w:r>
      <w:r w:rsidR="005D1047">
        <w:rPr>
          <w:sz w:val="24"/>
          <w:szCs w:val="24"/>
        </w:rPr>
        <w:t>., 2018)</w:t>
      </w:r>
      <w:r w:rsidR="00955E78">
        <w:rPr>
          <w:sz w:val="24"/>
          <w:szCs w:val="24"/>
        </w:rPr>
        <w:t xml:space="preserve">. </w:t>
      </w:r>
      <w:r w:rsidR="001B06DA">
        <w:rPr>
          <w:sz w:val="24"/>
          <w:szCs w:val="24"/>
        </w:rPr>
        <w:t xml:space="preserve">However, when coupled with the finding that ride-hailing demand is higher in areas with higher retail and service accessibility and in urban areas, it is entirely possible that ride-hailing pick-ups are occurring in activity centers which have traditionally been better served by transit in the first place.  In addition, it is likely that </w:t>
      </w:r>
      <w:r w:rsidRPr="00A149DA">
        <w:rPr>
          <w:sz w:val="24"/>
          <w:szCs w:val="24"/>
        </w:rPr>
        <w:t xml:space="preserve">ride-hailing drivers prefer to search these areas for passenger pick-ups. Ride-hailing drivers searching </w:t>
      </w:r>
      <w:r w:rsidR="00CA65D6" w:rsidRPr="00A149DA">
        <w:rPr>
          <w:sz w:val="24"/>
          <w:szCs w:val="24"/>
        </w:rPr>
        <w:t>specific</w:t>
      </w:r>
      <w:r w:rsidRPr="00A149DA">
        <w:rPr>
          <w:sz w:val="24"/>
          <w:szCs w:val="24"/>
        </w:rPr>
        <w:t xml:space="preserve"> areas for passengers can reduce waiting times and bolster ride-hailing demand in these areas.</w:t>
      </w:r>
    </w:p>
    <w:p w14:paraId="4E37704E" w14:textId="263632D8" w:rsidR="00356263" w:rsidRDefault="00356263" w:rsidP="00F7439A">
      <w:pPr>
        <w:spacing w:after="0" w:line="240" w:lineRule="auto"/>
        <w:rPr>
          <w:sz w:val="24"/>
          <w:szCs w:val="24"/>
        </w:rPr>
      </w:pPr>
      <w:r w:rsidRPr="00A149DA">
        <w:rPr>
          <w:sz w:val="24"/>
          <w:szCs w:val="24"/>
        </w:rPr>
        <w:tab/>
      </w:r>
      <w:r w:rsidR="0056788C">
        <w:rPr>
          <w:sz w:val="24"/>
          <w:szCs w:val="24"/>
        </w:rPr>
        <w:t>It appears that ride-hailing is still</w:t>
      </w:r>
      <w:r w:rsidRPr="00A149DA">
        <w:rPr>
          <w:sz w:val="24"/>
          <w:szCs w:val="24"/>
        </w:rPr>
        <w:t xml:space="preserve"> primarily used by the niche demographics of young adults and wealthy households. If TNCs or </w:t>
      </w:r>
      <w:r w:rsidR="0056788C">
        <w:rPr>
          <w:sz w:val="24"/>
          <w:szCs w:val="24"/>
        </w:rPr>
        <w:t xml:space="preserve">urban </w:t>
      </w:r>
      <w:r w:rsidRPr="00A149DA">
        <w:rPr>
          <w:sz w:val="24"/>
          <w:szCs w:val="24"/>
        </w:rPr>
        <w:t xml:space="preserve">planners wish to </w:t>
      </w:r>
      <w:r w:rsidR="0056788C">
        <w:rPr>
          <w:sz w:val="24"/>
          <w:szCs w:val="24"/>
        </w:rPr>
        <w:t>increase</w:t>
      </w:r>
      <w:r w:rsidRPr="00A149DA">
        <w:rPr>
          <w:sz w:val="24"/>
          <w:szCs w:val="24"/>
        </w:rPr>
        <w:t xml:space="preserve"> the use of ride-hailing in the city to reduce vehicle ownership</w:t>
      </w:r>
      <w:r w:rsidR="0056788C">
        <w:rPr>
          <w:sz w:val="24"/>
          <w:szCs w:val="24"/>
        </w:rPr>
        <w:t>, reduce need for parking,</w:t>
      </w:r>
      <w:r w:rsidRPr="00A149DA">
        <w:rPr>
          <w:sz w:val="24"/>
          <w:szCs w:val="24"/>
        </w:rPr>
        <w:t xml:space="preserve"> </w:t>
      </w:r>
      <w:r w:rsidR="0056788C">
        <w:rPr>
          <w:sz w:val="24"/>
          <w:szCs w:val="24"/>
        </w:rPr>
        <w:t>and</w:t>
      </w:r>
      <w:r w:rsidRPr="00A149DA">
        <w:rPr>
          <w:sz w:val="24"/>
          <w:szCs w:val="24"/>
        </w:rPr>
        <w:t xml:space="preserve"> promote Mobility-as-a-Service (</w:t>
      </w:r>
      <w:proofErr w:type="spellStart"/>
      <w:r w:rsidRPr="00A149DA">
        <w:rPr>
          <w:sz w:val="24"/>
          <w:szCs w:val="24"/>
        </w:rPr>
        <w:t>MaaS</w:t>
      </w:r>
      <w:proofErr w:type="spellEnd"/>
      <w:r w:rsidRPr="00A149DA">
        <w:rPr>
          <w:sz w:val="24"/>
          <w:szCs w:val="24"/>
        </w:rPr>
        <w:t xml:space="preserve">), targeted efforts must be made to </w:t>
      </w:r>
      <w:r w:rsidR="0056788C" w:rsidRPr="00A149DA">
        <w:rPr>
          <w:sz w:val="24"/>
          <w:szCs w:val="24"/>
        </w:rPr>
        <w:t>encourage</w:t>
      </w:r>
      <w:r w:rsidRPr="00A149DA">
        <w:rPr>
          <w:sz w:val="24"/>
          <w:szCs w:val="24"/>
        </w:rPr>
        <w:t xml:space="preserve"> the use of ride-hailing </w:t>
      </w:r>
      <w:r w:rsidR="0056788C">
        <w:rPr>
          <w:sz w:val="24"/>
          <w:szCs w:val="24"/>
        </w:rPr>
        <w:t>among</w:t>
      </w:r>
      <w:r w:rsidRPr="00A149DA">
        <w:rPr>
          <w:sz w:val="24"/>
          <w:szCs w:val="24"/>
        </w:rPr>
        <w:t xml:space="preserve"> other demographic groups. </w:t>
      </w:r>
      <w:r w:rsidR="0056788C">
        <w:rPr>
          <w:sz w:val="24"/>
          <w:szCs w:val="24"/>
        </w:rPr>
        <w:t>A reduction in space allocated to parking would allow cities</w:t>
      </w:r>
      <w:r w:rsidRPr="00A149DA">
        <w:rPr>
          <w:sz w:val="24"/>
          <w:szCs w:val="24"/>
        </w:rPr>
        <w:t xml:space="preserve"> to convert existing parking </w:t>
      </w:r>
      <w:r w:rsidR="0056788C">
        <w:rPr>
          <w:sz w:val="24"/>
          <w:szCs w:val="24"/>
        </w:rPr>
        <w:t>land to other valuable uses</w:t>
      </w:r>
      <w:r w:rsidRPr="00A149DA">
        <w:rPr>
          <w:sz w:val="24"/>
          <w:szCs w:val="24"/>
        </w:rPr>
        <w:t>.</w:t>
      </w:r>
    </w:p>
    <w:p w14:paraId="08495EF1" w14:textId="0A647073" w:rsidR="0056788C" w:rsidRDefault="0056788C" w:rsidP="00F7439A">
      <w:pPr>
        <w:spacing w:after="0" w:line="240" w:lineRule="auto"/>
        <w:rPr>
          <w:sz w:val="24"/>
          <w:szCs w:val="24"/>
        </w:rPr>
      </w:pPr>
    </w:p>
    <w:p w14:paraId="7AB1296C" w14:textId="6F01D11D" w:rsidR="0056788C" w:rsidRPr="00A149DA" w:rsidRDefault="0056788C" w:rsidP="0056788C">
      <w:pPr>
        <w:pStyle w:val="Heading2"/>
        <w:spacing w:before="0" w:line="240" w:lineRule="auto"/>
        <w:rPr>
          <w:szCs w:val="24"/>
        </w:rPr>
      </w:pPr>
      <w:bookmarkStart w:id="34" w:name="_Ref12365228"/>
      <w:r>
        <w:rPr>
          <w:szCs w:val="24"/>
        </w:rPr>
        <w:t xml:space="preserve">Computation of </w:t>
      </w:r>
      <w:r w:rsidRPr="00A149DA">
        <w:rPr>
          <w:szCs w:val="24"/>
        </w:rPr>
        <w:t xml:space="preserve">Expected </w:t>
      </w:r>
      <w:r>
        <w:rPr>
          <w:szCs w:val="24"/>
        </w:rPr>
        <w:t>D</w:t>
      </w:r>
      <w:r w:rsidRPr="00A149DA">
        <w:rPr>
          <w:szCs w:val="24"/>
        </w:rPr>
        <w:t xml:space="preserve">eadheading </w:t>
      </w:r>
      <w:r>
        <w:rPr>
          <w:szCs w:val="24"/>
        </w:rPr>
        <w:t>D</w:t>
      </w:r>
      <w:r w:rsidRPr="00A149DA">
        <w:rPr>
          <w:szCs w:val="24"/>
        </w:rPr>
        <w:t>istance</w:t>
      </w:r>
      <w:bookmarkEnd w:id="34"/>
    </w:p>
    <w:p w14:paraId="2AF5D6BF" w14:textId="7C7CD44B" w:rsidR="00C07542" w:rsidRPr="006C26CB" w:rsidRDefault="0056788C" w:rsidP="00C07542">
      <w:pPr>
        <w:spacing w:after="0" w:line="240" w:lineRule="auto"/>
        <w:rPr>
          <w:sz w:val="24"/>
          <w:szCs w:val="24"/>
        </w:rPr>
      </w:pPr>
      <w:r w:rsidRPr="00A149DA">
        <w:rPr>
          <w:sz w:val="24"/>
          <w:szCs w:val="24"/>
        </w:rPr>
        <w:t xml:space="preserve">It is in the best interest of </w:t>
      </w:r>
      <w:r>
        <w:rPr>
          <w:sz w:val="24"/>
          <w:szCs w:val="24"/>
        </w:rPr>
        <w:t>city planners</w:t>
      </w:r>
      <w:r w:rsidRPr="00A149DA">
        <w:rPr>
          <w:sz w:val="24"/>
          <w:szCs w:val="24"/>
        </w:rPr>
        <w:t>, TNC operators</w:t>
      </w:r>
      <w:r>
        <w:rPr>
          <w:sz w:val="24"/>
          <w:szCs w:val="24"/>
        </w:rPr>
        <w:t>,</w:t>
      </w:r>
      <w:r w:rsidRPr="00A149DA">
        <w:rPr>
          <w:sz w:val="24"/>
          <w:szCs w:val="24"/>
        </w:rPr>
        <w:t xml:space="preserve"> and society at large to minimize deadheading. </w:t>
      </w:r>
      <w:r w:rsidR="00CB0123">
        <w:rPr>
          <w:sz w:val="24"/>
          <w:szCs w:val="24"/>
        </w:rPr>
        <w:t xml:space="preserve"> The model developed in this paper can be used to compute expected deadheading distance </w:t>
      </w:r>
      <w:r w:rsidR="006F5761">
        <w:rPr>
          <w:sz w:val="24"/>
          <w:szCs w:val="24"/>
        </w:rPr>
        <w:t>for</w:t>
      </w:r>
      <w:r w:rsidR="00CB0123">
        <w:rPr>
          <w:sz w:val="24"/>
          <w:szCs w:val="24"/>
        </w:rPr>
        <w:t xml:space="preserve"> various locations. </w:t>
      </w:r>
      <w:r w:rsidRPr="00A149DA">
        <w:rPr>
          <w:sz w:val="24"/>
          <w:szCs w:val="24"/>
        </w:rPr>
        <w:t xml:space="preserve">Once areas </w:t>
      </w:r>
      <w:r w:rsidR="006F5761">
        <w:rPr>
          <w:sz w:val="24"/>
          <w:szCs w:val="24"/>
        </w:rPr>
        <w:t>associated with</w:t>
      </w:r>
      <w:r w:rsidRPr="00A149DA">
        <w:rPr>
          <w:sz w:val="24"/>
          <w:szCs w:val="24"/>
        </w:rPr>
        <w:t xml:space="preserve"> higher expected deadheading distances </w:t>
      </w:r>
      <w:r w:rsidRPr="00A149DA">
        <w:rPr>
          <w:sz w:val="24"/>
          <w:szCs w:val="24"/>
        </w:rPr>
        <w:lastRenderedPageBreak/>
        <w:t xml:space="preserve">are identified, </w:t>
      </w:r>
      <w:r w:rsidR="006C26CB">
        <w:rPr>
          <w:sz w:val="24"/>
          <w:szCs w:val="24"/>
        </w:rPr>
        <w:t>policies and pricing schemes can be enacted to</w:t>
      </w:r>
      <w:r w:rsidRPr="00A149DA">
        <w:rPr>
          <w:sz w:val="24"/>
          <w:szCs w:val="24"/>
        </w:rPr>
        <w:t xml:space="preserve"> discourage individuals from making ride-hailing trips to these areas. </w:t>
      </w:r>
      <w:r w:rsidR="006C26CB">
        <w:rPr>
          <w:sz w:val="24"/>
          <w:szCs w:val="24"/>
        </w:rPr>
        <w:t xml:space="preserve">However, the potential deadheading </w:t>
      </w:r>
      <w:r w:rsidR="006F5761">
        <w:rPr>
          <w:sz w:val="24"/>
          <w:szCs w:val="24"/>
        </w:rPr>
        <w:t>reductions</w:t>
      </w:r>
      <w:r w:rsidR="006C26CB">
        <w:rPr>
          <w:sz w:val="24"/>
          <w:szCs w:val="24"/>
        </w:rPr>
        <w:t xml:space="preserve"> associated with such </w:t>
      </w:r>
      <w:r w:rsidR="006C26CB" w:rsidRPr="006C26CB">
        <w:rPr>
          <w:sz w:val="24"/>
          <w:szCs w:val="24"/>
        </w:rPr>
        <w:t xml:space="preserve">strategies should be weighed against the potential adverse impacts on mobility </w:t>
      </w:r>
      <w:r w:rsidR="006F5761">
        <w:rPr>
          <w:sz w:val="24"/>
          <w:szCs w:val="24"/>
        </w:rPr>
        <w:t xml:space="preserve">enhancements </w:t>
      </w:r>
      <w:r w:rsidR="006C26CB" w:rsidRPr="006C26CB">
        <w:rPr>
          <w:sz w:val="24"/>
          <w:szCs w:val="24"/>
        </w:rPr>
        <w:t xml:space="preserve">that ride-hailing could provide such areas.  </w:t>
      </w:r>
      <w:r w:rsidRPr="006C26CB">
        <w:rPr>
          <w:sz w:val="24"/>
          <w:szCs w:val="24"/>
        </w:rPr>
        <w:t xml:space="preserve">The expected deadheading distance </w:t>
      </w:r>
      <w:r w:rsidR="006F5761">
        <w:rPr>
          <w:sz w:val="24"/>
          <w:szCs w:val="24"/>
        </w:rPr>
        <w:t>originating from</w:t>
      </w:r>
      <w:r w:rsidRPr="006C26CB">
        <w:rPr>
          <w:sz w:val="24"/>
          <w:szCs w:val="24"/>
        </w:rPr>
        <w:t xml:space="preserve"> a </w:t>
      </w:r>
      <w:r w:rsidR="00C07542" w:rsidRPr="006C26CB">
        <w:rPr>
          <w:sz w:val="24"/>
          <w:szCs w:val="24"/>
        </w:rPr>
        <w:t xml:space="preserve">TAZ can be computed as shown in Equation </w:t>
      </w:r>
      <w:r w:rsidR="0084314C">
        <w:rPr>
          <w:sz w:val="24"/>
          <w:szCs w:val="24"/>
        </w:rPr>
        <w:t>(</w:t>
      </w:r>
      <w:r w:rsidR="00F27FE7">
        <w:rPr>
          <w:sz w:val="24"/>
          <w:szCs w:val="24"/>
        </w:rPr>
        <w:t>7</w:t>
      </w:r>
      <w:r w:rsidR="00C07542">
        <w:rPr>
          <w:sz w:val="24"/>
          <w:szCs w:val="24"/>
        </w:rPr>
        <w:t>)</w:t>
      </w:r>
      <w:r w:rsidR="00C07542" w:rsidRPr="006C26CB">
        <w:rPr>
          <w:sz w:val="24"/>
          <w:szCs w:val="24"/>
        </w:rPr>
        <w:t xml:space="preserve"> using the probability mass function of TAZs being selected as the destination: </w:t>
      </w:r>
    </w:p>
    <w:p w14:paraId="343C1E93" w14:textId="5BE9299F" w:rsidR="00C07542" w:rsidRPr="006C26CB" w:rsidRDefault="006A5AF9" w:rsidP="006551A2">
      <w:pPr>
        <w:tabs>
          <w:tab w:val="right" w:pos="9360"/>
        </w:tabs>
        <w:spacing w:before="80" w:after="80" w:line="240" w:lineRule="auto"/>
        <w:rPr>
          <w:sz w:val="24"/>
          <w:szCs w:val="24"/>
        </w:rPr>
      </w:pPr>
      <w:r w:rsidRPr="00C82A96">
        <w:rPr>
          <w:noProof/>
          <w:position w:val="-18"/>
          <w:sz w:val="24"/>
          <w:szCs w:val="24"/>
        </w:rPr>
        <w:object w:dxaOrig="1800" w:dyaOrig="480" w14:anchorId="4FA973EE">
          <v:shape id="_x0000_i1083" type="#_x0000_t75" style="width:90pt;height:23.25pt" o:ole="" o:preferrelative="f">
            <v:imagedata r:id="rId131" o:title=""/>
            <o:lock v:ext="edit" aspectratio="f"/>
          </v:shape>
          <o:OLEObject Type="Embed" ProgID="Equation.DSMT4" ShapeID="_x0000_i1083" DrawAspect="Content" ObjectID="_1646040610" r:id="rId132"/>
        </w:object>
      </w:r>
      <w:r w:rsidR="00C07542">
        <w:rPr>
          <w:sz w:val="24"/>
          <w:szCs w:val="24"/>
        </w:rPr>
        <w:t>,</w:t>
      </w:r>
      <w:r w:rsidR="00C07542" w:rsidRPr="006C26CB">
        <w:rPr>
          <w:sz w:val="24"/>
          <w:szCs w:val="24"/>
        </w:rPr>
        <w:tab/>
      </w:r>
      <w:r w:rsidR="0084314C">
        <w:rPr>
          <w:sz w:val="24"/>
          <w:szCs w:val="24"/>
        </w:rPr>
        <w:t>(</w:t>
      </w:r>
      <w:r w:rsidR="00F27FE7">
        <w:rPr>
          <w:sz w:val="24"/>
          <w:szCs w:val="24"/>
        </w:rPr>
        <w:t>7</w:t>
      </w:r>
      <w:r w:rsidR="00C07542">
        <w:rPr>
          <w:sz w:val="24"/>
          <w:szCs w:val="24"/>
        </w:rPr>
        <w:t>)</w:t>
      </w:r>
    </w:p>
    <w:p w14:paraId="085C17C3" w14:textId="4DA32DCE" w:rsidR="00B22782" w:rsidRDefault="00C07542" w:rsidP="00B22782">
      <w:pPr>
        <w:spacing w:line="252" w:lineRule="auto"/>
        <w:rPr>
          <w:sz w:val="24"/>
          <w:szCs w:val="24"/>
        </w:rPr>
      </w:pPr>
      <w:r w:rsidRPr="006C26CB">
        <w:rPr>
          <w:sz w:val="24"/>
          <w:szCs w:val="24"/>
        </w:rPr>
        <w:t xml:space="preserve">where </w:t>
      </w:r>
      <w:r w:rsidR="006A5AF9" w:rsidRPr="00C82A96">
        <w:rPr>
          <w:noProof/>
          <w:position w:val="-14"/>
          <w:sz w:val="24"/>
          <w:szCs w:val="24"/>
        </w:rPr>
        <w:object w:dxaOrig="279" w:dyaOrig="380" w14:anchorId="32D1580A">
          <v:shape id="_x0000_i1084" type="#_x0000_t75" style="width:14.25pt;height:18.75pt" o:ole="" o:preferrelative="f">
            <v:imagedata r:id="rId133" o:title=""/>
            <o:lock v:ext="edit" aspectratio="f"/>
          </v:shape>
          <o:OLEObject Type="Embed" ProgID="Equation.DSMT4" ShapeID="_x0000_i1084" DrawAspect="Content" ObjectID="_1646040611" r:id="rId134"/>
        </w:object>
      </w:r>
      <w:r>
        <w:rPr>
          <w:noProof/>
          <w:sz w:val="24"/>
          <w:szCs w:val="24"/>
        </w:rPr>
        <w:t xml:space="preserve"> </w:t>
      </w:r>
      <w:r w:rsidRPr="006C26CB">
        <w:rPr>
          <w:sz w:val="24"/>
          <w:szCs w:val="24"/>
        </w:rPr>
        <w:t xml:space="preserve">is the probability that a deadheading trip originating at TAZ </w:t>
      </w:r>
      <w:proofErr w:type="spellStart"/>
      <w:r w:rsidRPr="00C6535E">
        <w:rPr>
          <w:i/>
          <w:sz w:val="24"/>
          <w:szCs w:val="24"/>
        </w:rPr>
        <w:t>i</w:t>
      </w:r>
      <w:proofErr w:type="spellEnd"/>
      <w:r w:rsidRPr="006C26CB">
        <w:rPr>
          <w:noProof/>
          <w:sz w:val="24"/>
          <w:szCs w:val="24"/>
        </w:rPr>
        <w:t xml:space="preserve"> </w:t>
      </w:r>
      <w:r w:rsidRPr="006C26CB">
        <w:rPr>
          <w:sz w:val="24"/>
          <w:szCs w:val="24"/>
        </w:rPr>
        <w:t xml:space="preserve">ends at TAZ </w:t>
      </w:r>
      <w:r w:rsidRPr="00C6535E">
        <w:rPr>
          <w:i/>
          <w:sz w:val="24"/>
          <w:szCs w:val="24"/>
        </w:rPr>
        <w:t>j</w:t>
      </w:r>
      <w:r w:rsidRPr="006C26CB">
        <w:rPr>
          <w:noProof/>
          <w:sz w:val="24"/>
          <w:szCs w:val="24"/>
        </w:rPr>
        <w:t xml:space="preserve"> </w:t>
      </w:r>
      <w:r w:rsidRPr="006C26CB">
        <w:rPr>
          <w:sz w:val="24"/>
          <w:szCs w:val="24"/>
        </w:rPr>
        <w:t>as computed by Equation</w:t>
      </w:r>
      <w:r>
        <w:rPr>
          <w:sz w:val="24"/>
          <w:szCs w:val="24"/>
        </w:rPr>
        <w:t xml:space="preserve"> (3) </w:t>
      </w:r>
      <w:r w:rsidRPr="006C26CB">
        <w:rPr>
          <w:sz w:val="24"/>
          <w:szCs w:val="24"/>
        </w:rPr>
        <w:t xml:space="preserve">and </w:t>
      </w:r>
      <w:r w:rsidR="006A5AF9" w:rsidRPr="00C82A96">
        <w:rPr>
          <w:noProof/>
          <w:position w:val="-14"/>
          <w:sz w:val="24"/>
          <w:szCs w:val="24"/>
        </w:rPr>
        <w:object w:dxaOrig="279" w:dyaOrig="380" w14:anchorId="242B44A9">
          <v:shape id="_x0000_i1085" type="#_x0000_t75" style="width:14.25pt;height:18.75pt" o:ole="" o:preferrelative="f">
            <v:imagedata r:id="rId135" o:title=""/>
            <o:lock v:ext="edit" aspectratio="f"/>
          </v:shape>
          <o:OLEObject Type="Embed" ProgID="Equation.DSMT4" ShapeID="_x0000_i1085" DrawAspect="Content" ObjectID="_1646040612" r:id="rId136"/>
        </w:object>
      </w:r>
      <w:r>
        <w:rPr>
          <w:sz w:val="24"/>
          <w:szCs w:val="24"/>
        </w:rPr>
        <w:t xml:space="preserve"> </w:t>
      </w:r>
      <w:r w:rsidRPr="006C26CB">
        <w:rPr>
          <w:sz w:val="24"/>
          <w:szCs w:val="24"/>
        </w:rPr>
        <w:t xml:space="preserve">is the network distance between the TAZs. The average deadheading </w:t>
      </w:r>
      <w:r w:rsidR="00B22782" w:rsidRPr="006C26CB">
        <w:rPr>
          <w:sz w:val="24"/>
          <w:szCs w:val="24"/>
        </w:rPr>
        <w:t>distance in the PM peak period</w:t>
      </w:r>
      <w:r w:rsidR="00B22782">
        <w:rPr>
          <w:sz w:val="24"/>
          <w:szCs w:val="24"/>
        </w:rPr>
        <w:t xml:space="preserve"> </w:t>
      </w:r>
      <w:r w:rsidR="00B22782" w:rsidRPr="006C26CB">
        <w:rPr>
          <w:sz w:val="24"/>
          <w:szCs w:val="24"/>
        </w:rPr>
        <w:t xml:space="preserve">is </w:t>
      </w:r>
      <w:r w:rsidR="00B22782">
        <w:rPr>
          <w:sz w:val="24"/>
          <w:szCs w:val="24"/>
        </w:rPr>
        <w:t>mapped</w:t>
      </w:r>
      <w:r w:rsidR="00B22782" w:rsidRPr="006C26CB">
        <w:rPr>
          <w:sz w:val="24"/>
          <w:szCs w:val="24"/>
        </w:rPr>
        <w:t xml:space="preserve"> in</w:t>
      </w:r>
      <w:r w:rsidR="00B22782">
        <w:rPr>
          <w:sz w:val="24"/>
          <w:szCs w:val="24"/>
        </w:rPr>
        <w:t xml:space="preserve"> Figure 4. </w:t>
      </w:r>
      <w:r w:rsidR="00B22782" w:rsidRPr="006C26CB">
        <w:rPr>
          <w:sz w:val="24"/>
          <w:szCs w:val="24"/>
        </w:rPr>
        <w:t>To measu</w:t>
      </w:r>
      <w:r w:rsidR="00B22782">
        <w:rPr>
          <w:sz w:val="24"/>
          <w:szCs w:val="24"/>
        </w:rPr>
        <w:t xml:space="preserve">re the accuracy of the expected </w:t>
      </w:r>
      <w:r w:rsidR="00B22782" w:rsidRPr="006C26CB">
        <w:rPr>
          <w:sz w:val="24"/>
          <w:szCs w:val="24"/>
        </w:rPr>
        <w:t xml:space="preserve">deadheading distances predicted </w:t>
      </w:r>
      <w:r w:rsidR="00B22782">
        <w:rPr>
          <w:sz w:val="24"/>
          <w:szCs w:val="24"/>
        </w:rPr>
        <w:t>by the</w:t>
      </w:r>
      <w:r w:rsidR="00B22782" w:rsidRPr="006C26CB">
        <w:rPr>
          <w:sz w:val="24"/>
          <w:szCs w:val="24"/>
        </w:rPr>
        <w:t xml:space="preserve"> model, </w:t>
      </w:r>
      <w:r w:rsidR="00B22782">
        <w:rPr>
          <w:sz w:val="24"/>
          <w:szCs w:val="24"/>
        </w:rPr>
        <w:t>the predicted value is compared</w:t>
      </w:r>
      <w:r w:rsidR="00B22782" w:rsidRPr="006C26CB">
        <w:rPr>
          <w:sz w:val="24"/>
          <w:szCs w:val="24"/>
        </w:rPr>
        <w:t xml:space="preserve"> against the</w:t>
      </w:r>
      <w:r w:rsidR="00B22782">
        <w:rPr>
          <w:sz w:val="24"/>
          <w:szCs w:val="24"/>
        </w:rPr>
        <w:t xml:space="preserve"> </w:t>
      </w:r>
      <w:r w:rsidR="00B22782" w:rsidRPr="006C26CB">
        <w:rPr>
          <w:sz w:val="24"/>
          <w:szCs w:val="24"/>
        </w:rPr>
        <w:t>empirically calculated value of the expected deadheading distance</w:t>
      </w:r>
      <w:r w:rsidR="00B22782">
        <w:rPr>
          <w:sz w:val="24"/>
          <w:szCs w:val="24"/>
        </w:rPr>
        <w:t xml:space="preserve"> for each TAZ</w:t>
      </w:r>
      <w:r w:rsidR="00B22782" w:rsidRPr="006C26CB">
        <w:rPr>
          <w:sz w:val="24"/>
          <w:szCs w:val="24"/>
        </w:rPr>
        <w:t xml:space="preserve">. The expected deadheading distances are calculated empirically only for the 698 TAZs that have at least 10 deadheading trips originating </w:t>
      </w:r>
      <w:r w:rsidR="00B22782">
        <w:rPr>
          <w:sz w:val="24"/>
          <w:szCs w:val="24"/>
        </w:rPr>
        <w:t>within</w:t>
      </w:r>
      <w:r w:rsidR="00B22782" w:rsidRPr="006C26CB">
        <w:rPr>
          <w:sz w:val="24"/>
          <w:szCs w:val="24"/>
        </w:rPr>
        <w:t xml:space="preserve"> the</w:t>
      </w:r>
      <w:r w:rsidR="00B22782">
        <w:rPr>
          <w:sz w:val="24"/>
          <w:szCs w:val="24"/>
        </w:rPr>
        <w:t>ir boundaries</w:t>
      </w:r>
      <w:r w:rsidR="00B22782" w:rsidRPr="006C26CB">
        <w:rPr>
          <w:sz w:val="24"/>
          <w:szCs w:val="24"/>
        </w:rPr>
        <w:t xml:space="preserve">. </w:t>
      </w:r>
      <w:r w:rsidR="00B22782" w:rsidRPr="00876C25">
        <w:rPr>
          <w:sz w:val="24"/>
          <w:szCs w:val="24"/>
        </w:rPr>
        <w:t xml:space="preserve">The mean absolute percentage error in the predicted expected deadheading distance across all of the TAZs is </w:t>
      </w:r>
      <w:r w:rsidR="008A05F5">
        <w:rPr>
          <w:sz w:val="24"/>
          <w:szCs w:val="24"/>
        </w:rPr>
        <w:t>16</w:t>
      </w:r>
      <w:r w:rsidR="00B22782" w:rsidRPr="00876C25">
        <w:rPr>
          <w:sz w:val="24"/>
          <w:szCs w:val="24"/>
        </w:rPr>
        <w:t>.</w:t>
      </w:r>
      <w:r w:rsidR="006B42BA">
        <w:rPr>
          <w:sz w:val="24"/>
          <w:szCs w:val="24"/>
        </w:rPr>
        <w:t>66</w:t>
      </w:r>
      <w:r w:rsidR="00B22782" w:rsidRPr="00876C25">
        <w:rPr>
          <w:sz w:val="24"/>
          <w:szCs w:val="24"/>
        </w:rPr>
        <w:t xml:space="preserve">%, which is </w:t>
      </w:r>
      <w:r w:rsidR="00B22782">
        <w:rPr>
          <w:sz w:val="24"/>
          <w:szCs w:val="24"/>
        </w:rPr>
        <w:t>on the high side, but not completely</w:t>
      </w:r>
      <w:r w:rsidR="00B22782" w:rsidRPr="00876C25">
        <w:rPr>
          <w:sz w:val="24"/>
          <w:szCs w:val="24"/>
        </w:rPr>
        <w:t xml:space="preserve"> uncommon in such models (for example, see Section 5.1.4 of Ferdous </w:t>
      </w:r>
      <w:r w:rsidR="00B22782" w:rsidRPr="006A5AF9">
        <w:rPr>
          <w:i/>
          <w:sz w:val="24"/>
          <w:szCs w:val="24"/>
        </w:rPr>
        <w:t>et al</w:t>
      </w:r>
      <w:r w:rsidR="00B22782" w:rsidRPr="00876C25">
        <w:rPr>
          <w:sz w:val="24"/>
          <w:szCs w:val="24"/>
        </w:rPr>
        <w:t>.</w:t>
      </w:r>
      <w:r w:rsidR="00B22782">
        <w:rPr>
          <w:sz w:val="24"/>
          <w:szCs w:val="24"/>
        </w:rPr>
        <w:t xml:space="preserve">, </w:t>
      </w:r>
      <w:r w:rsidR="00B22782" w:rsidRPr="00876C25">
        <w:rPr>
          <w:sz w:val="24"/>
          <w:szCs w:val="24"/>
        </w:rPr>
        <w:t>2011).</w:t>
      </w:r>
      <w:r w:rsidR="00B22782" w:rsidRPr="007F39FF">
        <w:rPr>
          <w:sz w:val="24"/>
          <w:szCs w:val="24"/>
        </w:rPr>
        <w:t xml:space="preserve"> As expected, deadhead distances are smaller in higher density urban areas and larger in outlying suburban and rural areas.</w:t>
      </w:r>
    </w:p>
    <w:p w14:paraId="50085627" w14:textId="77777777" w:rsidR="00B22782" w:rsidRPr="00A149DA" w:rsidRDefault="00B22782" w:rsidP="00B22782">
      <w:pPr>
        <w:pStyle w:val="Heading2"/>
        <w:spacing w:before="0" w:line="240" w:lineRule="auto"/>
        <w:rPr>
          <w:szCs w:val="24"/>
        </w:rPr>
      </w:pPr>
      <w:r w:rsidRPr="00A149DA">
        <w:rPr>
          <w:szCs w:val="24"/>
        </w:rPr>
        <w:t xml:space="preserve">Incorporation into </w:t>
      </w:r>
      <w:r>
        <w:rPr>
          <w:szCs w:val="24"/>
        </w:rPr>
        <w:t>T</w:t>
      </w:r>
      <w:r w:rsidRPr="00A149DA">
        <w:rPr>
          <w:szCs w:val="24"/>
        </w:rPr>
        <w:t xml:space="preserve">ravel </w:t>
      </w:r>
      <w:r>
        <w:rPr>
          <w:szCs w:val="24"/>
        </w:rPr>
        <w:t>D</w:t>
      </w:r>
      <w:r w:rsidRPr="00A149DA">
        <w:rPr>
          <w:szCs w:val="24"/>
        </w:rPr>
        <w:t xml:space="preserve">emand </w:t>
      </w:r>
      <w:r>
        <w:rPr>
          <w:szCs w:val="24"/>
        </w:rPr>
        <w:t>F</w:t>
      </w:r>
      <w:r w:rsidRPr="00A149DA">
        <w:rPr>
          <w:szCs w:val="24"/>
        </w:rPr>
        <w:t xml:space="preserve">orecasting </w:t>
      </w:r>
      <w:r>
        <w:rPr>
          <w:szCs w:val="24"/>
        </w:rPr>
        <w:t>M</w:t>
      </w:r>
      <w:r w:rsidRPr="00A149DA">
        <w:rPr>
          <w:szCs w:val="24"/>
        </w:rPr>
        <w:t>odels</w:t>
      </w:r>
    </w:p>
    <w:p w14:paraId="6ADDE67D" w14:textId="77777777" w:rsidR="00B22782" w:rsidRPr="00A149DA" w:rsidRDefault="00B22782" w:rsidP="00B22782">
      <w:pPr>
        <w:spacing w:after="0" w:line="240" w:lineRule="auto"/>
        <w:rPr>
          <w:sz w:val="24"/>
          <w:szCs w:val="24"/>
        </w:rPr>
      </w:pPr>
      <w:r w:rsidRPr="00A149DA">
        <w:rPr>
          <w:sz w:val="24"/>
          <w:szCs w:val="24"/>
        </w:rPr>
        <w:t xml:space="preserve">It is relatively easy to forecast ride-hailing passenger trips in travel demand forecasting models. </w:t>
      </w:r>
      <w:r>
        <w:rPr>
          <w:sz w:val="24"/>
          <w:szCs w:val="24"/>
        </w:rPr>
        <w:t xml:space="preserve">The </w:t>
      </w:r>
      <w:r w:rsidRPr="00A149DA">
        <w:rPr>
          <w:sz w:val="24"/>
          <w:szCs w:val="24"/>
        </w:rPr>
        <w:t>mode choice model can be updated based on information gathered from</w:t>
      </w:r>
      <w:r>
        <w:rPr>
          <w:sz w:val="24"/>
          <w:szCs w:val="24"/>
        </w:rPr>
        <w:t xml:space="preserve"> travel</w:t>
      </w:r>
      <w:r w:rsidRPr="00A149DA">
        <w:rPr>
          <w:sz w:val="24"/>
          <w:szCs w:val="24"/>
        </w:rPr>
        <w:t xml:space="preserve"> surveys to reflect the use of ride-hailing</w:t>
      </w:r>
      <w:r>
        <w:rPr>
          <w:sz w:val="24"/>
          <w:szCs w:val="24"/>
        </w:rPr>
        <w:t xml:space="preserve"> options</w:t>
      </w:r>
      <w:r w:rsidRPr="00A149DA">
        <w:rPr>
          <w:sz w:val="24"/>
          <w:szCs w:val="24"/>
        </w:rPr>
        <w:t>. The end points of passenger trips form the origins of deadheading trips. Once the origin of</w:t>
      </w:r>
      <w:r>
        <w:rPr>
          <w:sz w:val="24"/>
          <w:szCs w:val="24"/>
        </w:rPr>
        <w:t xml:space="preserve"> a</w:t>
      </w:r>
      <w:r w:rsidRPr="00A149DA">
        <w:rPr>
          <w:sz w:val="24"/>
          <w:szCs w:val="24"/>
        </w:rPr>
        <w:t xml:space="preserve"> deadheading trip is known, the destination of the trip can be</w:t>
      </w:r>
      <w:r>
        <w:rPr>
          <w:sz w:val="24"/>
          <w:szCs w:val="24"/>
        </w:rPr>
        <w:t xml:space="preserve"> determined</w:t>
      </w:r>
      <w:r w:rsidRPr="00A149DA">
        <w:rPr>
          <w:sz w:val="24"/>
          <w:szCs w:val="24"/>
        </w:rPr>
        <w:t xml:space="preserve"> based on the probability function given in Equation</w:t>
      </w:r>
      <w:r>
        <w:rPr>
          <w:sz w:val="24"/>
          <w:szCs w:val="24"/>
        </w:rPr>
        <w:t xml:space="preserve"> (3). </w:t>
      </w:r>
      <w:r w:rsidRPr="00A149DA">
        <w:rPr>
          <w:sz w:val="24"/>
          <w:szCs w:val="24"/>
        </w:rPr>
        <w:t xml:space="preserve">If </w:t>
      </w:r>
      <w:r w:rsidRPr="00C82A96">
        <w:rPr>
          <w:noProof/>
          <w:position w:val="-14"/>
          <w:sz w:val="24"/>
          <w:szCs w:val="24"/>
        </w:rPr>
        <w:object w:dxaOrig="300" w:dyaOrig="400" w14:anchorId="1E8A361C">
          <v:shape id="_x0000_i1086" type="#_x0000_t75" style="width:15pt;height:20.25pt" o:ole="" o:preferrelative="f">
            <v:imagedata r:id="rId137" o:title=""/>
            <o:lock v:ext="edit" aspectratio="f"/>
          </v:shape>
          <o:OLEObject Type="Embed" ProgID="Equation.DSMT4" ShapeID="_x0000_i1086" DrawAspect="Content" ObjectID="_1646040613" r:id="rId138"/>
        </w:object>
      </w:r>
      <w:r>
        <w:rPr>
          <w:noProof/>
          <w:sz w:val="24"/>
          <w:szCs w:val="24"/>
        </w:rPr>
        <w:t xml:space="preserve"> </w:t>
      </w:r>
      <w:r w:rsidRPr="00A149DA">
        <w:rPr>
          <w:sz w:val="24"/>
          <w:szCs w:val="24"/>
        </w:rPr>
        <w:t xml:space="preserve">is the number of passenger trips that </w:t>
      </w:r>
      <w:r>
        <w:rPr>
          <w:sz w:val="24"/>
          <w:szCs w:val="24"/>
        </w:rPr>
        <w:t>go</w:t>
      </w:r>
      <w:r w:rsidRPr="00A149DA">
        <w:rPr>
          <w:sz w:val="24"/>
          <w:szCs w:val="24"/>
        </w:rPr>
        <w:t xml:space="preserve"> from TAZ</w:t>
      </w:r>
      <w:r>
        <w:rPr>
          <w:sz w:val="24"/>
          <w:szCs w:val="24"/>
        </w:rPr>
        <w:t xml:space="preserve"> </w:t>
      </w:r>
      <w:proofErr w:type="spellStart"/>
      <w:r w:rsidRPr="00C6535E">
        <w:rPr>
          <w:i/>
          <w:sz w:val="24"/>
          <w:szCs w:val="24"/>
        </w:rPr>
        <w:t>i</w:t>
      </w:r>
      <w:proofErr w:type="spellEnd"/>
      <w:r w:rsidRPr="00A149DA">
        <w:rPr>
          <w:noProof/>
          <w:sz w:val="24"/>
          <w:szCs w:val="24"/>
        </w:rPr>
        <w:t xml:space="preserve"> </w:t>
      </w:r>
      <w:r w:rsidRPr="00A149DA">
        <w:rPr>
          <w:sz w:val="24"/>
          <w:szCs w:val="24"/>
        </w:rPr>
        <w:t>to TAZ</w:t>
      </w:r>
      <w:r>
        <w:rPr>
          <w:sz w:val="24"/>
          <w:szCs w:val="24"/>
        </w:rPr>
        <w:t xml:space="preserve"> </w:t>
      </w:r>
      <w:r w:rsidRPr="00C6535E">
        <w:rPr>
          <w:i/>
          <w:sz w:val="24"/>
          <w:szCs w:val="24"/>
        </w:rPr>
        <w:t>j</w:t>
      </w:r>
      <w:r w:rsidRPr="00A149DA">
        <w:rPr>
          <w:sz w:val="24"/>
          <w:szCs w:val="24"/>
        </w:rPr>
        <w:t xml:space="preserve">, then the number of deadheading trips </w:t>
      </w:r>
      <w:r w:rsidRPr="00C82A96">
        <w:rPr>
          <w:noProof/>
          <w:position w:val="-12"/>
          <w:sz w:val="24"/>
          <w:szCs w:val="24"/>
        </w:rPr>
        <w:object w:dxaOrig="460" w:dyaOrig="380" w14:anchorId="374A8167">
          <v:shape id="_x0000_i1087" type="#_x0000_t75" style="width:21.75pt;height:18.75pt" o:ole="" o:preferrelative="f">
            <v:imagedata r:id="rId139" o:title=""/>
            <o:lock v:ext="edit" aspectratio="f"/>
          </v:shape>
          <o:OLEObject Type="Embed" ProgID="Equation.DSMT4" ShapeID="_x0000_i1087" DrawAspect="Content" ObjectID="_1646040614" r:id="rId140"/>
        </w:object>
      </w:r>
      <w:r>
        <w:rPr>
          <w:sz w:val="24"/>
          <w:szCs w:val="24"/>
        </w:rPr>
        <w:t xml:space="preserve"> between</w:t>
      </w:r>
      <w:r w:rsidRPr="00A149DA">
        <w:rPr>
          <w:sz w:val="24"/>
          <w:szCs w:val="24"/>
        </w:rPr>
        <w:t xml:space="preserve"> an origin TAZ </w:t>
      </w:r>
      <w:r w:rsidRPr="00342FB7">
        <w:rPr>
          <w:i/>
          <w:sz w:val="24"/>
          <w:szCs w:val="24"/>
        </w:rPr>
        <w:t>o</w:t>
      </w:r>
      <w:r>
        <w:rPr>
          <w:noProof/>
          <w:sz w:val="24"/>
          <w:szCs w:val="24"/>
        </w:rPr>
        <w:t xml:space="preserve"> and</w:t>
      </w:r>
      <w:r w:rsidRPr="00A149DA">
        <w:rPr>
          <w:sz w:val="24"/>
          <w:szCs w:val="24"/>
        </w:rPr>
        <w:t xml:space="preserve"> a destination TAZ </w:t>
      </w:r>
      <w:r w:rsidRPr="00342FB7">
        <w:rPr>
          <w:i/>
          <w:sz w:val="24"/>
          <w:szCs w:val="24"/>
        </w:rPr>
        <w:t>d</w:t>
      </w:r>
      <w:r w:rsidRPr="00A149DA">
        <w:rPr>
          <w:sz w:val="24"/>
          <w:szCs w:val="24"/>
        </w:rPr>
        <w:t xml:space="preserve"> can be expressed as</w:t>
      </w:r>
      <w:r>
        <w:rPr>
          <w:sz w:val="24"/>
          <w:szCs w:val="24"/>
        </w:rPr>
        <w:t>:</w:t>
      </w:r>
    </w:p>
    <w:p w14:paraId="5DE03ED2" w14:textId="08212443" w:rsidR="00B22782" w:rsidRPr="00A149DA" w:rsidRDefault="00B22782" w:rsidP="006551A2">
      <w:pPr>
        <w:tabs>
          <w:tab w:val="right" w:pos="9360"/>
        </w:tabs>
        <w:spacing w:before="80" w:after="80" w:line="240" w:lineRule="auto"/>
        <w:rPr>
          <w:sz w:val="24"/>
          <w:szCs w:val="24"/>
        </w:rPr>
      </w:pPr>
      <w:r w:rsidRPr="00C82A96">
        <w:rPr>
          <w:noProof/>
          <w:position w:val="-28"/>
          <w:sz w:val="24"/>
          <w:szCs w:val="24"/>
        </w:rPr>
        <w:object w:dxaOrig="1560" w:dyaOrig="540" w14:anchorId="40530CDB">
          <v:shape id="_x0000_i1088" type="#_x0000_t75" style="width:78pt;height:29.25pt" o:ole="" o:preferrelative="f">
            <v:imagedata r:id="rId141" o:title=""/>
            <o:lock v:ext="edit" aspectratio="f"/>
          </v:shape>
          <o:OLEObject Type="Embed" ProgID="Equation.DSMT4" ShapeID="_x0000_i1088" DrawAspect="Content" ObjectID="_1646040615" r:id="rId142"/>
        </w:object>
      </w:r>
      <w:r>
        <w:rPr>
          <w:noProof/>
          <w:sz w:val="24"/>
          <w:szCs w:val="24"/>
        </w:rPr>
        <w:t>,</w:t>
      </w:r>
      <w:r w:rsidRPr="00A149DA">
        <w:rPr>
          <w:sz w:val="24"/>
          <w:szCs w:val="24"/>
        </w:rPr>
        <w:tab/>
      </w:r>
      <w:r>
        <w:rPr>
          <w:sz w:val="24"/>
          <w:szCs w:val="24"/>
        </w:rPr>
        <w:t>(</w:t>
      </w:r>
      <w:r w:rsidR="00F27FE7">
        <w:rPr>
          <w:sz w:val="24"/>
          <w:szCs w:val="24"/>
        </w:rPr>
        <w:t>8</w:t>
      </w:r>
      <w:r>
        <w:rPr>
          <w:sz w:val="24"/>
          <w:szCs w:val="24"/>
        </w:rPr>
        <w:t>)</w:t>
      </w:r>
    </w:p>
    <w:p w14:paraId="43632EEF" w14:textId="77777777" w:rsidR="00A67185" w:rsidRDefault="00B22782" w:rsidP="00A67185">
      <w:pPr>
        <w:spacing w:after="0" w:line="240" w:lineRule="auto"/>
        <w:rPr>
          <w:sz w:val="24"/>
          <w:szCs w:val="24"/>
        </w:rPr>
      </w:pPr>
      <w:r w:rsidRPr="00A149DA">
        <w:rPr>
          <w:sz w:val="24"/>
          <w:szCs w:val="24"/>
        </w:rPr>
        <w:t xml:space="preserve">where </w:t>
      </w:r>
      <w:r w:rsidRPr="00C82A96">
        <w:rPr>
          <w:noProof/>
          <w:position w:val="-12"/>
          <w:sz w:val="24"/>
          <w:szCs w:val="24"/>
        </w:rPr>
        <w:object w:dxaOrig="340" w:dyaOrig="360" w14:anchorId="4D210F7D">
          <v:shape id="_x0000_i1089" type="#_x0000_t75" style="width:17.25pt;height:18pt" o:ole="" o:preferrelative="f">
            <v:imagedata r:id="rId143" o:title=""/>
            <o:lock v:ext="edit" aspectratio="f"/>
          </v:shape>
          <o:OLEObject Type="Embed" ProgID="Equation.DSMT4" ShapeID="_x0000_i1089" DrawAspect="Content" ObjectID="_1646040616" r:id="rId144"/>
        </w:object>
      </w:r>
      <w:r>
        <w:rPr>
          <w:noProof/>
          <w:sz w:val="24"/>
          <w:szCs w:val="24"/>
        </w:rPr>
        <w:t xml:space="preserve"> </w:t>
      </w:r>
      <w:r w:rsidRPr="00A149DA">
        <w:rPr>
          <w:sz w:val="24"/>
          <w:szCs w:val="24"/>
        </w:rPr>
        <w:t xml:space="preserve">is the probability that a deadheading trip originating at TAZ </w:t>
      </w:r>
      <w:r w:rsidRPr="00342FB7">
        <w:rPr>
          <w:i/>
          <w:sz w:val="24"/>
          <w:szCs w:val="24"/>
        </w:rPr>
        <w:t>o</w:t>
      </w:r>
      <w:r>
        <w:rPr>
          <w:noProof/>
          <w:sz w:val="24"/>
          <w:szCs w:val="24"/>
        </w:rPr>
        <w:t xml:space="preserve"> </w:t>
      </w:r>
      <w:r w:rsidRPr="00A149DA">
        <w:rPr>
          <w:sz w:val="24"/>
          <w:szCs w:val="24"/>
        </w:rPr>
        <w:t>ends at TAZ</w:t>
      </w:r>
      <w:r>
        <w:rPr>
          <w:sz w:val="24"/>
          <w:szCs w:val="24"/>
        </w:rPr>
        <w:t xml:space="preserve"> </w:t>
      </w:r>
      <w:r w:rsidRPr="00342FB7">
        <w:rPr>
          <w:i/>
          <w:sz w:val="24"/>
          <w:szCs w:val="24"/>
        </w:rPr>
        <w:t>d</w:t>
      </w:r>
      <w:r>
        <w:rPr>
          <w:sz w:val="24"/>
          <w:szCs w:val="24"/>
        </w:rPr>
        <w:t xml:space="preserve"> </w:t>
      </w:r>
      <w:r w:rsidRPr="00A149DA">
        <w:rPr>
          <w:sz w:val="24"/>
          <w:szCs w:val="24"/>
        </w:rPr>
        <w:t>as computed by</w:t>
      </w:r>
      <w:r>
        <w:rPr>
          <w:sz w:val="24"/>
          <w:szCs w:val="24"/>
        </w:rPr>
        <w:t xml:space="preserve"> Equation (</w:t>
      </w:r>
      <w:proofErr w:type="gramStart"/>
      <w:r>
        <w:rPr>
          <w:sz w:val="24"/>
          <w:szCs w:val="24"/>
        </w:rPr>
        <w:t>3).</w:t>
      </w:r>
      <w:proofErr w:type="gramEnd"/>
      <w:r>
        <w:rPr>
          <w:sz w:val="24"/>
          <w:szCs w:val="24"/>
        </w:rPr>
        <w:t xml:space="preserve"> </w:t>
      </w:r>
      <w:r w:rsidRPr="00A149DA">
        <w:rPr>
          <w:sz w:val="24"/>
          <w:szCs w:val="24"/>
        </w:rPr>
        <w:t>The above expression assumes that all ride-hailing vehicles that drop a passenger at TAZ</w:t>
      </w:r>
      <w:r>
        <w:rPr>
          <w:sz w:val="24"/>
          <w:szCs w:val="24"/>
        </w:rPr>
        <w:t xml:space="preserve"> </w:t>
      </w:r>
      <w:r w:rsidRPr="00342FB7">
        <w:rPr>
          <w:i/>
          <w:sz w:val="24"/>
          <w:szCs w:val="24"/>
        </w:rPr>
        <w:t>o</w:t>
      </w:r>
      <w:r>
        <w:rPr>
          <w:noProof/>
          <w:sz w:val="24"/>
          <w:szCs w:val="24"/>
        </w:rPr>
        <w:t xml:space="preserve"> </w:t>
      </w:r>
      <w:r w:rsidRPr="00A149DA">
        <w:rPr>
          <w:sz w:val="24"/>
          <w:szCs w:val="24"/>
        </w:rPr>
        <w:t xml:space="preserve">will make only one trip </w:t>
      </w:r>
      <w:r>
        <w:rPr>
          <w:sz w:val="24"/>
          <w:szCs w:val="24"/>
        </w:rPr>
        <w:t>to pick up</w:t>
      </w:r>
      <w:r w:rsidRPr="00A149DA">
        <w:rPr>
          <w:sz w:val="24"/>
          <w:szCs w:val="24"/>
        </w:rPr>
        <w:t xml:space="preserve"> the next passenger. In other words, </w:t>
      </w:r>
      <w:r>
        <w:rPr>
          <w:sz w:val="24"/>
          <w:szCs w:val="24"/>
        </w:rPr>
        <w:t xml:space="preserve">it is </w:t>
      </w:r>
      <w:r w:rsidRPr="00A149DA">
        <w:rPr>
          <w:sz w:val="24"/>
          <w:szCs w:val="24"/>
        </w:rPr>
        <w:t>assume</w:t>
      </w:r>
      <w:r>
        <w:rPr>
          <w:sz w:val="24"/>
          <w:szCs w:val="24"/>
        </w:rPr>
        <w:t>d</w:t>
      </w:r>
      <w:r w:rsidRPr="00A149DA">
        <w:rPr>
          <w:sz w:val="24"/>
          <w:szCs w:val="24"/>
        </w:rPr>
        <w:t xml:space="preserve"> that all deadheading trips </w:t>
      </w:r>
      <w:r>
        <w:rPr>
          <w:sz w:val="24"/>
          <w:szCs w:val="24"/>
        </w:rPr>
        <w:t>belong to the</w:t>
      </w:r>
      <w:r w:rsidRPr="00A149DA">
        <w:rPr>
          <w:sz w:val="24"/>
          <w:szCs w:val="24"/>
        </w:rPr>
        <w:t xml:space="preserve"> first category as defined in Section</w:t>
      </w:r>
      <w:r>
        <w:rPr>
          <w:sz w:val="24"/>
          <w:szCs w:val="24"/>
        </w:rPr>
        <w:t xml:space="preserve"> 4.1. </w:t>
      </w:r>
      <w:r w:rsidRPr="00A149DA">
        <w:rPr>
          <w:sz w:val="24"/>
          <w:szCs w:val="24"/>
        </w:rPr>
        <w:t xml:space="preserve">In reality, some drivers may end the ride-hailing session and return home or proceed to perform </w:t>
      </w:r>
      <w:r>
        <w:rPr>
          <w:sz w:val="24"/>
          <w:szCs w:val="24"/>
        </w:rPr>
        <w:t xml:space="preserve">other </w:t>
      </w:r>
      <w:r w:rsidR="00A67185" w:rsidRPr="00993CC7">
        <w:rPr>
          <w:sz w:val="24"/>
          <w:szCs w:val="24"/>
        </w:rPr>
        <w:t>personal activities. The deadheading trips resulting from the pursuit of these other personal activities are not modeled in this study. However, accounting for these deadheading trips in at least some manner is likely to be better than completely ignoring them.</w:t>
      </w:r>
    </w:p>
    <w:p w14:paraId="016DC84B" w14:textId="44F2025B" w:rsidR="00C07542" w:rsidRPr="007F39FF" w:rsidRDefault="00B22782" w:rsidP="00C07542">
      <w:pPr>
        <w:spacing w:after="0" w:line="240" w:lineRule="auto"/>
        <w:rPr>
          <w:sz w:val="24"/>
          <w:szCs w:val="24"/>
        </w:rPr>
      </w:pPr>
      <w:r>
        <w:rPr>
          <w:sz w:val="24"/>
          <w:szCs w:val="24"/>
        </w:rPr>
        <w:br/>
      </w:r>
    </w:p>
    <w:p w14:paraId="205FEB83" w14:textId="7A78CB72" w:rsidR="00DD26E3" w:rsidRPr="00A149DA" w:rsidRDefault="00740F16" w:rsidP="00D71ED7">
      <w:pPr>
        <w:spacing w:line="252" w:lineRule="auto"/>
        <w:rPr>
          <w:sz w:val="24"/>
          <w:szCs w:val="24"/>
        </w:rPr>
      </w:pPr>
      <w:r>
        <w:rPr>
          <w:sz w:val="24"/>
          <w:szCs w:val="24"/>
        </w:rPr>
        <w:lastRenderedPageBreak/>
        <w:pict w14:anchorId="18C1399D">
          <v:shape id="_x0000_i1090" type="#_x0000_t75" style="width:467.25pt;height:605.25pt">
            <v:imagedata r:id="rId145" o:title="Deadheading R"/>
          </v:shape>
        </w:pict>
      </w:r>
    </w:p>
    <w:p w14:paraId="1ADACE98" w14:textId="28E0FCA4" w:rsidR="00DD26E3" w:rsidRPr="00A149DA" w:rsidRDefault="00DD26E3" w:rsidP="00DD26E3">
      <w:pPr>
        <w:pStyle w:val="Caption"/>
        <w:spacing w:after="0" w:line="240" w:lineRule="auto"/>
        <w:jc w:val="center"/>
        <w:rPr>
          <w:sz w:val="24"/>
          <w:szCs w:val="24"/>
        </w:rPr>
      </w:pPr>
      <w:r w:rsidRPr="00A149DA">
        <w:rPr>
          <w:sz w:val="24"/>
          <w:szCs w:val="24"/>
        </w:rPr>
        <w:t xml:space="preserve">Figure </w:t>
      </w:r>
      <w:r w:rsidRPr="00A149DA">
        <w:rPr>
          <w:sz w:val="24"/>
          <w:szCs w:val="24"/>
        </w:rPr>
        <w:fldChar w:fldCharType="begin"/>
      </w:r>
      <w:r w:rsidRPr="00A149DA">
        <w:rPr>
          <w:sz w:val="24"/>
          <w:szCs w:val="24"/>
        </w:rPr>
        <w:instrText xml:space="preserve"> SEQ Figure \* ARABIC </w:instrText>
      </w:r>
      <w:r w:rsidRPr="00A149DA">
        <w:rPr>
          <w:sz w:val="24"/>
          <w:szCs w:val="24"/>
        </w:rPr>
        <w:fldChar w:fldCharType="separate"/>
      </w:r>
      <w:r w:rsidR="00740F16">
        <w:rPr>
          <w:noProof/>
          <w:sz w:val="24"/>
          <w:szCs w:val="24"/>
        </w:rPr>
        <w:t>4</w:t>
      </w:r>
      <w:r w:rsidRPr="00A149DA">
        <w:rPr>
          <w:noProof/>
          <w:sz w:val="24"/>
          <w:szCs w:val="24"/>
        </w:rPr>
        <w:fldChar w:fldCharType="end"/>
      </w:r>
      <w:r w:rsidRPr="00A149DA">
        <w:rPr>
          <w:sz w:val="24"/>
          <w:szCs w:val="24"/>
        </w:rPr>
        <w:t xml:space="preserve">  Expected </w:t>
      </w:r>
      <w:r>
        <w:rPr>
          <w:sz w:val="24"/>
          <w:szCs w:val="24"/>
        </w:rPr>
        <w:t>D</w:t>
      </w:r>
      <w:r w:rsidRPr="00A149DA">
        <w:rPr>
          <w:sz w:val="24"/>
          <w:szCs w:val="24"/>
        </w:rPr>
        <w:t xml:space="preserve">eadheading </w:t>
      </w:r>
      <w:r>
        <w:rPr>
          <w:sz w:val="24"/>
          <w:szCs w:val="24"/>
        </w:rPr>
        <w:t>D</w:t>
      </w:r>
      <w:r w:rsidRPr="00A149DA">
        <w:rPr>
          <w:sz w:val="24"/>
          <w:szCs w:val="24"/>
        </w:rPr>
        <w:t>istance from TAZs in the PM Peak Period</w:t>
      </w:r>
    </w:p>
    <w:p w14:paraId="0556B678" w14:textId="0556F33C" w:rsidR="001737C3" w:rsidRDefault="001737C3" w:rsidP="006F5761">
      <w:pPr>
        <w:spacing w:after="0" w:line="240" w:lineRule="auto"/>
        <w:rPr>
          <w:sz w:val="24"/>
          <w:szCs w:val="24"/>
        </w:rPr>
      </w:pPr>
    </w:p>
    <w:p w14:paraId="50E5433B" w14:textId="17B5D1AA" w:rsidR="001737C3" w:rsidRPr="00A149DA" w:rsidRDefault="001737C3" w:rsidP="001737C3">
      <w:pPr>
        <w:pStyle w:val="Heading1"/>
        <w:spacing w:before="0" w:after="0" w:line="240" w:lineRule="auto"/>
        <w:rPr>
          <w:szCs w:val="24"/>
        </w:rPr>
      </w:pPr>
      <w:r w:rsidRPr="00A149DA">
        <w:rPr>
          <w:szCs w:val="24"/>
        </w:rPr>
        <w:lastRenderedPageBreak/>
        <w:t>Conclusion</w:t>
      </w:r>
      <w:r>
        <w:rPr>
          <w:szCs w:val="24"/>
        </w:rPr>
        <w:t>s</w:t>
      </w:r>
    </w:p>
    <w:p w14:paraId="0D43940A" w14:textId="77777777" w:rsidR="001D7149" w:rsidRDefault="001D7149" w:rsidP="001D7149">
      <w:pPr>
        <w:spacing w:after="0" w:line="240" w:lineRule="auto"/>
        <w:rPr>
          <w:sz w:val="24"/>
          <w:szCs w:val="24"/>
        </w:rPr>
      </w:pPr>
      <w:r>
        <w:rPr>
          <w:sz w:val="24"/>
          <w:szCs w:val="24"/>
        </w:rPr>
        <w:t xml:space="preserve">The research in this paper is motivated by the rapidly increasing use of ride-hailing options in cities around the world.  The use of ride-hailing services leads to empty vehicle mileage because ride-hailing service drivers (often) need to travel some finite distance to pick-up their next passenger after dropping off a prior passenger.  These trips, referred to as deadheading trips, have important implications for vehicle miles of travel (VMT), traffic congestion, and carbon footprint of auto travel. Although there is considerable research dedicated to studying ride-hailing passenger trips and their characteristics, there is very little research on deadheading trips thus rendering it challenging to formulate strategies to reduce deadheading mileage and to account for such trips in travel demand forecasting models.  </w:t>
      </w:r>
    </w:p>
    <w:p w14:paraId="7492FA07" w14:textId="77777777" w:rsidR="001D7149" w:rsidRDefault="001D7149" w:rsidP="001D7149">
      <w:pPr>
        <w:spacing w:after="0" w:line="240" w:lineRule="auto"/>
        <w:ind w:firstLine="720"/>
        <w:rPr>
          <w:sz w:val="24"/>
          <w:szCs w:val="24"/>
        </w:rPr>
      </w:pPr>
      <w:r>
        <w:rPr>
          <w:sz w:val="24"/>
          <w:szCs w:val="24"/>
        </w:rPr>
        <w:t>This paper presents</w:t>
      </w:r>
      <w:r w:rsidRPr="00A149DA">
        <w:rPr>
          <w:sz w:val="24"/>
          <w:szCs w:val="24"/>
        </w:rPr>
        <w:t xml:space="preserve"> a model for forecasting the destinations of deadheading </w:t>
      </w:r>
      <w:r>
        <w:rPr>
          <w:sz w:val="24"/>
          <w:szCs w:val="24"/>
        </w:rPr>
        <w:t>trips</w:t>
      </w:r>
      <w:r w:rsidRPr="00A149DA">
        <w:rPr>
          <w:sz w:val="24"/>
          <w:szCs w:val="24"/>
        </w:rPr>
        <w:t xml:space="preserve">. </w:t>
      </w:r>
      <w:r>
        <w:rPr>
          <w:sz w:val="24"/>
          <w:szCs w:val="24"/>
        </w:rPr>
        <w:t xml:space="preserve">A dataset of </w:t>
      </w:r>
      <w:r w:rsidRPr="00A149DA">
        <w:rPr>
          <w:sz w:val="24"/>
          <w:szCs w:val="24"/>
        </w:rPr>
        <w:t xml:space="preserve">deadheading trips </w:t>
      </w:r>
      <w:r>
        <w:rPr>
          <w:sz w:val="24"/>
          <w:szCs w:val="24"/>
        </w:rPr>
        <w:t xml:space="preserve">was generated by </w:t>
      </w:r>
      <w:r w:rsidRPr="00A149DA">
        <w:rPr>
          <w:sz w:val="24"/>
          <w:szCs w:val="24"/>
        </w:rPr>
        <w:t>imput</w:t>
      </w:r>
      <w:r>
        <w:rPr>
          <w:sz w:val="24"/>
          <w:szCs w:val="24"/>
        </w:rPr>
        <w:t>ing</w:t>
      </w:r>
      <w:r w:rsidRPr="00A149DA">
        <w:rPr>
          <w:sz w:val="24"/>
          <w:szCs w:val="24"/>
        </w:rPr>
        <w:t xml:space="preserve"> </w:t>
      </w:r>
      <w:r>
        <w:rPr>
          <w:sz w:val="24"/>
          <w:szCs w:val="24"/>
        </w:rPr>
        <w:t xml:space="preserve">such trips from a </w:t>
      </w:r>
      <w:r w:rsidRPr="00A149DA">
        <w:rPr>
          <w:sz w:val="24"/>
          <w:szCs w:val="24"/>
        </w:rPr>
        <w:t>data</w:t>
      </w:r>
      <w:r>
        <w:rPr>
          <w:sz w:val="24"/>
          <w:szCs w:val="24"/>
        </w:rPr>
        <w:t>set</w:t>
      </w:r>
      <w:r w:rsidRPr="00A149DA">
        <w:rPr>
          <w:sz w:val="24"/>
          <w:szCs w:val="24"/>
        </w:rPr>
        <w:t xml:space="preserve"> on </w:t>
      </w:r>
      <w:r>
        <w:rPr>
          <w:sz w:val="24"/>
          <w:szCs w:val="24"/>
        </w:rPr>
        <w:t xml:space="preserve">ride-hailing </w:t>
      </w:r>
      <w:r w:rsidRPr="00A149DA">
        <w:rPr>
          <w:sz w:val="24"/>
          <w:szCs w:val="24"/>
        </w:rPr>
        <w:t xml:space="preserve">passenger trips </w:t>
      </w:r>
      <w:r>
        <w:rPr>
          <w:sz w:val="24"/>
          <w:szCs w:val="24"/>
        </w:rPr>
        <w:t>released by</w:t>
      </w:r>
      <w:r w:rsidRPr="00A149DA">
        <w:rPr>
          <w:sz w:val="24"/>
          <w:szCs w:val="24"/>
        </w:rPr>
        <w:t xml:space="preserve"> the </w:t>
      </w:r>
      <w:r>
        <w:rPr>
          <w:sz w:val="24"/>
          <w:szCs w:val="24"/>
        </w:rPr>
        <w:t xml:space="preserve">TNC, </w:t>
      </w:r>
      <w:r w:rsidRPr="00A149DA">
        <w:rPr>
          <w:sz w:val="24"/>
          <w:szCs w:val="24"/>
        </w:rPr>
        <w:t xml:space="preserve">Ride Austin. The model provides valuable insights on the factors that affect deadheading trip patterns at different time periods in a day and at different locations. The model is sensitive to location specific characteristics related to the built environment, employment </w:t>
      </w:r>
      <w:r w:rsidRPr="00876C25">
        <w:rPr>
          <w:sz w:val="24"/>
          <w:szCs w:val="24"/>
        </w:rPr>
        <w:t>opportunities, and socio-demographic characteristics. The goodness-of-fit of the nonlinear-in-parameters multinomial logit (NPMNL) model developed in this paper is found to be significantly better than that of a simple multinomial logit (MNL) model. The paper presents a detailed discussion of possible applications of the model for transportation planning and travel demand forecasting.</w:t>
      </w:r>
      <w:r>
        <w:rPr>
          <w:sz w:val="24"/>
          <w:szCs w:val="24"/>
        </w:rPr>
        <w:t xml:space="preserve"> </w:t>
      </w:r>
    </w:p>
    <w:p w14:paraId="458ED9CD" w14:textId="77777777" w:rsidR="001D7149" w:rsidRPr="00492D29" w:rsidRDefault="001D7149" w:rsidP="001D7149">
      <w:pPr>
        <w:spacing w:after="0" w:line="240" w:lineRule="auto"/>
        <w:ind w:firstLine="720"/>
        <w:rPr>
          <w:sz w:val="24"/>
          <w:szCs w:val="24"/>
        </w:rPr>
      </w:pPr>
      <w:r>
        <w:rPr>
          <w:sz w:val="24"/>
          <w:szCs w:val="24"/>
        </w:rPr>
        <w:t>A shortcoming of this study is that</w:t>
      </w:r>
      <w:r w:rsidRPr="00A149DA">
        <w:rPr>
          <w:sz w:val="24"/>
          <w:szCs w:val="24"/>
        </w:rPr>
        <w:t xml:space="preserve"> </w:t>
      </w:r>
      <w:r>
        <w:rPr>
          <w:sz w:val="24"/>
          <w:szCs w:val="24"/>
        </w:rPr>
        <w:t xml:space="preserve">the model only accounts for </w:t>
      </w:r>
      <w:r w:rsidRPr="00A149DA">
        <w:rPr>
          <w:sz w:val="24"/>
          <w:szCs w:val="24"/>
        </w:rPr>
        <w:t>deadheading trips that occur when the driver is searching for a new passenger after dropping off the previous passenger. There is another category of deadheading trip</w:t>
      </w:r>
      <w:r>
        <w:rPr>
          <w:sz w:val="24"/>
          <w:szCs w:val="24"/>
        </w:rPr>
        <w:t>s</w:t>
      </w:r>
      <w:r w:rsidRPr="00A149DA">
        <w:rPr>
          <w:sz w:val="24"/>
          <w:szCs w:val="24"/>
        </w:rPr>
        <w:t xml:space="preserve"> that involve the driver stopping the ride-hailing session and traveling to perform other activities. The dataset </w:t>
      </w:r>
      <w:r>
        <w:rPr>
          <w:sz w:val="24"/>
          <w:szCs w:val="24"/>
        </w:rPr>
        <w:t>used in this study</w:t>
      </w:r>
      <w:r w:rsidRPr="00A149DA">
        <w:rPr>
          <w:sz w:val="24"/>
          <w:szCs w:val="24"/>
        </w:rPr>
        <w:t xml:space="preserve"> was not suitable for modeling this category of deadheading trips. </w:t>
      </w:r>
      <w:r>
        <w:rPr>
          <w:sz w:val="24"/>
          <w:szCs w:val="24"/>
        </w:rPr>
        <w:t>Also</w:t>
      </w:r>
      <w:r w:rsidRPr="00A149DA">
        <w:rPr>
          <w:sz w:val="24"/>
          <w:szCs w:val="24"/>
        </w:rPr>
        <w:t xml:space="preserve">, the results in this paper do not </w:t>
      </w:r>
      <w:r>
        <w:rPr>
          <w:sz w:val="24"/>
          <w:szCs w:val="24"/>
        </w:rPr>
        <w:t>apply to</w:t>
      </w:r>
      <w:r w:rsidRPr="00A149DA">
        <w:rPr>
          <w:sz w:val="24"/>
          <w:szCs w:val="24"/>
        </w:rPr>
        <w:t xml:space="preserve"> </w:t>
      </w:r>
      <w:r>
        <w:rPr>
          <w:sz w:val="24"/>
          <w:szCs w:val="24"/>
        </w:rPr>
        <w:t xml:space="preserve">shared </w:t>
      </w:r>
      <w:r w:rsidRPr="00A149DA">
        <w:rPr>
          <w:sz w:val="24"/>
          <w:szCs w:val="24"/>
        </w:rPr>
        <w:t>ride-</w:t>
      </w:r>
      <w:r>
        <w:rPr>
          <w:sz w:val="24"/>
          <w:szCs w:val="24"/>
        </w:rPr>
        <w:t xml:space="preserve">hailing services where unrelated </w:t>
      </w:r>
      <w:r w:rsidRPr="00A149DA">
        <w:rPr>
          <w:sz w:val="24"/>
          <w:szCs w:val="24"/>
        </w:rPr>
        <w:t xml:space="preserve">passengers can share rides. </w:t>
      </w:r>
      <w:r>
        <w:rPr>
          <w:sz w:val="24"/>
          <w:szCs w:val="24"/>
        </w:rPr>
        <w:t>B</w:t>
      </w:r>
      <w:r w:rsidRPr="00A149DA">
        <w:rPr>
          <w:sz w:val="24"/>
          <w:szCs w:val="24"/>
        </w:rPr>
        <w:t>ecause the Ride Austin platform did not provide this service at the time when th</w:t>
      </w:r>
      <w:r>
        <w:rPr>
          <w:sz w:val="24"/>
          <w:szCs w:val="24"/>
        </w:rPr>
        <w:t>e</w:t>
      </w:r>
      <w:r w:rsidRPr="00A149DA">
        <w:rPr>
          <w:sz w:val="24"/>
          <w:szCs w:val="24"/>
        </w:rPr>
        <w:t xml:space="preserve"> data was collected</w:t>
      </w:r>
      <w:r>
        <w:rPr>
          <w:sz w:val="24"/>
          <w:szCs w:val="24"/>
        </w:rPr>
        <w:t>, this mode of ride-hailing could not be considered</w:t>
      </w:r>
      <w:r w:rsidRPr="00A149DA">
        <w:rPr>
          <w:sz w:val="24"/>
          <w:szCs w:val="24"/>
        </w:rPr>
        <w:t>.</w:t>
      </w:r>
      <w:r>
        <w:rPr>
          <w:sz w:val="24"/>
          <w:szCs w:val="24"/>
        </w:rPr>
        <w:t xml:space="preserve"> Also, when incorporating the deadheading trip model into a travel demand forecasting model, it is important to recognize that </w:t>
      </w:r>
      <w:r w:rsidRPr="00A149DA">
        <w:rPr>
          <w:sz w:val="24"/>
          <w:szCs w:val="24"/>
        </w:rPr>
        <w:t xml:space="preserve">most of the conventional travel demand forecasting models assume that all trips occur along the path with the lowest impedance. Since at least a part of the deadheading trip may be utilized to search for new passengers, the resulting path to the next pick-up location may not be along the path with the lowest impedance. </w:t>
      </w:r>
      <w:r>
        <w:rPr>
          <w:sz w:val="24"/>
          <w:szCs w:val="24"/>
        </w:rPr>
        <w:t xml:space="preserve">The model presented in this paper </w:t>
      </w:r>
      <w:r w:rsidRPr="00A149DA">
        <w:rPr>
          <w:sz w:val="24"/>
          <w:szCs w:val="24"/>
        </w:rPr>
        <w:t>only</w:t>
      </w:r>
      <w:r>
        <w:rPr>
          <w:sz w:val="24"/>
          <w:szCs w:val="24"/>
        </w:rPr>
        <w:t xml:space="preserve"> identifies</w:t>
      </w:r>
      <w:r w:rsidRPr="00A149DA">
        <w:rPr>
          <w:sz w:val="24"/>
          <w:szCs w:val="24"/>
        </w:rPr>
        <w:t xml:space="preserve"> the destination of the deadheading trip and not the path taken to reach that destination. Modeling the actual path taken in the search for new passengers would be a worthwhile endeavor for future research in terms of </w:t>
      </w:r>
      <w:r>
        <w:rPr>
          <w:sz w:val="24"/>
          <w:szCs w:val="24"/>
        </w:rPr>
        <w:t xml:space="preserve">obtaining </w:t>
      </w:r>
      <w:r w:rsidRPr="00A149DA">
        <w:rPr>
          <w:sz w:val="24"/>
          <w:szCs w:val="24"/>
        </w:rPr>
        <w:t>more accurate VMT implications of deadheading trips.</w:t>
      </w:r>
      <w:r>
        <w:rPr>
          <w:sz w:val="24"/>
          <w:szCs w:val="24"/>
        </w:rPr>
        <w:t xml:space="preserve"> </w:t>
      </w:r>
    </w:p>
    <w:p w14:paraId="14465FAC" w14:textId="6DCC58A8" w:rsidR="001D7149" w:rsidRDefault="001D7149" w:rsidP="001D7149">
      <w:pPr>
        <w:spacing w:after="0" w:line="240" w:lineRule="auto"/>
        <w:rPr>
          <w:sz w:val="24"/>
          <w:szCs w:val="24"/>
        </w:rPr>
      </w:pPr>
      <w:r w:rsidRPr="00A149DA">
        <w:rPr>
          <w:sz w:val="24"/>
          <w:szCs w:val="24"/>
        </w:rPr>
        <w:tab/>
      </w:r>
      <w:r>
        <w:rPr>
          <w:sz w:val="24"/>
          <w:szCs w:val="24"/>
        </w:rPr>
        <w:t xml:space="preserve">Another limitation of our study is that </w:t>
      </w:r>
      <w:r w:rsidRPr="00A149DA">
        <w:rPr>
          <w:sz w:val="24"/>
          <w:szCs w:val="24"/>
        </w:rPr>
        <w:t xml:space="preserve">the model developed in this paper is not sensitive to </w:t>
      </w:r>
      <w:r>
        <w:rPr>
          <w:sz w:val="24"/>
          <w:szCs w:val="24"/>
        </w:rPr>
        <w:t xml:space="preserve">the supply-side characteristics of ride-hailing such as vehicle availability, wait times, and pricing. These characteristics could potentially affect deadheading. When the number of vehicles searching for passengers (vehicle availability) is low, it is more likely that drivers would be matched to passengers that are far away. This phenomenon is referred to as “Wild Goose Chase (WGC)” by </w:t>
      </w:r>
      <w:r>
        <w:rPr>
          <w:sz w:val="24"/>
          <w:szCs w:val="24"/>
        </w:rPr>
        <w:fldChar w:fldCharType="begin"/>
      </w:r>
      <w:r>
        <w:rPr>
          <w:sz w:val="24"/>
          <w:szCs w:val="24"/>
        </w:rPr>
        <w:instrText xml:space="preserve"> ADDIN ZOTERO_ITEM CSL_CITATION {"citationID":"FY3j8Mak","properties":{"formattedCitation":"(Castillo et al., 2018)","plainCitation":"(Castillo et al., 2018)","dontUpdate":true,"noteIndex":0},"citationItems":[{"id":26,"uris":["http://zotero.org/users/5433793/items/7FQD798G"],"uri":["http://zotero.org/users/5433793/items/7FQD798G"],"itemData":{"id":26,"type":"report","abstract":"Ride-hailing apps usually match more efficiently than taxis, but they can enter a failure mode anticipated by Arnott (1996) that we call wild goose chases. High demand depletes the platform of idle drivers, so cars must be sent to pick up distant customers. Time wasted on pick-ups decreases drivers’ earnings, leading to exit and exacerbating the problem. Raising prices, either by keeping them consistently high or “surge” pricing only at high demand times, brings demand back under control and avoids these catastrophic failures. Banning surge pricing would thus likely result in always-high prices. Alternative solutions would undermine ride-hailing’s brand promise.","event-place":"Rochester, NY","genre":"SSRN Scholarly Paper","language":"en","number":"ID 2890666","publisher":"Social Science Research Network","publisher-place":"Rochester, NY","source":"papers.ssrn.com","title":"Surge Pricing Solves the Wild Goose Chase","URL":"https://papers.ssrn.com/abstract=2890666","author":[{"family":"Castillo","given":"Juan Camilo"},{"family":"Knoepfle","given":"Daniel T."},{"family":"Weyl","given":"E. Glen"}],"accessed":{"date-parts":[["2020",2,14]]},"issued":{"date-parts":[["2018",3,20]]}}}],"schema":"https://github.com/citation-style-language/schema/raw/master/csl-citation.json"} </w:instrText>
      </w:r>
      <w:r>
        <w:rPr>
          <w:sz w:val="24"/>
          <w:szCs w:val="24"/>
        </w:rPr>
        <w:fldChar w:fldCharType="separate"/>
      </w:r>
      <w:r w:rsidRPr="00A8552E">
        <w:rPr>
          <w:rFonts w:cs="Times New Roman"/>
          <w:sz w:val="24"/>
        </w:rPr>
        <w:t xml:space="preserve">Castillo </w:t>
      </w:r>
      <w:r w:rsidRPr="006E6152">
        <w:rPr>
          <w:rFonts w:cs="Times New Roman"/>
          <w:i/>
          <w:sz w:val="24"/>
        </w:rPr>
        <w:t>et al</w:t>
      </w:r>
      <w:r w:rsidRPr="00A8552E">
        <w:rPr>
          <w:rFonts w:cs="Times New Roman"/>
          <w:sz w:val="24"/>
        </w:rPr>
        <w:t xml:space="preserve">. </w:t>
      </w:r>
      <w:r>
        <w:rPr>
          <w:rFonts w:cs="Times New Roman"/>
          <w:sz w:val="24"/>
        </w:rPr>
        <w:t>(</w:t>
      </w:r>
      <w:r w:rsidRPr="00A8552E">
        <w:rPr>
          <w:rFonts w:cs="Times New Roman"/>
          <w:sz w:val="24"/>
        </w:rPr>
        <w:t>2018)</w:t>
      </w:r>
      <w:r>
        <w:rPr>
          <w:sz w:val="24"/>
          <w:szCs w:val="24"/>
        </w:rPr>
        <w:fldChar w:fldCharType="end"/>
      </w:r>
      <w:r>
        <w:rPr>
          <w:sz w:val="24"/>
          <w:szCs w:val="24"/>
        </w:rPr>
        <w:t>. WGCs can result in higher wait times for passengers and longer deadheading for drivers. Ride-hailing companies have identified surge pricing as an effective mechanism for managing ride-hailing supply and demand to ensure that WGCs do not occur (</w:t>
      </w:r>
      <w:r>
        <w:rPr>
          <w:sz w:val="24"/>
          <w:szCs w:val="24"/>
        </w:rPr>
        <w:fldChar w:fldCharType="begin"/>
      </w:r>
      <w:r>
        <w:rPr>
          <w:sz w:val="24"/>
          <w:szCs w:val="24"/>
        </w:rPr>
        <w:instrText xml:space="preserve"> ADDIN ZOTERO_ITEM CSL_CITATION {"citationID":"o0B2wzjO","properties":{"formattedCitation":"(Castillo et al., 2018)","plainCitation":"(Castillo et al., 2018)","dontUpdate":true,"noteIndex":0},"citationItems":[{"id":26,"uris":["http://zotero.org/users/5433793/items/7FQD798G"],"uri":["http://zotero.org/users/5433793/items/7FQD798G"],"itemData":{"id":26,"type":"report","abstract":"Ride-hailing apps usually match more efficiently than taxis, but they can enter a failure mode anticipated by Arnott (1996) that we call wild goose chases. High demand depletes the platform of idle drivers, so cars must be sent to pick up distant customers. Time wasted on pick-ups decreases drivers’ earnings, leading to exit and exacerbating the problem. Raising prices, either by keeping them consistently high or “surge” pricing only at high demand times, brings demand back under control and avoids these catastrophic failures. Banning surge pricing would thus likely result in always-high prices. Alternative solutions would undermine ride-hailing’s brand promise.","event-place":"Rochester, NY","genre":"SSRN Scholarly Paper","language":"en","number":"ID 2890666","publisher":"Social Science Research Network","publisher-place":"Rochester, NY","source":"papers.ssrn.com","title":"Surge Pricing Solves the Wild Goose Chase","URL":"https://papers.ssrn.com/abstract=2890666","author":[{"family":"Castillo","given":"Juan Camilo"},{"family":"Knoepfle","given":"Daniel T."},{"family":"Weyl","given":"E. Glen"}],"accessed":{"date-parts":[["2020",2,14]]},"issued":{"date-parts":[["2018",3,20]]}}}],"schema":"https://github.com/citation-style-language/schema/raw/master/csl-citation.json"} </w:instrText>
      </w:r>
      <w:r>
        <w:rPr>
          <w:sz w:val="24"/>
          <w:szCs w:val="24"/>
        </w:rPr>
        <w:fldChar w:fldCharType="separate"/>
      </w:r>
      <w:r w:rsidRPr="00393A85">
        <w:rPr>
          <w:rFonts w:cs="Times New Roman"/>
          <w:sz w:val="24"/>
        </w:rPr>
        <w:t xml:space="preserve">Castillo </w:t>
      </w:r>
      <w:r w:rsidRPr="006E6152">
        <w:rPr>
          <w:rFonts w:cs="Times New Roman"/>
          <w:i/>
          <w:sz w:val="24"/>
        </w:rPr>
        <w:t>et al</w:t>
      </w:r>
      <w:r w:rsidRPr="00393A85">
        <w:rPr>
          <w:rFonts w:cs="Times New Roman"/>
          <w:sz w:val="24"/>
        </w:rPr>
        <w:t>.</w:t>
      </w:r>
      <w:r>
        <w:rPr>
          <w:rFonts w:cs="Times New Roman"/>
          <w:sz w:val="24"/>
        </w:rPr>
        <w:t>,</w:t>
      </w:r>
      <w:r w:rsidRPr="00393A85">
        <w:rPr>
          <w:rFonts w:cs="Times New Roman"/>
          <w:sz w:val="24"/>
        </w:rPr>
        <w:t xml:space="preserve"> 2018)</w:t>
      </w:r>
      <w:r>
        <w:rPr>
          <w:sz w:val="24"/>
          <w:szCs w:val="24"/>
        </w:rPr>
        <w:fldChar w:fldCharType="end"/>
      </w:r>
      <w:r>
        <w:rPr>
          <w:sz w:val="24"/>
          <w:szCs w:val="24"/>
        </w:rPr>
        <w:t xml:space="preserve">. Our model does not capture the intricate relationships between the supply, demand and price and its potential impact on deadheading. The reader is referred to studies by </w:t>
      </w:r>
      <w:r>
        <w:rPr>
          <w:sz w:val="24"/>
          <w:szCs w:val="24"/>
        </w:rPr>
        <w:fldChar w:fldCharType="begin"/>
      </w:r>
      <w:r>
        <w:rPr>
          <w:sz w:val="24"/>
          <w:szCs w:val="24"/>
        </w:rPr>
        <w:instrText xml:space="preserve"> ADDIN ZOTERO_ITEM CSL_CITATION {"citationID":"YwMfog4V","properties":{"formattedCitation":"(Bai et al., 2018; Castillo et al., 2018; Nourinejad and Ramezani, 2019; Xu et al., 2019; Zha et al., 2016)","plainCitation":"(Bai et al., 2018; Castillo et al., 2018; Nourinejad and Ramezani, 2019; Xu et al., 2019; Zha et al., 2016)","dontUpdate":true,"noteIndex":0},"citationItems":[{"id":31,"uris":["http://zotero.org/users/5433793/items/QANBFARD"],"uri":["http://zotero.org/users/5433793/items/QANBFARD"],"itemData":{"id":31,"type":"article-journal","abstract":"We consider an on-demand service platform using earning-sensitive independent providers with heterogeneous reservation price (for work participation) to serve its time and price-sensitive customers with heterogeneous valuation of the service. As such, the supply and demand are “endogenously” dependent on the price the platform charges its customers and the wage the platform pays its independent providers. We present an analytical model with endogenous supply (number of participating agents) and endogenous demand (customer request rate) to study this on-demand service platform. To coordinate endogenous demand with endogenous supply, we include the steady-state waiting time performance based on a queueing model in the customer utility function to characterize the optimal price and wage rates that maximize the profit of the platform. We first analyze a base model that uses a fixed payout ratio (i.e., the ratio of wage over price), and then extend our model to allow the platform to adopt a time-based payout ratio. We find that it is optimal for the platform to charge a higher price when demand increases; however, the optimal price is not necessarily monotonic when the provider capacity or the waiting cost increases. Furthermore, the platform should offer a higher payout ratio as demand increases, capacity decreases or customers become more sensitive to waiting time. We also find that the platform should lower its payout ratio as it grows with the number of providers and customer demand increasing at about the same rate. We use a set of actual data from a large on-demand ride-hailing platform to calibrate our model parameters in numerical experiments to illustrate some of our main insights.","container-title":"Manufacturing &amp; Service Operations Management","DOI":"10.1287/msom.2018.0707","ISSN":"1523-4614","issue":"3","journalAbbreviation":"M&amp;SOM","page":"556-570","source":"pubsonline.informs.org (Atypon)","title":"Coordinating Supply and Demand on an On-Demand Service Platform with Impatient Customers","volume":"21","author":[{"family":"Bai","given":"Jiaru"},{"family":"So","given":"Kut C."},{"family":"Tang","given":"Christopher S."},{"family":"Chen","given":"Xiqun (Michael)"},{"family":"Wang","given":"Hai"}],"issued":{"date-parts":[["2018",6,28]]}}},{"id":26,"uris":["http://zotero.org/users/5433793/items/7FQD798G"],"uri":["http://zotero.org/users/5433793/items/7FQD798G"],"itemData":{"id":26,"type":"report","abstract":"Ride-hailing apps usually match more efficiently than taxis, but they can enter a failure mode anticipated by Arnott (1996) that we call wild goose chases. High demand depletes the platform of idle drivers, so cars must be sent to pick up distant customers. Time wasted on pick-ups decreases drivers’ earnings, leading to exit and exacerbating the problem. Raising prices, either by keeping them consistently high or “surge” pricing only at high demand times, brings demand back under control and avoids these catastrophic failures. Banning surge pricing would thus likely result in always-high prices. Alternative solutions would undermine ride-hailing’s brand promise.","event-place":"Rochester, NY","genre":"SSRN Scholarly Paper","language":"en","number":"ID 2890666","publisher":"Social Science Research Network","publisher-place":"Rochester, NY","source":"papers.ssrn.com","title":"Surge Pricing Solves the Wild Goose Chase","URL":"https://papers.ssrn.com/abstract=2890666","author":[{"family":"Castillo","given":"Juan Camilo"},{"family":"Knoepfle","given":"Daniel T."},{"family":"Weyl","given":"E. Glen"}],"accessed":{"date-parts":[["2020",2,14]]},"issued":{"date-parts":[["2018",3,20]]}}},{"id":41,"uris":["http://zotero.org/users/5433793/items/CZX6UJHP"],"uri":["http://zotero.org/users/5433793/items/CZX6UJHP"],"itemData":{"id":41,"type":"article-journal","abstract":"Ride-sourcing is a prominent transportation mode because of its cost-effectiveness and convenience. It provides an on-demand mobility platform that acts as a two-sided market by matching riders with drivers. The conventional models of ride-sourcing systems are equilibrium-based, discrete, and suitable for strategic decisions. This steady-state approach is not suitable for operational decision-making where there is noticeable variation in the state of the system, denying the market enough time to balance back into equilibrium. We introduce a dynamic non-equilibrium ride-sourcing model that tracks the time-varying number of riders, vacant ride-sourcing vehicles, and occupied ride-sourcing vehicles. The drivers are modeled as earning-sensitive, independent contractor, and self-scheduling and the riders are considered price- and quality of service-sensitive such that the supply and demand of the ride-sourcing market are endogenously dependent on (i) the fare requested from the riders and the wage paid to the drivers and (ii) the rider’s waiting time and driver’s cruising time. The model enables investigating how the dynamic wage and fare set by the ride-sourcing service provider affect supply, demand, and states of the market such as average waiting and search time especially when drivers can freely choose their work shifts. Furthermore, we propose a controller based on the model predictive control approach to maximize the service provider’s profit by controlling the fare requested from riders and the wage offered to drivers to satisfy a certain quality of market performance. We assess three pricing strategies where the fare and wage are (i) time-varying and unconstrained, (ii) time-varying and constrained so that the fare is higher than the wage such that the instantaneous profit is positive, and (iii) time-invariant and fixed. The proposed model and controller enable the ride-sourcing service provider to offer a wage to the drivers that is higher than the fare requested from the riders. The result demonstrates that this myopic loss can potentially lead to higher overall profit when customer demand (i.e., riders who may opt to use the ride-sourcing system) increases while the supply of ride-sourcing vehicles decreases simultaneously.","container-title":"Transportation Research Part B: Methodological","DOI":"10.1016/j.trb.2019.05.019","ISSN":"0191-2615","journalAbbreviation":"Transportation Research Part B: Methodological","language":"en","source":"ScienceDirect","title":"Ride-Sourcing modeling and pricing in non-equilibrium two-sided markets","URL":"http://www.sciencedirect.com/science/article/pii/S0191261518311500","author":[{"family":"Nourinejad","given":"Mehdi"},{"family":"Ramezani","given":"Mohsen"}],"accessed":{"date-parts":[["2020",2,18]]},"issued":{"date-parts":[["2019",6,13]]}}},{"id":29,"uris":["http://zotero.org/users/5433793/items/X7YBE3VY"],"uri":["http://zotero.org/users/5433793/items/X7YBE3VY"],"itemData":{"id":29,"type":"article-journal","abstract":"This paper studies the supply curve of ride-hailing systems under different market conditions. The curve defines a relationship between the throughput of trips of the system and the cost of riders it serves. We first focus on isotropic markets by revisiting a matching failure identified recently that matches a requesting rider with an idle driver very far away. The failure will cause the supply curve of an e-hailing market to be backward bending, but it is proved that the backward bend does not arise in the street-hailing market. By constructing a double-ended queuing model, we prove that the supply curve of an e-hailing system with finite matching radius is always backward bending, but a smaller matching radius leads to a weaker bend. We further reveal the possibility of completely avoiding the bend by adaptively adjusting the matching radius. We then turn to the anisotropic markets and identify another type of matching failure due to indiscriminate matching between drivers and riders, which again causes a backward bending supply. Given the prevalence of such a matching failure in real-world operations, we discuss how to avoid it using price or rationing discrimination. A conceptualized two-node network is constructed to facilitate the discussion.","container-title":"Transportation Research Part B: Methodological","DOI":"10.1016/j.trb.2019.02.011","ISSN":"0191-2615","journalAbbreviation":"Transportation Research Part B: Methodological","language":"en","source":"ScienceDirect","title":"On the supply curve of ride-hailing systems","URL":"http://www.sciencedirect.com/science/article/pii/S0191261518311494","author":[{"family":"Xu","given":"Zhengtian"},{"family":"Yin","given":"Yafeng"},{"family":"Ye","given":"Jieping"}],"accessed":{"date-parts":[["2020",2,18]]},"issued":{"date-parts":[["2019",3,4]]}}},{"id":34,"uris":["http://zotero.org/users/5433793/items/XTFC35RU"],"uri":["http://zotero.org/users/5433793/items/XTFC35RU"],"itemData":{"id":34,"type":"article-journal","abstract":"Ride-sourcing refers to an emerging urban mobility service that private car owners drive their own vehicles to provide for-hire rides. This paper analyzes the ride-sourcing market using an aggregate model where the matchings between customers and drivers are captured by an exogenous matching function. It is found that without any regulatory intervention a monopoly ride-sourcing platform will maximize the joint profit with its drivers. On the other hand, the first-best solution is not sustainable when the matching function exhibits increasing returns to scale and the cost function of the platform is subject to economies of scale. Regardless of the examined market scenarios, the average waiting time of customers is proportional to the average searching time of drivers. We establish conditions for regulators to solely regulate the commission charged by the platform to guarantee the second-best. We further investigate the competition of ride-sourcing platforms and find that competition does not necessarily lower the price level or improve social welfare. In the latter case, regulators may rather encourage the merger of the platforms and regulate them directly as a monopolist.","container-title":"Transportation Research Part C: Emerging Technologies","DOI":"10.1016/j.trc.2016.07.010","ISSN":"0968-090X","journalAbbreviation":"Transportation Research Part C: Emerging Technologies","language":"en","page":"249-266","source":"ScienceDirect","title":"Economic analysis of ride-sourcing markets","volume":"71","author":[{"family":"Zha","given":"Liteng"},{"family":"Yin","given":"Yafeng"},{"family":"Yang","given":"Hai"}],"issued":{"date-parts":[["2016",10,1]]}}}],"schema":"https://github.com/citation-style-language/schema/raw/master/csl-citation.json"} </w:instrText>
      </w:r>
      <w:r>
        <w:rPr>
          <w:sz w:val="24"/>
          <w:szCs w:val="24"/>
        </w:rPr>
        <w:fldChar w:fldCharType="separate"/>
      </w:r>
      <w:r w:rsidRPr="003A0E36">
        <w:rPr>
          <w:rFonts w:cs="Times New Roman"/>
          <w:sz w:val="24"/>
        </w:rPr>
        <w:t xml:space="preserve">Bai </w:t>
      </w:r>
      <w:r w:rsidRPr="006E6152">
        <w:rPr>
          <w:rFonts w:cs="Times New Roman"/>
          <w:i/>
          <w:sz w:val="24"/>
        </w:rPr>
        <w:t>et al</w:t>
      </w:r>
      <w:r w:rsidRPr="003A0E36">
        <w:rPr>
          <w:rFonts w:cs="Times New Roman"/>
          <w:sz w:val="24"/>
        </w:rPr>
        <w:t xml:space="preserve">. </w:t>
      </w:r>
      <w:r>
        <w:rPr>
          <w:rFonts w:cs="Times New Roman"/>
          <w:sz w:val="24"/>
        </w:rPr>
        <w:t>(</w:t>
      </w:r>
      <w:r w:rsidRPr="003A0E36">
        <w:rPr>
          <w:rFonts w:cs="Times New Roman"/>
          <w:sz w:val="24"/>
        </w:rPr>
        <w:t>2018</w:t>
      </w:r>
      <w:r>
        <w:rPr>
          <w:rFonts w:cs="Times New Roman"/>
          <w:sz w:val="24"/>
        </w:rPr>
        <w:t>),</w:t>
      </w:r>
      <w:r w:rsidRPr="003A0E36">
        <w:rPr>
          <w:rFonts w:cs="Times New Roman"/>
          <w:sz w:val="24"/>
        </w:rPr>
        <w:t xml:space="preserve"> Castillo </w:t>
      </w:r>
      <w:r w:rsidRPr="006E6152">
        <w:rPr>
          <w:rFonts w:cs="Times New Roman"/>
          <w:i/>
          <w:sz w:val="24"/>
        </w:rPr>
        <w:lastRenderedPageBreak/>
        <w:t>et al</w:t>
      </w:r>
      <w:r w:rsidRPr="003A0E36">
        <w:rPr>
          <w:rFonts w:cs="Times New Roman"/>
          <w:sz w:val="24"/>
        </w:rPr>
        <w:t xml:space="preserve">. </w:t>
      </w:r>
      <w:r>
        <w:rPr>
          <w:rFonts w:cs="Times New Roman"/>
          <w:sz w:val="24"/>
        </w:rPr>
        <w:t>(</w:t>
      </w:r>
      <w:r w:rsidRPr="003A0E36">
        <w:rPr>
          <w:rFonts w:cs="Times New Roman"/>
          <w:sz w:val="24"/>
        </w:rPr>
        <w:t>2018</w:t>
      </w:r>
      <w:r>
        <w:rPr>
          <w:rFonts w:cs="Times New Roman"/>
          <w:sz w:val="24"/>
        </w:rPr>
        <w:t>),</w:t>
      </w:r>
      <w:r w:rsidRPr="003A0E36">
        <w:rPr>
          <w:rFonts w:cs="Times New Roman"/>
          <w:sz w:val="24"/>
        </w:rPr>
        <w:t xml:space="preserve"> Nourinejad an</w:t>
      </w:r>
      <w:r w:rsidRPr="008752DC">
        <w:rPr>
          <w:rFonts w:cs="Times New Roman"/>
          <w:sz w:val="24"/>
        </w:rPr>
        <w:t xml:space="preserve">d Ramezani </w:t>
      </w:r>
      <w:r>
        <w:rPr>
          <w:rFonts w:cs="Times New Roman"/>
          <w:sz w:val="24"/>
        </w:rPr>
        <w:t>(</w:t>
      </w:r>
      <w:r w:rsidRPr="008752DC">
        <w:rPr>
          <w:rFonts w:cs="Times New Roman"/>
          <w:sz w:val="24"/>
        </w:rPr>
        <w:t>20</w:t>
      </w:r>
      <w:r w:rsidR="002501ED">
        <w:rPr>
          <w:rFonts w:cs="Times New Roman"/>
          <w:sz w:val="24"/>
        </w:rPr>
        <w:t>20</w:t>
      </w:r>
      <w:r>
        <w:rPr>
          <w:rFonts w:cs="Times New Roman"/>
          <w:sz w:val="24"/>
        </w:rPr>
        <w:t xml:space="preserve">) </w:t>
      </w:r>
      <w:r w:rsidRPr="008752DC">
        <w:rPr>
          <w:rFonts w:cs="Times New Roman"/>
          <w:sz w:val="24"/>
        </w:rPr>
        <w:t>and</w:t>
      </w:r>
      <w:r w:rsidRPr="003A0E36">
        <w:rPr>
          <w:rFonts w:cs="Times New Roman"/>
          <w:sz w:val="24"/>
        </w:rPr>
        <w:t xml:space="preserve"> Zha </w:t>
      </w:r>
      <w:r w:rsidRPr="006E6152">
        <w:rPr>
          <w:rFonts w:cs="Times New Roman"/>
          <w:i/>
          <w:sz w:val="24"/>
        </w:rPr>
        <w:t>et al</w:t>
      </w:r>
      <w:r w:rsidRPr="003A0E36">
        <w:rPr>
          <w:rFonts w:cs="Times New Roman"/>
          <w:sz w:val="24"/>
        </w:rPr>
        <w:t xml:space="preserve">. </w:t>
      </w:r>
      <w:r>
        <w:rPr>
          <w:rFonts w:cs="Times New Roman"/>
          <w:sz w:val="24"/>
        </w:rPr>
        <w:t>(</w:t>
      </w:r>
      <w:r w:rsidRPr="003A0E36">
        <w:rPr>
          <w:rFonts w:cs="Times New Roman"/>
          <w:sz w:val="24"/>
        </w:rPr>
        <w:t>2016</w:t>
      </w:r>
      <w:r>
        <w:rPr>
          <w:sz w:val="24"/>
          <w:szCs w:val="24"/>
        </w:rPr>
        <w:fldChar w:fldCharType="end"/>
      </w:r>
      <w:r>
        <w:rPr>
          <w:sz w:val="24"/>
          <w:szCs w:val="24"/>
        </w:rPr>
        <w:t xml:space="preserve">) for recent attempts at developing theoretical frameworks for modeling the relationships between characteristics related to supply, demand and price. The relation between supply and demand would also depend on the specific algorithms used by the ride-hailing companies for matching drivers with passengers. Using theoretical frameworks and numerical experiments, </w:t>
      </w:r>
      <w:r>
        <w:rPr>
          <w:sz w:val="24"/>
          <w:szCs w:val="24"/>
        </w:rPr>
        <w:fldChar w:fldCharType="begin"/>
      </w:r>
      <w:r>
        <w:rPr>
          <w:sz w:val="24"/>
          <w:szCs w:val="24"/>
        </w:rPr>
        <w:instrText xml:space="preserve"> ADDIN ZOTERO_ITEM CSL_CITATION {"citationID":"n7jD8bmW","properties":{"formattedCitation":"(Xu et al., 2019; Yang et al., 2020)","plainCitation":"(Xu et al., 2019; Yang et al., 2020)","noteIndex":0},"citationItems":[{"id":29,"uris":["http://zotero.org/users/5433793/items/X7YBE3VY"],"uri":["http://zotero.org/users/5433793/items/X7YBE3VY"],"itemData":{"id":29,"type":"article-journal","abstract":"This paper studies the supply curve of ride-hailing systems under different market conditions. The curve defines a relationship between the throughput of trips of the system and the cost of riders it serves. We first focus on isotropic markets by revisiting a matching failure identified recently that matches a requesting rider with an idle driver very far away. The failure will cause the supply curve of an e-hailing market to be backward bending, but it is proved that the backward bend does not arise in the street-hailing market. By constructing a double-ended queuing model, we prove that the supply curve of an e-hailing system with finite matching radius is always backward bending, but a smaller matching radius leads to a weaker bend. We further reveal the possibility of completely avoiding the bend by adaptively adjusting the matching radius. We then turn to the anisotropic markets and identify another type of matching failure due to indiscriminate matching between drivers and riders, which again causes a backward bending supply. Given the prevalence of such a matching failure in real-world operations, we discuss how to avoid it using price or rationing discrimination. A conceptualized two-node network is constructed to facilitate the discussion.","container-title":"Transportation Research Part B: Methodological","DOI":"10.1016/j.trb.2019.02.011","ISSN":"0191-2615","journalAbbreviation":"Transportation Research Part B: Methodological","language":"en","source":"ScienceDirect","title":"On the supply curve of ride-hailing systems","URL":"http://www.sciencedirect.com/science/article/pii/S0191261518311494","author":[{"family":"Xu","given":"Zhengtian"},{"family":"Yin","given":"Yafeng"},{"family":"Ye","given":"Jieping"}],"accessed":{"date-parts":[["2020",2,18]]},"issued":{"date-parts":[["2019",3,4]]}}},{"id":46,"uris":["http://zotero.org/users/5433793/items/C2YEFFQX"],"uri":["http://zotero.org/users/5433793/items/C2YEFFQX"],"itemData":{"id":46,"type":"article-journal","abstract":"With the availability of the location information of drivers and passengers, ride-sourcing platforms can now provide increasingly efficient online matching compared with physical searching and meeting performed in the traditional taxi market. The matching time interval (the time interval over which waiting passengers and idle drivers are accumulated and then subjected to peer-to-peer matching) and matching radius (or maximum allowable pick-up distance, within which waiting passengers and idle drivers can be matched or paired) are two key control variables that a platform can employ to optimize system performance in an online matching system. By appropriately extending the matching time interval, the platform can accumulate large numbers of waiting (or unserved) passengers and idle drivers and thus match the two pools with a reduced expected pick-up distance. However, if the matching time interval is excessively long, certain passengers may become impatient and even abandon their requests. Meanwhile, a short matching radius can reduce the expected pick-up distance but may decrease the matching rate as well. Therefore, the matching time interval and matching radius should be optimized to enhance system efficiency in terms of passenger waiting time, vehicle utilization, and matching rate. This study proposes a model that delineates the online matching process in ride-sourcing markets. The model is then used to examine the impact of the matching time interval and matching radius on system performance and to jointly optimize the two variables under different levels of supply and demand. Numerical experiments are conducted to demonstrate how the proposed modeling and optimization approaches can improve the real-time matching of ride-sourcing platforms.","container-title":"Transportation Research Part B: Methodological","DOI":"10.1016/j.trb.2019.11.005","ISSN":"0191-2615","journalAbbreviation":"Transportation Research Part B: Methodological","language":"en","page":"84-105","source":"ScienceDirect","title":"Optimizing matching time interval and matching radius in on-demand ride-sourcing markets","volume":"131","author":[{"family":"Yang","given":"Hai"},{"family":"Qin","given":"Xiaoran"},{"family":"Ke","given":"Jintao"},{"family":"Ye","given":"Jieping"}],"issued":{"date-parts":[["2020",1,1]]}}}],"schema":"https://github.com/citation-style-language/schema/raw/master/csl-citation.json"} </w:instrText>
      </w:r>
      <w:r>
        <w:rPr>
          <w:sz w:val="24"/>
          <w:szCs w:val="24"/>
        </w:rPr>
        <w:fldChar w:fldCharType="separate"/>
      </w:r>
      <w:r w:rsidRPr="003A0E36">
        <w:rPr>
          <w:rFonts w:cs="Times New Roman"/>
          <w:sz w:val="24"/>
        </w:rPr>
        <w:t xml:space="preserve">Xu </w:t>
      </w:r>
      <w:r w:rsidRPr="006E6152">
        <w:rPr>
          <w:rFonts w:cs="Times New Roman"/>
          <w:i/>
          <w:sz w:val="24"/>
        </w:rPr>
        <w:t>et al</w:t>
      </w:r>
      <w:r w:rsidRPr="003A0E36">
        <w:rPr>
          <w:rFonts w:cs="Times New Roman"/>
          <w:sz w:val="24"/>
        </w:rPr>
        <w:t xml:space="preserve">. </w:t>
      </w:r>
      <w:r>
        <w:rPr>
          <w:rFonts w:cs="Times New Roman"/>
          <w:sz w:val="24"/>
        </w:rPr>
        <w:t>(</w:t>
      </w:r>
      <w:r w:rsidRPr="003A0E36">
        <w:rPr>
          <w:rFonts w:cs="Times New Roman"/>
          <w:sz w:val="24"/>
        </w:rPr>
        <w:t>2019</w:t>
      </w:r>
      <w:r>
        <w:rPr>
          <w:rFonts w:cs="Times New Roman"/>
          <w:sz w:val="24"/>
        </w:rPr>
        <w:t>) and</w:t>
      </w:r>
      <w:r w:rsidRPr="003A0E36">
        <w:rPr>
          <w:rFonts w:cs="Times New Roman"/>
          <w:sz w:val="24"/>
        </w:rPr>
        <w:t xml:space="preserve"> Yang </w:t>
      </w:r>
      <w:r w:rsidRPr="006E6152">
        <w:rPr>
          <w:rFonts w:cs="Times New Roman"/>
          <w:i/>
          <w:sz w:val="24"/>
        </w:rPr>
        <w:t>et al</w:t>
      </w:r>
      <w:r w:rsidRPr="003A0E36">
        <w:rPr>
          <w:rFonts w:cs="Times New Roman"/>
          <w:sz w:val="24"/>
        </w:rPr>
        <w:t xml:space="preserve">. </w:t>
      </w:r>
      <w:r>
        <w:rPr>
          <w:rFonts w:cs="Times New Roman"/>
          <w:sz w:val="24"/>
        </w:rPr>
        <w:t>(</w:t>
      </w:r>
      <w:r w:rsidRPr="003A0E36">
        <w:rPr>
          <w:rFonts w:cs="Times New Roman"/>
          <w:sz w:val="24"/>
        </w:rPr>
        <w:t>2020)</w:t>
      </w:r>
      <w:r>
        <w:rPr>
          <w:sz w:val="24"/>
          <w:szCs w:val="24"/>
        </w:rPr>
        <w:fldChar w:fldCharType="end"/>
      </w:r>
      <w:r>
        <w:rPr>
          <w:sz w:val="24"/>
          <w:szCs w:val="24"/>
        </w:rPr>
        <w:t xml:space="preserve"> explore the effectiveness of different matching strategies for optimizing the performance of ride-hailing systems. In all the aforementioned studies, supply and demand side characteristics are modeled in the aggregate. They do not consider the heterogeneity of these characteristics over space because of different socio-demographic and built-environment characteristics. Just as there are limitations in our study, these other studies are also substantially limited because they ignore the heterogeneity in ride-hailing demand over space. Doing so invites what has long been referred to as the “ecological fallacy” in analysis methodology (see Robinson, 1950, Duncan </w:t>
      </w:r>
      <w:r w:rsidRPr="006E6152">
        <w:rPr>
          <w:i/>
          <w:sz w:val="24"/>
          <w:szCs w:val="24"/>
        </w:rPr>
        <w:t>et al</w:t>
      </w:r>
      <w:r>
        <w:rPr>
          <w:sz w:val="24"/>
          <w:szCs w:val="24"/>
        </w:rPr>
        <w:t xml:space="preserve">., 1961), and will, in general, result in inaccurate estimates and results due to aggregation bias (see also </w:t>
      </w:r>
      <w:proofErr w:type="spellStart"/>
      <w:r>
        <w:rPr>
          <w:sz w:val="24"/>
          <w:szCs w:val="24"/>
        </w:rPr>
        <w:t>Koppelman</w:t>
      </w:r>
      <w:proofErr w:type="spellEnd"/>
      <w:r>
        <w:rPr>
          <w:sz w:val="24"/>
          <w:szCs w:val="24"/>
        </w:rPr>
        <w:t xml:space="preserve">, 1974). Besides, wait times and surge pricing considerations are intricately tied with demand patterns, not simply supply issues (after all, wait times will be high for a given supply when demand is high, and surge pricing is related to demand not just supply). In addition, </w:t>
      </w:r>
      <w:r w:rsidR="00787966">
        <w:rPr>
          <w:sz w:val="24"/>
          <w:szCs w:val="24"/>
        </w:rPr>
        <w:t xml:space="preserve">many of </w:t>
      </w:r>
      <w:r>
        <w:rPr>
          <w:sz w:val="24"/>
          <w:szCs w:val="24"/>
        </w:rPr>
        <w:t xml:space="preserve">these studies are based on numerical experiments, rather than actual empirical data. In contrast, we model the ride-hailing demand-side characteristic of passenger pick-up opportunities endogenously as a function of </w:t>
      </w:r>
      <w:proofErr w:type="spellStart"/>
      <w:r>
        <w:rPr>
          <w:sz w:val="24"/>
          <w:szCs w:val="24"/>
        </w:rPr>
        <w:t>spatio</w:t>
      </w:r>
      <w:proofErr w:type="spellEnd"/>
      <w:r>
        <w:rPr>
          <w:sz w:val="24"/>
          <w:szCs w:val="24"/>
        </w:rPr>
        <w:t>-temporally varying characteristics at the disaggregate level of trips using actual empirical data.</w:t>
      </w:r>
    </w:p>
    <w:p w14:paraId="6AD106EC" w14:textId="77777777" w:rsidR="001D7149" w:rsidRDefault="001D7149" w:rsidP="001D7149">
      <w:pPr>
        <w:spacing w:after="0" w:line="240" w:lineRule="auto"/>
        <w:rPr>
          <w:sz w:val="24"/>
          <w:szCs w:val="24"/>
        </w:rPr>
      </w:pPr>
      <w:r>
        <w:rPr>
          <w:sz w:val="24"/>
          <w:szCs w:val="24"/>
        </w:rPr>
        <w:tab/>
        <w:t xml:space="preserve">There have also been studies that focus exclusively on the supply-side of ride-hailing. Most of these studies are based on data collected using a ride-hailing service’s publicly accessible Application Programming Interface (API). The data collected in this manner is rich in supply-side characteristics such as wait times, surge pricing and vehicle availability. </w:t>
      </w:r>
      <w:r w:rsidRPr="00803470">
        <w:rPr>
          <w:sz w:val="24"/>
          <w:szCs w:val="24"/>
        </w:rPr>
        <w:t xml:space="preserve">Hughes and </w:t>
      </w:r>
      <w:proofErr w:type="spellStart"/>
      <w:r w:rsidRPr="00803470">
        <w:rPr>
          <w:sz w:val="24"/>
          <w:szCs w:val="24"/>
        </w:rPr>
        <w:t>MacKenzie</w:t>
      </w:r>
      <w:proofErr w:type="spellEnd"/>
      <w:r w:rsidRPr="00803470">
        <w:rPr>
          <w:sz w:val="24"/>
          <w:szCs w:val="24"/>
        </w:rPr>
        <w:t xml:space="preserve"> (2016) and Wang and Mu (2018) have used data collected in this manner to model waiting times based on socio-demographic and built-environment variables.</w:t>
      </w:r>
      <w:r>
        <w:rPr>
          <w:sz w:val="24"/>
          <w:szCs w:val="24"/>
        </w:rPr>
        <w:t xml:space="preserve"> These studies find that wait times are generally lower in areas with high population density. They also find that race and wealth of the local demography does not necessarily affect wait-times. Even though the models used in these studies make use of socio-demographic and built-environment variables to model wait-times, the effect of ride-hailing demand is not explicitly captured by these variables. In effect, these models can be viewed as “reduced-form” efforts rather than structural models that explicitly consider </w:t>
      </w:r>
      <w:proofErr w:type="spellStart"/>
      <w:r>
        <w:rPr>
          <w:sz w:val="24"/>
          <w:szCs w:val="24"/>
        </w:rPr>
        <w:t>spatio</w:t>
      </w:r>
      <w:proofErr w:type="spellEnd"/>
      <w:r>
        <w:rPr>
          <w:sz w:val="24"/>
          <w:szCs w:val="24"/>
        </w:rPr>
        <w:t xml:space="preserve">-temporal patterns of demand. In this manner, they are unlike our study where we endogenously model the number of pick-up opportunities in different areas with the size term using actual data on passenger pick-ups. </w:t>
      </w:r>
    </w:p>
    <w:p w14:paraId="700389D6" w14:textId="20B2A7DF" w:rsidR="001D7149" w:rsidRDefault="001D7149" w:rsidP="001D7149">
      <w:pPr>
        <w:spacing w:after="0" w:line="240" w:lineRule="auto"/>
        <w:ind w:firstLine="720"/>
        <w:rPr>
          <w:sz w:val="24"/>
          <w:szCs w:val="24"/>
        </w:rPr>
      </w:pPr>
      <w:r>
        <w:rPr>
          <w:sz w:val="24"/>
          <w:szCs w:val="24"/>
        </w:rPr>
        <w:t xml:space="preserve">Data collected through ride-hailing APIs have also been used to develop models for predicting surge pricing. </w:t>
      </w:r>
      <w:r>
        <w:rPr>
          <w:sz w:val="24"/>
          <w:szCs w:val="24"/>
        </w:rPr>
        <w:fldChar w:fldCharType="begin"/>
      </w:r>
      <w:r>
        <w:rPr>
          <w:sz w:val="24"/>
          <w:szCs w:val="24"/>
        </w:rPr>
        <w:instrText xml:space="preserve"> ADDIN ZOTERO_ITEM CSL_CITATION {"citationID":"Kl9aiUDc","properties":{"formattedCitation":"(Battifarano and Qian, 2019)","plainCitation":"(Battifarano and Qian, 2019)","dontUpdate":true,"noteIndex":0},"citationItems":[{"id":35,"uris":["http://zotero.org/users/5433793/items/K2S4M38D"],"uri":["http://zotero.org/users/5433793/items/K2S4M38D"],"itemData":{"id":35,"type":"article-journal","abstract":"Ride-sourcing companies such as Uber and Lyft represent a popular and growing mode of transit in cites worldwide. These companies employ surge pricing in real time to balance the needs of both drivers and riders. The prediction of surge prices in the next few minutes to hours encapsulates the complex evolution of service fleets and service demand in the short term. Surge pricing, if effectively predicted and disseminated to both drivers and riders, can be used to more efficiently allocate vehicles, save users money and time, and provide profitable insight to drivers, which ultimately helps the efficiency and reliability of transportation networks. This paper explores the spatio-temporal correlations between the urban environment, traffic flow characteristics, and surge multipliers. We propose a general framework for predicting the short-term evolution of surge multipliers in real-time using a log-linear model with L1 regularization, coupled with pattern clustering. This model is able to predict Uber surge multipliers in Pittsburgh up to two hours in advance using data from the previous hour out-performing the overall mean and the historical average in all but 3 of the 49 locations in Pittsburgh and outperforming three non-linear methods in 28 of the 49 locations. The model is able to out-perform the overall mean, historical mean, and non-linear methods on Lyft surge multipliers in Pittsburgh up to 20 min in advance. Cross-correlation of Uber and Lyft surge multipliers is also explored.","container-title":"Transportation Research Part C: Emerging Technologies","DOI":"10.1016/j.trc.2019.08.019","ISSN":"0968-090X","journalAbbreviation":"Transportation Research Part C: Emerging Technologies","language":"en","page":"444-462","source":"ScienceDirect","title":"Predicting real-time surge pricing of ride-sourcing companies","volume":"107","author":[{"family":"Battifarano","given":"Matthew"},{"family":"Qian","given":"Zhen (Sean)"}],"issued":{"date-parts":[["2019",10,1]]}}}],"schema":"https://github.com/citation-style-language/schema/raw/master/csl-citation.json"} </w:instrText>
      </w:r>
      <w:r>
        <w:rPr>
          <w:sz w:val="24"/>
          <w:szCs w:val="24"/>
        </w:rPr>
        <w:fldChar w:fldCharType="separate"/>
      </w:r>
      <w:r w:rsidRPr="00A8552E">
        <w:rPr>
          <w:rFonts w:cs="Times New Roman"/>
          <w:sz w:val="24"/>
        </w:rPr>
        <w:t xml:space="preserve">Battifarano and Qian </w:t>
      </w:r>
      <w:r>
        <w:rPr>
          <w:rFonts w:cs="Times New Roman"/>
          <w:sz w:val="24"/>
        </w:rPr>
        <w:t>(</w:t>
      </w:r>
      <w:r w:rsidRPr="00A8552E">
        <w:rPr>
          <w:rFonts w:cs="Times New Roman"/>
          <w:sz w:val="24"/>
        </w:rPr>
        <w:t>2019)</w:t>
      </w:r>
      <w:r>
        <w:rPr>
          <w:sz w:val="24"/>
          <w:szCs w:val="24"/>
        </w:rPr>
        <w:fldChar w:fldCharType="end"/>
      </w:r>
      <w:r>
        <w:rPr>
          <w:sz w:val="24"/>
          <w:szCs w:val="24"/>
        </w:rPr>
        <w:t xml:space="preserve"> develop a model for making short-term predictions of surge-pricing based on past surge-pricing information, network characteristics and occurrence of special events. Since the objec</w:t>
      </w:r>
      <w:r w:rsidR="00987243">
        <w:rPr>
          <w:sz w:val="24"/>
          <w:szCs w:val="24"/>
        </w:rPr>
        <w:t>tive of the model was only to undertake</w:t>
      </w:r>
      <w:r>
        <w:rPr>
          <w:sz w:val="24"/>
          <w:szCs w:val="24"/>
        </w:rPr>
        <w:t xml:space="preserve"> a short-term prediction</w:t>
      </w:r>
      <w:r w:rsidR="00987243">
        <w:rPr>
          <w:sz w:val="24"/>
          <w:szCs w:val="24"/>
        </w:rPr>
        <w:t>,</w:t>
      </w:r>
      <w:r>
        <w:rPr>
          <w:sz w:val="24"/>
          <w:szCs w:val="24"/>
        </w:rPr>
        <w:t xml:space="preserve"> and past surge pricing was used as an explanatory variable, socio-demographic characteristics or built-environment characteristics were not used in the model. </w:t>
      </w:r>
      <w:r w:rsidRPr="00AC1882">
        <w:rPr>
          <w:sz w:val="24"/>
          <w:szCs w:val="24"/>
        </w:rPr>
        <w:t>Jiao (2018)</w:t>
      </w:r>
      <w:r>
        <w:rPr>
          <w:sz w:val="24"/>
          <w:szCs w:val="24"/>
        </w:rPr>
        <w:t xml:space="preserve"> explores the characteristics of Uber’s surge pricing in the city of Austin during the 4</w:t>
      </w:r>
      <w:r w:rsidRPr="006C46E5">
        <w:rPr>
          <w:sz w:val="24"/>
          <w:szCs w:val="24"/>
          <w:vertAlign w:val="superscript"/>
        </w:rPr>
        <w:t>th</w:t>
      </w:r>
      <w:r>
        <w:rPr>
          <w:sz w:val="24"/>
          <w:szCs w:val="24"/>
        </w:rPr>
        <w:t xml:space="preserve"> of July weekend of 2015. They focus on modeling only the temporal variations of surge prices. They use the time of day and the other supply-side variable of expected waiting time as the independent variables for modeling surge pricing. Unfortunately, the aforementioned studies on surge pricing do not include any variable related to ride-hailing demand as explanatory variables. Surely, issues of surge pricing should technically be based on demand patterns, not on past surge-pricing </w:t>
      </w:r>
      <w:r>
        <w:rPr>
          <w:sz w:val="24"/>
          <w:szCs w:val="24"/>
        </w:rPr>
        <w:lastRenderedPageBreak/>
        <w:t>information (after all, surge pricing is fundamentally based on a demand-supply imbalance!). Thus, these earlier studies can be improved by including a measure of ride-hailing demand directly or endogenously in a manner similar to what is described in this paper.</w:t>
      </w:r>
    </w:p>
    <w:p w14:paraId="52CBCB8E" w14:textId="41C1556E" w:rsidR="001D7149" w:rsidRDefault="001D7149" w:rsidP="001D7149">
      <w:pPr>
        <w:spacing w:after="0" w:line="240" w:lineRule="auto"/>
        <w:ind w:firstLine="720"/>
        <w:rPr>
          <w:sz w:val="24"/>
          <w:szCs w:val="24"/>
        </w:rPr>
      </w:pPr>
      <w:r>
        <w:rPr>
          <w:sz w:val="24"/>
          <w:szCs w:val="24"/>
        </w:rPr>
        <w:t xml:space="preserve">To summarize, while our demand-side study misses some important supply-side considerations, earlier supply-side studies have also missed out on important demand-side issues. A valuable avenue for further research then is to combine data on the demand-side and the supply-side to develop a more comprehensive empirical model for ride-hailing trip patterns. More ride-hailing companies have recently started sharing data on ride-hailing passenger trips. </w:t>
      </w:r>
      <w:r w:rsidRPr="00A149DA">
        <w:rPr>
          <w:sz w:val="24"/>
          <w:szCs w:val="24"/>
        </w:rPr>
        <w:t xml:space="preserve">In 2018, </w:t>
      </w:r>
      <w:proofErr w:type="spellStart"/>
      <w:r w:rsidRPr="00A149DA">
        <w:rPr>
          <w:sz w:val="24"/>
          <w:szCs w:val="24"/>
        </w:rPr>
        <w:t>DiDi</w:t>
      </w:r>
      <w:proofErr w:type="spellEnd"/>
      <w:r>
        <w:rPr>
          <w:sz w:val="24"/>
          <w:szCs w:val="24"/>
        </w:rPr>
        <w:t xml:space="preserve"> – </w:t>
      </w:r>
      <w:r w:rsidRPr="00A149DA">
        <w:rPr>
          <w:sz w:val="24"/>
          <w:szCs w:val="24"/>
        </w:rPr>
        <w:t>the</w:t>
      </w:r>
      <w:r>
        <w:rPr>
          <w:sz w:val="24"/>
          <w:szCs w:val="24"/>
        </w:rPr>
        <w:t xml:space="preserve"> </w:t>
      </w:r>
      <w:r w:rsidRPr="00A149DA">
        <w:rPr>
          <w:sz w:val="24"/>
          <w:szCs w:val="24"/>
        </w:rPr>
        <w:t xml:space="preserve">TNC with the largest market share in China </w:t>
      </w:r>
      <w:r>
        <w:rPr>
          <w:sz w:val="24"/>
          <w:szCs w:val="24"/>
        </w:rPr>
        <w:t xml:space="preserve">– </w:t>
      </w:r>
      <w:r w:rsidRPr="00A149DA">
        <w:rPr>
          <w:sz w:val="24"/>
          <w:szCs w:val="24"/>
        </w:rPr>
        <w:t>made</w:t>
      </w:r>
      <w:r>
        <w:rPr>
          <w:sz w:val="24"/>
          <w:szCs w:val="24"/>
        </w:rPr>
        <w:t xml:space="preserve"> </w:t>
      </w:r>
      <w:r w:rsidRPr="00A149DA">
        <w:rPr>
          <w:sz w:val="24"/>
          <w:szCs w:val="24"/>
        </w:rPr>
        <w:t>the data on all ride-hailing trips that occurred within a span of two months in the city of Chengdu, China, available to researchers.</w:t>
      </w:r>
      <w:r w:rsidRPr="00A8552E">
        <w:rPr>
          <w:rStyle w:val="FootnoteReference"/>
        </w:rPr>
        <w:footnoteReference w:id="6"/>
      </w:r>
      <w:r w:rsidRPr="00A149DA">
        <w:rPr>
          <w:sz w:val="24"/>
          <w:szCs w:val="24"/>
        </w:rPr>
        <w:t xml:space="preserve"> More recently, the city of Chicago passed an ordinance that requires TNCs to publish anonymized and disaggregate ride-hailing trip data every quarter. The first batch of this data was made available </w:t>
      </w:r>
      <w:r>
        <w:rPr>
          <w:sz w:val="24"/>
          <w:szCs w:val="24"/>
        </w:rPr>
        <w:t>i</w:t>
      </w:r>
      <w:r w:rsidRPr="00A149DA">
        <w:rPr>
          <w:sz w:val="24"/>
          <w:szCs w:val="24"/>
        </w:rPr>
        <w:t>n April 2019.</w:t>
      </w:r>
      <w:r w:rsidRPr="00A8552E">
        <w:rPr>
          <w:rStyle w:val="FootnoteReference"/>
        </w:rPr>
        <w:footnoteReference w:id="7"/>
      </w:r>
      <w:r>
        <w:rPr>
          <w:sz w:val="24"/>
          <w:szCs w:val="24"/>
        </w:rPr>
        <w:t xml:space="preserve"> </w:t>
      </w:r>
      <w:r w:rsidRPr="00803470">
        <w:rPr>
          <w:sz w:val="24"/>
          <w:szCs w:val="24"/>
        </w:rPr>
        <w:t xml:space="preserve">TNCs are </w:t>
      </w:r>
      <w:r>
        <w:rPr>
          <w:sz w:val="24"/>
          <w:szCs w:val="24"/>
        </w:rPr>
        <w:t>still reluctant</w:t>
      </w:r>
      <w:r w:rsidRPr="00803470">
        <w:rPr>
          <w:sz w:val="24"/>
          <w:szCs w:val="24"/>
        </w:rPr>
        <w:t xml:space="preserve"> to explicitly share disaggregate data on the supply side</w:t>
      </w:r>
      <w:r>
        <w:rPr>
          <w:sz w:val="24"/>
          <w:szCs w:val="24"/>
        </w:rPr>
        <w:t>. However, as mentioned earlier, it is possible to collect information on supply-side characteristics through the ride-hailing services</w:t>
      </w:r>
      <w:r w:rsidRPr="00803470">
        <w:rPr>
          <w:sz w:val="24"/>
          <w:szCs w:val="24"/>
        </w:rPr>
        <w:t xml:space="preserve"> Application Programming Interface (API)</w:t>
      </w:r>
      <w:r>
        <w:rPr>
          <w:sz w:val="24"/>
          <w:szCs w:val="24"/>
        </w:rPr>
        <w:t>. As such, the scope for formulation and developing comprehensive integrated demand-supply models for ride-hailing trip patterns is wide open and constitutes a ripe direction for future research.</w:t>
      </w:r>
    </w:p>
    <w:p w14:paraId="06B6DA9B" w14:textId="58E4551D" w:rsidR="00DD26E3" w:rsidRDefault="00DD26E3" w:rsidP="00DD26E3">
      <w:pPr>
        <w:spacing w:after="0" w:line="240" w:lineRule="auto"/>
        <w:rPr>
          <w:sz w:val="24"/>
          <w:szCs w:val="24"/>
        </w:rPr>
      </w:pPr>
    </w:p>
    <w:p w14:paraId="749F8307" w14:textId="73A15D4B" w:rsidR="00CA1829" w:rsidRDefault="00CA1829" w:rsidP="0084314C">
      <w:pPr>
        <w:pStyle w:val="Heading1"/>
        <w:numPr>
          <w:ilvl w:val="0"/>
          <w:numId w:val="0"/>
        </w:numPr>
        <w:spacing w:before="0" w:after="0" w:line="240" w:lineRule="auto"/>
      </w:pPr>
      <w:r>
        <w:t>ACKNOWLEDGEMENT</w:t>
      </w:r>
    </w:p>
    <w:p w14:paraId="1085082D" w14:textId="6CCF939B" w:rsidR="00CA1829" w:rsidRPr="00C75A07" w:rsidRDefault="008D05CB" w:rsidP="0084314C">
      <w:pPr>
        <w:spacing w:after="0" w:line="240" w:lineRule="auto"/>
        <w:rPr>
          <w:sz w:val="24"/>
          <w:szCs w:val="24"/>
        </w:rPr>
      </w:pPr>
      <w:r w:rsidRPr="00C75A07">
        <w:rPr>
          <w:rFonts w:cs="Times New Roman"/>
          <w:color w:val="000000"/>
          <w:sz w:val="24"/>
          <w:szCs w:val="24"/>
        </w:rPr>
        <w:t xml:space="preserve">This research was partially supported by the Data-Supported Transportation Operations and Planning (D-STOP) Center </w:t>
      </w:r>
      <w:r w:rsidR="0050386E" w:rsidRPr="00C75A07">
        <w:rPr>
          <w:sz w:val="24"/>
          <w:szCs w:val="24"/>
        </w:rPr>
        <w:t xml:space="preserve">(Grant No. DTRT13GUTC58) </w:t>
      </w:r>
      <w:r w:rsidRPr="00C75A07">
        <w:rPr>
          <w:rFonts w:cs="Times New Roman"/>
          <w:color w:val="000000"/>
          <w:sz w:val="24"/>
          <w:szCs w:val="24"/>
        </w:rPr>
        <w:t>and the Center for Teaching Old Models New Tricks (TOMNET)</w:t>
      </w:r>
      <w:r w:rsidR="0050386E" w:rsidRPr="00C75A07">
        <w:rPr>
          <w:rFonts w:cs="Times New Roman"/>
          <w:color w:val="000000"/>
          <w:sz w:val="24"/>
          <w:szCs w:val="24"/>
        </w:rPr>
        <w:t xml:space="preserve"> </w:t>
      </w:r>
      <w:r w:rsidR="0050386E" w:rsidRPr="00C75A07">
        <w:rPr>
          <w:sz w:val="24"/>
          <w:szCs w:val="24"/>
        </w:rPr>
        <w:t>(Grant No. 69A3551747116)</w:t>
      </w:r>
      <w:r w:rsidRPr="00C75A07">
        <w:rPr>
          <w:rFonts w:cs="Times New Roman"/>
          <w:color w:val="000000"/>
          <w:sz w:val="24"/>
          <w:szCs w:val="24"/>
        </w:rPr>
        <w:t>, both of which are Tier 1 University Transportation Centers sponsored by the U</w:t>
      </w:r>
      <w:r w:rsidR="00DE2B44" w:rsidRPr="00C75A07">
        <w:rPr>
          <w:rFonts w:cs="Times New Roman"/>
          <w:color w:val="000000"/>
          <w:sz w:val="24"/>
          <w:szCs w:val="24"/>
        </w:rPr>
        <w:t>.</w:t>
      </w:r>
      <w:r w:rsidRPr="00C75A07">
        <w:rPr>
          <w:rFonts w:cs="Times New Roman"/>
          <w:color w:val="000000"/>
          <w:sz w:val="24"/>
          <w:szCs w:val="24"/>
        </w:rPr>
        <w:t>S</w:t>
      </w:r>
      <w:r w:rsidR="00DE2B44" w:rsidRPr="00C75A07">
        <w:rPr>
          <w:rFonts w:cs="Times New Roman"/>
          <w:color w:val="000000"/>
          <w:sz w:val="24"/>
          <w:szCs w:val="24"/>
        </w:rPr>
        <w:t>.</w:t>
      </w:r>
      <w:r w:rsidRPr="00C75A07">
        <w:rPr>
          <w:rFonts w:cs="Times New Roman"/>
          <w:color w:val="000000"/>
          <w:sz w:val="24"/>
          <w:szCs w:val="24"/>
        </w:rPr>
        <w:t xml:space="preserve"> Department of Transportation. </w:t>
      </w:r>
      <w:r w:rsidR="00C75A07" w:rsidRPr="00C75A07">
        <w:rPr>
          <w:color w:val="000000"/>
          <w:sz w:val="24"/>
          <w:szCs w:val="24"/>
        </w:rPr>
        <w:t xml:space="preserve">The work described in this paper was also supported by research grants from the Research </w:t>
      </w:r>
      <w:bookmarkStart w:id="35" w:name="_GoBack"/>
      <w:bookmarkEnd w:id="35"/>
      <w:r w:rsidR="00C75A07" w:rsidRPr="00C75A07">
        <w:rPr>
          <w:color w:val="000000"/>
          <w:sz w:val="24"/>
          <w:szCs w:val="24"/>
        </w:rPr>
        <w:t xml:space="preserve">Grants Council of the Hong Kong Special Administrative Region, China (Project Nos. </w:t>
      </w:r>
      <w:proofErr w:type="spellStart"/>
      <w:r w:rsidR="00C75A07" w:rsidRPr="00C75A07">
        <w:rPr>
          <w:color w:val="000000"/>
          <w:sz w:val="24"/>
          <w:szCs w:val="24"/>
        </w:rPr>
        <w:t>PolyU</w:t>
      </w:r>
      <w:proofErr w:type="spellEnd"/>
      <w:r w:rsidR="00C75A07" w:rsidRPr="00C75A07">
        <w:rPr>
          <w:color w:val="000000"/>
          <w:sz w:val="24"/>
          <w:szCs w:val="24"/>
        </w:rPr>
        <w:t xml:space="preserve"> 15210117 and R5029-18)</w:t>
      </w:r>
      <w:r w:rsidRPr="00C75A07">
        <w:rPr>
          <w:rFonts w:cs="Times New Roman"/>
          <w:iCs/>
          <w:color w:val="000000"/>
          <w:sz w:val="24"/>
          <w:szCs w:val="24"/>
        </w:rPr>
        <w:t>.</w:t>
      </w:r>
      <w:r w:rsidRPr="00C75A07">
        <w:rPr>
          <w:rFonts w:cs="Times New Roman"/>
          <w:color w:val="000000"/>
          <w:sz w:val="24"/>
          <w:szCs w:val="24"/>
        </w:rPr>
        <w:t xml:space="preserve"> </w:t>
      </w:r>
      <w:r w:rsidR="0050386E" w:rsidRPr="00C75A07">
        <w:rPr>
          <w:rFonts w:cs="Times New Roman"/>
          <w:sz w:val="24"/>
          <w:szCs w:val="24"/>
        </w:rPr>
        <w:t xml:space="preserve">The authors are grateful to Lisa Macias for her help in formatting this document, </w:t>
      </w:r>
      <w:r w:rsidR="0050386E" w:rsidRPr="00C75A07">
        <w:rPr>
          <w:sz w:val="24"/>
          <w:szCs w:val="24"/>
        </w:rPr>
        <w:t xml:space="preserve">and to </w:t>
      </w:r>
      <w:r w:rsidR="00880301" w:rsidRPr="00C75A07">
        <w:rPr>
          <w:sz w:val="24"/>
          <w:szCs w:val="24"/>
        </w:rPr>
        <w:t xml:space="preserve">four </w:t>
      </w:r>
      <w:r w:rsidR="00DA0F7F" w:rsidRPr="00C75A07">
        <w:rPr>
          <w:sz w:val="24"/>
          <w:szCs w:val="24"/>
        </w:rPr>
        <w:t>reviewers</w:t>
      </w:r>
      <w:r w:rsidR="00880301" w:rsidRPr="00C75A07">
        <w:rPr>
          <w:sz w:val="24"/>
          <w:szCs w:val="24"/>
        </w:rPr>
        <w:t xml:space="preserve"> and Juan de Dios </w:t>
      </w:r>
      <w:proofErr w:type="spellStart"/>
      <w:r w:rsidR="00880301" w:rsidRPr="00C75A07">
        <w:rPr>
          <w:sz w:val="24"/>
          <w:szCs w:val="24"/>
        </w:rPr>
        <w:t>Ortuzar</w:t>
      </w:r>
      <w:proofErr w:type="spellEnd"/>
      <w:r w:rsidR="0050386E" w:rsidRPr="00C75A07">
        <w:rPr>
          <w:sz w:val="24"/>
          <w:szCs w:val="24"/>
        </w:rPr>
        <w:t xml:space="preserve"> who </w:t>
      </w:r>
      <w:r w:rsidR="00880301" w:rsidRPr="00C75A07">
        <w:rPr>
          <w:sz w:val="24"/>
          <w:szCs w:val="24"/>
        </w:rPr>
        <w:t xml:space="preserve">all </w:t>
      </w:r>
      <w:r w:rsidR="0050386E" w:rsidRPr="00C75A07">
        <w:rPr>
          <w:sz w:val="24"/>
          <w:szCs w:val="24"/>
        </w:rPr>
        <w:t>provided useful comments on an earlier version of the paper</w:t>
      </w:r>
      <w:r w:rsidR="0050386E" w:rsidRPr="00C75A07">
        <w:rPr>
          <w:rFonts w:cs="Times New Roman"/>
          <w:sz w:val="24"/>
          <w:szCs w:val="24"/>
        </w:rPr>
        <w:t>.</w:t>
      </w:r>
    </w:p>
    <w:p w14:paraId="040558DA" w14:textId="77777777" w:rsidR="00CA1829" w:rsidRPr="0050386E" w:rsidRDefault="00CA1829" w:rsidP="0084314C">
      <w:pPr>
        <w:spacing w:after="0" w:line="240" w:lineRule="auto"/>
        <w:rPr>
          <w:sz w:val="24"/>
          <w:szCs w:val="24"/>
        </w:rPr>
      </w:pPr>
    </w:p>
    <w:p w14:paraId="71511B41" w14:textId="6347F996" w:rsidR="00626F3F" w:rsidRPr="00626F3F" w:rsidRDefault="003171F8" w:rsidP="008D05CB">
      <w:pPr>
        <w:pStyle w:val="Heading1"/>
        <w:numPr>
          <w:ilvl w:val="0"/>
          <w:numId w:val="0"/>
        </w:numPr>
        <w:spacing w:before="0" w:after="0" w:line="240" w:lineRule="auto"/>
        <w:ind w:left="432" w:hanging="432"/>
      </w:pPr>
      <w:r>
        <w:t>References</w:t>
      </w:r>
    </w:p>
    <w:p w14:paraId="7065A71D" w14:textId="3A9FAB94" w:rsidR="00806EF0" w:rsidRPr="002501ED" w:rsidRDefault="00806EF0" w:rsidP="00AD724C">
      <w:pPr>
        <w:spacing w:after="0" w:line="240" w:lineRule="auto"/>
        <w:ind w:left="360" w:hanging="360"/>
        <w:rPr>
          <w:rFonts w:cs="Times New Roman"/>
          <w:sz w:val="24"/>
          <w:szCs w:val="24"/>
          <w:shd w:val="clear" w:color="auto" w:fill="FFFFFF"/>
        </w:rPr>
      </w:pPr>
      <w:r w:rsidRPr="000C1D7B">
        <w:rPr>
          <w:rFonts w:cs="Times New Roman"/>
          <w:sz w:val="24"/>
          <w:szCs w:val="24"/>
          <w:shd w:val="clear" w:color="auto" w:fill="FFFFFF"/>
        </w:rPr>
        <w:t>Alemi, F</w:t>
      </w:r>
      <w:r w:rsidR="00ED0BFD">
        <w:rPr>
          <w:rFonts w:cs="Times New Roman"/>
          <w:sz w:val="24"/>
          <w:szCs w:val="24"/>
          <w:shd w:val="clear" w:color="auto" w:fill="FFFFFF"/>
        </w:rPr>
        <w:t xml:space="preserve">., Circella, G., </w:t>
      </w:r>
      <w:proofErr w:type="spellStart"/>
      <w:r w:rsidR="00ED0BFD">
        <w:rPr>
          <w:rFonts w:cs="Times New Roman"/>
          <w:sz w:val="24"/>
          <w:szCs w:val="24"/>
          <w:shd w:val="clear" w:color="auto" w:fill="FFFFFF"/>
        </w:rPr>
        <w:t>Mokhtarian</w:t>
      </w:r>
      <w:proofErr w:type="spellEnd"/>
      <w:r w:rsidR="00ED0BFD">
        <w:rPr>
          <w:rFonts w:cs="Times New Roman"/>
          <w:sz w:val="24"/>
          <w:szCs w:val="24"/>
          <w:shd w:val="clear" w:color="auto" w:fill="FFFFFF"/>
        </w:rPr>
        <w:t xml:space="preserve">, P., </w:t>
      </w:r>
      <w:r w:rsidRPr="000C1D7B">
        <w:rPr>
          <w:rFonts w:cs="Times New Roman"/>
          <w:sz w:val="24"/>
          <w:szCs w:val="24"/>
          <w:shd w:val="clear" w:color="auto" w:fill="FFFFFF"/>
        </w:rPr>
        <w:t>Handy, S., 2018. </w:t>
      </w:r>
      <w:r w:rsidR="00AD724C" w:rsidRPr="000C1D7B">
        <w:rPr>
          <w:rFonts w:cs="Times New Roman"/>
          <w:iCs/>
          <w:sz w:val="24"/>
          <w:szCs w:val="24"/>
          <w:shd w:val="clear" w:color="auto" w:fill="FFFFFF"/>
        </w:rPr>
        <w:t xml:space="preserve">On-demand ride services in California: </w:t>
      </w:r>
      <w:r w:rsidR="00AD724C" w:rsidRPr="002501ED">
        <w:rPr>
          <w:rFonts w:cs="Times New Roman"/>
          <w:iCs/>
          <w:sz w:val="24"/>
          <w:szCs w:val="24"/>
          <w:shd w:val="clear" w:color="auto" w:fill="FFFFFF"/>
        </w:rPr>
        <w:t>Investigating the factors affecting the frequency of use of Uber/Lyft.</w:t>
      </w:r>
      <w:r w:rsidR="00AD724C" w:rsidRPr="002501ED">
        <w:rPr>
          <w:rFonts w:cs="Times New Roman"/>
          <w:sz w:val="24"/>
          <w:szCs w:val="24"/>
          <w:shd w:val="clear" w:color="auto" w:fill="FFFFFF"/>
        </w:rPr>
        <w:t xml:space="preserve"> Presented at the 97th Annual Meeting of the Transportation Research Board, Washington, D.C., January, Paper No. 18-05563.</w:t>
      </w:r>
    </w:p>
    <w:p w14:paraId="1A8613F3" w14:textId="36C81E99" w:rsidR="0090439E" w:rsidRPr="002501ED" w:rsidRDefault="0090439E" w:rsidP="0090439E">
      <w:pPr>
        <w:spacing w:after="0" w:line="240" w:lineRule="auto"/>
        <w:ind w:left="360" w:hanging="360"/>
        <w:rPr>
          <w:rFonts w:cs="Times New Roman"/>
          <w:sz w:val="24"/>
          <w:szCs w:val="24"/>
          <w:shd w:val="clear" w:color="auto" w:fill="FFFFFF"/>
        </w:rPr>
      </w:pPr>
      <w:r w:rsidRPr="002501ED">
        <w:rPr>
          <w:rFonts w:cs="Times New Roman"/>
          <w:sz w:val="24"/>
          <w:szCs w:val="24"/>
          <w:shd w:val="clear" w:color="auto" w:fill="FFFFFF"/>
        </w:rPr>
        <w:t xml:space="preserve">Bai, J., So, K.C., Tang, C.S., Chen, X., Wang, H., 2018. Coordinating </w:t>
      </w:r>
      <w:r w:rsidR="006551A2" w:rsidRPr="002501ED">
        <w:rPr>
          <w:rFonts w:cs="Times New Roman"/>
          <w:sz w:val="24"/>
          <w:szCs w:val="24"/>
          <w:shd w:val="clear" w:color="auto" w:fill="FFFFFF"/>
        </w:rPr>
        <w:t>s</w:t>
      </w:r>
      <w:r w:rsidRPr="002501ED">
        <w:rPr>
          <w:rFonts w:cs="Times New Roman"/>
          <w:sz w:val="24"/>
          <w:szCs w:val="24"/>
          <w:shd w:val="clear" w:color="auto" w:fill="FFFFFF"/>
        </w:rPr>
        <w:t xml:space="preserve">upply and </w:t>
      </w:r>
      <w:r w:rsidR="006551A2" w:rsidRPr="002501ED">
        <w:rPr>
          <w:rFonts w:cs="Times New Roman"/>
          <w:sz w:val="24"/>
          <w:szCs w:val="24"/>
          <w:shd w:val="clear" w:color="auto" w:fill="FFFFFF"/>
        </w:rPr>
        <w:t>d</w:t>
      </w:r>
      <w:r w:rsidRPr="002501ED">
        <w:rPr>
          <w:rFonts w:cs="Times New Roman"/>
          <w:sz w:val="24"/>
          <w:szCs w:val="24"/>
          <w:shd w:val="clear" w:color="auto" w:fill="FFFFFF"/>
        </w:rPr>
        <w:t xml:space="preserve">emand on an </w:t>
      </w:r>
      <w:r w:rsidR="006551A2" w:rsidRPr="002501ED">
        <w:rPr>
          <w:rFonts w:cs="Times New Roman"/>
          <w:sz w:val="24"/>
          <w:szCs w:val="24"/>
          <w:shd w:val="clear" w:color="auto" w:fill="FFFFFF"/>
        </w:rPr>
        <w:t>o</w:t>
      </w:r>
      <w:r w:rsidRPr="002501ED">
        <w:rPr>
          <w:rFonts w:cs="Times New Roman"/>
          <w:sz w:val="24"/>
          <w:szCs w:val="24"/>
          <w:shd w:val="clear" w:color="auto" w:fill="FFFFFF"/>
        </w:rPr>
        <w:t>n-</w:t>
      </w:r>
      <w:r w:rsidR="006551A2" w:rsidRPr="002501ED">
        <w:rPr>
          <w:rFonts w:cs="Times New Roman"/>
          <w:sz w:val="24"/>
          <w:szCs w:val="24"/>
          <w:shd w:val="clear" w:color="auto" w:fill="FFFFFF"/>
        </w:rPr>
        <w:t>d</w:t>
      </w:r>
      <w:r w:rsidRPr="002501ED">
        <w:rPr>
          <w:rFonts w:cs="Times New Roman"/>
          <w:sz w:val="24"/>
          <w:szCs w:val="24"/>
          <w:shd w:val="clear" w:color="auto" w:fill="FFFFFF"/>
        </w:rPr>
        <w:t xml:space="preserve">emand </w:t>
      </w:r>
      <w:r w:rsidR="006551A2" w:rsidRPr="002501ED">
        <w:rPr>
          <w:rFonts w:cs="Times New Roman"/>
          <w:sz w:val="24"/>
          <w:szCs w:val="24"/>
          <w:shd w:val="clear" w:color="auto" w:fill="FFFFFF"/>
        </w:rPr>
        <w:t>s</w:t>
      </w:r>
      <w:r w:rsidRPr="002501ED">
        <w:rPr>
          <w:rFonts w:cs="Times New Roman"/>
          <w:sz w:val="24"/>
          <w:szCs w:val="24"/>
          <w:shd w:val="clear" w:color="auto" w:fill="FFFFFF"/>
        </w:rPr>
        <w:t xml:space="preserve">ervice </w:t>
      </w:r>
      <w:r w:rsidR="006551A2" w:rsidRPr="002501ED">
        <w:rPr>
          <w:rFonts w:cs="Times New Roman"/>
          <w:sz w:val="24"/>
          <w:szCs w:val="24"/>
          <w:shd w:val="clear" w:color="auto" w:fill="FFFFFF"/>
        </w:rPr>
        <w:t>p</w:t>
      </w:r>
      <w:r w:rsidRPr="002501ED">
        <w:rPr>
          <w:rFonts w:cs="Times New Roman"/>
          <w:sz w:val="24"/>
          <w:szCs w:val="24"/>
          <w:shd w:val="clear" w:color="auto" w:fill="FFFFFF"/>
        </w:rPr>
        <w:t xml:space="preserve">latform with </w:t>
      </w:r>
      <w:r w:rsidR="006551A2" w:rsidRPr="002501ED">
        <w:rPr>
          <w:rFonts w:cs="Times New Roman"/>
          <w:sz w:val="24"/>
          <w:szCs w:val="24"/>
          <w:shd w:val="clear" w:color="auto" w:fill="FFFFFF"/>
        </w:rPr>
        <w:t>i</w:t>
      </w:r>
      <w:r w:rsidRPr="002501ED">
        <w:rPr>
          <w:rFonts w:cs="Times New Roman"/>
          <w:sz w:val="24"/>
          <w:szCs w:val="24"/>
          <w:shd w:val="clear" w:color="auto" w:fill="FFFFFF"/>
        </w:rPr>
        <w:t xml:space="preserve">mpatient </w:t>
      </w:r>
      <w:r w:rsidR="006551A2" w:rsidRPr="002501ED">
        <w:rPr>
          <w:rFonts w:cs="Times New Roman"/>
          <w:sz w:val="24"/>
          <w:szCs w:val="24"/>
          <w:shd w:val="clear" w:color="auto" w:fill="FFFFFF"/>
        </w:rPr>
        <w:t>c</w:t>
      </w:r>
      <w:r w:rsidRPr="002501ED">
        <w:rPr>
          <w:rFonts w:cs="Times New Roman"/>
          <w:sz w:val="24"/>
          <w:szCs w:val="24"/>
          <w:shd w:val="clear" w:color="auto" w:fill="FFFFFF"/>
        </w:rPr>
        <w:t xml:space="preserve">ustomers. </w:t>
      </w:r>
      <w:r w:rsidRPr="002501ED">
        <w:rPr>
          <w:rFonts w:cs="Times New Roman"/>
          <w:i/>
          <w:iCs/>
          <w:sz w:val="24"/>
          <w:szCs w:val="24"/>
          <w:shd w:val="clear" w:color="auto" w:fill="FFFFFF"/>
        </w:rPr>
        <w:t>Manufacturing and Service Operations Management</w:t>
      </w:r>
      <w:r w:rsidRPr="002501ED">
        <w:rPr>
          <w:rFonts w:cs="Times New Roman"/>
          <w:sz w:val="24"/>
          <w:szCs w:val="24"/>
          <w:shd w:val="clear" w:color="auto" w:fill="FFFFFF"/>
        </w:rPr>
        <w:t>, 21, 556</w:t>
      </w:r>
      <w:r w:rsidR="006551A2" w:rsidRPr="002501ED">
        <w:rPr>
          <w:rFonts w:cs="Times New Roman"/>
          <w:sz w:val="24"/>
          <w:szCs w:val="24"/>
          <w:shd w:val="clear" w:color="auto" w:fill="FFFFFF"/>
        </w:rPr>
        <w:t>-</w:t>
      </w:r>
      <w:r w:rsidRPr="002501ED">
        <w:rPr>
          <w:rFonts w:cs="Times New Roman"/>
          <w:sz w:val="24"/>
          <w:szCs w:val="24"/>
          <w:shd w:val="clear" w:color="auto" w:fill="FFFFFF"/>
        </w:rPr>
        <w:t xml:space="preserve">570. </w:t>
      </w:r>
      <w:hyperlink r:id="rId146" w:history="1">
        <w:r w:rsidRPr="002501ED">
          <w:rPr>
            <w:rStyle w:val="Hyperlink"/>
            <w:rFonts w:cs="Times New Roman"/>
            <w:sz w:val="24"/>
            <w:szCs w:val="24"/>
            <w:shd w:val="clear" w:color="auto" w:fill="FFFFFF"/>
          </w:rPr>
          <w:t>https://doi.org/10.1287/msom.2018.0707</w:t>
        </w:r>
      </w:hyperlink>
    </w:p>
    <w:p w14:paraId="7C0BF158" w14:textId="31E4259A" w:rsidR="00A96EE1" w:rsidRPr="002501ED" w:rsidRDefault="00A96EE1">
      <w:pPr>
        <w:spacing w:after="0" w:line="240" w:lineRule="auto"/>
        <w:ind w:left="360" w:hanging="360"/>
        <w:rPr>
          <w:rFonts w:cs="Times New Roman"/>
          <w:sz w:val="24"/>
          <w:szCs w:val="24"/>
          <w:shd w:val="clear" w:color="auto" w:fill="FFFFFF"/>
        </w:rPr>
      </w:pPr>
      <w:proofErr w:type="spellStart"/>
      <w:r w:rsidRPr="002501ED">
        <w:rPr>
          <w:rFonts w:cs="Times New Roman"/>
          <w:sz w:val="24"/>
          <w:szCs w:val="24"/>
          <w:shd w:val="clear" w:color="auto" w:fill="FFFFFF"/>
        </w:rPr>
        <w:t>Battifarano</w:t>
      </w:r>
      <w:proofErr w:type="spellEnd"/>
      <w:r w:rsidRPr="002501ED">
        <w:rPr>
          <w:rFonts w:cs="Times New Roman"/>
          <w:sz w:val="24"/>
          <w:szCs w:val="24"/>
          <w:shd w:val="clear" w:color="auto" w:fill="FFFFFF"/>
        </w:rPr>
        <w:t xml:space="preserve">, M., Qian, Z. (Sean), 2019. Predicting real-time surge pricing of ride-sourcing companies. </w:t>
      </w:r>
      <w:r w:rsidRPr="002501ED">
        <w:rPr>
          <w:rFonts w:cs="Times New Roman"/>
          <w:i/>
          <w:iCs/>
          <w:sz w:val="24"/>
          <w:szCs w:val="24"/>
          <w:shd w:val="clear" w:color="auto" w:fill="FFFFFF"/>
        </w:rPr>
        <w:t>Transportation Research Part C: Emerging Technologies</w:t>
      </w:r>
      <w:r w:rsidR="000844C9" w:rsidRPr="002501ED">
        <w:rPr>
          <w:rFonts w:cs="Times New Roman"/>
          <w:sz w:val="24"/>
          <w:szCs w:val="24"/>
          <w:shd w:val="clear" w:color="auto" w:fill="FFFFFF"/>
        </w:rPr>
        <w:t>,</w:t>
      </w:r>
      <w:r w:rsidRPr="002501ED">
        <w:rPr>
          <w:rFonts w:cs="Times New Roman"/>
          <w:sz w:val="24"/>
          <w:szCs w:val="24"/>
          <w:shd w:val="clear" w:color="auto" w:fill="FFFFFF"/>
        </w:rPr>
        <w:t xml:space="preserve"> 107, 444–462.</w:t>
      </w:r>
      <w:r w:rsidR="006551A2" w:rsidRPr="002501ED">
        <w:rPr>
          <w:rFonts w:cs="Times New Roman"/>
          <w:sz w:val="24"/>
          <w:szCs w:val="24"/>
          <w:shd w:val="clear" w:color="auto" w:fill="FFFFFF"/>
        </w:rPr>
        <w:t xml:space="preserve"> </w:t>
      </w:r>
      <w:hyperlink r:id="rId147" w:history="1">
        <w:r w:rsidR="006551A2" w:rsidRPr="002501ED">
          <w:rPr>
            <w:rStyle w:val="Hyperlink"/>
            <w:rFonts w:cs="Times New Roman"/>
            <w:sz w:val="24"/>
            <w:szCs w:val="24"/>
            <w:shd w:val="clear" w:color="auto" w:fill="FFFFFF"/>
          </w:rPr>
          <w:t>https://doi.org/10.1016/j.trc.2019.08.019</w:t>
        </w:r>
      </w:hyperlink>
      <w:r w:rsidR="006551A2" w:rsidRPr="002501ED">
        <w:rPr>
          <w:rFonts w:cs="Times New Roman"/>
          <w:sz w:val="24"/>
          <w:szCs w:val="24"/>
          <w:shd w:val="clear" w:color="auto" w:fill="FFFFFF"/>
        </w:rPr>
        <w:t xml:space="preserve"> </w:t>
      </w:r>
    </w:p>
    <w:p w14:paraId="06C8E612" w14:textId="5A70311B" w:rsidR="00806EF0" w:rsidRPr="002501ED" w:rsidRDefault="00AD724C" w:rsidP="00AD724C">
      <w:pPr>
        <w:spacing w:after="0" w:line="240" w:lineRule="auto"/>
        <w:ind w:left="360" w:hanging="360"/>
        <w:rPr>
          <w:rFonts w:cs="Times New Roman"/>
          <w:sz w:val="24"/>
          <w:szCs w:val="24"/>
          <w:shd w:val="clear" w:color="auto" w:fill="FFFFFF"/>
        </w:rPr>
      </w:pPr>
      <w:r w:rsidRPr="002501ED">
        <w:rPr>
          <w:rFonts w:cs="Times New Roman"/>
          <w:sz w:val="24"/>
          <w:szCs w:val="24"/>
          <w:shd w:val="clear" w:color="auto" w:fill="FFFFFF"/>
        </w:rPr>
        <w:t>Ben-</w:t>
      </w:r>
      <w:proofErr w:type="spellStart"/>
      <w:r w:rsidRPr="002501ED">
        <w:rPr>
          <w:rFonts w:cs="Times New Roman"/>
          <w:sz w:val="24"/>
          <w:szCs w:val="24"/>
          <w:shd w:val="clear" w:color="auto" w:fill="FFFFFF"/>
        </w:rPr>
        <w:t>Akiv</w:t>
      </w:r>
      <w:r w:rsidR="00ED0BFD" w:rsidRPr="002501ED">
        <w:rPr>
          <w:rFonts w:cs="Times New Roman"/>
          <w:sz w:val="24"/>
          <w:szCs w:val="24"/>
          <w:shd w:val="clear" w:color="auto" w:fill="FFFFFF"/>
        </w:rPr>
        <w:t>a</w:t>
      </w:r>
      <w:proofErr w:type="spellEnd"/>
      <w:r w:rsidR="00ED0BFD" w:rsidRPr="002501ED">
        <w:rPr>
          <w:rFonts w:cs="Times New Roman"/>
          <w:sz w:val="24"/>
          <w:szCs w:val="24"/>
          <w:shd w:val="clear" w:color="auto" w:fill="FFFFFF"/>
        </w:rPr>
        <w:t xml:space="preserve">, M., Gunn, H.F., </w:t>
      </w:r>
      <w:proofErr w:type="spellStart"/>
      <w:r w:rsidR="00806EF0" w:rsidRPr="002501ED">
        <w:rPr>
          <w:rFonts w:cs="Times New Roman"/>
          <w:sz w:val="24"/>
          <w:szCs w:val="24"/>
          <w:shd w:val="clear" w:color="auto" w:fill="FFFFFF"/>
        </w:rPr>
        <w:t>Silman</w:t>
      </w:r>
      <w:proofErr w:type="spellEnd"/>
      <w:r w:rsidR="00806EF0" w:rsidRPr="002501ED">
        <w:rPr>
          <w:rFonts w:cs="Times New Roman"/>
          <w:sz w:val="24"/>
          <w:szCs w:val="24"/>
          <w:shd w:val="clear" w:color="auto" w:fill="FFFFFF"/>
        </w:rPr>
        <w:t>, L.A., 1984. Disaggregate trip distribution models. </w:t>
      </w:r>
      <w:r w:rsidR="00806EF0" w:rsidRPr="002501ED">
        <w:rPr>
          <w:rFonts w:cs="Times New Roman"/>
          <w:i/>
          <w:iCs/>
          <w:sz w:val="24"/>
          <w:szCs w:val="24"/>
          <w:shd w:val="clear" w:color="auto" w:fill="FFFFFF"/>
        </w:rPr>
        <w:t xml:space="preserve">Doboku Gakkai </w:t>
      </w:r>
      <w:proofErr w:type="spellStart"/>
      <w:r w:rsidR="00806EF0" w:rsidRPr="002501ED">
        <w:rPr>
          <w:rFonts w:cs="Times New Roman"/>
          <w:i/>
          <w:iCs/>
          <w:sz w:val="24"/>
          <w:szCs w:val="24"/>
          <w:shd w:val="clear" w:color="auto" w:fill="FFFFFF"/>
        </w:rPr>
        <w:t>Ronbunshu</w:t>
      </w:r>
      <w:proofErr w:type="spellEnd"/>
      <w:r w:rsidR="00806EF0" w:rsidRPr="002501ED">
        <w:rPr>
          <w:rFonts w:cs="Times New Roman"/>
          <w:sz w:val="24"/>
          <w:szCs w:val="24"/>
          <w:shd w:val="clear" w:color="auto" w:fill="FFFFFF"/>
        </w:rPr>
        <w:t>, </w:t>
      </w:r>
      <w:r w:rsidRPr="002501ED">
        <w:rPr>
          <w:rFonts w:cs="Times New Roman"/>
          <w:sz w:val="24"/>
          <w:szCs w:val="24"/>
          <w:shd w:val="clear" w:color="auto" w:fill="FFFFFF"/>
        </w:rPr>
        <w:t>1984(</w:t>
      </w:r>
      <w:r w:rsidR="00806EF0" w:rsidRPr="002501ED">
        <w:rPr>
          <w:rFonts w:cs="Times New Roman"/>
          <w:sz w:val="24"/>
          <w:szCs w:val="24"/>
          <w:shd w:val="clear" w:color="auto" w:fill="FFFFFF"/>
        </w:rPr>
        <w:t>347), 1-17.</w:t>
      </w:r>
    </w:p>
    <w:p w14:paraId="366DADF0" w14:textId="0372BB1C" w:rsidR="00BA5A86" w:rsidRPr="002501ED" w:rsidRDefault="00BA5A86">
      <w:pPr>
        <w:spacing w:after="0" w:line="240" w:lineRule="auto"/>
        <w:ind w:left="360" w:hanging="360"/>
        <w:rPr>
          <w:rFonts w:cs="Times New Roman"/>
          <w:sz w:val="24"/>
          <w:szCs w:val="24"/>
          <w:shd w:val="clear" w:color="auto" w:fill="FFFFFF"/>
        </w:rPr>
      </w:pPr>
      <w:r w:rsidRPr="002501ED">
        <w:rPr>
          <w:rFonts w:cs="Times New Roman"/>
          <w:sz w:val="24"/>
          <w:szCs w:val="24"/>
          <w:shd w:val="clear" w:color="auto" w:fill="FFFFFF"/>
        </w:rPr>
        <w:t>Ben-</w:t>
      </w:r>
      <w:proofErr w:type="spellStart"/>
      <w:r w:rsidRPr="002501ED">
        <w:rPr>
          <w:rFonts w:cs="Times New Roman"/>
          <w:sz w:val="24"/>
          <w:szCs w:val="24"/>
          <w:shd w:val="clear" w:color="auto" w:fill="FFFFFF"/>
        </w:rPr>
        <w:t>Akiva</w:t>
      </w:r>
      <w:proofErr w:type="spellEnd"/>
      <w:r w:rsidRPr="002501ED">
        <w:rPr>
          <w:rFonts w:cs="Times New Roman"/>
          <w:sz w:val="24"/>
          <w:szCs w:val="24"/>
          <w:shd w:val="clear" w:color="auto" w:fill="FFFFFF"/>
        </w:rPr>
        <w:t>, M.</w:t>
      </w:r>
      <w:r w:rsidR="00ED0BFD" w:rsidRPr="002501ED">
        <w:rPr>
          <w:rFonts w:cs="Times New Roman"/>
          <w:sz w:val="24"/>
          <w:szCs w:val="24"/>
          <w:shd w:val="clear" w:color="auto" w:fill="FFFFFF"/>
        </w:rPr>
        <w:t xml:space="preserve">, </w:t>
      </w:r>
      <w:proofErr w:type="spellStart"/>
      <w:r w:rsidR="00E27094" w:rsidRPr="002501ED">
        <w:rPr>
          <w:rFonts w:cs="Times New Roman"/>
          <w:sz w:val="24"/>
          <w:szCs w:val="24"/>
          <w:shd w:val="clear" w:color="auto" w:fill="FFFFFF"/>
        </w:rPr>
        <w:t>Lerman</w:t>
      </w:r>
      <w:proofErr w:type="spellEnd"/>
      <w:r w:rsidR="00E27094" w:rsidRPr="002501ED">
        <w:rPr>
          <w:rFonts w:cs="Times New Roman"/>
          <w:sz w:val="24"/>
          <w:szCs w:val="24"/>
          <w:shd w:val="clear" w:color="auto" w:fill="FFFFFF"/>
        </w:rPr>
        <w:t>, S.</w:t>
      </w:r>
      <w:r w:rsidRPr="002501ED">
        <w:rPr>
          <w:rFonts w:cs="Times New Roman"/>
          <w:sz w:val="24"/>
          <w:szCs w:val="24"/>
          <w:shd w:val="clear" w:color="auto" w:fill="FFFFFF"/>
        </w:rPr>
        <w:t xml:space="preserve">R., 1985. </w:t>
      </w:r>
      <w:r w:rsidRPr="002501ED">
        <w:rPr>
          <w:rFonts w:cs="Times New Roman"/>
          <w:i/>
          <w:iCs/>
          <w:sz w:val="24"/>
          <w:szCs w:val="24"/>
          <w:shd w:val="clear" w:color="auto" w:fill="FFFFFF"/>
        </w:rPr>
        <w:t>Discrete choice analysis: Theory and application to travel demand</w:t>
      </w:r>
      <w:r w:rsidRPr="002501ED">
        <w:rPr>
          <w:rFonts w:cs="Times New Roman"/>
          <w:sz w:val="24"/>
          <w:szCs w:val="24"/>
          <w:shd w:val="clear" w:color="auto" w:fill="FFFFFF"/>
        </w:rPr>
        <w:t xml:space="preserve">. </w:t>
      </w:r>
      <w:r w:rsidR="00E27094" w:rsidRPr="002501ED">
        <w:rPr>
          <w:rFonts w:cs="Times New Roman"/>
          <w:sz w:val="24"/>
          <w:szCs w:val="24"/>
          <w:shd w:val="clear" w:color="auto" w:fill="FFFFFF"/>
        </w:rPr>
        <w:t xml:space="preserve">MIT Press, </w:t>
      </w:r>
      <w:r w:rsidRPr="002501ED">
        <w:rPr>
          <w:rFonts w:cs="Times New Roman"/>
          <w:sz w:val="24"/>
          <w:szCs w:val="24"/>
          <w:shd w:val="clear" w:color="auto" w:fill="FFFFFF"/>
        </w:rPr>
        <w:t>Cambrid</w:t>
      </w:r>
      <w:r w:rsidR="00E27094" w:rsidRPr="002501ED">
        <w:rPr>
          <w:rFonts w:cs="Times New Roman"/>
          <w:sz w:val="24"/>
          <w:szCs w:val="24"/>
          <w:shd w:val="clear" w:color="auto" w:fill="FFFFFF"/>
        </w:rPr>
        <w:t>ge, MA</w:t>
      </w:r>
      <w:r w:rsidRPr="002501ED">
        <w:rPr>
          <w:rFonts w:cs="Times New Roman"/>
          <w:sz w:val="24"/>
          <w:szCs w:val="24"/>
          <w:shd w:val="clear" w:color="auto" w:fill="FFFFFF"/>
        </w:rPr>
        <w:t>.</w:t>
      </w:r>
    </w:p>
    <w:p w14:paraId="4390D00C" w14:textId="5B59C629" w:rsidR="00715D3C" w:rsidRPr="002501ED" w:rsidRDefault="00715D3C" w:rsidP="00AD724C">
      <w:pPr>
        <w:spacing w:after="0" w:line="240" w:lineRule="auto"/>
        <w:ind w:left="360" w:hanging="360"/>
        <w:rPr>
          <w:rFonts w:cs="Times New Roman"/>
          <w:sz w:val="24"/>
          <w:szCs w:val="24"/>
          <w:shd w:val="clear" w:color="auto" w:fill="FFFFFF"/>
        </w:rPr>
      </w:pPr>
      <w:r w:rsidRPr="002501ED">
        <w:rPr>
          <w:rFonts w:cs="Times New Roman"/>
          <w:sz w:val="24"/>
          <w:szCs w:val="24"/>
          <w:shd w:val="clear" w:color="auto" w:fill="FFFFFF"/>
        </w:rPr>
        <w:lastRenderedPageBreak/>
        <w:t>Bhat, C.R., 2015. A comprehensive dwelling unit choice model accommodating psychological constructs within a search strategy for consideration set formation. </w:t>
      </w:r>
      <w:r w:rsidRPr="002501ED">
        <w:rPr>
          <w:rFonts w:cs="Times New Roman"/>
          <w:i/>
          <w:iCs/>
          <w:sz w:val="24"/>
          <w:szCs w:val="24"/>
          <w:shd w:val="clear" w:color="auto" w:fill="FFFFFF"/>
        </w:rPr>
        <w:t>Transportation Research Part B</w:t>
      </w:r>
      <w:r w:rsidR="004350EE" w:rsidRPr="002501ED">
        <w:rPr>
          <w:rFonts w:cs="Times New Roman"/>
          <w:i/>
          <w:iCs/>
          <w:sz w:val="24"/>
          <w:szCs w:val="24"/>
          <w:shd w:val="clear" w:color="auto" w:fill="FFFFFF"/>
        </w:rPr>
        <w:t>: Methodological</w:t>
      </w:r>
      <w:r w:rsidRPr="002501ED">
        <w:rPr>
          <w:rFonts w:cs="Times New Roman"/>
          <w:sz w:val="24"/>
          <w:szCs w:val="24"/>
          <w:shd w:val="clear" w:color="auto" w:fill="FFFFFF"/>
        </w:rPr>
        <w:t>, </w:t>
      </w:r>
      <w:r w:rsidRPr="002501ED">
        <w:rPr>
          <w:rFonts w:cs="Times New Roman"/>
          <w:iCs/>
          <w:sz w:val="24"/>
          <w:szCs w:val="24"/>
          <w:shd w:val="clear" w:color="auto" w:fill="FFFFFF"/>
        </w:rPr>
        <w:t>79</w:t>
      </w:r>
      <w:r w:rsidRPr="002501ED">
        <w:rPr>
          <w:rFonts w:cs="Times New Roman"/>
          <w:sz w:val="24"/>
          <w:szCs w:val="24"/>
          <w:shd w:val="clear" w:color="auto" w:fill="FFFFFF"/>
        </w:rPr>
        <w:t>, 161-188.</w:t>
      </w:r>
    </w:p>
    <w:p w14:paraId="642EEE9E" w14:textId="7EC6F79D" w:rsidR="00806EF0" w:rsidRPr="002501ED" w:rsidRDefault="00ED0BFD" w:rsidP="00AD724C">
      <w:pPr>
        <w:spacing w:after="0" w:line="240" w:lineRule="auto"/>
        <w:ind w:left="360" w:hanging="360"/>
        <w:rPr>
          <w:rFonts w:cs="Times New Roman"/>
          <w:sz w:val="24"/>
          <w:szCs w:val="24"/>
          <w:shd w:val="clear" w:color="auto" w:fill="FFFFFF"/>
        </w:rPr>
      </w:pPr>
      <w:r w:rsidRPr="002501ED">
        <w:rPr>
          <w:rFonts w:cs="Times New Roman"/>
          <w:sz w:val="24"/>
          <w:szCs w:val="24"/>
          <w:shd w:val="clear" w:color="auto" w:fill="FFFFFF"/>
        </w:rPr>
        <w:t xml:space="preserve">Bhat, C., Govindarajan, A., </w:t>
      </w:r>
      <w:proofErr w:type="spellStart"/>
      <w:r w:rsidR="00806EF0" w:rsidRPr="002501ED">
        <w:rPr>
          <w:rFonts w:cs="Times New Roman"/>
          <w:sz w:val="24"/>
          <w:szCs w:val="24"/>
          <w:shd w:val="clear" w:color="auto" w:fill="FFFFFF"/>
        </w:rPr>
        <w:t>Pulugurta</w:t>
      </w:r>
      <w:proofErr w:type="spellEnd"/>
      <w:r w:rsidR="00806EF0" w:rsidRPr="002501ED">
        <w:rPr>
          <w:rFonts w:cs="Times New Roman"/>
          <w:sz w:val="24"/>
          <w:szCs w:val="24"/>
          <w:shd w:val="clear" w:color="auto" w:fill="FFFFFF"/>
        </w:rPr>
        <w:t>, V., 1998. Disaggregate attraction-end choice modeling: formulation and empirical analysis. </w:t>
      </w:r>
      <w:r w:rsidR="008D05CB" w:rsidRPr="002501ED">
        <w:rPr>
          <w:rFonts w:cs="Times New Roman"/>
          <w:i/>
          <w:iCs/>
          <w:sz w:val="24"/>
          <w:szCs w:val="24"/>
          <w:shd w:val="clear" w:color="auto" w:fill="FFFFFF"/>
        </w:rPr>
        <w:t>Transportation Research Record: Journal of the Transportation Research Board</w:t>
      </w:r>
      <w:r w:rsidR="00806EF0" w:rsidRPr="002501ED">
        <w:rPr>
          <w:rFonts w:cs="Times New Roman"/>
          <w:sz w:val="24"/>
          <w:szCs w:val="24"/>
          <w:shd w:val="clear" w:color="auto" w:fill="FFFFFF"/>
        </w:rPr>
        <w:t>, </w:t>
      </w:r>
      <w:r w:rsidR="00806EF0" w:rsidRPr="002501ED">
        <w:rPr>
          <w:rFonts w:cs="Times New Roman"/>
          <w:iCs/>
          <w:sz w:val="24"/>
          <w:szCs w:val="24"/>
          <w:shd w:val="clear" w:color="auto" w:fill="FFFFFF"/>
        </w:rPr>
        <w:t>1645</w:t>
      </w:r>
      <w:r w:rsidR="00806EF0" w:rsidRPr="002501ED">
        <w:rPr>
          <w:rFonts w:cs="Times New Roman"/>
          <w:sz w:val="24"/>
          <w:szCs w:val="24"/>
          <w:shd w:val="clear" w:color="auto" w:fill="FFFFFF"/>
        </w:rPr>
        <w:t>(1), 60-68.</w:t>
      </w:r>
    </w:p>
    <w:p w14:paraId="25526511" w14:textId="77777777" w:rsidR="00AC1882" w:rsidRPr="00AC1882" w:rsidRDefault="00677590" w:rsidP="00AC1882">
      <w:pPr>
        <w:tabs>
          <w:tab w:val="left" w:pos="360"/>
        </w:tabs>
        <w:spacing w:after="0" w:line="240" w:lineRule="auto"/>
        <w:ind w:left="360" w:hanging="360"/>
        <w:rPr>
          <w:rFonts w:eastAsia="Calibri" w:cs="Times New Roman"/>
          <w:sz w:val="24"/>
          <w:szCs w:val="24"/>
        </w:rPr>
      </w:pPr>
      <w:r w:rsidRPr="00AC1882">
        <w:rPr>
          <w:rFonts w:eastAsia="Calibri" w:cs="Times New Roman"/>
          <w:sz w:val="24"/>
          <w:szCs w:val="24"/>
        </w:rPr>
        <w:t xml:space="preserve">Cambridge Systematics, </w:t>
      </w:r>
      <w:proofErr w:type="spellStart"/>
      <w:r w:rsidRPr="00AC1882">
        <w:rPr>
          <w:rFonts w:eastAsia="Calibri" w:cs="Times New Roman"/>
          <w:sz w:val="24"/>
          <w:szCs w:val="24"/>
        </w:rPr>
        <w:t>Vanasse</w:t>
      </w:r>
      <w:proofErr w:type="spellEnd"/>
      <w:r w:rsidRPr="00AC1882">
        <w:rPr>
          <w:rFonts w:eastAsia="Calibri" w:cs="Times New Roman"/>
          <w:sz w:val="24"/>
          <w:szCs w:val="24"/>
        </w:rPr>
        <w:t xml:space="preserve"> </w:t>
      </w:r>
      <w:proofErr w:type="spellStart"/>
      <w:r w:rsidRPr="00AC1882">
        <w:rPr>
          <w:rFonts w:eastAsia="Calibri" w:cs="Times New Roman"/>
          <w:sz w:val="24"/>
          <w:szCs w:val="24"/>
        </w:rPr>
        <w:t>Hangen</w:t>
      </w:r>
      <w:proofErr w:type="spellEnd"/>
      <w:r w:rsidRPr="00AC1882">
        <w:rPr>
          <w:rFonts w:eastAsia="Calibri" w:cs="Times New Roman"/>
          <w:sz w:val="24"/>
          <w:szCs w:val="24"/>
        </w:rPr>
        <w:t xml:space="preserve"> </w:t>
      </w:r>
      <w:proofErr w:type="spellStart"/>
      <w:r w:rsidRPr="00AC1882">
        <w:rPr>
          <w:rFonts w:eastAsia="Calibri" w:cs="Times New Roman"/>
          <w:sz w:val="24"/>
          <w:szCs w:val="24"/>
        </w:rPr>
        <w:t>Brustlin</w:t>
      </w:r>
      <w:proofErr w:type="spellEnd"/>
      <w:r w:rsidRPr="00AC1882">
        <w:rPr>
          <w:rFonts w:eastAsia="Calibri" w:cs="Times New Roman"/>
          <w:sz w:val="24"/>
          <w:szCs w:val="24"/>
        </w:rPr>
        <w:t xml:space="preserve">, Gallop Corporation, Bhat, C.R., Shapiro Transportation Consulting, Martin/Alexiou/Bryson, 2012. </w:t>
      </w:r>
      <w:r w:rsidRPr="00AC1882">
        <w:rPr>
          <w:rFonts w:eastAsia="Calibri" w:cs="Times New Roman"/>
          <w:i/>
          <w:sz w:val="24"/>
          <w:szCs w:val="24"/>
        </w:rPr>
        <w:t>Travel demand forecasting: Parameters and techniques</w:t>
      </w:r>
      <w:r w:rsidRPr="00AC1882">
        <w:rPr>
          <w:rFonts w:eastAsia="Calibri" w:cs="Times New Roman"/>
          <w:sz w:val="24"/>
          <w:szCs w:val="24"/>
        </w:rPr>
        <w:t xml:space="preserve">. </w:t>
      </w:r>
      <w:r w:rsidR="00332008" w:rsidRPr="00AC1882">
        <w:rPr>
          <w:rFonts w:cs="Times New Roman"/>
          <w:bCs/>
          <w:sz w:val="24"/>
          <w:szCs w:val="24"/>
        </w:rPr>
        <w:t>National Cooperative Highway Research Program (NCHRP) Report 716</w:t>
      </w:r>
      <w:r w:rsidR="00400BB0" w:rsidRPr="00AC1882">
        <w:rPr>
          <w:rFonts w:eastAsia="Calibri" w:cs="Times New Roman"/>
          <w:sz w:val="24"/>
          <w:szCs w:val="24"/>
        </w:rPr>
        <w:t xml:space="preserve">, </w:t>
      </w:r>
      <w:r w:rsidRPr="00AC1882">
        <w:rPr>
          <w:rFonts w:eastAsia="Calibri" w:cs="Times New Roman"/>
          <w:sz w:val="24"/>
          <w:szCs w:val="24"/>
        </w:rPr>
        <w:t xml:space="preserve">National Academies Press, Washington, D.C. </w:t>
      </w:r>
      <w:hyperlink r:id="rId148" w:history="1">
        <w:r w:rsidR="000C1D7B" w:rsidRPr="00AC1882">
          <w:rPr>
            <w:rStyle w:val="Hyperlink"/>
            <w:rFonts w:eastAsia="Calibri" w:cs="Times New Roman"/>
            <w:sz w:val="24"/>
            <w:szCs w:val="24"/>
          </w:rPr>
          <w:t>https://doi.org/10.17226/14665</w:t>
        </w:r>
      </w:hyperlink>
      <w:r w:rsidR="000C1D7B" w:rsidRPr="00AC1882">
        <w:rPr>
          <w:rFonts w:eastAsia="Calibri" w:cs="Times New Roman"/>
          <w:sz w:val="24"/>
          <w:szCs w:val="24"/>
        </w:rPr>
        <w:t xml:space="preserve"> </w:t>
      </w:r>
    </w:p>
    <w:p w14:paraId="69079278" w14:textId="307E5614" w:rsidR="000844C9" w:rsidRPr="00AC1882" w:rsidRDefault="000844C9" w:rsidP="00AC1882">
      <w:pPr>
        <w:tabs>
          <w:tab w:val="left" w:pos="360"/>
        </w:tabs>
        <w:spacing w:after="0" w:line="240" w:lineRule="auto"/>
        <w:ind w:left="360" w:hanging="360"/>
        <w:rPr>
          <w:rFonts w:eastAsia="Calibri" w:cs="Times New Roman"/>
          <w:sz w:val="24"/>
          <w:szCs w:val="24"/>
        </w:rPr>
      </w:pPr>
      <w:r w:rsidRPr="00AC1882">
        <w:rPr>
          <w:rFonts w:eastAsia="Calibri" w:cs="Times New Roman"/>
          <w:sz w:val="24"/>
          <w:szCs w:val="24"/>
        </w:rPr>
        <w:t xml:space="preserve">Castillo, J.C., </w:t>
      </w:r>
      <w:proofErr w:type="spellStart"/>
      <w:r w:rsidRPr="00AC1882">
        <w:rPr>
          <w:rFonts w:eastAsia="Calibri" w:cs="Times New Roman"/>
          <w:sz w:val="24"/>
          <w:szCs w:val="24"/>
        </w:rPr>
        <w:t>Knoepfle</w:t>
      </w:r>
      <w:proofErr w:type="spellEnd"/>
      <w:r w:rsidRPr="00AC1882">
        <w:rPr>
          <w:rFonts w:eastAsia="Calibri" w:cs="Times New Roman"/>
          <w:sz w:val="24"/>
          <w:szCs w:val="24"/>
        </w:rPr>
        <w:t xml:space="preserve">, D.T., Weyl, E.G., 2018. Surge </w:t>
      </w:r>
      <w:r w:rsidR="00AC1882" w:rsidRPr="00AC1882">
        <w:rPr>
          <w:rFonts w:eastAsia="Calibri" w:cs="Times New Roman"/>
          <w:sz w:val="24"/>
          <w:szCs w:val="24"/>
        </w:rPr>
        <w:t>p</w:t>
      </w:r>
      <w:r w:rsidRPr="00AC1882">
        <w:rPr>
          <w:rFonts w:eastAsia="Calibri" w:cs="Times New Roman"/>
          <w:sz w:val="24"/>
          <w:szCs w:val="24"/>
        </w:rPr>
        <w:t xml:space="preserve">ricing </w:t>
      </w:r>
      <w:r w:rsidR="00AC1882" w:rsidRPr="00AC1882">
        <w:rPr>
          <w:rFonts w:eastAsia="Calibri" w:cs="Times New Roman"/>
          <w:sz w:val="24"/>
          <w:szCs w:val="24"/>
        </w:rPr>
        <w:t>s</w:t>
      </w:r>
      <w:r w:rsidRPr="00AC1882">
        <w:rPr>
          <w:rFonts w:eastAsia="Calibri" w:cs="Times New Roman"/>
          <w:sz w:val="24"/>
          <w:szCs w:val="24"/>
        </w:rPr>
        <w:t xml:space="preserve">olves the </w:t>
      </w:r>
      <w:r w:rsidR="00AC1882" w:rsidRPr="00AC1882">
        <w:rPr>
          <w:rFonts w:eastAsia="Calibri" w:cs="Times New Roman"/>
          <w:sz w:val="24"/>
          <w:szCs w:val="24"/>
        </w:rPr>
        <w:t>w</w:t>
      </w:r>
      <w:r w:rsidRPr="00AC1882">
        <w:rPr>
          <w:rFonts w:eastAsia="Calibri" w:cs="Times New Roman"/>
          <w:sz w:val="24"/>
          <w:szCs w:val="24"/>
        </w:rPr>
        <w:t xml:space="preserve">ild </w:t>
      </w:r>
      <w:r w:rsidR="00AC1882" w:rsidRPr="00AC1882">
        <w:rPr>
          <w:rFonts w:eastAsia="Calibri" w:cs="Times New Roman"/>
          <w:sz w:val="24"/>
          <w:szCs w:val="24"/>
        </w:rPr>
        <w:t>g</w:t>
      </w:r>
      <w:r w:rsidRPr="00AC1882">
        <w:rPr>
          <w:rFonts w:eastAsia="Calibri" w:cs="Times New Roman"/>
          <w:sz w:val="24"/>
          <w:szCs w:val="24"/>
        </w:rPr>
        <w:t xml:space="preserve">oose </w:t>
      </w:r>
      <w:r w:rsidR="00AC1882" w:rsidRPr="00AC1882">
        <w:rPr>
          <w:rFonts w:eastAsia="Calibri" w:cs="Times New Roman"/>
          <w:sz w:val="24"/>
          <w:szCs w:val="24"/>
        </w:rPr>
        <w:t>c</w:t>
      </w:r>
      <w:r w:rsidRPr="00AC1882">
        <w:rPr>
          <w:rFonts w:eastAsia="Calibri" w:cs="Times New Roman"/>
          <w:sz w:val="24"/>
          <w:szCs w:val="24"/>
        </w:rPr>
        <w:t>hase (SSRN Scholarly Paper No. ID 2890666). Social Science Research Network, Rochester, NY.</w:t>
      </w:r>
      <w:r w:rsidR="00AC1882" w:rsidRPr="00AC1882">
        <w:rPr>
          <w:rFonts w:eastAsia="Calibri" w:cs="Times New Roman"/>
          <w:sz w:val="24"/>
          <w:szCs w:val="24"/>
        </w:rPr>
        <w:t xml:space="preserve"> </w:t>
      </w:r>
      <w:hyperlink r:id="rId149" w:tgtFrame="_blank" w:history="1">
        <w:r w:rsidR="00AC1882" w:rsidRPr="00AC1882">
          <w:rPr>
            <w:rStyle w:val="Hyperlink"/>
            <w:sz w:val="24"/>
            <w:szCs w:val="24"/>
          </w:rPr>
          <w:t xml:space="preserve">http://dx.doi.org/10.2139/ssrn.2890666 </w:t>
        </w:r>
      </w:hyperlink>
    </w:p>
    <w:p w14:paraId="48074FE3" w14:textId="4A74B801" w:rsidR="00806EF0" w:rsidRPr="002501ED" w:rsidRDefault="00332008" w:rsidP="00AD724C">
      <w:pPr>
        <w:spacing w:after="0" w:line="240" w:lineRule="auto"/>
        <w:ind w:left="360" w:hanging="360"/>
        <w:rPr>
          <w:rFonts w:cs="Times New Roman"/>
          <w:sz w:val="24"/>
          <w:szCs w:val="24"/>
          <w:shd w:val="clear" w:color="auto" w:fill="FFFFFF"/>
        </w:rPr>
      </w:pPr>
      <w:proofErr w:type="spellStart"/>
      <w:r w:rsidRPr="002501ED">
        <w:rPr>
          <w:rFonts w:cs="Times New Roman"/>
          <w:sz w:val="24"/>
          <w:szCs w:val="24"/>
          <w:shd w:val="clear" w:color="auto" w:fill="FFFFFF"/>
        </w:rPr>
        <w:t>Clewlow</w:t>
      </w:r>
      <w:proofErr w:type="spellEnd"/>
      <w:r w:rsidRPr="002501ED">
        <w:rPr>
          <w:rFonts w:cs="Times New Roman"/>
          <w:sz w:val="24"/>
          <w:szCs w:val="24"/>
          <w:shd w:val="clear" w:color="auto" w:fill="FFFFFF"/>
        </w:rPr>
        <w:t xml:space="preserve">, R.R., </w:t>
      </w:r>
      <w:r w:rsidR="00806EF0" w:rsidRPr="002501ED">
        <w:rPr>
          <w:rFonts w:cs="Times New Roman"/>
          <w:sz w:val="24"/>
          <w:szCs w:val="24"/>
          <w:shd w:val="clear" w:color="auto" w:fill="FFFFFF"/>
        </w:rPr>
        <w:t>Mishra, G.S., 2017. Disruptive transportation: The adoption, utilization, and impacts of ride-hailing in the United States. </w:t>
      </w:r>
      <w:r w:rsidR="00806EF0" w:rsidRPr="002501ED">
        <w:rPr>
          <w:rFonts w:cs="Times New Roman"/>
          <w:iCs/>
          <w:sz w:val="24"/>
          <w:szCs w:val="24"/>
          <w:shd w:val="clear" w:color="auto" w:fill="FFFFFF"/>
        </w:rPr>
        <w:t>Institute of Transportation Studies, University of California, Davis</w:t>
      </w:r>
      <w:r w:rsidR="00806EF0" w:rsidRPr="002501ED">
        <w:rPr>
          <w:rFonts w:cs="Times New Roman"/>
          <w:sz w:val="24"/>
          <w:szCs w:val="24"/>
          <w:shd w:val="clear" w:color="auto" w:fill="FFFFFF"/>
        </w:rPr>
        <w:t>.</w:t>
      </w:r>
    </w:p>
    <w:p w14:paraId="56F21C64" w14:textId="782ADAFC" w:rsidR="00DB2DC8" w:rsidRPr="002501ED" w:rsidRDefault="00DB2DC8" w:rsidP="00DB2DC8">
      <w:pPr>
        <w:spacing w:after="0" w:line="240" w:lineRule="auto"/>
        <w:ind w:left="360" w:hanging="360"/>
        <w:rPr>
          <w:rFonts w:cs="Times New Roman"/>
          <w:sz w:val="24"/>
          <w:szCs w:val="24"/>
          <w:shd w:val="clear" w:color="auto" w:fill="FFFFFF"/>
        </w:rPr>
      </w:pPr>
      <w:bookmarkStart w:id="36" w:name="_Hlk32620128"/>
      <w:r w:rsidRPr="002501ED">
        <w:rPr>
          <w:rFonts w:cs="Times New Roman"/>
          <w:sz w:val="24"/>
          <w:szCs w:val="24"/>
          <w:shd w:val="clear" w:color="auto" w:fill="FFFFFF"/>
        </w:rPr>
        <w:t xml:space="preserve">Cohen, A., </w:t>
      </w:r>
      <w:proofErr w:type="spellStart"/>
      <w:r w:rsidRPr="002501ED">
        <w:rPr>
          <w:rFonts w:cs="Times New Roman"/>
          <w:sz w:val="24"/>
          <w:szCs w:val="24"/>
          <w:shd w:val="clear" w:color="auto" w:fill="FFFFFF"/>
        </w:rPr>
        <w:t>Shaheen</w:t>
      </w:r>
      <w:proofErr w:type="spellEnd"/>
      <w:r w:rsidRPr="002501ED">
        <w:rPr>
          <w:rFonts w:cs="Times New Roman"/>
          <w:sz w:val="24"/>
          <w:szCs w:val="24"/>
          <w:shd w:val="clear" w:color="auto" w:fill="FFFFFF"/>
        </w:rPr>
        <w:t xml:space="preserve">, S., 2016. </w:t>
      </w:r>
      <w:r w:rsidRPr="002501ED">
        <w:rPr>
          <w:rFonts w:cs="Times New Roman"/>
          <w:i/>
          <w:iCs/>
          <w:sz w:val="24"/>
          <w:szCs w:val="24"/>
          <w:shd w:val="clear" w:color="auto" w:fill="FFFFFF"/>
        </w:rPr>
        <w:t>Planning for Shared Mobility</w:t>
      </w:r>
      <w:r w:rsidRPr="002501ED">
        <w:rPr>
          <w:rFonts w:cs="Times New Roman"/>
          <w:sz w:val="24"/>
          <w:szCs w:val="24"/>
          <w:shd w:val="clear" w:color="auto" w:fill="FFFFFF"/>
        </w:rPr>
        <w:t>. Available at</w:t>
      </w:r>
      <w:r w:rsidR="00C117F7" w:rsidRPr="002501ED">
        <w:rPr>
          <w:rFonts w:cs="Times New Roman"/>
          <w:sz w:val="24"/>
          <w:szCs w:val="24"/>
          <w:shd w:val="clear" w:color="auto" w:fill="FFFFFF"/>
        </w:rPr>
        <w:t>:</w:t>
      </w:r>
    </w:p>
    <w:p w14:paraId="7AC3DE58" w14:textId="47243106" w:rsidR="00DB2DC8" w:rsidRPr="002501ED" w:rsidRDefault="00740F16" w:rsidP="00993CC7">
      <w:pPr>
        <w:spacing w:after="0" w:line="240" w:lineRule="auto"/>
        <w:ind w:left="360"/>
        <w:rPr>
          <w:rFonts w:cs="Times New Roman"/>
          <w:sz w:val="24"/>
          <w:szCs w:val="24"/>
          <w:shd w:val="clear" w:color="auto" w:fill="FFFFFF"/>
        </w:rPr>
      </w:pPr>
      <w:hyperlink r:id="rId150" w:history="1">
        <w:r w:rsidR="00C117F7" w:rsidRPr="002501ED">
          <w:rPr>
            <w:rStyle w:val="Hyperlink"/>
            <w:rFonts w:cs="Times New Roman"/>
            <w:sz w:val="24"/>
            <w:szCs w:val="24"/>
            <w:shd w:val="clear" w:color="auto" w:fill="FFFFFF"/>
          </w:rPr>
          <w:t>https://www.planning.org/publications/report/9107556/</w:t>
        </w:r>
      </w:hyperlink>
      <w:r w:rsidR="00DB2DC8" w:rsidRPr="002501ED">
        <w:rPr>
          <w:rFonts w:cs="Times New Roman"/>
          <w:sz w:val="24"/>
          <w:szCs w:val="24"/>
          <w:shd w:val="clear" w:color="auto" w:fill="FFFFFF"/>
        </w:rPr>
        <w:t xml:space="preserve"> </w:t>
      </w:r>
      <w:r w:rsidR="00DB2DC8" w:rsidRPr="002501ED">
        <w:rPr>
          <w:rFonts w:cs="Times New Roman"/>
          <w:color w:val="000000"/>
          <w:sz w:val="24"/>
          <w:szCs w:val="24"/>
          <w:shd w:val="clear" w:color="auto" w:fill="FFFFFF"/>
        </w:rPr>
        <w:t>[Accessed 14 Feb. 2020]</w:t>
      </w:r>
    </w:p>
    <w:bookmarkEnd w:id="36"/>
    <w:p w14:paraId="5B909127" w14:textId="73D56B77" w:rsidR="00806EF0" w:rsidRPr="002501ED" w:rsidRDefault="00806EF0" w:rsidP="00AD724C">
      <w:pPr>
        <w:spacing w:after="0" w:line="240" w:lineRule="auto"/>
        <w:ind w:left="360" w:hanging="360"/>
        <w:rPr>
          <w:rFonts w:cs="Times New Roman"/>
          <w:sz w:val="24"/>
          <w:szCs w:val="24"/>
          <w:shd w:val="clear" w:color="auto" w:fill="FFFFFF"/>
        </w:rPr>
      </w:pPr>
      <w:r w:rsidRPr="002501ED">
        <w:rPr>
          <w:rFonts w:cs="Times New Roman"/>
          <w:sz w:val="24"/>
          <w:szCs w:val="24"/>
          <w:shd w:val="clear" w:color="auto" w:fill="FFFFFF"/>
        </w:rPr>
        <w:t>Cooper, D</w:t>
      </w:r>
      <w:r w:rsidR="00332008" w:rsidRPr="002501ED">
        <w:rPr>
          <w:rFonts w:cs="Times New Roman"/>
          <w:sz w:val="24"/>
          <w:szCs w:val="24"/>
          <w:shd w:val="clear" w:color="auto" w:fill="FFFFFF"/>
        </w:rPr>
        <w:t xml:space="preserve">., Castiglione, J., </w:t>
      </w:r>
      <w:proofErr w:type="spellStart"/>
      <w:r w:rsidR="00332008" w:rsidRPr="002501ED">
        <w:rPr>
          <w:rFonts w:cs="Times New Roman"/>
          <w:sz w:val="24"/>
          <w:szCs w:val="24"/>
          <w:shd w:val="clear" w:color="auto" w:fill="FFFFFF"/>
        </w:rPr>
        <w:t>Mislove</w:t>
      </w:r>
      <w:proofErr w:type="spellEnd"/>
      <w:r w:rsidR="00332008" w:rsidRPr="002501ED">
        <w:rPr>
          <w:rFonts w:cs="Times New Roman"/>
          <w:sz w:val="24"/>
          <w:szCs w:val="24"/>
          <w:shd w:val="clear" w:color="auto" w:fill="FFFFFF"/>
        </w:rPr>
        <w:t xml:space="preserve">, A., </w:t>
      </w:r>
      <w:r w:rsidRPr="002501ED">
        <w:rPr>
          <w:rFonts w:cs="Times New Roman"/>
          <w:sz w:val="24"/>
          <w:szCs w:val="24"/>
          <w:shd w:val="clear" w:color="auto" w:fill="FFFFFF"/>
        </w:rPr>
        <w:t xml:space="preserve">Wilson, C., 2018. Profiling </w:t>
      </w:r>
      <w:r w:rsidR="00400BB0" w:rsidRPr="002501ED">
        <w:rPr>
          <w:rFonts w:cs="Times New Roman"/>
          <w:sz w:val="24"/>
          <w:szCs w:val="24"/>
          <w:shd w:val="clear" w:color="auto" w:fill="FFFFFF"/>
        </w:rPr>
        <w:t>t</w:t>
      </w:r>
      <w:r w:rsidRPr="002501ED">
        <w:rPr>
          <w:rFonts w:cs="Times New Roman"/>
          <w:sz w:val="24"/>
          <w:szCs w:val="24"/>
          <w:shd w:val="clear" w:color="auto" w:fill="FFFFFF"/>
        </w:rPr>
        <w:t xml:space="preserve">ransport </w:t>
      </w:r>
      <w:r w:rsidR="00400BB0" w:rsidRPr="002501ED">
        <w:rPr>
          <w:rFonts w:cs="Times New Roman"/>
          <w:sz w:val="24"/>
          <w:szCs w:val="24"/>
          <w:shd w:val="clear" w:color="auto" w:fill="FFFFFF"/>
        </w:rPr>
        <w:t>n</w:t>
      </w:r>
      <w:r w:rsidRPr="002501ED">
        <w:rPr>
          <w:rFonts w:cs="Times New Roman"/>
          <w:sz w:val="24"/>
          <w:szCs w:val="24"/>
          <w:shd w:val="clear" w:color="auto" w:fill="FFFFFF"/>
        </w:rPr>
        <w:t xml:space="preserve">etwork </w:t>
      </w:r>
      <w:r w:rsidR="00400BB0" w:rsidRPr="002501ED">
        <w:rPr>
          <w:rFonts w:cs="Times New Roman"/>
          <w:sz w:val="24"/>
          <w:szCs w:val="24"/>
          <w:shd w:val="clear" w:color="auto" w:fill="FFFFFF"/>
        </w:rPr>
        <w:t>c</w:t>
      </w:r>
      <w:r w:rsidRPr="002501ED">
        <w:rPr>
          <w:rFonts w:cs="Times New Roman"/>
          <w:sz w:val="24"/>
          <w:szCs w:val="24"/>
          <w:shd w:val="clear" w:color="auto" w:fill="FFFFFF"/>
        </w:rPr>
        <w:t xml:space="preserve">ompany activity using </w:t>
      </w:r>
      <w:r w:rsidR="00400BB0" w:rsidRPr="002501ED">
        <w:rPr>
          <w:rFonts w:cs="Times New Roman"/>
          <w:sz w:val="24"/>
          <w:szCs w:val="24"/>
          <w:shd w:val="clear" w:color="auto" w:fill="FFFFFF"/>
        </w:rPr>
        <w:t>b</w:t>
      </w:r>
      <w:r w:rsidRPr="002501ED">
        <w:rPr>
          <w:rFonts w:cs="Times New Roman"/>
          <w:sz w:val="24"/>
          <w:szCs w:val="24"/>
          <w:shd w:val="clear" w:color="auto" w:fill="FFFFFF"/>
        </w:rPr>
        <w:t xml:space="preserve">ig </w:t>
      </w:r>
      <w:r w:rsidR="00400BB0" w:rsidRPr="002501ED">
        <w:rPr>
          <w:rFonts w:cs="Times New Roman"/>
          <w:sz w:val="24"/>
          <w:szCs w:val="24"/>
          <w:shd w:val="clear" w:color="auto" w:fill="FFFFFF"/>
        </w:rPr>
        <w:t>d</w:t>
      </w:r>
      <w:r w:rsidRPr="002501ED">
        <w:rPr>
          <w:rFonts w:cs="Times New Roman"/>
          <w:sz w:val="24"/>
          <w:szCs w:val="24"/>
          <w:shd w:val="clear" w:color="auto" w:fill="FFFFFF"/>
        </w:rPr>
        <w:t>ata. </w:t>
      </w:r>
      <w:r w:rsidR="008D05CB" w:rsidRPr="002501ED">
        <w:rPr>
          <w:rFonts w:cs="Times New Roman"/>
          <w:i/>
          <w:iCs/>
          <w:sz w:val="24"/>
          <w:szCs w:val="24"/>
          <w:shd w:val="clear" w:color="auto" w:fill="FFFFFF"/>
        </w:rPr>
        <w:t>Transportation Research Record: Journal of the Transportation Research Board</w:t>
      </w:r>
      <w:r w:rsidRPr="002501ED">
        <w:rPr>
          <w:rFonts w:cs="Times New Roman"/>
          <w:sz w:val="24"/>
          <w:szCs w:val="24"/>
          <w:shd w:val="clear" w:color="auto" w:fill="FFFFFF"/>
        </w:rPr>
        <w:t>, </w:t>
      </w:r>
      <w:r w:rsidRPr="002501ED">
        <w:rPr>
          <w:rFonts w:cs="Times New Roman"/>
          <w:iCs/>
          <w:sz w:val="24"/>
          <w:szCs w:val="24"/>
          <w:shd w:val="clear" w:color="auto" w:fill="FFFFFF"/>
        </w:rPr>
        <w:t>2672</w:t>
      </w:r>
      <w:r w:rsidRPr="002501ED">
        <w:rPr>
          <w:rFonts w:cs="Times New Roman"/>
          <w:sz w:val="24"/>
          <w:szCs w:val="24"/>
          <w:shd w:val="clear" w:color="auto" w:fill="FFFFFF"/>
        </w:rPr>
        <w:t>(42), 192-202.</w:t>
      </w:r>
    </w:p>
    <w:p w14:paraId="541D6F44" w14:textId="2C70C6B1" w:rsidR="00806EF0" w:rsidRPr="002501ED" w:rsidRDefault="00332008" w:rsidP="00AD724C">
      <w:pPr>
        <w:spacing w:after="0" w:line="240" w:lineRule="auto"/>
        <w:ind w:left="360" w:hanging="360"/>
        <w:rPr>
          <w:rFonts w:cs="Times New Roman"/>
          <w:sz w:val="24"/>
          <w:szCs w:val="24"/>
          <w:shd w:val="clear" w:color="auto" w:fill="FFFFFF"/>
        </w:rPr>
      </w:pPr>
      <w:r w:rsidRPr="002501ED">
        <w:rPr>
          <w:rFonts w:cs="Times New Roman"/>
          <w:sz w:val="24"/>
          <w:szCs w:val="24"/>
          <w:shd w:val="clear" w:color="auto" w:fill="FFFFFF"/>
        </w:rPr>
        <w:t xml:space="preserve">Cramer, J., </w:t>
      </w:r>
      <w:r w:rsidR="00806EF0" w:rsidRPr="002501ED">
        <w:rPr>
          <w:rFonts w:cs="Times New Roman"/>
          <w:sz w:val="24"/>
          <w:szCs w:val="24"/>
          <w:shd w:val="clear" w:color="auto" w:fill="FFFFFF"/>
        </w:rPr>
        <w:t>Krueger, A.B., 2016. Disruptive change in the taxi business: The case of Uber. </w:t>
      </w:r>
      <w:r w:rsidR="00806EF0" w:rsidRPr="002501ED">
        <w:rPr>
          <w:rFonts w:cs="Times New Roman"/>
          <w:i/>
          <w:iCs/>
          <w:sz w:val="24"/>
          <w:szCs w:val="24"/>
          <w:shd w:val="clear" w:color="auto" w:fill="FFFFFF"/>
        </w:rPr>
        <w:t>American Economic Review</w:t>
      </w:r>
      <w:r w:rsidR="00806EF0" w:rsidRPr="002501ED">
        <w:rPr>
          <w:rFonts w:cs="Times New Roman"/>
          <w:sz w:val="24"/>
          <w:szCs w:val="24"/>
          <w:shd w:val="clear" w:color="auto" w:fill="FFFFFF"/>
        </w:rPr>
        <w:t>, </w:t>
      </w:r>
      <w:r w:rsidR="00806EF0" w:rsidRPr="002501ED">
        <w:rPr>
          <w:rFonts w:cs="Times New Roman"/>
          <w:iCs/>
          <w:sz w:val="24"/>
          <w:szCs w:val="24"/>
          <w:shd w:val="clear" w:color="auto" w:fill="FFFFFF"/>
        </w:rPr>
        <w:t>106</w:t>
      </w:r>
      <w:r w:rsidR="00806EF0" w:rsidRPr="002501ED">
        <w:rPr>
          <w:rFonts w:cs="Times New Roman"/>
          <w:sz w:val="24"/>
          <w:szCs w:val="24"/>
          <w:shd w:val="clear" w:color="auto" w:fill="FFFFFF"/>
        </w:rPr>
        <w:t>(5), 177-82.</w:t>
      </w:r>
    </w:p>
    <w:p w14:paraId="657FF9D0" w14:textId="79B9080A" w:rsidR="00DD1135" w:rsidRPr="002501ED" w:rsidRDefault="00DD1135">
      <w:pPr>
        <w:spacing w:after="0" w:line="240" w:lineRule="auto"/>
        <w:ind w:left="360" w:hanging="360"/>
        <w:rPr>
          <w:rFonts w:cs="Times New Roman"/>
          <w:sz w:val="24"/>
          <w:szCs w:val="24"/>
          <w:shd w:val="clear" w:color="auto" w:fill="FFFFFF"/>
        </w:rPr>
      </w:pPr>
      <w:r w:rsidRPr="002501ED">
        <w:rPr>
          <w:rFonts w:cs="Times New Roman"/>
          <w:sz w:val="24"/>
          <w:szCs w:val="24"/>
          <w:shd w:val="clear" w:color="auto" w:fill="FFFFFF"/>
        </w:rPr>
        <w:t>Daly, A.</w:t>
      </w:r>
      <w:r w:rsidR="006551A2" w:rsidRPr="002501ED">
        <w:rPr>
          <w:rFonts w:cs="Times New Roman"/>
          <w:sz w:val="24"/>
          <w:szCs w:val="24"/>
          <w:shd w:val="clear" w:color="auto" w:fill="FFFFFF"/>
        </w:rPr>
        <w:t xml:space="preserve"> </w:t>
      </w:r>
      <w:r w:rsidRPr="002501ED">
        <w:rPr>
          <w:rFonts w:cs="Times New Roman"/>
          <w:sz w:val="24"/>
          <w:szCs w:val="24"/>
          <w:shd w:val="clear" w:color="auto" w:fill="FFFFFF"/>
        </w:rPr>
        <w:t>(1982). Estimating choice models containing attraction variables.</w:t>
      </w:r>
      <w:r w:rsidR="006551A2" w:rsidRPr="002501ED">
        <w:rPr>
          <w:rFonts w:cs="Times New Roman"/>
          <w:sz w:val="24"/>
          <w:szCs w:val="24"/>
          <w:shd w:val="clear" w:color="auto" w:fill="FFFFFF"/>
        </w:rPr>
        <w:t xml:space="preserve"> </w:t>
      </w:r>
      <w:r w:rsidRPr="002501ED">
        <w:rPr>
          <w:rFonts w:cs="Times New Roman"/>
          <w:i/>
          <w:iCs/>
          <w:sz w:val="24"/>
          <w:szCs w:val="24"/>
          <w:shd w:val="clear" w:color="auto" w:fill="FFFFFF"/>
        </w:rPr>
        <w:t>Transportation Research Part B: Methodological</w:t>
      </w:r>
      <w:r w:rsidRPr="002501ED">
        <w:rPr>
          <w:rFonts w:cs="Times New Roman"/>
          <w:sz w:val="24"/>
          <w:szCs w:val="24"/>
          <w:shd w:val="clear" w:color="auto" w:fill="FFFFFF"/>
        </w:rPr>
        <w:t xml:space="preserve"> 16(1), 5</w:t>
      </w:r>
      <w:r w:rsidR="006551A2" w:rsidRPr="002501ED">
        <w:rPr>
          <w:rFonts w:cs="Times New Roman"/>
          <w:sz w:val="24"/>
          <w:szCs w:val="24"/>
          <w:shd w:val="clear" w:color="auto" w:fill="FFFFFF"/>
        </w:rPr>
        <w:t>-</w:t>
      </w:r>
      <w:r w:rsidRPr="002501ED">
        <w:rPr>
          <w:rFonts w:cs="Times New Roman"/>
          <w:sz w:val="24"/>
          <w:szCs w:val="24"/>
          <w:shd w:val="clear" w:color="auto" w:fill="FFFFFF"/>
        </w:rPr>
        <w:t xml:space="preserve">15. </w:t>
      </w:r>
      <w:hyperlink r:id="rId151" w:history="1">
        <w:r w:rsidR="006551A2" w:rsidRPr="002501ED">
          <w:rPr>
            <w:rStyle w:val="Hyperlink"/>
            <w:rFonts w:cs="Times New Roman"/>
            <w:sz w:val="24"/>
            <w:szCs w:val="24"/>
            <w:shd w:val="clear" w:color="auto" w:fill="FFFFFF"/>
          </w:rPr>
          <w:t>https://doi.org/10.1016/0191-2615(82)90037-6</w:t>
        </w:r>
      </w:hyperlink>
      <w:r w:rsidR="006551A2" w:rsidRPr="002501ED">
        <w:rPr>
          <w:rFonts w:cs="Times New Roman"/>
          <w:sz w:val="24"/>
          <w:szCs w:val="24"/>
          <w:shd w:val="clear" w:color="auto" w:fill="FFFFFF"/>
        </w:rPr>
        <w:t xml:space="preserve"> </w:t>
      </w:r>
      <w:r w:rsidRPr="002501ED">
        <w:rPr>
          <w:rFonts w:cs="Times New Roman"/>
          <w:sz w:val="24"/>
          <w:szCs w:val="24"/>
          <w:shd w:val="clear" w:color="auto" w:fill="FFFFFF"/>
        </w:rPr>
        <w:t xml:space="preserve"> </w:t>
      </w:r>
    </w:p>
    <w:p w14:paraId="545D40D3" w14:textId="13314DBD" w:rsidR="000246C8" w:rsidRPr="002501ED" w:rsidRDefault="00806EF0">
      <w:pPr>
        <w:spacing w:after="0" w:line="240" w:lineRule="auto"/>
        <w:ind w:left="360" w:hanging="360"/>
        <w:rPr>
          <w:rFonts w:cs="Times New Roman"/>
          <w:sz w:val="24"/>
          <w:szCs w:val="24"/>
          <w:shd w:val="clear" w:color="auto" w:fill="FFFFFF"/>
        </w:rPr>
      </w:pPr>
      <w:r w:rsidRPr="002501ED">
        <w:rPr>
          <w:rFonts w:cs="Times New Roman"/>
          <w:sz w:val="24"/>
          <w:szCs w:val="24"/>
          <w:shd w:val="clear" w:color="auto" w:fill="FFFFFF"/>
        </w:rPr>
        <w:t xml:space="preserve">Dias, F.F., Lavieri, P.S., </w:t>
      </w:r>
      <w:proofErr w:type="spellStart"/>
      <w:r w:rsidRPr="002501ED">
        <w:rPr>
          <w:rFonts w:cs="Times New Roman"/>
          <w:sz w:val="24"/>
          <w:szCs w:val="24"/>
          <w:shd w:val="clear" w:color="auto" w:fill="FFFFFF"/>
        </w:rPr>
        <w:t>Garikapati</w:t>
      </w:r>
      <w:proofErr w:type="spellEnd"/>
      <w:r w:rsidRPr="002501ED">
        <w:rPr>
          <w:rFonts w:cs="Times New Roman"/>
          <w:sz w:val="24"/>
          <w:szCs w:val="24"/>
          <w:shd w:val="clear" w:color="auto" w:fill="FFFFFF"/>
        </w:rPr>
        <w:t>, V.</w:t>
      </w:r>
      <w:r w:rsidR="00332008" w:rsidRPr="002501ED">
        <w:rPr>
          <w:rFonts w:cs="Times New Roman"/>
          <w:sz w:val="24"/>
          <w:szCs w:val="24"/>
          <w:shd w:val="clear" w:color="auto" w:fill="FFFFFF"/>
        </w:rPr>
        <w:t xml:space="preserve">M., </w:t>
      </w:r>
      <w:proofErr w:type="spellStart"/>
      <w:r w:rsidR="00332008" w:rsidRPr="002501ED">
        <w:rPr>
          <w:rFonts w:cs="Times New Roman"/>
          <w:sz w:val="24"/>
          <w:szCs w:val="24"/>
          <w:shd w:val="clear" w:color="auto" w:fill="FFFFFF"/>
        </w:rPr>
        <w:t>Astroza</w:t>
      </w:r>
      <w:proofErr w:type="spellEnd"/>
      <w:r w:rsidR="00332008" w:rsidRPr="002501ED">
        <w:rPr>
          <w:rFonts w:cs="Times New Roman"/>
          <w:sz w:val="24"/>
          <w:szCs w:val="24"/>
          <w:shd w:val="clear" w:color="auto" w:fill="FFFFFF"/>
        </w:rPr>
        <w:t xml:space="preserve">, S., </w:t>
      </w:r>
      <w:proofErr w:type="spellStart"/>
      <w:r w:rsidR="00332008" w:rsidRPr="002501ED">
        <w:rPr>
          <w:rFonts w:cs="Times New Roman"/>
          <w:sz w:val="24"/>
          <w:szCs w:val="24"/>
          <w:shd w:val="clear" w:color="auto" w:fill="FFFFFF"/>
        </w:rPr>
        <w:t>Pendyala</w:t>
      </w:r>
      <w:proofErr w:type="spellEnd"/>
      <w:r w:rsidR="00332008" w:rsidRPr="002501ED">
        <w:rPr>
          <w:rFonts w:cs="Times New Roman"/>
          <w:sz w:val="24"/>
          <w:szCs w:val="24"/>
          <w:shd w:val="clear" w:color="auto" w:fill="FFFFFF"/>
        </w:rPr>
        <w:t xml:space="preserve">, R.M., </w:t>
      </w:r>
      <w:r w:rsidRPr="002501ED">
        <w:rPr>
          <w:rFonts w:cs="Times New Roman"/>
          <w:sz w:val="24"/>
          <w:szCs w:val="24"/>
          <w:shd w:val="clear" w:color="auto" w:fill="FFFFFF"/>
        </w:rPr>
        <w:t>Bhat, C.R., 2017. A behavioral choice model of the use of car-sharing and ride-sourcing services. </w:t>
      </w:r>
      <w:r w:rsidRPr="002501ED">
        <w:rPr>
          <w:rFonts w:cs="Times New Roman"/>
          <w:i/>
          <w:iCs/>
          <w:sz w:val="24"/>
          <w:szCs w:val="24"/>
          <w:shd w:val="clear" w:color="auto" w:fill="FFFFFF"/>
        </w:rPr>
        <w:t>Transportation</w:t>
      </w:r>
      <w:r w:rsidRPr="002501ED">
        <w:rPr>
          <w:rFonts w:cs="Times New Roman"/>
          <w:sz w:val="24"/>
          <w:szCs w:val="24"/>
          <w:shd w:val="clear" w:color="auto" w:fill="FFFFFF"/>
        </w:rPr>
        <w:t>, </w:t>
      </w:r>
      <w:r w:rsidRPr="002501ED">
        <w:rPr>
          <w:rFonts w:cs="Times New Roman"/>
          <w:iCs/>
          <w:sz w:val="24"/>
          <w:szCs w:val="24"/>
          <w:shd w:val="clear" w:color="auto" w:fill="FFFFFF"/>
        </w:rPr>
        <w:t>44</w:t>
      </w:r>
      <w:r w:rsidRPr="002501ED">
        <w:rPr>
          <w:rFonts w:cs="Times New Roman"/>
          <w:sz w:val="24"/>
          <w:szCs w:val="24"/>
          <w:shd w:val="clear" w:color="auto" w:fill="FFFFFF"/>
        </w:rPr>
        <w:t>(6), 1307-1323.</w:t>
      </w:r>
    </w:p>
    <w:p w14:paraId="5C9351E7" w14:textId="5A093234" w:rsidR="004C6A44" w:rsidRPr="002501ED" w:rsidRDefault="004C6A44" w:rsidP="004C6A44">
      <w:pPr>
        <w:autoSpaceDE w:val="0"/>
        <w:autoSpaceDN w:val="0"/>
        <w:adjustRightInd w:val="0"/>
        <w:spacing w:after="0" w:line="240" w:lineRule="auto"/>
        <w:rPr>
          <w:rFonts w:cs="Times New Roman"/>
          <w:sz w:val="24"/>
          <w:szCs w:val="24"/>
        </w:rPr>
      </w:pPr>
      <w:r w:rsidRPr="002501ED">
        <w:rPr>
          <w:rFonts w:cs="Times New Roman"/>
          <w:sz w:val="24"/>
          <w:szCs w:val="24"/>
        </w:rPr>
        <w:t xml:space="preserve">Duncan, O.D, </w:t>
      </w:r>
      <w:proofErr w:type="spellStart"/>
      <w:r w:rsidRPr="002501ED">
        <w:rPr>
          <w:rFonts w:cs="Times New Roman"/>
          <w:sz w:val="24"/>
          <w:szCs w:val="24"/>
        </w:rPr>
        <w:t>Cuzzort</w:t>
      </w:r>
      <w:proofErr w:type="spellEnd"/>
      <w:r w:rsidRPr="002501ED">
        <w:rPr>
          <w:rFonts w:cs="Times New Roman"/>
          <w:sz w:val="24"/>
          <w:szCs w:val="24"/>
        </w:rPr>
        <w:t xml:space="preserve">, R.P, Duncan, B., 1961. </w:t>
      </w:r>
      <w:r w:rsidRPr="002501ED">
        <w:rPr>
          <w:rFonts w:cs="Times New Roman"/>
          <w:i/>
          <w:sz w:val="24"/>
          <w:szCs w:val="24"/>
        </w:rPr>
        <w:t>Statistical geography</w:t>
      </w:r>
      <w:r w:rsidRPr="002501ED">
        <w:rPr>
          <w:rFonts w:cs="Times New Roman"/>
          <w:sz w:val="24"/>
          <w:szCs w:val="24"/>
        </w:rPr>
        <w:t>. The Free Press</w:t>
      </w:r>
      <w:r w:rsidR="00AC1882">
        <w:rPr>
          <w:rFonts w:cs="Times New Roman"/>
          <w:sz w:val="24"/>
          <w:szCs w:val="24"/>
        </w:rPr>
        <w:t xml:space="preserve">, </w:t>
      </w:r>
      <w:r w:rsidR="00AC1882" w:rsidRPr="002501ED">
        <w:rPr>
          <w:rFonts w:cs="Times New Roman"/>
          <w:sz w:val="24"/>
          <w:szCs w:val="24"/>
        </w:rPr>
        <w:t>New York</w:t>
      </w:r>
      <w:r w:rsidRPr="002501ED">
        <w:rPr>
          <w:rFonts w:cs="Times New Roman"/>
          <w:sz w:val="24"/>
          <w:szCs w:val="24"/>
        </w:rPr>
        <w:t>.</w:t>
      </w:r>
    </w:p>
    <w:p w14:paraId="24973907" w14:textId="2C35CCF5" w:rsidR="00BA5A86" w:rsidRPr="002501ED" w:rsidRDefault="00BA5A86">
      <w:pPr>
        <w:spacing w:after="0" w:line="240" w:lineRule="auto"/>
        <w:ind w:left="360" w:hanging="360"/>
        <w:rPr>
          <w:rFonts w:cs="Times New Roman"/>
          <w:color w:val="222222"/>
          <w:sz w:val="24"/>
          <w:szCs w:val="24"/>
          <w:shd w:val="clear" w:color="auto" w:fill="FFFFFF"/>
        </w:rPr>
      </w:pPr>
      <w:r w:rsidRPr="002501ED">
        <w:rPr>
          <w:rFonts w:cs="Times New Roman"/>
          <w:sz w:val="24"/>
          <w:szCs w:val="24"/>
          <w:shd w:val="clear" w:color="auto" w:fill="FFFFFF"/>
        </w:rPr>
        <w:t>Erhardt, G.D., Roy, S., Cooper, D., Sana, B., Chen, M.</w:t>
      </w:r>
      <w:r w:rsidR="00332008" w:rsidRPr="002501ED">
        <w:rPr>
          <w:rFonts w:cs="Times New Roman"/>
          <w:sz w:val="24"/>
          <w:szCs w:val="24"/>
          <w:shd w:val="clear" w:color="auto" w:fill="FFFFFF"/>
        </w:rPr>
        <w:t>,</w:t>
      </w:r>
      <w:r w:rsidRPr="002501ED">
        <w:rPr>
          <w:rFonts w:cs="Times New Roman"/>
          <w:sz w:val="24"/>
          <w:szCs w:val="24"/>
          <w:shd w:val="clear" w:color="auto" w:fill="FFFFFF"/>
        </w:rPr>
        <w:t xml:space="preserve"> Castiglione, J., 2019. Do transportation network companies decrease or increase congestion? </w:t>
      </w:r>
      <w:r w:rsidRPr="002501ED">
        <w:rPr>
          <w:rFonts w:cs="Times New Roman"/>
          <w:i/>
          <w:iCs/>
          <w:sz w:val="24"/>
          <w:szCs w:val="24"/>
          <w:shd w:val="clear" w:color="auto" w:fill="FFFFFF"/>
        </w:rPr>
        <w:t>Science Advances</w:t>
      </w:r>
      <w:r w:rsidRPr="002501ED">
        <w:rPr>
          <w:rFonts w:cs="Times New Roman"/>
          <w:sz w:val="24"/>
          <w:szCs w:val="24"/>
          <w:shd w:val="clear" w:color="auto" w:fill="FFFFFF"/>
        </w:rPr>
        <w:t xml:space="preserve">, </w:t>
      </w:r>
      <w:r w:rsidRPr="002501ED">
        <w:rPr>
          <w:rFonts w:cs="Times New Roman"/>
          <w:iCs/>
          <w:sz w:val="24"/>
          <w:szCs w:val="24"/>
          <w:shd w:val="clear" w:color="auto" w:fill="FFFFFF"/>
        </w:rPr>
        <w:t>5</w:t>
      </w:r>
      <w:r w:rsidRPr="002501ED">
        <w:rPr>
          <w:rFonts w:cs="Times New Roman"/>
          <w:sz w:val="24"/>
          <w:szCs w:val="24"/>
          <w:shd w:val="clear" w:color="auto" w:fill="FFFFFF"/>
        </w:rPr>
        <w:t xml:space="preserve">(5). </w:t>
      </w:r>
      <w:hyperlink r:id="rId152" w:history="1">
        <w:r w:rsidR="000C1D7B" w:rsidRPr="002501ED">
          <w:rPr>
            <w:rStyle w:val="Hyperlink"/>
            <w:rFonts w:cs="Times New Roman"/>
            <w:sz w:val="24"/>
            <w:szCs w:val="24"/>
            <w:shd w:val="clear" w:color="auto" w:fill="FFFFFF"/>
          </w:rPr>
          <w:t>https://doi.org/10.1126/sciadv.aau2670</w:t>
        </w:r>
      </w:hyperlink>
      <w:r w:rsidR="000C1D7B" w:rsidRPr="002501ED">
        <w:rPr>
          <w:rFonts w:cs="Times New Roman"/>
          <w:color w:val="222222"/>
          <w:sz w:val="24"/>
          <w:szCs w:val="24"/>
          <w:shd w:val="clear" w:color="auto" w:fill="FFFFFF"/>
        </w:rPr>
        <w:t xml:space="preserve"> </w:t>
      </w:r>
    </w:p>
    <w:p w14:paraId="6230BD36" w14:textId="1811EDEE" w:rsidR="001C6794" w:rsidRPr="002501ED" w:rsidRDefault="001C6794" w:rsidP="00400BB0">
      <w:pPr>
        <w:spacing w:after="0" w:line="240" w:lineRule="auto"/>
        <w:ind w:left="360" w:hanging="360"/>
        <w:rPr>
          <w:rFonts w:cs="Times New Roman"/>
          <w:color w:val="222222"/>
          <w:sz w:val="24"/>
          <w:szCs w:val="24"/>
          <w:shd w:val="clear" w:color="auto" w:fill="FFFFFF"/>
        </w:rPr>
      </w:pPr>
      <w:r w:rsidRPr="002501ED">
        <w:rPr>
          <w:rFonts w:cs="Times New Roman"/>
          <w:color w:val="222222"/>
          <w:sz w:val="24"/>
          <w:szCs w:val="24"/>
          <w:shd w:val="clear" w:color="auto" w:fill="FFFFFF"/>
        </w:rPr>
        <w:t xml:space="preserve">Ferdous, N., Bhat, C.R., </w:t>
      </w:r>
      <w:proofErr w:type="spellStart"/>
      <w:r w:rsidRPr="002501ED">
        <w:rPr>
          <w:rFonts w:cs="Times New Roman"/>
          <w:color w:val="222222"/>
          <w:sz w:val="24"/>
          <w:szCs w:val="24"/>
          <w:shd w:val="clear" w:color="auto" w:fill="FFFFFF"/>
        </w:rPr>
        <w:t>Vana</w:t>
      </w:r>
      <w:proofErr w:type="spellEnd"/>
      <w:r w:rsidRPr="002501ED">
        <w:rPr>
          <w:rFonts w:cs="Times New Roman"/>
          <w:color w:val="222222"/>
          <w:sz w:val="24"/>
          <w:szCs w:val="24"/>
          <w:shd w:val="clear" w:color="auto" w:fill="FFFFFF"/>
        </w:rPr>
        <w:t xml:space="preserve">, L., Schmitt, D., Bowman, J.L., Mark, B., </w:t>
      </w:r>
      <w:proofErr w:type="spellStart"/>
      <w:r w:rsidRPr="002501ED">
        <w:rPr>
          <w:rFonts w:cs="Times New Roman"/>
          <w:color w:val="222222"/>
          <w:sz w:val="24"/>
          <w:szCs w:val="24"/>
          <w:shd w:val="clear" w:color="auto" w:fill="FFFFFF"/>
        </w:rPr>
        <w:t>Pendyala</w:t>
      </w:r>
      <w:proofErr w:type="spellEnd"/>
      <w:r w:rsidRPr="002501ED">
        <w:rPr>
          <w:rFonts w:cs="Times New Roman"/>
          <w:color w:val="222222"/>
          <w:sz w:val="24"/>
          <w:szCs w:val="24"/>
          <w:shd w:val="clear" w:color="auto" w:fill="FFFFFF"/>
        </w:rPr>
        <w:t xml:space="preserve">, R., 2011. Comparison of four-step versus tour-based models in predicting travel behavior before and after transportation system changes – Results interpretation and recommendations. </w:t>
      </w:r>
      <w:r w:rsidRPr="002501ED">
        <w:rPr>
          <w:rFonts w:cs="Times New Roman"/>
          <w:sz w:val="24"/>
          <w:szCs w:val="24"/>
        </w:rPr>
        <w:t>Report FHWA/OH-2011/4, prepared for the Ohio Department of Transportation.</w:t>
      </w:r>
      <w:r w:rsidRPr="002501ED">
        <w:rPr>
          <w:rFonts w:cs="Times New Roman"/>
          <w:color w:val="222222"/>
          <w:sz w:val="24"/>
          <w:szCs w:val="24"/>
          <w:shd w:val="clear" w:color="auto" w:fill="FFFFFF"/>
        </w:rPr>
        <w:t xml:space="preserve"> Available at </w:t>
      </w:r>
      <w:hyperlink r:id="rId153" w:history="1">
        <w:r w:rsidRPr="002501ED">
          <w:rPr>
            <w:rStyle w:val="Hyperlink"/>
            <w:rFonts w:cs="Times New Roman"/>
            <w:sz w:val="24"/>
            <w:szCs w:val="24"/>
            <w:shd w:val="clear" w:color="auto" w:fill="FFFFFF"/>
          </w:rPr>
          <w:t>http://www.dot.state.oh.us/Divisions/Planning/SPR/Research/reportsandplans/Reports/2011/Planning/134368_FR.pdf</w:t>
        </w:r>
      </w:hyperlink>
    </w:p>
    <w:p w14:paraId="2509E323" w14:textId="01D9EF34" w:rsidR="00BA5A86" w:rsidRPr="002501ED" w:rsidRDefault="00BA5A86" w:rsidP="000E0E1D">
      <w:pPr>
        <w:spacing w:after="0" w:line="240" w:lineRule="auto"/>
        <w:ind w:left="360" w:hanging="360"/>
        <w:rPr>
          <w:rFonts w:cs="Times New Roman"/>
          <w:color w:val="222222"/>
          <w:sz w:val="24"/>
          <w:szCs w:val="24"/>
          <w:shd w:val="clear" w:color="auto" w:fill="FFFFFF"/>
        </w:rPr>
      </w:pPr>
      <w:r w:rsidRPr="002501ED">
        <w:rPr>
          <w:rFonts w:cs="Times New Roman"/>
          <w:sz w:val="24"/>
          <w:szCs w:val="24"/>
          <w:shd w:val="clear" w:color="auto" w:fill="FFFFFF"/>
        </w:rPr>
        <w:t xml:space="preserve">Griswold, A., 2018. Uber drivers </w:t>
      </w:r>
      <w:r w:rsidR="000E0E1D">
        <w:rPr>
          <w:rFonts w:cs="Times New Roman"/>
          <w:sz w:val="24"/>
          <w:szCs w:val="24"/>
          <w:shd w:val="clear" w:color="auto" w:fill="FFFFFF"/>
        </w:rPr>
        <w:t xml:space="preserve">are </w:t>
      </w:r>
      <w:r w:rsidRPr="002501ED">
        <w:rPr>
          <w:rFonts w:cs="Times New Roman"/>
          <w:sz w:val="24"/>
          <w:szCs w:val="24"/>
          <w:shd w:val="clear" w:color="auto" w:fill="FFFFFF"/>
        </w:rPr>
        <w:t>forc</w:t>
      </w:r>
      <w:r w:rsidR="000E0E1D">
        <w:rPr>
          <w:rFonts w:cs="Times New Roman"/>
          <w:sz w:val="24"/>
          <w:szCs w:val="24"/>
          <w:shd w:val="clear" w:color="auto" w:fill="FFFFFF"/>
        </w:rPr>
        <w:t>ing</w:t>
      </w:r>
      <w:r w:rsidRPr="002501ED">
        <w:rPr>
          <w:rFonts w:cs="Times New Roman"/>
          <w:sz w:val="24"/>
          <w:szCs w:val="24"/>
          <w:shd w:val="clear" w:color="auto" w:fill="FFFFFF"/>
        </w:rPr>
        <w:t xml:space="preserve"> riders to cancel when fares are too cheap. </w:t>
      </w:r>
      <w:r w:rsidR="000E0E1D" w:rsidRPr="002501ED">
        <w:rPr>
          <w:rFonts w:cs="Times New Roman"/>
          <w:sz w:val="24"/>
          <w:szCs w:val="24"/>
          <w:shd w:val="clear" w:color="auto" w:fill="FFFFFF"/>
        </w:rPr>
        <w:t>Available at:</w:t>
      </w:r>
      <w:r w:rsidR="000E0E1D">
        <w:rPr>
          <w:rFonts w:cs="Times New Roman"/>
          <w:sz w:val="24"/>
          <w:szCs w:val="24"/>
          <w:shd w:val="clear" w:color="auto" w:fill="FFFFFF"/>
        </w:rPr>
        <w:t xml:space="preserve"> </w:t>
      </w:r>
      <w:hyperlink r:id="rId154" w:history="1">
        <w:r w:rsidR="00400BB0" w:rsidRPr="002501ED">
          <w:rPr>
            <w:rStyle w:val="Hyperlink"/>
            <w:rFonts w:cs="Times New Roman"/>
            <w:sz w:val="24"/>
            <w:szCs w:val="24"/>
            <w:shd w:val="clear" w:color="auto" w:fill="FFFFFF"/>
          </w:rPr>
          <w:t>https://qz.com/1387942/uber-drivers-are-forcing-riders-to-cancel-trips-when-fares-are-too-cheap/</w:t>
        </w:r>
      </w:hyperlink>
      <w:r w:rsidR="00400BB0" w:rsidRPr="002501ED">
        <w:rPr>
          <w:rFonts w:cs="Times New Roman"/>
          <w:color w:val="222222"/>
          <w:sz w:val="24"/>
          <w:szCs w:val="24"/>
          <w:shd w:val="clear" w:color="auto" w:fill="FFFFFF"/>
        </w:rPr>
        <w:t xml:space="preserve"> </w:t>
      </w:r>
      <w:r w:rsidR="000E0E1D">
        <w:rPr>
          <w:rFonts w:cs="Times New Roman"/>
          <w:sz w:val="24"/>
          <w:szCs w:val="24"/>
          <w:shd w:val="clear" w:color="auto" w:fill="FFFFFF"/>
        </w:rPr>
        <w:t xml:space="preserve">[Accessed </w:t>
      </w:r>
      <w:r w:rsidR="000E0E1D" w:rsidRPr="002501ED">
        <w:rPr>
          <w:rFonts w:cs="Times New Roman"/>
          <w:sz w:val="24"/>
          <w:szCs w:val="24"/>
          <w:shd w:val="clear" w:color="auto" w:fill="FFFFFF"/>
        </w:rPr>
        <w:t>9</w:t>
      </w:r>
      <w:r w:rsidR="000E0E1D">
        <w:rPr>
          <w:rFonts w:cs="Times New Roman"/>
          <w:sz w:val="24"/>
          <w:szCs w:val="24"/>
          <w:shd w:val="clear" w:color="auto" w:fill="FFFFFF"/>
        </w:rPr>
        <w:t xml:space="preserve"> Dec. </w:t>
      </w:r>
      <w:r w:rsidR="000E0E1D" w:rsidRPr="002501ED">
        <w:rPr>
          <w:rFonts w:cs="Times New Roman"/>
          <w:sz w:val="24"/>
          <w:szCs w:val="24"/>
          <w:shd w:val="clear" w:color="auto" w:fill="FFFFFF"/>
        </w:rPr>
        <w:t>2019</w:t>
      </w:r>
      <w:r w:rsidR="000E0E1D">
        <w:rPr>
          <w:rFonts w:cs="Times New Roman"/>
          <w:sz w:val="24"/>
          <w:szCs w:val="24"/>
          <w:shd w:val="clear" w:color="auto" w:fill="FFFFFF"/>
        </w:rPr>
        <w:t>].</w:t>
      </w:r>
    </w:p>
    <w:p w14:paraId="0B7AB1AC" w14:textId="22E99554" w:rsidR="00056768" w:rsidRPr="002501ED" w:rsidRDefault="00056768">
      <w:pPr>
        <w:spacing w:after="0" w:line="240" w:lineRule="auto"/>
        <w:ind w:left="360" w:hanging="360"/>
        <w:rPr>
          <w:rFonts w:eastAsia="Calibri" w:cs="Times New Roman"/>
          <w:sz w:val="24"/>
          <w:szCs w:val="24"/>
        </w:rPr>
      </w:pPr>
      <w:r w:rsidRPr="002501ED">
        <w:rPr>
          <w:rFonts w:eastAsia="Calibri" w:cs="Times New Roman"/>
          <w:sz w:val="24"/>
          <w:szCs w:val="24"/>
        </w:rPr>
        <w:t xml:space="preserve">Guo, J.Y., Bhat, C.R., 2007. Operationalizing the concept of neighborhood: Application to residential location choice analysis. </w:t>
      </w:r>
      <w:r w:rsidRPr="002501ED">
        <w:rPr>
          <w:rFonts w:eastAsia="Calibri" w:cs="Times New Roman"/>
          <w:i/>
          <w:sz w:val="24"/>
          <w:szCs w:val="24"/>
        </w:rPr>
        <w:t>Journal of Transport Geography</w:t>
      </w:r>
      <w:r w:rsidRPr="002501ED">
        <w:rPr>
          <w:rFonts w:eastAsia="Calibri" w:cs="Times New Roman"/>
          <w:sz w:val="24"/>
          <w:szCs w:val="24"/>
        </w:rPr>
        <w:t>, 15, 31</w:t>
      </w:r>
      <w:r w:rsidR="006A5AF9" w:rsidRPr="002501ED">
        <w:rPr>
          <w:rFonts w:eastAsia="Calibri" w:cs="Times New Roman"/>
          <w:sz w:val="24"/>
          <w:szCs w:val="24"/>
        </w:rPr>
        <w:t>-</w:t>
      </w:r>
      <w:r w:rsidRPr="002501ED">
        <w:rPr>
          <w:rFonts w:eastAsia="Calibri" w:cs="Times New Roman"/>
          <w:sz w:val="24"/>
          <w:szCs w:val="24"/>
        </w:rPr>
        <w:t xml:space="preserve">45. </w:t>
      </w:r>
      <w:hyperlink r:id="rId155" w:history="1">
        <w:r w:rsidR="00400BB0" w:rsidRPr="002501ED">
          <w:rPr>
            <w:rStyle w:val="Hyperlink"/>
            <w:rFonts w:eastAsia="Calibri" w:cs="Times New Roman"/>
            <w:sz w:val="24"/>
            <w:szCs w:val="24"/>
          </w:rPr>
          <w:t>https://doi.org/10.1016/j.jtrangeo.2005.11.001</w:t>
        </w:r>
      </w:hyperlink>
      <w:r w:rsidR="00400BB0" w:rsidRPr="002501ED">
        <w:rPr>
          <w:rFonts w:eastAsia="Calibri" w:cs="Times New Roman"/>
          <w:sz w:val="24"/>
          <w:szCs w:val="24"/>
        </w:rPr>
        <w:t xml:space="preserve"> </w:t>
      </w:r>
    </w:p>
    <w:p w14:paraId="29FF5CD3" w14:textId="2869DD6F" w:rsidR="002925EA" w:rsidRPr="002501ED" w:rsidRDefault="00332008" w:rsidP="00AD724C">
      <w:pPr>
        <w:spacing w:after="0" w:line="240" w:lineRule="auto"/>
        <w:ind w:left="360" w:hanging="360"/>
        <w:rPr>
          <w:rFonts w:cs="Times New Roman"/>
          <w:color w:val="222222"/>
          <w:sz w:val="24"/>
          <w:szCs w:val="24"/>
          <w:shd w:val="clear" w:color="auto" w:fill="FFFFFF"/>
        </w:rPr>
      </w:pPr>
      <w:r w:rsidRPr="002501ED">
        <w:rPr>
          <w:rFonts w:cs="Times New Roman"/>
          <w:color w:val="222222"/>
          <w:sz w:val="24"/>
          <w:szCs w:val="24"/>
          <w:shd w:val="clear" w:color="auto" w:fill="FFFFFF"/>
        </w:rPr>
        <w:t xml:space="preserve">Hall, J.D., </w:t>
      </w:r>
      <w:proofErr w:type="spellStart"/>
      <w:r w:rsidRPr="002501ED">
        <w:rPr>
          <w:rFonts w:cs="Times New Roman"/>
          <w:color w:val="222222"/>
          <w:sz w:val="24"/>
          <w:szCs w:val="24"/>
          <w:shd w:val="clear" w:color="auto" w:fill="FFFFFF"/>
        </w:rPr>
        <w:t>Palsson</w:t>
      </w:r>
      <w:proofErr w:type="spellEnd"/>
      <w:r w:rsidRPr="002501ED">
        <w:rPr>
          <w:rFonts w:cs="Times New Roman"/>
          <w:color w:val="222222"/>
          <w:sz w:val="24"/>
          <w:szCs w:val="24"/>
          <w:shd w:val="clear" w:color="auto" w:fill="FFFFFF"/>
        </w:rPr>
        <w:t xml:space="preserve">, C., </w:t>
      </w:r>
      <w:r w:rsidR="00806EF0" w:rsidRPr="002501ED">
        <w:rPr>
          <w:rFonts w:cs="Times New Roman"/>
          <w:color w:val="222222"/>
          <w:sz w:val="24"/>
          <w:szCs w:val="24"/>
          <w:shd w:val="clear" w:color="auto" w:fill="FFFFFF"/>
        </w:rPr>
        <w:t>Price, J., 2018. Is Uber a substitute or complement for public transit? </w:t>
      </w:r>
      <w:r w:rsidR="00806EF0" w:rsidRPr="002501ED">
        <w:rPr>
          <w:rFonts w:cs="Times New Roman"/>
          <w:i/>
          <w:iCs/>
          <w:color w:val="222222"/>
          <w:sz w:val="24"/>
          <w:szCs w:val="24"/>
          <w:shd w:val="clear" w:color="auto" w:fill="FFFFFF"/>
        </w:rPr>
        <w:t>Journal of Urban Economics</w:t>
      </w:r>
      <w:r w:rsidR="00806EF0" w:rsidRPr="002501ED">
        <w:rPr>
          <w:rFonts w:cs="Times New Roman"/>
          <w:color w:val="222222"/>
          <w:sz w:val="24"/>
          <w:szCs w:val="24"/>
          <w:shd w:val="clear" w:color="auto" w:fill="FFFFFF"/>
        </w:rPr>
        <w:t>, </w:t>
      </w:r>
      <w:r w:rsidR="00806EF0" w:rsidRPr="002501ED">
        <w:rPr>
          <w:rFonts w:cs="Times New Roman"/>
          <w:iCs/>
          <w:color w:val="222222"/>
          <w:sz w:val="24"/>
          <w:szCs w:val="24"/>
          <w:shd w:val="clear" w:color="auto" w:fill="FFFFFF"/>
        </w:rPr>
        <w:t>108</w:t>
      </w:r>
      <w:r w:rsidR="00806EF0" w:rsidRPr="002501ED">
        <w:rPr>
          <w:rFonts w:cs="Times New Roman"/>
          <w:color w:val="222222"/>
          <w:sz w:val="24"/>
          <w:szCs w:val="24"/>
          <w:shd w:val="clear" w:color="auto" w:fill="FFFFFF"/>
        </w:rPr>
        <w:t xml:space="preserve">, </w:t>
      </w:r>
      <w:r w:rsidR="002925EA" w:rsidRPr="002501ED">
        <w:rPr>
          <w:rFonts w:cs="Times New Roman"/>
          <w:color w:val="222222"/>
          <w:sz w:val="24"/>
          <w:szCs w:val="24"/>
          <w:shd w:val="clear" w:color="auto" w:fill="FFFFFF"/>
        </w:rPr>
        <w:t>36-50.</w:t>
      </w:r>
    </w:p>
    <w:p w14:paraId="4D1F3C7A" w14:textId="76128B6F" w:rsidR="00806EF0" w:rsidRPr="002501ED" w:rsidRDefault="00806EF0" w:rsidP="00AD724C">
      <w:pPr>
        <w:spacing w:after="0" w:line="240" w:lineRule="auto"/>
        <w:ind w:left="360" w:hanging="360"/>
        <w:rPr>
          <w:rFonts w:cs="Times New Roman"/>
          <w:color w:val="222222"/>
          <w:sz w:val="24"/>
          <w:szCs w:val="24"/>
          <w:shd w:val="clear" w:color="auto" w:fill="FFFFFF"/>
        </w:rPr>
      </w:pPr>
      <w:bookmarkStart w:id="37" w:name="_Hlk32620093"/>
      <w:proofErr w:type="spellStart"/>
      <w:r w:rsidRPr="002501ED">
        <w:rPr>
          <w:rFonts w:cs="Times New Roman"/>
          <w:color w:val="222222"/>
          <w:sz w:val="24"/>
          <w:szCs w:val="24"/>
          <w:shd w:val="clear" w:color="auto" w:fill="FFFFFF"/>
        </w:rPr>
        <w:lastRenderedPageBreak/>
        <w:t>He</w:t>
      </w:r>
      <w:r w:rsidR="00332008" w:rsidRPr="002501ED">
        <w:rPr>
          <w:rFonts w:cs="Times New Roman"/>
          <w:color w:val="222222"/>
          <w:sz w:val="24"/>
          <w:szCs w:val="24"/>
          <w:shd w:val="clear" w:color="auto" w:fill="FFFFFF"/>
        </w:rPr>
        <w:t>nao</w:t>
      </w:r>
      <w:proofErr w:type="spellEnd"/>
      <w:r w:rsidR="00332008" w:rsidRPr="002501ED">
        <w:rPr>
          <w:rFonts w:cs="Times New Roman"/>
          <w:color w:val="222222"/>
          <w:sz w:val="24"/>
          <w:szCs w:val="24"/>
          <w:shd w:val="clear" w:color="auto" w:fill="FFFFFF"/>
        </w:rPr>
        <w:t xml:space="preserve">, A., </w:t>
      </w:r>
      <w:r w:rsidR="00400BB0" w:rsidRPr="002501ED">
        <w:rPr>
          <w:rFonts w:cs="Times New Roman"/>
          <w:color w:val="222222"/>
          <w:sz w:val="24"/>
          <w:szCs w:val="24"/>
          <w:shd w:val="clear" w:color="auto" w:fill="FFFFFF"/>
        </w:rPr>
        <w:t>Marshall, W.E., 2019</w:t>
      </w:r>
      <w:r w:rsidRPr="002501ED">
        <w:rPr>
          <w:rFonts w:cs="Times New Roman"/>
          <w:color w:val="222222"/>
          <w:sz w:val="24"/>
          <w:szCs w:val="24"/>
          <w:shd w:val="clear" w:color="auto" w:fill="FFFFFF"/>
        </w:rPr>
        <w:t>. The impact of ride-hailing on vehicle miles traveled. </w:t>
      </w:r>
      <w:r w:rsidRPr="002501ED">
        <w:rPr>
          <w:rFonts w:cs="Times New Roman"/>
          <w:i/>
          <w:iCs/>
          <w:color w:val="222222"/>
          <w:sz w:val="24"/>
          <w:szCs w:val="24"/>
          <w:shd w:val="clear" w:color="auto" w:fill="FFFFFF"/>
        </w:rPr>
        <w:t>Transportation</w:t>
      </w:r>
      <w:r w:rsidRPr="002501ED">
        <w:rPr>
          <w:rFonts w:cs="Times New Roman"/>
          <w:color w:val="222222"/>
          <w:sz w:val="24"/>
          <w:szCs w:val="24"/>
          <w:shd w:val="clear" w:color="auto" w:fill="FFFFFF"/>
        </w:rPr>
        <w:t xml:space="preserve">, </w:t>
      </w:r>
      <w:r w:rsidR="00400BB0" w:rsidRPr="002501ED">
        <w:rPr>
          <w:rFonts w:cs="Times New Roman"/>
          <w:color w:val="222222"/>
          <w:sz w:val="24"/>
          <w:szCs w:val="24"/>
          <w:shd w:val="clear" w:color="auto" w:fill="FFFFFF"/>
        </w:rPr>
        <w:t xml:space="preserve">46(6), 2173-2194. </w:t>
      </w:r>
      <w:hyperlink r:id="rId156" w:history="1">
        <w:r w:rsidR="00400BB0" w:rsidRPr="002501ED">
          <w:rPr>
            <w:rStyle w:val="Hyperlink"/>
            <w:rFonts w:cs="Times New Roman"/>
            <w:sz w:val="24"/>
            <w:szCs w:val="24"/>
          </w:rPr>
          <w:t>https://doi.org/10.1007/s11116-018-9923-2</w:t>
        </w:r>
      </w:hyperlink>
      <w:r w:rsidR="00400BB0" w:rsidRPr="002501ED">
        <w:rPr>
          <w:rFonts w:cs="Times New Roman"/>
          <w:color w:val="222222"/>
          <w:sz w:val="24"/>
          <w:szCs w:val="24"/>
          <w:shd w:val="clear" w:color="auto" w:fill="FFFFFF"/>
        </w:rPr>
        <w:t xml:space="preserve"> </w:t>
      </w:r>
    </w:p>
    <w:p w14:paraId="63929A09" w14:textId="63B8B7BE" w:rsidR="00F66C72" w:rsidRPr="002501ED" w:rsidRDefault="00F66C72" w:rsidP="000F6D04">
      <w:pPr>
        <w:spacing w:after="0" w:line="240" w:lineRule="auto"/>
        <w:ind w:left="360" w:hanging="360"/>
        <w:rPr>
          <w:rFonts w:cs="Times New Roman"/>
          <w:color w:val="222222"/>
          <w:sz w:val="24"/>
          <w:szCs w:val="24"/>
          <w:shd w:val="clear" w:color="auto" w:fill="FFFFFF"/>
        </w:rPr>
      </w:pPr>
      <w:r w:rsidRPr="002501ED">
        <w:rPr>
          <w:rFonts w:cs="Times New Roman"/>
          <w:color w:val="222222"/>
          <w:sz w:val="24"/>
          <w:szCs w:val="24"/>
          <w:shd w:val="clear" w:color="auto" w:fill="FFFFFF"/>
        </w:rPr>
        <w:t xml:space="preserve">Hughes, R., </w:t>
      </w:r>
      <w:proofErr w:type="spellStart"/>
      <w:r w:rsidRPr="002501ED">
        <w:rPr>
          <w:rFonts w:cs="Times New Roman"/>
          <w:color w:val="222222"/>
          <w:sz w:val="24"/>
          <w:szCs w:val="24"/>
          <w:shd w:val="clear" w:color="auto" w:fill="FFFFFF"/>
        </w:rPr>
        <w:t>MacKenzie</w:t>
      </w:r>
      <w:proofErr w:type="spellEnd"/>
      <w:r w:rsidRPr="002501ED">
        <w:rPr>
          <w:rFonts w:cs="Times New Roman"/>
          <w:color w:val="222222"/>
          <w:sz w:val="24"/>
          <w:szCs w:val="24"/>
          <w:shd w:val="clear" w:color="auto" w:fill="FFFFFF"/>
        </w:rPr>
        <w:t xml:space="preserve">, D., 2016. Transportation network company wait times in Greater Seattle, and relationship to socioeconomic indicators. </w:t>
      </w:r>
      <w:r w:rsidRPr="002501ED">
        <w:rPr>
          <w:rFonts w:cs="Times New Roman"/>
          <w:i/>
          <w:iCs/>
          <w:color w:val="222222"/>
          <w:sz w:val="24"/>
          <w:szCs w:val="24"/>
          <w:shd w:val="clear" w:color="auto" w:fill="FFFFFF"/>
        </w:rPr>
        <w:t>Journal of Transport Geography</w:t>
      </w:r>
      <w:r w:rsidR="006551A2" w:rsidRPr="002501ED">
        <w:rPr>
          <w:rFonts w:cs="Times New Roman"/>
          <w:color w:val="222222"/>
          <w:sz w:val="24"/>
          <w:szCs w:val="24"/>
          <w:shd w:val="clear" w:color="auto" w:fill="FFFFFF"/>
        </w:rPr>
        <w:t>,</w:t>
      </w:r>
      <w:r w:rsidRPr="002501ED">
        <w:rPr>
          <w:rFonts w:cs="Times New Roman"/>
          <w:color w:val="222222"/>
          <w:sz w:val="24"/>
          <w:szCs w:val="24"/>
          <w:shd w:val="clear" w:color="auto" w:fill="FFFFFF"/>
        </w:rPr>
        <w:t xml:space="preserve"> 56, 36</w:t>
      </w:r>
      <w:r w:rsidR="006551A2" w:rsidRPr="002501ED">
        <w:rPr>
          <w:rFonts w:cs="Times New Roman"/>
          <w:color w:val="222222"/>
          <w:sz w:val="24"/>
          <w:szCs w:val="24"/>
          <w:shd w:val="clear" w:color="auto" w:fill="FFFFFF"/>
        </w:rPr>
        <w:t>-</w:t>
      </w:r>
      <w:r w:rsidRPr="002501ED">
        <w:rPr>
          <w:rFonts w:cs="Times New Roman"/>
          <w:color w:val="222222"/>
          <w:sz w:val="24"/>
          <w:szCs w:val="24"/>
          <w:shd w:val="clear" w:color="auto" w:fill="FFFFFF"/>
        </w:rPr>
        <w:t>44.</w:t>
      </w:r>
      <w:r w:rsidR="006551A2" w:rsidRPr="002501ED">
        <w:rPr>
          <w:rFonts w:cs="Times New Roman"/>
          <w:color w:val="222222"/>
          <w:sz w:val="24"/>
          <w:szCs w:val="24"/>
          <w:shd w:val="clear" w:color="auto" w:fill="FFFFFF"/>
        </w:rPr>
        <w:t xml:space="preserve"> </w:t>
      </w:r>
      <w:hyperlink r:id="rId157" w:history="1">
        <w:r w:rsidR="002501ED" w:rsidRPr="002501ED">
          <w:rPr>
            <w:rStyle w:val="Hyperlink"/>
            <w:rFonts w:cs="Times New Roman"/>
            <w:sz w:val="24"/>
            <w:szCs w:val="24"/>
            <w:shd w:val="clear" w:color="auto" w:fill="FFFFFF"/>
          </w:rPr>
          <w:t>https://doi.org/10.1016/j.jtrangeo.2016.08.014</w:t>
        </w:r>
      </w:hyperlink>
      <w:r w:rsidR="006551A2" w:rsidRPr="002501ED">
        <w:rPr>
          <w:rFonts w:cs="Times New Roman"/>
          <w:color w:val="222222"/>
          <w:sz w:val="24"/>
          <w:szCs w:val="24"/>
          <w:shd w:val="clear" w:color="auto" w:fill="FFFFFF"/>
        </w:rPr>
        <w:t xml:space="preserve"> </w:t>
      </w:r>
    </w:p>
    <w:bookmarkEnd w:id="37"/>
    <w:p w14:paraId="1D2BCB3A" w14:textId="4475206E" w:rsidR="00BA5A86" w:rsidRPr="002501ED" w:rsidRDefault="00332008">
      <w:pPr>
        <w:spacing w:after="0" w:line="240" w:lineRule="auto"/>
        <w:ind w:left="360" w:hanging="360"/>
        <w:rPr>
          <w:rFonts w:cs="Times New Roman"/>
          <w:color w:val="222222"/>
          <w:sz w:val="24"/>
          <w:szCs w:val="24"/>
          <w:shd w:val="clear" w:color="auto" w:fill="FFFFFF"/>
        </w:rPr>
      </w:pPr>
      <w:r w:rsidRPr="002501ED">
        <w:rPr>
          <w:rFonts w:cs="Times New Roman"/>
          <w:color w:val="222222"/>
          <w:sz w:val="24"/>
          <w:szCs w:val="24"/>
          <w:shd w:val="clear" w:color="auto" w:fill="FFFFFF"/>
        </w:rPr>
        <w:t xml:space="preserve">Jiang, W., </w:t>
      </w:r>
      <w:r w:rsidR="00BA5A86" w:rsidRPr="002501ED">
        <w:rPr>
          <w:rFonts w:cs="Times New Roman"/>
          <w:color w:val="222222"/>
          <w:sz w:val="24"/>
          <w:szCs w:val="24"/>
          <w:shd w:val="clear" w:color="auto" w:fill="FFFFFF"/>
        </w:rPr>
        <w:t xml:space="preserve">Zhang, L., 2018. The impact of the transportation network companies on the taxi industry: Evidence from Beijing’s GPS Taxi Trajectory Data. </w:t>
      </w:r>
      <w:r w:rsidR="00BA5A86" w:rsidRPr="002501ED">
        <w:rPr>
          <w:rFonts w:cs="Times New Roman"/>
          <w:i/>
          <w:iCs/>
          <w:color w:val="222222"/>
          <w:sz w:val="24"/>
          <w:szCs w:val="24"/>
          <w:shd w:val="clear" w:color="auto" w:fill="FFFFFF"/>
        </w:rPr>
        <w:t>IEEE Access</w:t>
      </w:r>
      <w:r w:rsidR="00BA5A86" w:rsidRPr="002501ED">
        <w:rPr>
          <w:rFonts w:cs="Times New Roman"/>
          <w:color w:val="222222"/>
          <w:sz w:val="24"/>
          <w:szCs w:val="24"/>
          <w:shd w:val="clear" w:color="auto" w:fill="FFFFFF"/>
        </w:rPr>
        <w:t xml:space="preserve">, </w:t>
      </w:r>
      <w:r w:rsidR="00BA5A86" w:rsidRPr="002501ED">
        <w:rPr>
          <w:rFonts w:cs="Times New Roman"/>
          <w:iCs/>
          <w:color w:val="222222"/>
          <w:sz w:val="24"/>
          <w:szCs w:val="24"/>
          <w:shd w:val="clear" w:color="auto" w:fill="FFFFFF"/>
        </w:rPr>
        <w:t>6</w:t>
      </w:r>
      <w:r w:rsidR="00BA5A86" w:rsidRPr="002501ED">
        <w:rPr>
          <w:rFonts w:cs="Times New Roman"/>
          <w:color w:val="222222"/>
          <w:sz w:val="24"/>
          <w:szCs w:val="24"/>
          <w:shd w:val="clear" w:color="auto" w:fill="FFFFFF"/>
        </w:rPr>
        <w:t>, 12438</w:t>
      </w:r>
      <w:r w:rsidR="006A5AF9" w:rsidRPr="002501ED">
        <w:rPr>
          <w:rFonts w:cs="Times New Roman"/>
          <w:color w:val="222222"/>
          <w:sz w:val="24"/>
          <w:szCs w:val="24"/>
          <w:shd w:val="clear" w:color="auto" w:fill="FFFFFF"/>
        </w:rPr>
        <w:t>-</w:t>
      </w:r>
      <w:r w:rsidR="00BA5A86" w:rsidRPr="002501ED">
        <w:rPr>
          <w:rFonts w:cs="Times New Roman"/>
          <w:color w:val="222222"/>
          <w:sz w:val="24"/>
          <w:szCs w:val="24"/>
          <w:shd w:val="clear" w:color="auto" w:fill="FFFFFF"/>
        </w:rPr>
        <w:t xml:space="preserve">12450. </w:t>
      </w:r>
      <w:hyperlink r:id="rId158" w:history="1">
        <w:r w:rsidR="000C1D7B" w:rsidRPr="002501ED">
          <w:rPr>
            <w:rStyle w:val="Hyperlink"/>
            <w:rFonts w:cs="Times New Roman"/>
            <w:sz w:val="24"/>
            <w:szCs w:val="24"/>
            <w:shd w:val="clear" w:color="auto" w:fill="FFFFFF"/>
          </w:rPr>
          <w:t>https://doi.org/10.1109/ACCESS.2018.2810140</w:t>
        </w:r>
      </w:hyperlink>
      <w:r w:rsidR="000C1D7B" w:rsidRPr="002501ED">
        <w:rPr>
          <w:rFonts w:cs="Times New Roman"/>
          <w:color w:val="222222"/>
          <w:sz w:val="24"/>
          <w:szCs w:val="24"/>
          <w:shd w:val="clear" w:color="auto" w:fill="FFFFFF"/>
        </w:rPr>
        <w:t xml:space="preserve"> </w:t>
      </w:r>
    </w:p>
    <w:p w14:paraId="4E786732" w14:textId="77777777" w:rsidR="00AC1882" w:rsidRDefault="00AC1882" w:rsidP="00AC1882">
      <w:pPr>
        <w:spacing w:after="0" w:line="240" w:lineRule="auto"/>
        <w:ind w:left="360" w:hanging="360"/>
        <w:rPr>
          <w:rFonts w:cs="Times New Roman"/>
          <w:sz w:val="24"/>
          <w:szCs w:val="24"/>
        </w:rPr>
      </w:pPr>
      <w:r w:rsidRPr="00AC1882">
        <w:rPr>
          <w:rFonts w:cs="Times New Roman"/>
          <w:sz w:val="24"/>
          <w:szCs w:val="24"/>
        </w:rPr>
        <w:t xml:space="preserve">Jiao, J., 2018. Investigating Uber price surges during a special event in Austin, TX. </w:t>
      </w:r>
      <w:r w:rsidRPr="00AC1882">
        <w:rPr>
          <w:rFonts w:cs="Times New Roman"/>
          <w:i/>
          <w:sz w:val="24"/>
          <w:szCs w:val="24"/>
        </w:rPr>
        <w:t>Research in Transportation and Business Management</w:t>
      </w:r>
      <w:r w:rsidRPr="00AC1882">
        <w:rPr>
          <w:rFonts w:cs="Times New Roman"/>
          <w:sz w:val="24"/>
          <w:szCs w:val="24"/>
        </w:rPr>
        <w:t xml:space="preserve">, 29, 101-107. </w:t>
      </w:r>
    </w:p>
    <w:p w14:paraId="4F124F00" w14:textId="62A93901" w:rsidR="00AC1882" w:rsidRPr="00AC1882" w:rsidRDefault="00740F16" w:rsidP="00AC1882">
      <w:pPr>
        <w:spacing w:after="0" w:line="240" w:lineRule="auto"/>
        <w:ind w:left="360"/>
        <w:rPr>
          <w:rFonts w:cs="Times New Roman"/>
          <w:sz w:val="24"/>
          <w:szCs w:val="24"/>
        </w:rPr>
      </w:pPr>
      <w:hyperlink r:id="rId159" w:history="1">
        <w:r w:rsidR="00AC1882" w:rsidRPr="006D606A">
          <w:rPr>
            <w:rStyle w:val="Hyperlink"/>
            <w:rFonts w:cs="Times New Roman"/>
            <w:sz w:val="24"/>
            <w:szCs w:val="24"/>
          </w:rPr>
          <w:t>https://doi.org/10.1016/j.rtbm.2018.02.008</w:t>
        </w:r>
      </w:hyperlink>
    </w:p>
    <w:p w14:paraId="425FF86D" w14:textId="27BFA101" w:rsidR="00806EF0" w:rsidRPr="002501ED" w:rsidRDefault="002925EA" w:rsidP="00AD724C">
      <w:pPr>
        <w:spacing w:after="0" w:line="240" w:lineRule="auto"/>
        <w:ind w:left="360" w:hanging="360"/>
        <w:rPr>
          <w:rFonts w:cs="Times New Roman"/>
          <w:color w:val="000000"/>
          <w:sz w:val="24"/>
          <w:szCs w:val="24"/>
          <w:shd w:val="clear" w:color="auto" w:fill="FFFFFF"/>
        </w:rPr>
      </w:pPr>
      <w:r w:rsidRPr="002501ED">
        <w:rPr>
          <w:rFonts w:cs="Times New Roman"/>
          <w:color w:val="000000"/>
          <w:sz w:val="24"/>
          <w:szCs w:val="24"/>
          <w:shd w:val="clear" w:color="auto" w:fill="FFFFFF"/>
        </w:rPr>
        <w:t>Kelly, H., 2016</w:t>
      </w:r>
      <w:r w:rsidR="00806EF0" w:rsidRPr="002501ED">
        <w:rPr>
          <w:rFonts w:cs="Times New Roman"/>
          <w:color w:val="000000"/>
          <w:sz w:val="24"/>
          <w:szCs w:val="24"/>
          <w:shd w:val="clear" w:color="auto" w:fill="FFFFFF"/>
        </w:rPr>
        <w:t>. </w:t>
      </w:r>
      <w:r w:rsidR="00806EF0" w:rsidRPr="002501ED">
        <w:rPr>
          <w:rFonts w:cs="Times New Roman"/>
          <w:i/>
          <w:iCs/>
          <w:color w:val="000000"/>
          <w:sz w:val="24"/>
          <w:szCs w:val="24"/>
          <w:shd w:val="clear" w:color="auto" w:fill="FFFFFF"/>
        </w:rPr>
        <w:t>Uber and Lyft to leave Austin after losing fingerprinting vote</w:t>
      </w:r>
      <w:r w:rsidR="00806EF0" w:rsidRPr="002501ED">
        <w:rPr>
          <w:rFonts w:cs="Times New Roman"/>
          <w:color w:val="000000"/>
          <w:sz w:val="24"/>
          <w:szCs w:val="24"/>
          <w:shd w:val="clear" w:color="auto" w:fill="FFFFFF"/>
        </w:rPr>
        <w:t xml:space="preserve">. [online] CNNMoney. Available at: </w:t>
      </w:r>
      <w:hyperlink r:id="rId160" w:history="1">
        <w:r w:rsidR="000C1D7B" w:rsidRPr="002501ED">
          <w:rPr>
            <w:rStyle w:val="Hyperlink"/>
            <w:rFonts w:cs="Times New Roman"/>
            <w:sz w:val="24"/>
            <w:szCs w:val="24"/>
            <w:shd w:val="clear" w:color="auto" w:fill="FFFFFF"/>
          </w:rPr>
          <w:t>https://money.cnn.com/2016/05/08/technology/uber-lyft-austin-vote-fingerprinting/</w:t>
        </w:r>
      </w:hyperlink>
      <w:r w:rsidR="000C1D7B" w:rsidRPr="002501ED">
        <w:rPr>
          <w:rFonts w:cs="Times New Roman"/>
          <w:color w:val="000000"/>
          <w:sz w:val="24"/>
          <w:szCs w:val="24"/>
          <w:shd w:val="clear" w:color="auto" w:fill="FFFFFF"/>
        </w:rPr>
        <w:t xml:space="preserve"> </w:t>
      </w:r>
      <w:r w:rsidR="00806EF0" w:rsidRPr="002501ED">
        <w:rPr>
          <w:rFonts w:cs="Times New Roman"/>
          <w:color w:val="000000"/>
          <w:sz w:val="24"/>
          <w:szCs w:val="24"/>
          <w:shd w:val="clear" w:color="auto" w:fill="FFFFFF"/>
        </w:rPr>
        <w:t>[Accessed 31 Jul. 2019].</w:t>
      </w:r>
    </w:p>
    <w:p w14:paraId="111E6EF5" w14:textId="77777777" w:rsidR="009F1A41" w:rsidRPr="002501ED" w:rsidRDefault="00806EF0" w:rsidP="00AD724C">
      <w:pPr>
        <w:spacing w:after="0" w:line="240" w:lineRule="auto"/>
        <w:ind w:left="360" w:hanging="360"/>
        <w:rPr>
          <w:rFonts w:cs="Times New Roman"/>
          <w:color w:val="222222"/>
          <w:sz w:val="24"/>
          <w:szCs w:val="24"/>
          <w:shd w:val="clear" w:color="auto" w:fill="FFFFFF"/>
        </w:rPr>
      </w:pPr>
      <w:bookmarkStart w:id="38" w:name="_Hlk32620148"/>
      <w:proofErr w:type="spellStart"/>
      <w:r w:rsidRPr="002501ED">
        <w:rPr>
          <w:rFonts w:cs="Times New Roman"/>
          <w:color w:val="222222"/>
          <w:sz w:val="24"/>
          <w:szCs w:val="24"/>
          <w:shd w:val="clear" w:color="auto" w:fill="FFFFFF"/>
        </w:rPr>
        <w:t>Komanduri</w:t>
      </w:r>
      <w:proofErr w:type="spellEnd"/>
      <w:r w:rsidRPr="002501ED">
        <w:rPr>
          <w:rFonts w:cs="Times New Roman"/>
          <w:color w:val="222222"/>
          <w:sz w:val="24"/>
          <w:szCs w:val="24"/>
          <w:shd w:val="clear" w:color="auto" w:fill="FFFFFF"/>
        </w:rPr>
        <w:t xml:space="preserve">, </w:t>
      </w:r>
      <w:r w:rsidR="00332008" w:rsidRPr="002501ED">
        <w:rPr>
          <w:rFonts w:cs="Times New Roman"/>
          <w:color w:val="222222"/>
          <w:sz w:val="24"/>
          <w:szCs w:val="24"/>
          <w:shd w:val="clear" w:color="auto" w:fill="FFFFFF"/>
        </w:rPr>
        <w:t xml:space="preserve">A., </w:t>
      </w:r>
      <w:proofErr w:type="spellStart"/>
      <w:r w:rsidR="00332008" w:rsidRPr="002501ED">
        <w:rPr>
          <w:rFonts w:cs="Times New Roman"/>
          <w:color w:val="222222"/>
          <w:sz w:val="24"/>
          <w:szCs w:val="24"/>
          <w:shd w:val="clear" w:color="auto" w:fill="FFFFFF"/>
        </w:rPr>
        <w:t>Wafa</w:t>
      </w:r>
      <w:proofErr w:type="spellEnd"/>
      <w:r w:rsidR="00332008" w:rsidRPr="002501ED">
        <w:rPr>
          <w:rFonts w:cs="Times New Roman"/>
          <w:color w:val="222222"/>
          <w:sz w:val="24"/>
          <w:szCs w:val="24"/>
          <w:shd w:val="clear" w:color="auto" w:fill="FFFFFF"/>
        </w:rPr>
        <w:t xml:space="preserve">, Z., </w:t>
      </w:r>
      <w:proofErr w:type="spellStart"/>
      <w:r w:rsidR="00332008" w:rsidRPr="002501ED">
        <w:rPr>
          <w:rFonts w:cs="Times New Roman"/>
          <w:color w:val="222222"/>
          <w:sz w:val="24"/>
          <w:szCs w:val="24"/>
          <w:shd w:val="clear" w:color="auto" w:fill="FFFFFF"/>
        </w:rPr>
        <w:t>Proussaloglou</w:t>
      </w:r>
      <w:proofErr w:type="spellEnd"/>
      <w:r w:rsidR="00332008" w:rsidRPr="002501ED">
        <w:rPr>
          <w:rFonts w:cs="Times New Roman"/>
          <w:color w:val="222222"/>
          <w:sz w:val="24"/>
          <w:szCs w:val="24"/>
          <w:shd w:val="clear" w:color="auto" w:fill="FFFFFF"/>
        </w:rPr>
        <w:t xml:space="preserve">, K., </w:t>
      </w:r>
      <w:r w:rsidRPr="002501ED">
        <w:rPr>
          <w:rFonts w:cs="Times New Roman"/>
          <w:color w:val="222222"/>
          <w:sz w:val="24"/>
          <w:szCs w:val="24"/>
          <w:shd w:val="clear" w:color="auto" w:fill="FFFFFF"/>
        </w:rPr>
        <w:t>Jacobs, S., 2018. Assessing the impact of app-based ride share systems in an urban context: Findings from Austin. </w:t>
      </w:r>
      <w:r w:rsidR="008D05CB" w:rsidRPr="002501ED">
        <w:rPr>
          <w:rFonts w:cs="Times New Roman"/>
          <w:i/>
          <w:iCs/>
          <w:sz w:val="24"/>
          <w:szCs w:val="24"/>
          <w:shd w:val="clear" w:color="auto" w:fill="FFFFFF"/>
        </w:rPr>
        <w:t>Transportation Research Record: Journal of the Transportation Research Board</w:t>
      </w:r>
      <w:r w:rsidRPr="002501ED">
        <w:rPr>
          <w:rFonts w:cs="Times New Roman"/>
          <w:color w:val="222222"/>
          <w:sz w:val="24"/>
          <w:szCs w:val="24"/>
          <w:shd w:val="clear" w:color="auto" w:fill="FFFFFF"/>
        </w:rPr>
        <w:t>, </w:t>
      </w:r>
      <w:r w:rsidRPr="002501ED">
        <w:rPr>
          <w:rFonts w:cs="Times New Roman"/>
          <w:iCs/>
          <w:color w:val="222222"/>
          <w:sz w:val="24"/>
          <w:szCs w:val="24"/>
          <w:shd w:val="clear" w:color="auto" w:fill="FFFFFF"/>
        </w:rPr>
        <w:t>2672</w:t>
      </w:r>
      <w:r w:rsidRPr="002501ED">
        <w:rPr>
          <w:rFonts w:cs="Times New Roman"/>
          <w:color w:val="222222"/>
          <w:sz w:val="24"/>
          <w:szCs w:val="24"/>
          <w:shd w:val="clear" w:color="auto" w:fill="FFFFFF"/>
        </w:rPr>
        <w:t>(7), 34-46.</w:t>
      </w:r>
    </w:p>
    <w:p w14:paraId="76CA3AD9" w14:textId="67BFAE60" w:rsidR="00806EF0" w:rsidRPr="002501ED" w:rsidRDefault="00740F16" w:rsidP="009F1A41">
      <w:pPr>
        <w:spacing w:after="0" w:line="240" w:lineRule="auto"/>
        <w:ind w:left="360"/>
        <w:rPr>
          <w:rFonts w:cs="Times New Roman"/>
          <w:color w:val="222222"/>
          <w:sz w:val="24"/>
          <w:szCs w:val="24"/>
          <w:shd w:val="clear" w:color="auto" w:fill="FFFFFF"/>
        </w:rPr>
      </w:pPr>
      <w:hyperlink r:id="rId161" w:history="1">
        <w:r w:rsidR="009F1A41" w:rsidRPr="002501ED">
          <w:rPr>
            <w:rStyle w:val="Hyperlink"/>
            <w:rFonts w:cs="Times New Roman"/>
            <w:sz w:val="24"/>
            <w:szCs w:val="24"/>
          </w:rPr>
          <w:t>https://doi.org/10.1177/0361198118796025</w:t>
        </w:r>
      </w:hyperlink>
    </w:p>
    <w:bookmarkEnd w:id="38"/>
    <w:p w14:paraId="47407B16" w14:textId="6E5C41ED" w:rsidR="00806EF0" w:rsidRPr="002501ED" w:rsidRDefault="00806EF0" w:rsidP="00AD724C">
      <w:pPr>
        <w:spacing w:after="0" w:line="240" w:lineRule="auto"/>
        <w:ind w:left="360" w:hanging="360"/>
        <w:rPr>
          <w:rFonts w:cs="Times New Roman"/>
          <w:sz w:val="24"/>
          <w:szCs w:val="24"/>
          <w:shd w:val="clear" w:color="auto" w:fill="FFFFFF"/>
        </w:rPr>
      </w:pPr>
      <w:proofErr w:type="spellStart"/>
      <w:r w:rsidRPr="002501ED">
        <w:rPr>
          <w:rFonts w:cs="Times New Roman"/>
          <w:sz w:val="24"/>
          <w:szCs w:val="24"/>
          <w:shd w:val="clear" w:color="auto" w:fill="FFFFFF"/>
        </w:rPr>
        <w:t>Kooti</w:t>
      </w:r>
      <w:proofErr w:type="spellEnd"/>
      <w:r w:rsidRPr="002501ED">
        <w:rPr>
          <w:rFonts w:cs="Times New Roman"/>
          <w:sz w:val="24"/>
          <w:szCs w:val="24"/>
          <w:shd w:val="clear" w:color="auto" w:fill="FFFFFF"/>
        </w:rPr>
        <w:t xml:space="preserve">, F., </w:t>
      </w:r>
      <w:proofErr w:type="spellStart"/>
      <w:r w:rsidRPr="002501ED">
        <w:rPr>
          <w:rFonts w:cs="Times New Roman"/>
          <w:sz w:val="24"/>
          <w:szCs w:val="24"/>
          <w:shd w:val="clear" w:color="auto" w:fill="FFFFFF"/>
        </w:rPr>
        <w:t>Grbovic</w:t>
      </w:r>
      <w:proofErr w:type="spellEnd"/>
      <w:r w:rsidRPr="002501ED">
        <w:rPr>
          <w:rFonts w:cs="Times New Roman"/>
          <w:sz w:val="24"/>
          <w:szCs w:val="24"/>
          <w:shd w:val="clear" w:color="auto" w:fill="FFFFFF"/>
        </w:rPr>
        <w:t xml:space="preserve">, M., Aiello, L.M., Djuric, N., </w:t>
      </w:r>
      <w:proofErr w:type="spellStart"/>
      <w:r w:rsidRPr="002501ED">
        <w:rPr>
          <w:rFonts w:cs="Times New Roman"/>
          <w:sz w:val="24"/>
          <w:szCs w:val="24"/>
          <w:shd w:val="clear" w:color="auto" w:fill="FFFFFF"/>
        </w:rPr>
        <w:t>Radosav</w:t>
      </w:r>
      <w:r w:rsidR="00332008" w:rsidRPr="002501ED">
        <w:rPr>
          <w:rFonts w:cs="Times New Roman"/>
          <w:sz w:val="24"/>
          <w:szCs w:val="24"/>
          <w:shd w:val="clear" w:color="auto" w:fill="FFFFFF"/>
        </w:rPr>
        <w:t>ljevic</w:t>
      </w:r>
      <w:proofErr w:type="spellEnd"/>
      <w:r w:rsidR="00332008" w:rsidRPr="002501ED">
        <w:rPr>
          <w:rFonts w:cs="Times New Roman"/>
          <w:sz w:val="24"/>
          <w:szCs w:val="24"/>
          <w:shd w:val="clear" w:color="auto" w:fill="FFFFFF"/>
        </w:rPr>
        <w:t xml:space="preserve">, V., </w:t>
      </w:r>
      <w:proofErr w:type="spellStart"/>
      <w:r w:rsidR="002925EA" w:rsidRPr="002501ED">
        <w:rPr>
          <w:rFonts w:cs="Times New Roman"/>
          <w:sz w:val="24"/>
          <w:szCs w:val="24"/>
          <w:shd w:val="clear" w:color="auto" w:fill="FFFFFF"/>
        </w:rPr>
        <w:t>Lerman</w:t>
      </w:r>
      <w:proofErr w:type="spellEnd"/>
      <w:r w:rsidR="002925EA" w:rsidRPr="002501ED">
        <w:rPr>
          <w:rFonts w:cs="Times New Roman"/>
          <w:sz w:val="24"/>
          <w:szCs w:val="24"/>
          <w:shd w:val="clear" w:color="auto" w:fill="FFFFFF"/>
        </w:rPr>
        <w:t>, K., 2017</w:t>
      </w:r>
      <w:r w:rsidRPr="002501ED">
        <w:rPr>
          <w:rFonts w:cs="Times New Roman"/>
          <w:sz w:val="24"/>
          <w:szCs w:val="24"/>
          <w:shd w:val="clear" w:color="auto" w:fill="FFFFFF"/>
        </w:rPr>
        <w:t>. Analyzing Uber's ride-sharing economy. In </w:t>
      </w:r>
      <w:r w:rsidRPr="002501ED">
        <w:rPr>
          <w:rFonts w:cs="Times New Roman"/>
          <w:i/>
          <w:iCs/>
          <w:sz w:val="24"/>
          <w:szCs w:val="24"/>
          <w:shd w:val="clear" w:color="auto" w:fill="FFFFFF"/>
        </w:rPr>
        <w:t>Proceedings of the 26th International Conference on World Wide Web Companion</w:t>
      </w:r>
      <w:r w:rsidR="002925EA" w:rsidRPr="002501ED">
        <w:rPr>
          <w:rFonts w:cs="Times New Roman"/>
          <w:iCs/>
          <w:sz w:val="24"/>
          <w:szCs w:val="24"/>
          <w:shd w:val="clear" w:color="auto" w:fill="FFFFFF"/>
        </w:rPr>
        <w:t>,</w:t>
      </w:r>
      <w:r w:rsidRPr="002501ED">
        <w:rPr>
          <w:rFonts w:cs="Times New Roman"/>
          <w:sz w:val="24"/>
          <w:szCs w:val="24"/>
          <w:shd w:val="clear" w:color="auto" w:fill="FFFFFF"/>
        </w:rPr>
        <w:t> </w:t>
      </w:r>
      <w:r w:rsidR="002925EA" w:rsidRPr="002501ED">
        <w:rPr>
          <w:rFonts w:cs="Times New Roman"/>
          <w:sz w:val="24"/>
          <w:szCs w:val="24"/>
          <w:shd w:val="clear" w:color="auto" w:fill="FFFFFF"/>
        </w:rPr>
        <w:t xml:space="preserve">April </w:t>
      </w:r>
      <w:r w:rsidRPr="002501ED">
        <w:rPr>
          <w:rFonts w:cs="Times New Roman"/>
          <w:sz w:val="24"/>
          <w:szCs w:val="24"/>
          <w:shd w:val="clear" w:color="auto" w:fill="FFFFFF"/>
        </w:rPr>
        <w:t>(pp. 574-582). International World Wide Web Conferences Steering Committee.</w:t>
      </w:r>
    </w:p>
    <w:p w14:paraId="7C4AEEE5" w14:textId="77777777" w:rsidR="004C6A44" w:rsidRPr="002501ED" w:rsidRDefault="004C6A44" w:rsidP="004C6A44">
      <w:pPr>
        <w:spacing w:after="0" w:line="240" w:lineRule="auto"/>
        <w:ind w:left="360" w:hanging="360"/>
        <w:rPr>
          <w:rFonts w:cs="Times New Roman"/>
          <w:sz w:val="24"/>
          <w:szCs w:val="24"/>
          <w:shd w:val="clear" w:color="auto" w:fill="FFFFFF"/>
        </w:rPr>
      </w:pPr>
      <w:proofErr w:type="spellStart"/>
      <w:r w:rsidRPr="002501ED">
        <w:rPr>
          <w:rFonts w:cs="Times New Roman"/>
          <w:sz w:val="24"/>
          <w:szCs w:val="24"/>
          <w:shd w:val="clear" w:color="auto" w:fill="FFFFFF"/>
        </w:rPr>
        <w:t>Koppelman</w:t>
      </w:r>
      <w:proofErr w:type="spellEnd"/>
      <w:r w:rsidRPr="002501ED">
        <w:rPr>
          <w:rFonts w:cs="Times New Roman"/>
          <w:sz w:val="24"/>
          <w:szCs w:val="24"/>
          <w:shd w:val="clear" w:color="auto" w:fill="FFFFFF"/>
        </w:rPr>
        <w:t xml:space="preserve">, F.S., 1974. </w:t>
      </w:r>
      <w:r w:rsidRPr="002501ED">
        <w:rPr>
          <w:rFonts w:cs="Times New Roman"/>
          <w:sz w:val="24"/>
          <w:szCs w:val="24"/>
        </w:rPr>
        <w:t xml:space="preserve">Prediction with disaggregate models: the aggregation issue, </w:t>
      </w:r>
      <w:r w:rsidRPr="002501ED">
        <w:rPr>
          <w:rFonts w:cs="Times New Roman"/>
          <w:i/>
          <w:iCs/>
          <w:sz w:val="24"/>
          <w:szCs w:val="24"/>
          <w:shd w:val="clear" w:color="auto" w:fill="FFFFFF"/>
        </w:rPr>
        <w:t>Transportation Research Record: Journal of the Transportation Research Board</w:t>
      </w:r>
      <w:r w:rsidRPr="002501ED">
        <w:rPr>
          <w:rFonts w:cs="Times New Roman"/>
          <w:sz w:val="24"/>
          <w:szCs w:val="24"/>
        </w:rPr>
        <w:t>, 527, 73-80.</w:t>
      </w:r>
    </w:p>
    <w:p w14:paraId="0FBED655" w14:textId="747F6FDF" w:rsidR="00806EF0" w:rsidRPr="002501ED" w:rsidRDefault="00806EF0" w:rsidP="00AD724C">
      <w:pPr>
        <w:spacing w:after="0" w:line="240" w:lineRule="auto"/>
        <w:ind w:left="360" w:hanging="360"/>
        <w:rPr>
          <w:rFonts w:cs="Times New Roman"/>
          <w:sz w:val="24"/>
          <w:szCs w:val="24"/>
          <w:shd w:val="clear" w:color="auto" w:fill="FFFFFF"/>
        </w:rPr>
      </w:pPr>
      <w:proofErr w:type="spellStart"/>
      <w:r w:rsidRPr="002501ED">
        <w:rPr>
          <w:rFonts w:cs="Times New Roman"/>
          <w:sz w:val="24"/>
          <w:szCs w:val="24"/>
          <w:shd w:val="clear" w:color="auto" w:fill="FFFFFF"/>
        </w:rPr>
        <w:t>Lahkar</w:t>
      </w:r>
      <w:proofErr w:type="spellEnd"/>
      <w:r w:rsidRPr="002501ED">
        <w:rPr>
          <w:rFonts w:cs="Times New Roman"/>
          <w:sz w:val="24"/>
          <w:szCs w:val="24"/>
          <w:shd w:val="clear" w:color="auto" w:fill="FFFFFF"/>
        </w:rPr>
        <w:t>, P., 2018. </w:t>
      </w:r>
      <w:r w:rsidRPr="002501ED">
        <w:rPr>
          <w:rFonts w:cs="Times New Roman"/>
          <w:iCs/>
          <w:sz w:val="24"/>
          <w:szCs w:val="24"/>
          <w:shd w:val="clear" w:color="auto" w:fill="FFFFFF"/>
        </w:rPr>
        <w:t xml:space="preserve">Understanding </w:t>
      </w:r>
      <w:r w:rsidR="000C1D7B" w:rsidRPr="002501ED">
        <w:rPr>
          <w:rFonts w:cs="Times New Roman"/>
          <w:iCs/>
          <w:sz w:val="24"/>
          <w:szCs w:val="24"/>
          <w:shd w:val="clear" w:color="auto" w:fill="FFFFFF"/>
        </w:rPr>
        <w:t>u</w:t>
      </w:r>
      <w:r w:rsidRPr="002501ED">
        <w:rPr>
          <w:rFonts w:cs="Times New Roman"/>
          <w:iCs/>
          <w:sz w:val="24"/>
          <w:szCs w:val="24"/>
          <w:shd w:val="clear" w:color="auto" w:fill="FFFFFF"/>
        </w:rPr>
        <w:t xml:space="preserve">se of </w:t>
      </w:r>
      <w:r w:rsidR="000C1D7B" w:rsidRPr="002501ED">
        <w:rPr>
          <w:rFonts w:cs="Times New Roman"/>
          <w:iCs/>
          <w:sz w:val="24"/>
          <w:szCs w:val="24"/>
          <w:shd w:val="clear" w:color="auto" w:fill="FFFFFF"/>
        </w:rPr>
        <w:t>transport n</w:t>
      </w:r>
      <w:r w:rsidRPr="002501ED">
        <w:rPr>
          <w:rFonts w:cs="Times New Roman"/>
          <w:iCs/>
          <w:sz w:val="24"/>
          <w:szCs w:val="24"/>
          <w:shd w:val="clear" w:color="auto" w:fill="FFFFFF"/>
        </w:rPr>
        <w:t xml:space="preserve">etwork </w:t>
      </w:r>
      <w:r w:rsidR="000C1D7B" w:rsidRPr="002501ED">
        <w:rPr>
          <w:rFonts w:cs="Times New Roman"/>
          <w:iCs/>
          <w:sz w:val="24"/>
          <w:szCs w:val="24"/>
          <w:shd w:val="clear" w:color="auto" w:fill="FFFFFF"/>
        </w:rPr>
        <w:t>c</w:t>
      </w:r>
      <w:r w:rsidRPr="002501ED">
        <w:rPr>
          <w:rFonts w:cs="Times New Roman"/>
          <w:iCs/>
          <w:sz w:val="24"/>
          <w:szCs w:val="24"/>
          <w:shd w:val="clear" w:color="auto" w:fill="FFFFFF"/>
        </w:rPr>
        <w:t>ompanies (TNC) in Virginia</w:t>
      </w:r>
      <w:r w:rsidR="000C1D7B" w:rsidRPr="002501ED">
        <w:rPr>
          <w:rFonts w:cs="Times New Roman"/>
          <w:sz w:val="24"/>
          <w:szCs w:val="24"/>
          <w:shd w:val="clear" w:color="auto" w:fill="FFFFFF"/>
        </w:rPr>
        <w:t xml:space="preserve">. MS Thesis, Department of </w:t>
      </w:r>
      <w:r w:rsidR="000C1D7B" w:rsidRPr="002501ED">
        <w:rPr>
          <w:rFonts w:cs="Times New Roman"/>
          <w:sz w:val="24"/>
          <w:szCs w:val="24"/>
        </w:rPr>
        <w:t>Civil and Environmental Engineering</w:t>
      </w:r>
      <w:r w:rsidR="002925EA" w:rsidRPr="002501ED">
        <w:rPr>
          <w:rFonts w:cs="Times New Roman"/>
          <w:sz w:val="24"/>
          <w:szCs w:val="24"/>
          <w:shd w:val="clear" w:color="auto" w:fill="FFFFFF"/>
        </w:rPr>
        <w:t xml:space="preserve">, </w:t>
      </w:r>
      <w:r w:rsidR="000C1D7B" w:rsidRPr="002501ED">
        <w:rPr>
          <w:rFonts w:cs="Times New Roman"/>
          <w:sz w:val="24"/>
          <w:szCs w:val="24"/>
        </w:rPr>
        <w:t>Virginia Polytechnic Institute and State University</w:t>
      </w:r>
      <w:r w:rsidRPr="002501ED">
        <w:rPr>
          <w:rFonts w:cs="Times New Roman"/>
          <w:sz w:val="24"/>
          <w:szCs w:val="24"/>
          <w:shd w:val="clear" w:color="auto" w:fill="FFFFFF"/>
        </w:rPr>
        <w:t>.</w:t>
      </w:r>
    </w:p>
    <w:p w14:paraId="27313E77" w14:textId="0F366F77" w:rsidR="00806EF0" w:rsidRPr="002501ED" w:rsidRDefault="00332008" w:rsidP="00AD724C">
      <w:pPr>
        <w:spacing w:after="0" w:line="240" w:lineRule="auto"/>
        <w:ind w:left="360" w:hanging="360"/>
        <w:rPr>
          <w:rFonts w:cs="Times New Roman"/>
          <w:sz w:val="24"/>
          <w:szCs w:val="24"/>
          <w:shd w:val="clear" w:color="auto" w:fill="FFFFFF"/>
        </w:rPr>
      </w:pPr>
      <w:r w:rsidRPr="002501ED">
        <w:rPr>
          <w:rFonts w:cs="Times New Roman"/>
          <w:sz w:val="24"/>
          <w:szCs w:val="24"/>
          <w:shd w:val="clear" w:color="auto" w:fill="FFFFFF"/>
        </w:rPr>
        <w:t xml:space="preserve">Lavieri, P.S., </w:t>
      </w:r>
      <w:r w:rsidR="00806EF0" w:rsidRPr="002501ED">
        <w:rPr>
          <w:rFonts w:cs="Times New Roman"/>
          <w:sz w:val="24"/>
          <w:szCs w:val="24"/>
          <w:shd w:val="clear" w:color="auto" w:fill="FFFFFF"/>
        </w:rPr>
        <w:t>Bhat, C.R., 2019. Investigating objective and subjective factors influencing the adoption, frequency, and characteristics of ride-hailing trips. </w:t>
      </w:r>
      <w:r w:rsidR="008D05CB" w:rsidRPr="002501ED">
        <w:rPr>
          <w:rFonts w:cs="Times New Roman"/>
          <w:i/>
          <w:iCs/>
          <w:sz w:val="24"/>
          <w:szCs w:val="24"/>
          <w:shd w:val="clear" w:color="auto" w:fill="FFFFFF"/>
        </w:rPr>
        <w:t>Transportation Research Part C</w:t>
      </w:r>
      <w:r w:rsidR="004350EE" w:rsidRPr="002501ED">
        <w:rPr>
          <w:rFonts w:cs="Times New Roman"/>
          <w:i/>
          <w:iCs/>
          <w:sz w:val="24"/>
          <w:szCs w:val="24"/>
          <w:shd w:val="clear" w:color="auto" w:fill="FFFFFF"/>
        </w:rPr>
        <w:t xml:space="preserve">: </w:t>
      </w:r>
      <w:r w:rsidR="004350EE" w:rsidRPr="002501ED">
        <w:rPr>
          <w:rFonts w:cs="Times New Roman"/>
          <w:i/>
          <w:iCs/>
          <w:color w:val="222222"/>
          <w:sz w:val="24"/>
          <w:szCs w:val="24"/>
          <w:shd w:val="clear" w:color="auto" w:fill="FFFFFF"/>
        </w:rPr>
        <w:t>Emerging Technologies</w:t>
      </w:r>
      <w:r w:rsidR="00806EF0" w:rsidRPr="002501ED">
        <w:rPr>
          <w:rFonts w:cs="Times New Roman"/>
          <w:sz w:val="24"/>
          <w:szCs w:val="24"/>
          <w:shd w:val="clear" w:color="auto" w:fill="FFFFFF"/>
        </w:rPr>
        <w:t>, </w:t>
      </w:r>
      <w:r w:rsidR="00806EF0" w:rsidRPr="002501ED">
        <w:rPr>
          <w:rFonts w:cs="Times New Roman"/>
          <w:iCs/>
          <w:sz w:val="24"/>
          <w:szCs w:val="24"/>
          <w:shd w:val="clear" w:color="auto" w:fill="FFFFFF"/>
        </w:rPr>
        <w:t>105</w:t>
      </w:r>
      <w:r w:rsidR="00806EF0" w:rsidRPr="002501ED">
        <w:rPr>
          <w:rFonts w:cs="Times New Roman"/>
          <w:sz w:val="24"/>
          <w:szCs w:val="24"/>
          <w:shd w:val="clear" w:color="auto" w:fill="FFFFFF"/>
        </w:rPr>
        <w:t>, 100-125.</w:t>
      </w:r>
    </w:p>
    <w:p w14:paraId="27362EED" w14:textId="22A33645" w:rsidR="00806EF0" w:rsidRPr="002501ED" w:rsidRDefault="00806EF0" w:rsidP="00AD724C">
      <w:pPr>
        <w:spacing w:after="0" w:line="240" w:lineRule="auto"/>
        <w:ind w:left="360" w:hanging="360"/>
        <w:rPr>
          <w:rFonts w:cs="Times New Roman"/>
          <w:sz w:val="24"/>
          <w:szCs w:val="24"/>
          <w:shd w:val="clear" w:color="auto" w:fill="FFFFFF"/>
        </w:rPr>
      </w:pPr>
      <w:r w:rsidRPr="002501ED">
        <w:rPr>
          <w:rFonts w:cs="Times New Roman"/>
          <w:sz w:val="24"/>
          <w:szCs w:val="24"/>
          <w:shd w:val="clear" w:color="auto" w:fill="FFFFFF"/>
        </w:rPr>
        <w:t>Lavieri, P.S., D</w:t>
      </w:r>
      <w:r w:rsidR="00332008" w:rsidRPr="002501ED">
        <w:rPr>
          <w:rFonts w:cs="Times New Roman"/>
          <w:sz w:val="24"/>
          <w:szCs w:val="24"/>
          <w:shd w:val="clear" w:color="auto" w:fill="FFFFFF"/>
        </w:rPr>
        <w:t xml:space="preserve">ias, F.F., </w:t>
      </w:r>
      <w:proofErr w:type="spellStart"/>
      <w:r w:rsidR="00332008" w:rsidRPr="002501ED">
        <w:rPr>
          <w:rFonts w:cs="Times New Roman"/>
          <w:sz w:val="24"/>
          <w:szCs w:val="24"/>
          <w:shd w:val="clear" w:color="auto" w:fill="FFFFFF"/>
        </w:rPr>
        <w:t>Juri</w:t>
      </w:r>
      <w:proofErr w:type="spellEnd"/>
      <w:r w:rsidR="00332008" w:rsidRPr="002501ED">
        <w:rPr>
          <w:rFonts w:cs="Times New Roman"/>
          <w:sz w:val="24"/>
          <w:szCs w:val="24"/>
          <w:shd w:val="clear" w:color="auto" w:fill="FFFFFF"/>
        </w:rPr>
        <w:t xml:space="preserve">, N.R., </w:t>
      </w:r>
      <w:proofErr w:type="spellStart"/>
      <w:r w:rsidR="00332008" w:rsidRPr="002501ED">
        <w:rPr>
          <w:rFonts w:cs="Times New Roman"/>
          <w:sz w:val="24"/>
          <w:szCs w:val="24"/>
          <w:shd w:val="clear" w:color="auto" w:fill="FFFFFF"/>
        </w:rPr>
        <w:t>Kuhr</w:t>
      </w:r>
      <w:proofErr w:type="spellEnd"/>
      <w:r w:rsidR="00332008" w:rsidRPr="002501ED">
        <w:rPr>
          <w:rFonts w:cs="Times New Roman"/>
          <w:sz w:val="24"/>
          <w:szCs w:val="24"/>
          <w:shd w:val="clear" w:color="auto" w:fill="FFFFFF"/>
        </w:rPr>
        <w:t xml:space="preserve">, J., </w:t>
      </w:r>
      <w:r w:rsidRPr="002501ED">
        <w:rPr>
          <w:rFonts w:cs="Times New Roman"/>
          <w:sz w:val="24"/>
          <w:szCs w:val="24"/>
          <w:shd w:val="clear" w:color="auto" w:fill="FFFFFF"/>
        </w:rPr>
        <w:t xml:space="preserve">Bhat, C.R., 2018. A model of </w:t>
      </w:r>
      <w:proofErr w:type="spellStart"/>
      <w:r w:rsidRPr="002501ED">
        <w:rPr>
          <w:rFonts w:cs="Times New Roman"/>
          <w:sz w:val="24"/>
          <w:szCs w:val="24"/>
          <w:shd w:val="clear" w:color="auto" w:fill="FFFFFF"/>
        </w:rPr>
        <w:t>ridesourcing</w:t>
      </w:r>
      <w:proofErr w:type="spellEnd"/>
      <w:r w:rsidRPr="002501ED">
        <w:rPr>
          <w:rFonts w:cs="Times New Roman"/>
          <w:sz w:val="24"/>
          <w:szCs w:val="24"/>
          <w:shd w:val="clear" w:color="auto" w:fill="FFFFFF"/>
        </w:rPr>
        <w:t xml:space="preserve"> demand generation and distribution. </w:t>
      </w:r>
      <w:r w:rsidR="008D05CB" w:rsidRPr="002501ED">
        <w:rPr>
          <w:rFonts w:cs="Times New Roman"/>
          <w:i/>
          <w:iCs/>
          <w:sz w:val="24"/>
          <w:szCs w:val="24"/>
          <w:shd w:val="clear" w:color="auto" w:fill="FFFFFF"/>
        </w:rPr>
        <w:t>Transportation Research Record: Journal of the Transportation Research Board</w:t>
      </w:r>
      <w:r w:rsidRPr="002501ED">
        <w:rPr>
          <w:rFonts w:cs="Times New Roman"/>
          <w:sz w:val="24"/>
          <w:szCs w:val="24"/>
          <w:shd w:val="clear" w:color="auto" w:fill="FFFFFF"/>
        </w:rPr>
        <w:t>, </w:t>
      </w:r>
      <w:r w:rsidRPr="002501ED">
        <w:rPr>
          <w:rFonts w:cs="Times New Roman"/>
          <w:iCs/>
          <w:sz w:val="24"/>
          <w:szCs w:val="24"/>
          <w:shd w:val="clear" w:color="auto" w:fill="FFFFFF"/>
        </w:rPr>
        <w:t>2672</w:t>
      </w:r>
      <w:r w:rsidRPr="002501ED">
        <w:rPr>
          <w:rFonts w:cs="Times New Roman"/>
          <w:sz w:val="24"/>
          <w:szCs w:val="24"/>
          <w:shd w:val="clear" w:color="auto" w:fill="FFFFFF"/>
        </w:rPr>
        <w:t>(46), 31-40.</w:t>
      </w:r>
    </w:p>
    <w:p w14:paraId="64B30FD0" w14:textId="33FC5505" w:rsidR="00806EF0" w:rsidRPr="002501ED" w:rsidRDefault="002925EA" w:rsidP="000C1D7B">
      <w:pPr>
        <w:spacing w:after="0" w:line="240" w:lineRule="auto"/>
        <w:ind w:left="360" w:hanging="360"/>
        <w:rPr>
          <w:rFonts w:cs="Times New Roman"/>
          <w:sz w:val="24"/>
          <w:szCs w:val="24"/>
          <w:shd w:val="clear" w:color="auto" w:fill="FFFFFF"/>
        </w:rPr>
      </w:pPr>
      <w:r w:rsidRPr="002501ED">
        <w:rPr>
          <w:rFonts w:cs="Times New Roman"/>
          <w:sz w:val="24"/>
          <w:szCs w:val="24"/>
          <w:shd w:val="clear" w:color="auto" w:fill="FFFFFF"/>
        </w:rPr>
        <w:t>LeBlanc, S., 2018</w:t>
      </w:r>
      <w:r w:rsidR="00806EF0" w:rsidRPr="002501ED">
        <w:rPr>
          <w:rFonts w:cs="Times New Roman"/>
          <w:sz w:val="24"/>
          <w:szCs w:val="24"/>
          <w:shd w:val="clear" w:color="auto" w:fill="FFFFFF"/>
        </w:rPr>
        <w:t>. Studies are increasingly clear: Uber and Lyft congest cities. </w:t>
      </w:r>
      <w:r w:rsidR="00806EF0" w:rsidRPr="002501ED">
        <w:rPr>
          <w:rFonts w:cs="Times New Roman"/>
          <w:i/>
          <w:iCs/>
          <w:sz w:val="24"/>
          <w:szCs w:val="24"/>
          <w:shd w:val="clear" w:color="auto" w:fill="FFFFFF"/>
        </w:rPr>
        <w:t>Chicago Tribune</w:t>
      </w:r>
      <w:r w:rsidR="00806EF0" w:rsidRPr="002501ED">
        <w:rPr>
          <w:rFonts w:cs="Times New Roman"/>
          <w:sz w:val="24"/>
          <w:szCs w:val="24"/>
          <w:shd w:val="clear" w:color="auto" w:fill="FFFFFF"/>
        </w:rPr>
        <w:t xml:space="preserve">. [online] Available at: </w:t>
      </w:r>
      <w:hyperlink r:id="rId162" w:history="1">
        <w:r w:rsidR="000C1D7B" w:rsidRPr="002501ED">
          <w:rPr>
            <w:rStyle w:val="Hyperlink"/>
            <w:rFonts w:cs="Times New Roman"/>
            <w:sz w:val="24"/>
            <w:szCs w:val="24"/>
            <w:shd w:val="clear" w:color="auto" w:fill="FFFFFF"/>
          </w:rPr>
          <w:t>https://www.chicagotribune.com/business/blue-sky/ct-uber-lyft-congestion-20180225-story.html</w:t>
        </w:r>
      </w:hyperlink>
      <w:r w:rsidR="000C1D7B" w:rsidRPr="002501ED">
        <w:rPr>
          <w:rFonts w:cs="Times New Roman"/>
          <w:sz w:val="24"/>
          <w:szCs w:val="24"/>
          <w:shd w:val="clear" w:color="auto" w:fill="FFFFFF"/>
        </w:rPr>
        <w:t xml:space="preserve"> </w:t>
      </w:r>
      <w:r w:rsidR="00806EF0" w:rsidRPr="002501ED">
        <w:rPr>
          <w:rFonts w:cs="Times New Roman"/>
          <w:sz w:val="24"/>
          <w:szCs w:val="24"/>
          <w:shd w:val="clear" w:color="auto" w:fill="FFFFFF"/>
        </w:rPr>
        <w:t>[Accessed 31 Jul. 2019].</w:t>
      </w:r>
    </w:p>
    <w:p w14:paraId="7EC85988" w14:textId="725667EC" w:rsidR="00056768" w:rsidRPr="002501ED" w:rsidRDefault="00056768" w:rsidP="00AD724C">
      <w:pPr>
        <w:spacing w:after="0" w:line="240" w:lineRule="auto"/>
        <w:ind w:left="360" w:hanging="360"/>
        <w:rPr>
          <w:rFonts w:cs="Times New Roman"/>
          <w:sz w:val="24"/>
          <w:szCs w:val="24"/>
          <w:shd w:val="clear" w:color="auto" w:fill="FFFFFF"/>
        </w:rPr>
      </w:pPr>
      <w:r w:rsidRPr="002501ED">
        <w:rPr>
          <w:rFonts w:cs="Times New Roman"/>
          <w:sz w:val="24"/>
          <w:szCs w:val="24"/>
          <w:shd w:val="clear" w:color="auto" w:fill="FFFFFF"/>
        </w:rPr>
        <w:t xml:space="preserve">Lopez, E., Greenlee, A., 2016. An ex-ante analysis of housing location choices due to housing displacement: The case of Bristol Place. </w:t>
      </w:r>
      <w:r w:rsidRPr="002501ED">
        <w:rPr>
          <w:rFonts w:cs="Times New Roman"/>
          <w:i/>
          <w:sz w:val="24"/>
          <w:szCs w:val="24"/>
          <w:shd w:val="clear" w:color="auto" w:fill="FFFFFF"/>
        </w:rPr>
        <w:t>Applied Geography</w:t>
      </w:r>
      <w:r w:rsidRPr="002501ED">
        <w:rPr>
          <w:rFonts w:cs="Times New Roman"/>
          <w:sz w:val="24"/>
          <w:szCs w:val="24"/>
          <w:shd w:val="clear" w:color="auto" w:fill="FFFFFF"/>
        </w:rPr>
        <w:t>, 75, 156</w:t>
      </w:r>
      <w:r w:rsidR="006A5AF9" w:rsidRPr="002501ED">
        <w:rPr>
          <w:rFonts w:cs="Times New Roman"/>
          <w:sz w:val="24"/>
          <w:szCs w:val="24"/>
          <w:shd w:val="clear" w:color="auto" w:fill="FFFFFF"/>
        </w:rPr>
        <w:t>-</w:t>
      </w:r>
      <w:r w:rsidRPr="002501ED">
        <w:rPr>
          <w:rFonts w:cs="Times New Roman"/>
          <w:sz w:val="24"/>
          <w:szCs w:val="24"/>
          <w:shd w:val="clear" w:color="auto" w:fill="FFFFFF"/>
        </w:rPr>
        <w:t xml:space="preserve">175. </w:t>
      </w:r>
      <w:hyperlink r:id="rId163" w:history="1">
        <w:r w:rsidR="000C1D7B" w:rsidRPr="002501ED">
          <w:rPr>
            <w:rStyle w:val="Hyperlink"/>
            <w:rFonts w:cs="Times New Roman"/>
            <w:sz w:val="24"/>
            <w:szCs w:val="24"/>
            <w:shd w:val="clear" w:color="auto" w:fill="FFFFFF"/>
          </w:rPr>
          <w:t>https://doi.org/10.1016/j.apgeog.2016.08.013</w:t>
        </w:r>
      </w:hyperlink>
      <w:r w:rsidR="000C1D7B" w:rsidRPr="002501ED">
        <w:rPr>
          <w:rFonts w:cs="Times New Roman"/>
          <w:sz w:val="24"/>
          <w:szCs w:val="24"/>
          <w:shd w:val="clear" w:color="auto" w:fill="FFFFFF"/>
        </w:rPr>
        <w:t xml:space="preserve"> </w:t>
      </w:r>
    </w:p>
    <w:p w14:paraId="447296F9" w14:textId="29FD9B37" w:rsidR="00806EF0" w:rsidRPr="002501ED" w:rsidRDefault="00806EF0" w:rsidP="00AD724C">
      <w:pPr>
        <w:spacing w:after="0" w:line="240" w:lineRule="auto"/>
        <w:ind w:left="360" w:hanging="360"/>
        <w:rPr>
          <w:rFonts w:cs="Times New Roman"/>
          <w:sz w:val="24"/>
          <w:szCs w:val="24"/>
          <w:shd w:val="clear" w:color="auto" w:fill="FFFFFF"/>
        </w:rPr>
      </w:pPr>
      <w:r w:rsidRPr="002501ED">
        <w:rPr>
          <w:rFonts w:cs="Times New Roman"/>
          <w:sz w:val="24"/>
          <w:szCs w:val="24"/>
          <w:shd w:val="clear" w:color="auto" w:fill="FFFFFF"/>
        </w:rPr>
        <w:t>McFadden, D., 1978. Modeling the choice of residential location. </w:t>
      </w:r>
      <w:r w:rsidR="00D5070C" w:rsidRPr="002501ED">
        <w:rPr>
          <w:rFonts w:cs="Times New Roman"/>
          <w:i/>
          <w:iCs/>
          <w:sz w:val="24"/>
          <w:szCs w:val="24"/>
          <w:shd w:val="clear" w:color="auto" w:fill="FFFFFF"/>
        </w:rPr>
        <w:t>Transportation Research Record: Journal of the Transportation Research Board</w:t>
      </w:r>
      <w:r w:rsidR="00D5070C" w:rsidRPr="002501ED">
        <w:rPr>
          <w:rFonts w:cs="Times New Roman"/>
          <w:sz w:val="24"/>
          <w:szCs w:val="24"/>
          <w:shd w:val="clear" w:color="auto" w:fill="FFFFFF"/>
        </w:rPr>
        <w:t>, 673, 72-77</w:t>
      </w:r>
      <w:r w:rsidRPr="002501ED">
        <w:rPr>
          <w:rFonts w:cs="Times New Roman"/>
          <w:sz w:val="24"/>
          <w:szCs w:val="24"/>
          <w:shd w:val="clear" w:color="auto" w:fill="FFFFFF"/>
        </w:rPr>
        <w:t>.</w:t>
      </w:r>
    </w:p>
    <w:p w14:paraId="0138639A" w14:textId="29A07C53" w:rsidR="000844C9" w:rsidRPr="002501ED" w:rsidRDefault="000844C9" w:rsidP="00AD724C">
      <w:pPr>
        <w:spacing w:after="0" w:line="240" w:lineRule="auto"/>
        <w:ind w:left="360" w:hanging="360"/>
        <w:rPr>
          <w:rFonts w:cs="Times New Roman"/>
          <w:sz w:val="24"/>
          <w:szCs w:val="24"/>
          <w:shd w:val="clear" w:color="auto" w:fill="FFFFFF"/>
        </w:rPr>
      </w:pPr>
      <w:proofErr w:type="spellStart"/>
      <w:r w:rsidRPr="002501ED">
        <w:rPr>
          <w:rFonts w:cs="Times New Roman"/>
          <w:sz w:val="24"/>
          <w:szCs w:val="24"/>
          <w:shd w:val="clear" w:color="auto" w:fill="FFFFFF"/>
        </w:rPr>
        <w:t>Nourinejad</w:t>
      </w:r>
      <w:proofErr w:type="spellEnd"/>
      <w:r w:rsidRPr="002501ED">
        <w:rPr>
          <w:rFonts w:cs="Times New Roman"/>
          <w:sz w:val="24"/>
          <w:szCs w:val="24"/>
          <w:shd w:val="clear" w:color="auto" w:fill="FFFFFF"/>
        </w:rPr>
        <w:t xml:space="preserve">, M., </w:t>
      </w:r>
      <w:proofErr w:type="spellStart"/>
      <w:r w:rsidRPr="002501ED">
        <w:rPr>
          <w:rFonts w:cs="Times New Roman"/>
          <w:sz w:val="24"/>
          <w:szCs w:val="24"/>
          <w:shd w:val="clear" w:color="auto" w:fill="FFFFFF"/>
        </w:rPr>
        <w:t>Ramezani</w:t>
      </w:r>
      <w:proofErr w:type="spellEnd"/>
      <w:r w:rsidRPr="002501ED">
        <w:rPr>
          <w:rFonts w:cs="Times New Roman"/>
          <w:sz w:val="24"/>
          <w:szCs w:val="24"/>
          <w:shd w:val="clear" w:color="auto" w:fill="FFFFFF"/>
        </w:rPr>
        <w:t>, M., 20</w:t>
      </w:r>
      <w:r w:rsidR="002501ED" w:rsidRPr="002501ED">
        <w:rPr>
          <w:rFonts w:cs="Times New Roman"/>
          <w:sz w:val="24"/>
          <w:szCs w:val="24"/>
          <w:shd w:val="clear" w:color="auto" w:fill="FFFFFF"/>
        </w:rPr>
        <w:t>20</w:t>
      </w:r>
      <w:r w:rsidRPr="002501ED">
        <w:rPr>
          <w:rFonts w:cs="Times New Roman"/>
          <w:sz w:val="24"/>
          <w:szCs w:val="24"/>
          <w:shd w:val="clear" w:color="auto" w:fill="FFFFFF"/>
        </w:rPr>
        <w:t xml:space="preserve">. Ride-Sourcing modeling and pricing in non-equilibrium two-sided markets. </w:t>
      </w:r>
      <w:r w:rsidRPr="002501ED">
        <w:rPr>
          <w:rFonts w:cs="Times New Roman"/>
          <w:i/>
          <w:iCs/>
          <w:sz w:val="24"/>
          <w:szCs w:val="24"/>
          <w:shd w:val="clear" w:color="auto" w:fill="FFFFFF"/>
        </w:rPr>
        <w:t>Transportation Research Part B: Methodological</w:t>
      </w:r>
      <w:r w:rsidR="002501ED" w:rsidRPr="002501ED">
        <w:rPr>
          <w:rFonts w:cs="Times New Roman"/>
          <w:sz w:val="24"/>
          <w:szCs w:val="24"/>
          <w:shd w:val="clear" w:color="auto" w:fill="FFFFFF"/>
        </w:rPr>
        <w:t>, 132, 340-357.</w:t>
      </w:r>
      <w:r w:rsidRPr="002501ED">
        <w:rPr>
          <w:rFonts w:cs="Times New Roman"/>
          <w:sz w:val="24"/>
          <w:szCs w:val="24"/>
          <w:shd w:val="clear" w:color="auto" w:fill="FFFFFF"/>
        </w:rPr>
        <w:t xml:space="preserve"> </w:t>
      </w:r>
      <w:hyperlink r:id="rId164" w:history="1">
        <w:r w:rsidR="002501ED" w:rsidRPr="002501ED">
          <w:rPr>
            <w:rStyle w:val="Hyperlink"/>
            <w:rFonts w:cs="Times New Roman"/>
            <w:sz w:val="24"/>
            <w:szCs w:val="24"/>
            <w:shd w:val="clear" w:color="auto" w:fill="FFFFFF"/>
          </w:rPr>
          <w:t>https://doi.org/10.1016/j.trb.2019.05.019</w:t>
        </w:r>
      </w:hyperlink>
      <w:r w:rsidR="002501ED" w:rsidRPr="002501ED">
        <w:rPr>
          <w:rFonts w:cs="Times New Roman"/>
          <w:sz w:val="24"/>
          <w:szCs w:val="24"/>
          <w:shd w:val="clear" w:color="auto" w:fill="FFFFFF"/>
        </w:rPr>
        <w:t xml:space="preserve"> </w:t>
      </w:r>
    </w:p>
    <w:p w14:paraId="3DA2F388" w14:textId="77DDB108" w:rsidR="00BA5A86" w:rsidRPr="002501ED" w:rsidRDefault="00332008">
      <w:pPr>
        <w:spacing w:after="0" w:line="240" w:lineRule="auto"/>
        <w:ind w:left="360" w:hanging="360"/>
        <w:rPr>
          <w:rFonts w:cs="Times New Roman"/>
          <w:sz w:val="24"/>
          <w:szCs w:val="24"/>
          <w:shd w:val="clear" w:color="auto" w:fill="FFFFFF"/>
        </w:rPr>
      </w:pPr>
      <w:proofErr w:type="spellStart"/>
      <w:r w:rsidRPr="002501ED">
        <w:rPr>
          <w:rFonts w:cs="Times New Roman"/>
          <w:sz w:val="24"/>
          <w:szCs w:val="24"/>
          <w:shd w:val="clear" w:color="auto" w:fill="FFFFFF"/>
        </w:rPr>
        <w:lastRenderedPageBreak/>
        <w:t>Nerella</w:t>
      </w:r>
      <w:proofErr w:type="spellEnd"/>
      <w:r w:rsidRPr="002501ED">
        <w:rPr>
          <w:rFonts w:cs="Times New Roman"/>
          <w:sz w:val="24"/>
          <w:szCs w:val="24"/>
          <w:shd w:val="clear" w:color="auto" w:fill="FFFFFF"/>
        </w:rPr>
        <w:t xml:space="preserve">, S., </w:t>
      </w:r>
      <w:r w:rsidR="000C1D7B" w:rsidRPr="002501ED">
        <w:rPr>
          <w:rFonts w:cs="Times New Roman"/>
          <w:sz w:val="24"/>
          <w:szCs w:val="24"/>
          <w:shd w:val="clear" w:color="auto" w:fill="FFFFFF"/>
        </w:rPr>
        <w:t>Bhat, C.</w:t>
      </w:r>
      <w:r w:rsidR="00BA5A86" w:rsidRPr="002501ED">
        <w:rPr>
          <w:rFonts w:cs="Times New Roman"/>
          <w:sz w:val="24"/>
          <w:szCs w:val="24"/>
          <w:shd w:val="clear" w:color="auto" w:fill="FFFFFF"/>
        </w:rPr>
        <w:t xml:space="preserve">R., 2004. Numerical analysis of effect of sampling of alternatives in discrete choice models. </w:t>
      </w:r>
      <w:r w:rsidR="00BA5A86" w:rsidRPr="002501ED">
        <w:rPr>
          <w:rFonts w:cs="Times New Roman"/>
          <w:i/>
          <w:iCs/>
          <w:sz w:val="24"/>
          <w:szCs w:val="24"/>
          <w:shd w:val="clear" w:color="auto" w:fill="FFFFFF"/>
        </w:rPr>
        <w:t>Transportation Research Record: Journal of the Transportation Research Board</w:t>
      </w:r>
      <w:r w:rsidR="00BA5A86" w:rsidRPr="002501ED">
        <w:rPr>
          <w:rFonts w:cs="Times New Roman"/>
          <w:sz w:val="24"/>
          <w:szCs w:val="24"/>
          <w:shd w:val="clear" w:color="auto" w:fill="FFFFFF"/>
        </w:rPr>
        <w:t xml:space="preserve">, </w:t>
      </w:r>
      <w:r w:rsidR="00BA5A86" w:rsidRPr="002501ED">
        <w:rPr>
          <w:rFonts w:cs="Times New Roman"/>
          <w:iCs/>
          <w:sz w:val="24"/>
          <w:szCs w:val="24"/>
          <w:shd w:val="clear" w:color="auto" w:fill="FFFFFF"/>
        </w:rPr>
        <w:t>1894</w:t>
      </w:r>
      <w:r w:rsidR="00BA5A86" w:rsidRPr="002501ED">
        <w:rPr>
          <w:rFonts w:cs="Times New Roman"/>
          <w:sz w:val="24"/>
          <w:szCs w:val="24"/>
          <w:shd w:val="clear" w:color="auto" w:fill="FFFFFF"/>
        </w:rPr>
        <w:t>(1), 11</w:t>
      </w:r>
      <w:r w:rsidR="006A5AF9" w:rsidRPr="002501ED">
        <w:rPr>
          <w:rFonts w:cs="Times New Roman"/>
          <w:sz w:val="24"/>
          <w:szCs w:val="24"/>
          <w:shd w:val="clear" w:color="auto" w:fill="FFFFFF"/>
        </w:rPr>
        <w:t>-</w:t>
      </w:r>
      <w:r w:rsidR="00BA5A86" w:rsidRPr="002501ED">
        <w:rPr>
          <w:rFonts w:cs="Times New Roman"/>
          <w:sz w:val="24"/>
          <w:szCs w:val="24"/>
          <w:shd w:val="clear" w:color="auto" w:fill="FFFFFF"/>
        </w:rPr>
        <w:t xml:space="preserve">19. </w:t>
      </w:r>
      <w:hyperlink r:id="rId165" w:history="1">
        <w:r w:rsidR="00ED0BFD" w:rsidRPr="002501ED">
          <w:rPr>
            <w:rStyle w:val="Hyperlink"/>
            <w:rFonts w:cs="Times New Roman"/>
            <w:sz w:val="24"/>
            <w:szCs w:val="24"/>
            <w:shd w:val="clear" w:color="auto" w:fill="FFFFFF"/>
          </w:rPr>
          <w:t>https://doi.org/10.3141/1894-02</w:t>
        </w:r>
      </w:hyperlink>
      <w:r w:rsidR="00ED0BFD" w:rsidRPr="002501ED">
        <w:rPr>
          <w:rFonts w:cs="Times New Roman"/>
          <w:sz w:val="24"/>
          <w:szCs w:val="24"/>
          <w:shd w:val="clear" w:color="auto" w:fill="FFFFFF"/>
        </w:rPr>
        <w:t xml:space="preserve"> </w:t>
      </w:r>
    </w:p>
    <w:p w14:paraId="7B16A452" w14:textId="0EDD7A1E" w:rsidR="00806EF0" w:rsidRPr="002501ED" w:rsidRDefault="002925EA" w:rsidP="000C1D7B">
      <w:pPr>
        <w:spacing w:after="0" w:line="240" w:lineRule="auto"/>
        <w:ind w:left="360" w:hanging="360"/>
        <w:rPr>
          <w:rFonts w:cs="Times New Roman"/>
          <w:sz w:val="24"/>
          <w:szCs w:val="24"/>
          <w:shd w:val="clear" w:color="auto" w:fill="FFFFFF"/>
        </w:rPr>
      </w:pPr>
      <w:r w:rsidRPr="002501ED">
        <w:rPr>
          <w:rFonts w:cs="Times New Roman"/>
          <w:sz w:val="24"/>
          <w:szCs w:val="24"/>
          <w:shd w:val="clear" w:color="auto" w:fill="FFFFFF"/>
        </w:rPr>
        <w:t>Rabin, C., 2018</w:t>
      </w:r>
      <w:r w:rsidR="00806EF0" w:rsidRPr="002501ED">
        <w:rPr>
          <w:rFonts w:cs="Times New Roman"/>
          <w:sz w:val="24"/>
          <w:szCs w:val="24"/>
          <w:shd w:val="clear" w:color="auto" w:fill="FFFFFF"/>
        </w:rPr>
        <w:t>. DUI arrests in South Florida plummet. Uber, Lyft, millennials among the reasons why. </w:t>
      </w:r>
      <w:r w:rsidR="00806EF0" w:rsidRPr="002501ED">
        <w:rPr>
          <w:rFonts w:cs="Times New Roman"/>
          <w:i/>
          <w:iCs/>
          <w:sz w:val="24"/>
          <w:szCs w:val="24"/>
          <w:shd w:val="clear" w:color="auto" w:fill="FFFFFF"/>
        </w:rPr>
        <w:t>Miami Herald</w:t>
      </w:r>
      <w:r w:rsidR="00806EF0" w:rsidRPr="002501ED">
        <w:rPr>
          <w:rFonts w:cs="Times New Roman"/>
          <w:sz w:val="24"/>
          <w:szCs w:val="24"/>
          <w:shd w:val="clear" w:color="auto" w:fill="FFFFFF"/>
        </w:rPr>
        <w:t>. [online] Available at:</w:t>
      </w:r>
      <w:r w:rsidR="00ED0BFD" w:rsidRPr="002501ED">
        <w:rPr>
          <w:rFonts w:cs="Times New Roman"/>
          <w:sz w:val="24"/>
          <w:szCs w:val="24"/>
          <w:shd w:val="clear" w:color="auto" w:fill="FFFFFF"/>
        </w:rPr>
        <w:t xml:space="preserve"> </w:t>
      </w:r>
      <w:hyperlink r:id="rId166" w:history="1">
        <w:r w:rsidR="000C1D7B" w:rsidRPr="002501ED">
          <w:rPr>
            <w:rStyle w:val="Hyperlink"/>
            <w:rFonts w:cs="Times New Roman"/>
            <w:sz w:val="24"/>
            <w:szCs w:val="24"/>
            <w:shd w:val="clear" w:color="auto" w:fill="FFFFFF"/>
          </w:rPr>
          <w:t>https://www.miamiherald.com/news/local/article215758380.html</w:t>
        </w:r>
      </w:hyperlink>
      <w:r w:rsidR="000C1D7B" w:rsidRPr="002501ED">
        <w:rPr>
          <w:rFonts w:cs="Times New Roman"/>
          <w:sz w:val="24"/>
          <w:szCs w:val="24"/>
          <w:shd w:val="clear" w:color="auto" w:fill="FFFFFF"/>
        </w:rPr>
        <w:t xml:space="preserve"> </w:t>
      </w:r>
      <w:r w:rsidR="00806EF0" w:rsidRPr="002501ED">
        <w:rPr>
          <w:rFonts w:cs="Times New Roman"/>
          <w:sz w:val="24"/>
          <w:szCs w:val="24"/>
          <w:shd w:val="clear" w:color="auto" w:fill="FFFFFF"/>
        </w:rPr>
        <w:t>[Accessed 31 Jul. 2019].</w:t>
      </w:r>
    </w:p>
    <w:p w14:paraId="2EAAE423" w14:textId="54E03F06" w:rsidR="00806EF0" w:rsidRPr="002501ED" w:rsidRDefault="00806EF0" w:rsidP="00AD724C">
      <w:pPr>
        <w:spacing w:after="0" w:line="240" w:lineRule="auto"/>
        <w:ind w:left="360" w:hanging="360"/>
        <w:rPr>
          <w:rFonts w:cs="Times New Roman"/>
          <w:sz w:val="24"/>
          <w:szCs w:val="24"/>
          <w:shd w:val="clear" w:color="auto" w:fill="FFFFFF"/>
        </w:rPr>
      </w:pPr>
      <w:proofErr w:type="spellStart"/>
      <w:r w:rsidRPr="002501ED">
        <w:rPr>
          <w:rFonts w:cs="Times New Roman"/>
          <w:sz w:val="24"/>
          <w:szCs w:val="24"/>
          <w:shd w:val="clear" w:color="auto" w:fill="FFFFFF"/>
        </w:rPr>
        <w:t>Rayle</w:t>
      </w:r>
      <w:proofErr w:type="spellEnd"/>
      <w:r w:rsidRPr="002501ED">
        <w:rPr>
          <w:rFonts w:cs="Times New Roman"/>
          <w:sz w:val="24"/>
          <w:szCs w:val="24"/>
          <w:shd w:val="clear" w:color="auto" w:fill="FFFFFF"/>
        </w:rPr>
        <w:t>, L.,</w:t>
      </w:r>
      <w:r w:rsidR="00332008" w:rsidRPr="002501ED">
        <w:rPr>
          <w:rFonts w:cs="Times New Roman"/>
          <w:sz w:val="24"/>
          <w:szCs w:val="24"/>
          <w:shd w:val="clear" w:color="auto" w:fill="FFFFFF"/>
        </w:rPr>
        <w:t xml:space="preserve"> Dai, D., Chan, N., Cervero, R., </w:t>
      </w:r>
      <w:proofErr w:type="spellStart"/>
      <w:r w:rsidRPr="002501ED">
        <w:rPr>
          <w:rFonts w:cs="Times New Roman"/>
          <w:sz w:val="24"/>
          <w:szCs w:val="24"/>
          <w:shd w:val="clear" w:color="auto" w:fill="FFFFFF"/>
        </w:rPr>
        <w:t>Shaheen</w:t>
      </w:r>
      <w:proofErr w:type="spellEnd"/>
      <w:r w:rsidRPr="002501ED">
        <w:rPr>
          <w:rFonts w:cs="Times New Roman"/>
          <w:sz w:val="24"/>
          <w:szCs w:val="24"/>
          <w:shd w:val="clear" w:color="auto" w:fill="FFFFFF"/>
        </w:rPr>
        <w:t xml:space="preserve">, S., 2016. Just a better taxi? A survey-based comparison of taxis, transit, and </w:t>
      </w:r>
      <w:proofErr w:type="spellStart"/>
      <w:r w:rsidRPr="002501ED">
        <w:rPr>
          <w:rFonts w:cs="Times New Roman"/>
          <w:sz w:val="24"/>
          <w:szCs w:val="24"/>
          <w:shd w:val="clear" w:color="auto" w:fill="FFFFFF"/>
        </w:rPr>
        <w:t>ridesourcing</w:t>
      </w:r>
      <w:proofErr w:type="spellEnd"/>
      <w:r w:rsidRPr="002501ED">
        <w:rPr>
          <w:rFonts w:cs="Times New Roman"/>
          <w:sz w:val="24"/>
          <w:szCs w:val="24"/>
          <w:shd w:val="clear" w:color="auto" w:fill="FFFFFF"/>
        </w:rPr>
        <w:t xml:space="preserve"> services in San Francisco. </w:t>
      </w:r>
      <w:r w:rsidRPr="002501ED">
        <w:rPr>
          <w:rFonts w:cs="Times New Roman"/>
          <w:i/>
          <w:iCs/>
          <w:sz w:val="24"/>
          <w:szCs w:val="24"/>
          <w:shd w:val="clear" w:color="auto" w:fill="FFFFFF"/>
        </w:rPr>
        <w:t>Transport Policy</w:t>
      </w:r>
      <w:r w:rsidRPr="002501ED">
        <w:rPr>
          <w:rFonts w:cs="Times New Roman"/>
          <w:sz w:val="24"/>
          <w:szCs w:val="24"/>
          <w:shd w:val="clear" w:color="auto" w:fill="FFFFFF"/>
        </w:rPr>
        <w:t>, </w:t>
      </w:r>
      <w:r w:rsidRPr="002501ED">
        <w:rPr>
          <w:rFonts w:cs="Times New Roman"/>
          <w:iCs/>
          <w:sz w:val="24"/>
          <w:szCs w:val="24"/>
          <w:shd w:val="clear" w:color="auto" w:fill="FFFFFF"/>
        </w:rPr>
        <w:t>45</w:t>
      </w:r>
      <w:r w:rsidRPr="002501ED">
        <w:rPr>
          <w:rFonts w:cs="Times New Roman"/>
          <w:sz w:val="24"/>
          <w:szCs w:val="24"/>
          <w:shd w:val="clear" w:color="auto" w:fill="FFFFFF"/>
        </w:rPr>
        <w:t>, 168-178.</w:t>
      </w:r>
    </w:p>
    <w:p w14:paraId="6CFEE06A" w14:textId="61A28E43" w:rsidR="00806EF0" w:rsidRPr="002501ED" w:rsidRDefault="002925EA" w:rsidP="00AD724C">
      <w:pPr>
        <w:spacing w:after="0" w:line="240" w:lineRule="auto"/>
        <w:ind w:left="360" w:hanging="360"/>
        <w:rPr>
          <w:rFonts w:cs="Times New Roman"/>
          <w:sz w:val="24"/>
          <w:szCs w:val="24"/>
          <w:shd w:val="clear" w:color="auto" w:fill="FFFFFF"/>
        </w:rPr>
      </w:pPr>
      <w:r w:rsidRPr="002501ED">
        <w:rPr>
          <w:rFonts w:cs="Times New Roman"/>
          <w:sz w:val="24"/>
          <w:szCs w:val="24"/>
          <w:shd w:val="clear" w:color="auto" w:fill="FFFFFF"/>
        </w:rPr>
        <w:t>Richards, G., 2018</w:t>
      </w:r>
      <w:r w:rsidR="00806EF0" w:rsidRPr="002501ED">
        <w:rPr>
          <w:rFonts w:cs="Times New Roman"/>
          <w:sz w:val="24"/>
          <w:szCs w:val="24"/>
          <w:shd w:val="clear" w:color="auto" w:fill="FFFFFF"/>
        </w:rPr>
        <w:t xml:space="preserve">. DUI arrests down sharply in California cities — thanks to Lyft and </w:t>
      </w:r>
      <w:proofErr w:type="gramStart"/>
      <w:r w:rsidR="00806EF0" w:rsidRPr="002501ED">
        <w:rPr>
          <w:rFonts w:cs="Times New Roman"/>
          <w:sz w:val="24"/>
          <w:szCs w:val="24"/>
          <w:shd w:val="clear" w:color="auto" w:fill="FFFFFF"/>
        </w:rPr>
        <w:t>Uber?.</w:t>
      </w:r>
      <w:proofErr w:type="gramEnd"/>
      <w:r w:rsidR="00806EF0" w:rsidRPr="002501ED">
        <w:rPr>
          <w:rFonts w:cs="Times New Roman"/>
          <w:sz w:val="24"/>
          <w:szCs w:val="24"/>
          <w:shd w:val="clear" w:color="auto" w:fill="FFFFFF"/>
        </w:rPr>
        <w:t> </w:t>
      </w:r>
      <w:r w:rsidR="00806EF0" w:rsidRPr="002501ED">
        <w:rPr>
          <w:rFonts w:cs="Times New Roman"/>
          <w:i/>
          <w:iCs/>
          <w:sz w:val="24"/>
          <w:szCs w:val="24"/>
          <w:shd w:val="clear" w:color="auto" w:fill="FFFFFF"/>
        </w:rPr>
        <w:t>The Mercury News</w:t>
      </w:r>
      <w:r w:rsidR="00806EF0" w:rsidRPr="002501ED">
        <w:rPr>
          <w:rFonts w:cs="Times New Roman"/>
          <w:sz w:val="24"/>
          <w:szCs w:val="24"/>
          <w:shd w:val="clear" w:color="auto" w:fill="FFFFFF"/>
        </w:rPr>
        <w:t xml:space="preserve">. [online] Available at: </w:t>
      </w:r>
      <w:hyperlink r:id="rId167" w:history="1">
        <w:r w:rsidR="000C1D7B" w:rsidRPr="002501ED">
          <w:rPr>
            <w:rStyle w:val="Hyperlink"/>
            <w:rFonts w:cs="Times New Roman"/>
            <w:sz w:val="24"/>
            <w:szCs w:val="24"/>
            <w:shd w:val="clear" w:color="auto" w:fill="FFFFFF"/>
          </w:rPr>
          <w:t>https://www.mercurynews.com/2018/05/10/drunk-driving-arrests-decline-in-some-cities/</w:t>
        </w:r>
      </w:hyperlink>
      <w:r w:rsidR="000C1D7B" w:rsidRPr="002501ED">
        <w:rPr>
          <w:rFonts w:cs="Times New Roman"/>
          <w:sz w:val="24"/>
          <w:szCs w:val="24"/>
          <w:shd w:val="clear" w:color="auto" w:fill="FFFFFF"/>
        </w:rPr>
        <w:t xml:space="preserve"> </w:t>
      </w:r>
      <w:r w:rsidR="00806EF0" w:rsidRPr="002501ED">
        <w:rPr>
          <w:rFonts w:cs="Times New Roman"/>
          <w:sz w:val="24"/>
          <w:szCs w:val="24"/>
          <w:shd w:val="clear" w:color="auto" w:fill="FFFFFF"/>
        </w:rPr>
        <w:t>[Accessed 31 Jul. 2019].</w:t>
      </w:r>
    </w:p>
    <w:p w14:paraId="08F42A36" w14:textId="3438977A" w:rsidR="00806EF0" w:rsidRPr="002501ED" w:rsidRDefault="002925EA" w:rsidP="00AD724C">
      <w:pPr>
        <w:spacing w:after="0" w:line="240" w:lineRule="auto"/>
        <w:ind w:left="360" w:hanging="360"/>
        <w:rPr>
          <w:rFonts w:cs="Times New Roman"/>
          <w:sz w:val="24"/>
          <w:szCs w:val="24"/>
          <w:shd w:val="clear" w:color="auto" w:fill="FFFFFF"/>
        </w:rPr>
      </w:pPr>
      <w:r w:rsidRPr="002501ED">
        <w:rPr>
          <w:rFonts w:cs="Times New Roman"/>
          <w:sz w:val="24"/>
          <w:szCs w:val="24"/>
          <w:shd w:val="clear" w:color="auto" w:fill="FFFFFF"/>
        </w:rPr>
        <w:t>Ride Austin, 2017</w:t>
      </w:r>
      <w:r w:rsidR="00806EF0" w:rsidRPr="002501ED">
        <w:rPr>
          <w:rFonts w:cs="Times New Roman"/>
          <w:sz w:val="24"/>
          <w:szCs w:val="24"/>
          <w:shd w:val="clear" w:color="auto" w:fill="FFFFFF"/>
        </w:rPr>
        <w:t>. </w:t>
      </w:r>
      <w:r w:rsidR="00806EF0" w:rsidRPr="002501ED">
        <w:rPr>
          <w:rFonts w:cs="Times New Roman"/>
          <w:i/>
          <w:iCs/>
          <w:sz w:val="24"/>
          <w:szCs w:val="24"/>
          <w:shd w:val="clear" w:color="auto" w:fill="FFFFFF"/>
        </w:rPr>
        <w:t>Data file and code book</w:t>
      </w:r>
      <w:r w:rsidR="00806EF0" w:rsidRPr="002501ED">
        <w:rPr>
          <w:rFonts w:cs="Times New Roman"/>
          <w:sz w:val="24"/>
          <w:szCs w:val="24"/>
          <w:shd w:val="clear" w:color="auto" w:fill="FFFFFF"/>
        </w:rPr>
        <w:t xml:space="preserve">. [online] </w:t>
      </w:r>
      <w:proofErr w:type="spellStart"/>
      <w:r w:rsidR="00806EF0" w:rsidRPr="002501ED">
        <w:rPr>
          <w:rFonts w:cs="Times New Roman"/>
          <w:sz w:val="24"/>
          <w:szCs w:val="24"/>
          <w:shd w:val="clear" w:color="auto" w:fill="FFFFFF"/>
        </w:rPr>
        <w:t>Data.world</w:t>
      </w:r>
      <w:proofErr w:type="spellEnd"/>
      <w:r w:rsidR="00806EF0" w:rsidRPr="002501ED">
        <w:rPr>
          <w:rFonts w:cs="Times New Roman"/>
          <w:sz w:val="24"/>
          <w:szCs w:val="24"/>
          <w:shd w:val="clear" w:color="auto" w:fill="FFFFFF"/>
        </w:rPr>
        <w:t xml:space="preserve">. Available at: </w:t>
      </w:r>
      <w:hyperlink r:id="rId168" w:history="1">
        <w:r w:rsidR="000C1D7B" w:rsidRPr="002501ED">
          <w:rPr>
            <w:rStyle w:val="Hyperlink"/>
            <w:rFonts w:cs="Times New Roman"/>
            <w:sz w:val="24"/>
            <w:szCs w:val="24"/>
            <w:shd w:val="clear" w:color="auto" w:fill="FFFFFF"/>
          </w:rPr>
          <w:t>https://data.world/ride-austin/ride-austin-june-6-april-13</w:t>
        </w:r>
      </w:hyperlink>
      <w:r w:rsidR="000C1D7B" w:rsidRPr="002501ED">
        <w:rPr>
          <w:rFonts w:cs="Times New Roman"/>
          <w:sz w:val="24"/>
          <w:szCs w:val="24"/>
          <w:shd w:val="clear" w:color="auto" w:fill="FFFFFF"/>
        </w:rPr>
        <w:t xml:space="preserve"> </w:t>
      </w:r>
      <w:r w:rsidR="00806EF0" w:rsidRPr="002501ED">
        <w:rPr>
          <w:rFonts w:cs="Times New Roman"/>
          <w:sz w:val="24"/>
          <w:szCs w:val="24"/>
          <w:shd w:val="clear" w:color="auto" w:fill="FFFFFF"/>
        </w:rPr>
        <w:t>[Accessed 31 Jul. 2019].</w:t>
      </w:r>
    </w:p>
    <w:p w14:paraId="1F4E5DC2" w14:textId="77777777" w:rsidR="004C6A44" w:rsidRPr="002501ED" w:rsidRDefault="004C6A44" w:rsidP="004C6A44">
      <w:pPr>
        <w:autoSpaceDE w:val="0"/>
        <w:autoSpaceDN w:val="0"/>
        <w:adjustRightInd w:val="0"/>
        <w:spacing w:after="0" w:line="240" w:lineRule="auto"/>
        <w:ind w:left="360" w:hanging="360"/>
        <w:rPr>
          <w:rFonts w:cs="Times New Roman"/>
          <w:sz w:val="24"/>
          <w:szCs w:val="24"/>
        </w:rPr>
      </w:pPr>
      <w:r w:rsidRPr="002501ED">
        <w:rPr>
          <w:rFonts w:cs="Times New Roman"/>
          <w:sz w:val="24"/>
          <w:szCs w:val="24"/>
        </w:rPr>
        <w:t xml:space="preserve">Robinson, W.S., 1950. Ecological correlations and the behavior of individuals. </w:t>
      </w:r>
      <w:r w:rsidRPr="002501ED">
        <w:rPr>
          <w:rFonts w:cs="Times New Roman"/>
          <w:i/>
          <w:sz w:val="24"/>
          <w:szCs w:val="24"/>
        </w:rPr>
        <w:t>American Sociological Review</w:t>
      </w:r>
      <w:r w:rsidRPr="002501ED">
        <w:rPr>
          <w:rFonts w:cs="Times New Roman"/>
          <w:sz w:val="24"/>
          <w:szCs w:val="24"/>
        </w:rPr>
        <w:t>, 15, 351-357.</w:t>
      </w:r>
    </w:p>
    <w:p w14:paraId="1A041C15" w14:textId="280CF497" w:rsidR="00806EF0" w:rsidRPr="002501ED" w:rsidRDefault="00806EF0" w:rsidP="00ED0BFD">
      <w:pPr>
        <w:spacing w:after="0" w:line="240" w:lineRule="auto"/>
        <w:ind w:left="360" w:hanging="360"/>
        <w:rPr>
          <w:rFonts w:cs="Times New Roman"/>
          <w:sz w:val="24"/>
          <w:szCs w:val="24"/>
          <w:shd w:val="clear" w:color="auto" w:fill="FFFFFF"/>
        </w:rPr>
      </w:pPr>
      <w:r w:rsidRPr="002501ED">
        <w:rPr>
          <w:rFonts w:cs="Times New Roman"/>
          <w:sz w:val="24"/>
          <w:szCs w:val="24"/>
          <w:shd w:val="clear" w:color="auto" w:fill="FFFFFF"/>
        </w:rPr>
        <w:t xml:space="preserve">Schaller, B., 2018. Second </w:t>
      </w:r>
      <w:r w:rsidR="000C1D7B" w:rsidRPr="002501ED">
        <w:rPr>
          <w:rFonts w:cs="Times New Roman"/>
          <w:sz w:val="24"/>
          <w:szCs w:val="24"/>
          <w:shd w:val="clear" w:color="auto" w:fill="FFFFFF"/>
        </w:rPr>
        <w:t>c</w:t>
      </w:r>
      <w:r w:rsidRPr="002501ED">
        <w:rPr>
          <w:rFonts w:cs="Times New Roman"/>
          <w:sz w:val="24"/>
          <w:szCs w:val="24"/>
          <w:shd w:val="clear" w:color="auto" w:fill="FFFFFF"/>
        </w:rPr>
        <w:t xml:space="preserve">hances: Regulation and </w:t>
      </w:r>
      <w:r w:rsidR="000C1D7B" w:rsidRPr="002501ED">
        <w:rPr>
          <w:rFonts w:cs="Times New Roman"/>
          <w:sz w:val="24"/>
          <w:szCs w:val="24"/>
          <w:shd w:val="clear" w:color="auto" w:fill="FFFFFF"/>
        </w:rPr>
        <w:t>d</w:t>
      </w:r>
      <w:r w:rsidRPr="002501ED">
        <w:rPr>
          <w:rFonts w:cs="Times New Roman"/>
          <w:sz w:val="24"/>
          <w:szCs w:val="24"/>
          <w:shd w:val="clear" w:color="auto" w:fill="FFFFFF"/>
        </w:rPr>
        <w:t xml:space="preserve">eregulation of </w:t>
      </w:r>
      <w:r w:rsidR="000C1D7B" w:rsidRPr="002501ED">
        <w:rPr>
          <w:rFonts w:cs="Times New Roman"/>
          <w:sz w:val="24"/>
          <w:szCs w:val="24"/>
          <w:shd w:val="clear" w:color="auto" w:fill="FFFFFF"/>
        </w:rPr>
        <w:t>t</w:t>
      </w:r>
      <w:r w:rsidRPr="002501ED">
        <w:rPr>
          <w:rFonts w:cs="Times New Roman"/>
          <w:sz w:val="24"/>
          <w:szCs w:val="24"/>
          <w:shd w:val="clear" w:color="auto" w:fill="FFFFFF"/>
        </w:rPr>
        <w:t xml:space="preserve">axi and </w:t>
      </w:r>
      <w:r w:rsidR="000C1D7B" w:rsidRPr="002501ED">
        <w:rPr>
          <w:rFonts w:cs="Times New Roman"/>
          <w:sz w:val="24"/>
          <w:szCs w:val="24"/>
          <w:shd w:val="clear" w:color="auto" w:fill="FFFFFF"/>
        </w:rPr>
        <w:t>f</w:t>
      </w:r>
      <w:r w:rsidRPr="002501ED">
        <w:rPr>
          <w:rFonts w:cs="Times New Roman"/>
          <w:sz w:val="24"/>
          <w:szCs w:val="24"/>
          <w:shd w:val="clear" w:color="auto" w:fill="FFFFFF"/>
        </w:rPr>
        <w:t>or-</w:t>
      </w:r>
      <w:r w:rsidR="000C1D7B" w:rsidRPr="002501ED">
        <w:rPr>
          <w:rFonts w:cs="Times New Roman"/>
          <w:sz w:val="24"/>
          <w:szCs w:val="24"/>
          <w:shd w:val="clear" w:color="auto" w:fill="FFFFFF"/>
        </w:rPr>
        <w:t>h</w:t>
      </w:r>
      <w:r w:rsidRPr="002501ED">
        <w:rPr>
          <w:rFonts w:cs="Times New Roman"/>
          <w:sz w:val="24"/>
          <w:szCs w:val="24"/>
          <w:shd w:val="clear" w:color="auto" w:fill="FFFFFF"/>
        </w:rPr>
        <w:t xml:space="preserve">ire </w:t>
      </w:r>
      <w:r w:rsidR="000C1D7B" w:rsidRPr="002501ED">
        <w:rPr>
          <w:rFonts w:cs="Times New Roman"/>
          <w:sz w:val="24"/>
          <w:szCs w:val="24"/>
          <w:shd w:val="clear" w:color="auto" w:fill="FFFFFF"/>
        </w:rPr>
        <w:t>r</w:t>
      </w:r>
      <w:r w:rsidRPr="002501ED">
        <w:rPr>
          <w:rFonts w:cs="Times New Roman"/>
          <w:sz w:val="24"/>
          <w:szCs w:val="24"/>
          <w:shd w:val="clear" w:color="auto" w:fill="FFFFFF"/>
        </w:rPr>
        <w:t xml:space="preserve">ide </w:t>
      </w:r>
      <w:r w:rsidR="000C1D7B" w:rsidRPr="002501ED">
        <w:rPr>
          <w:rFonts w:cs="Times New Roman"/>
          <w:sz w:val="24"/>
          <w:szCs w:val="24"/>
          <w:shd w:val="clear" w:color="auto" w:fill="FFFFFF"/>
        </w:rPr>
        <w:t>s</w:t>
      </w:r>
      <w:r w:rsidRPr="002501ED">
        <w:rPr>
          <w:rFonts w:cs="Times New Roman"/>
          <w:sz w:val="24"/>
          <w:szCs w:val="24"/>
          <w:shd w:val="clear" w:color="auto" w:fill="FFFFFF"/>
        </w:rPr>
        <w:t>ervices. </w:t>
      </w:r>
      <w:r w:rsidRPr="002501ED">
        <w:rPr>
          <w:rFonts w:cs="Times New Roman"/>
          <w:i/>
          <w:iCs/>
          <w:sz w:val="24"/>
          <w:szCs w:val="24"/>
          <w:shd w:val="clear" w:color="auto" w:fill="FFFFFF"/>
        </w:rPr>
        <w:t>TR News</w:t>
      </w:r>
      <w:r w:rsidR="002925EA" w:rsidRPr="002501ED">
        <w:rPr>
          <w:rFonts w:cs="Times New Roman"/>
          <w:sz w:val="24"/>
          <w:szCs w:val="24"/>
          <w:shd w:val="clear" w:color="auto" w:fill="FFFFFF"/>
        </w:rPr>
        <w:t>, 315</w:t>
      </w:r>
      <w:r w:rsidR="000C1D7B" w:rsidRPr="002501ED">
        <w:rPr>
          <w:rFonts w:cs="Times New Roman"/>
          <w:sz w:val="24"/>
          <w:szCs w:val="24"/>
          <w:shd w:val="clear" w:color="auto" w:fill="FFFFFF"/>
        </w:rPr>
        <w:t>, 43-48</w:t>
      </w:r>
      <w:r w:rsidRPr="002501ED">
        <w:rPr>
          <w:rFonts w:cs="Times New Roman"/>
          <w:sz w:val="24"/>
          <w:szCs w:val="24"/>
          <w:shd w:val="clear" w:color="auto" w:fill="FFFFFF"/>
        </w:rPr>
        <w:t>.</w:t>
      </w:r>
    </w:p>
    <w:p w14:paraId="61713F78" w14:textId="6E64959B" w:rsidR="00A171EA" w:rsidRPr="002501ED" w:rsidRDefault="00A171EA" w:rsidP="00A171EA">
      <w:pPr>
        <w:spacing w:after="0" w:line="240" w:lineRule="auto"/>
        <w:ind w:left="360" w:hanging="360"/>
        <w:rPr>
          <w:rFonts w:cs="Times New Roman"/>
          <w:sz w:val="24"/>
          <w:szCs w:val="24"/>
          <w:shd w:val="clear" w:color="auto" w:fill="FFFFFF"/>
        </w:rPr>
      </w:pPr>
      <w:bookmarkStart w:id="39" w:name="_Hlk32620081"/>
      <w:proofErr w:type="spellStart"/>
      <w:r w:rsidRPr="002501ED">
        <w:rPr>
          <w:rFonts w:cs="Times New Roman"/>
          <w:sz w:val="24"/>
          <w:szCs w:val="24"/>
          <w:shd w:val="clear" w:color="auto" w:fill="FFFFFF"/>
        </w:rPr>
        <w:t>Shaheen</w:t>
      </w:r>
      <w:proofErr w:type="spellEnd"/>
      <w:r w:rsidRPr="002501ED">
        <w:rPr>
          <w:rFonts w:cs="Times New Roman"/>
          <w:sz w:val="24"/>
          <w:szCs w:val="24"/>
          <w:shd w:val="clear" w:color="auto" w:fill="FFFFFF"/>
        </w:rPr>
        <w:t>, S., Cohen</w:t>
      </w:r>
      <w:r w:rsidR="00D647F0" w:rsidRPr="002501ED">
        <w:rPr>
          <w:rFonts w:cs="Times New Roman"/>
          <w:sz w:val="24"/>
          <w:szCs w:val="24"/>
          <w:shd w:val="clear" w:color="auto" w:fill="FFFFFF"/>
        </w:rPr>
        <w:t xml:space="preserve">, A., </w:t>
      </w:r>
      <w:proofErr w:type="spellStart"/>
      <w:r w:rsidRPr="002501ED">
        <w:rPr>
          <w:rFonts w:cs="Times New Roman"/>
          <w:sz w:val="24"/>
          <w:szCs w:val="24"/>
          <w:shd w:val="clear" w:color="auto" w:fill="FFFFFF"/>
        </w:rPr>
        <w:t>Zohdy</w:t>
      </w:r>
      <w:proofErr w:type="spellEnd"/>
      <w:r w:rsidR="00D647F0" w:rsidRPr="002501ED">
        <w:rPr>
          <w:rFonts w:cs="Times New Roman"/>
          <w:sz w:val="24"/>
          <w:szCs w:val="24"/>
          <w:shd w:val="clear" w:color="auto" w:fill="FFFFFF"/>
        </w:rPr>
        <w:t xml:space="preserve">, I., </w:t>
      </w:r>
      <w:r w:rsidRPr="002501ED">
        <w:rPr>
          <w:rFonts w:cs="Times New Roman"/>
          <w:sz w:val="24"/>
          <w:szCs w:val="24"/>
          <w:shd w:val="clear" w:color="auto" w:fill="FFFFFF"/>
        </w:rPr>
        <w:t>2016</w:t>
      </w:r>
      <w:r w:rsidR="00D647F0" w:rsidRPr="002501ED">
        <w:rPr>
          <w:rFonts w:cs="Times New Roman"/>
          <w:sz w:val="24"/>
          <w:szCs w:val="24"/>
          <w:shd w:val="clear" w:color="auto" w:fill="FFFFFF"/>
        </w:rPr>
        <w:t>.</w:t>
      </w:r>
      <w:r w:rsidRPr="002501ED">
        <w:rPr>
          <w:rFonts w:cs="Times New Roman"/>
          <w:sz w:val="24"/>
          <w:szCs w:val="24"/>
          <w:shd w:val="clear" w:color="auto" w:fill="FFFFFF"/>
        </w:rPr>
        <w:t xml:space="preserve"> </w:t>
      </w:r>
      <w:r w:rsidRPr="002501ED">
        <w:rPr>
          <w:rFonts w:cs="Times New Roman"/>
          <w:i/>
          <w:iCs/>
          <w:sz w:val="24"/>
          <w:szCs w:val="24"/>
          <w:shd w:val="clear" w:color="auto" w:fill="FFFFFF"/>
        </w:rPr>
        <w:t>Shared Mobility: Current Practices and Guiding Principles</w:t>
      </w:r>
      <w:r w:rsidRPr="002501ED">
        <w:rPr>
          <w:rFonts w:cs="Times New Roman"/>
          <w:sz w:val="24"/>
          <w:szCs w:val="24"/>
          <w:shd w:val="clear" w:color="auto" w:fill="FFFFFF"/>
        </w:rPr>
        <w:t>. Available at:</w:t>
      </w:r>
    </w:p>
    <w:p w14:paraId="141012DC" w14:textId="3450264C" w:rsidR="00A171EA" w:rsidRPr="002501ED" w:rsidRDefault="00740F16" w:rsidP="00993CC7">
      <w:pPr>
        <w:spacing w:after="0" w:line="252" w:lineRule="auto"/>
        <w:ind w:left="360"/>
        <w:rPr>
          <w:rFonts w:cs="Times New Roman"/>
          <w:sz w:val="24"/>
          <w:szCs w:val="24"/>
          <w:shd w:val="clear" w:color="auto" w:fill="FFFFFF"/>
        </w:rPr>
      </w:pPr>
      <w:hyperlink r:id="rId169" w:history="1">
        <w:r w:rsidR="00D647F0" w:rsidRPr="002501ED">
          <w:rPr>
            <w:rStyle w:val="Hyperlink"/>
            <w:rFonts w:cs="Times New Roman"/>
            <w:sz w:val="24"/>
            <w:szCs w:val="24"/>
            <w:shd w:val="clear" w:color="auto" w:fill="FFFFFF"/>
          </w:rPr>
          <w:t>https://ops.fhwa.dot.gov/publications/fhwahop16022/fhwahop16022.pdf</w:t>
        </w:r>
      </w:hyperlink>
      <w:r w:rsidR="00A171EA" w:rsidRPr="002501ED">
        <w:rPr>
          <w:rFonts w:cs="Times New Roman"/>
          <w:sz w:val="24"/>
          <w:szCs w:val="24"/>
          <w:shd w:val="clear" w:color="auto" w:fill="FFFFFF"/>
        </w:rPr>
        <w:t xml:space="preserve"> </w:t>
      </w:r>
      <w:r w:rsidR="00A171EA" w:rsidRPr="002501ED">
        <w:rPr>
          <w:rFonts w:cs="Times New Roman"/>
          <w:color w:val="000000"/>
          <w:sz w:val="24"/>
          <w:szCs w:val="24"/>
          <w:shd w:val="clear" w:color="auto" w:fill="FFFFFF"/>
        </w:rPr>
        <w:t>[Accessed 1</w:t>
      </w:r>
      <w:r w:rsidR="00D647F0" w:rsidRPr="002501ED">
        <w:rPr>
          <w:rFonts w:cs="Times New Roman"/>
          <w:color w:val="000000"/>
          <w:sz w:val="24"/>
          <w:szCs w:val="24"/>
          <w:shd w:val="clear" w:color="auto" w:fill="FFFFFF"/>
        </w:rPr>
        <w:t>4</w:t>
      </w:r>
      <w:r w:rsidR="00A171EA" w:rsidRPr="002501ED">
        <w:rPr>
          <w:rFonts w:cs="Times New Roman"/>
          <w:color w:val="000000"/>
          <w:sz w:val="24"/>
          <w:szCs w:val="24"/>
          <w:shd w:val="clear" w:color="auto" w:fill="FFFFFF"/>
        </w:rPr>
        <w:t xml:space="preserve"> Feb. 2020]</w:t>
      </w:r>
      <w:r w:rsidR="000E0E1D">
        <w:rPr>
          <w:rFonts w:cs="Times New Roman"/>
          <w:color w:val="000000"/>
          <w:sz w:val="24"/>
          <w:szCs w:val="24"/>
          <w:shd w:val="clear" w:color="auto" w:fill="FFFFFF"/>
        </w:rPr>
        <w:t>.</w:t>
      </w:r>
    </w:p>
    <w:bookmarkEnd w:id="39"/>
    <w:p w14:paraId="2AB60987" w14:textId="01913A32" w:rsidR="00806EF0" w:rsidRPr="002501ED" w:rsidRDefault="002925EA" w:rsidP="00ED0BFD">
      <w:pPr>
        <w:spacing w:after="0" w:line="240" w:lineRule="auto"/>
        <w:ind w:left="360" w:hanging="360"/>
        <w:rPr>
          <w:rFonts w:cs="Times New Roman"/>
          <w:color w:val="000000"/>
          <w:sz w:val="24"/>
          <w:szCs w:val="24"/>
          <w:shd w:val="clear" w:color="auto" w:fill="FFFFFF"/>
        </w:rPr>
      </w:pPr>
      <w:r w:rsidRPr="002501ED">
        <w:rPr>
          <w:rFonts w:cs="Times New Roman"/>
          <w:color w:val="000000"/>
          <w:sz w:val="24"/>
          <w:szCs w:val="24"/>
          <w:shd w:val="clear" w:color="auto" w:fill="FFFFFF"/>
        </w:rPr>
        <w:t>Statista, 2019</w:t>
      </w:r>
      <w:r w:rsidR="00806EF0" w:rsidRPr="002501ED">
        <w:rPr>
          <w:rFonts w:cs="Times New Roman"/>
          <w:color w:val="000000"/>
          <w:sz w:val="24"/>
          <w:szCs w:val="24"/>
          <w:shd w:val="clear" w:color="auto" w:fill="FFFFFF"/>
        </w:rPr>
        <w:t>. </w:t>
      </w:r>
      <w:r w:rsidR="00806EF0" w:rsidRPr="002501ED">
        <w:rPr>
          <w:rFonts w:cs="Times New Roman"/>
          <w:i/>
          <w:iCs/>
          <w:color w:val="000000"/>
          <w:sz w:val="24"/>
          <w:szCs w:val="24"/>
          <w:shd w:val="clear" w:color="auto" w:fill="FFFFFF"/>
        </w:rPr>
        <w:t>Ride Hailing - United States | Statista Market Forecast</w:t>
      </w:r>
      <w:r w:rsidR="00806EF0" w:rsidRPr="002501ED">
        <w:rPr>
          <w:rFonts w:cs="Times New Roman"/>
          <w:color w:val="000000"/>
          <w:sz w:val="24"/>
          <w:szCs w:val="24"/>
          <w:shd w:val="clear" w:color="auto" w:fill="FFFFFF"/>
        </w:rPr>
        <w:t xml:space="preserve">. [online] Statista. Available at: </w:t>
      </w:r>
      <w:hyperlink r:id="rId170" w:history="1">
        <w:r w:rsidR="00ED0BFD" w:rsidRPr="002501ED">
          <w:rPr>
            <w:rStyle w:val="Hyperlink"/>
            <w:rFonts w:cs="Times New Roman"/>
            <w:sz w:val="24"/>
            <w:szCs w:val="24"/>
            <w:shd w:val="clear" w:color="auto" w:fill="FFFFFF"/>
          </w:rPr>
          <w:t>https://www.statista.com/outlook/368/109/ride-hailing/united-states</w:t>
        </w:r>
      </w:hyperlink>
      <w:r w:rsidR="00ED0BFD" w:rsidRPr="002501ED">
        <w:rPr>
          <w:rFonts w:cs="Times New Roman"/>
          <w:color w:val="000000"/>
          <w:sz w:val="24"/>
          <w:szCs w:val="24"/>
          <w:shd w:val="clear" w:color="auto" w:fill="FFFFFF"/>
        </w:rPr>
        <w:t xml:space="preserve"> </w:t>
      </w:r>
      <w:r w:rsidR="00806EF0" w:rsidRPr="002501ED">
        <w:rPr>
          <w:rFonts w:cs="Times New Roman"/>
          <w:color w:val="000000"/>
          <w:sz w:val="24"/>
          <w:szCs w:val="24"/>
          <w:shd w:val="clear" w:color="auto" w:fill="FFFFFF"/>
        </w:rPr>
        <w:t>[Accessed 31 Jul. 2019].</w:t>
      </w:r>
    </w:p>
    <w:p w14:paraId="249846DA" w14:textId="3B723421" w:rsidR="00806EF0" w:rsidRPr="002501ED" w:rsidRDefault="002925EA" w:rsidP="00ED0BFD">
      <w:pPr>
        <w:spacing w:after="0" w:line="240" w:lineRule="auto"/>
        <w:ind w:left="360" w:hanging="360"/>
        <w:rPr>
          <w:rFonts w:cs="Times New Roman"/>
          <w:color w:val="000000"/>
          <w:sz w:val="24"/>
          <w:szCs w:val="24"/>
          <w:shd w:val="clear" w:color="auto" w:fill="FFFFFF"/>
        </w:rPr>
      </w:pPr>
      <w:r w:rsidRPr="002501ED">
        <w:rPr>
          <w:rFonts w:cs="Times New Roman"/>
          <w:color w:val="000000"/>
          <w:sz w:val="24"/>
          <w:szCs w:val="24"/>
          <w:shd w:val="clear" w:color="auto" w:fill="FFFFFF"/>
        </w:rPr>
        <w:t>Uber Drivers Forum, 2017</w:t>
      </w:r>
      <w:r w:rsidR="00806EF0" w:rsidRPr="002501ED">
        <w:rPr>
          <w:rFonts w:cs="Times New Roman"/>
          <w:color w:val="000000"/>
          <w:sz w:val="24"/>
          <w:szCs w:val="24"/>
          <w:shd w:val="clear" w:color="auto" w:fill="FFFFFF"/>
        </w:rPr>
        <w:t>. </w:t>
      </w:r>
      <w:r w:rsidR="00806EF0" w:rsidRPr="002501ED">
        <w:rPr>
          <w:rFonts w:cs="Times New Roman"/>
          <w:i/>
          <w:iCs/>
          <w:color w:val="000000"/>
          <w:sz w:val="24"/>
          <w:szCs w:val="24"/>
          <w:shd w:val="clear" w:color="auto" w:fill="FFFFFF"/>
        </w:rPr>
        <w:t xml:space="preserve">How long is your wait between </w:t>
      </w:r>
      <w:proofErr w:type="gramStart"/>
      <w:r w:rsidR="00806EF0" w:rsidRPr="002501ED">
        <w:rPr>
          <w:rFonts w:cs="Times New Roman"/>
          <w:i/>
          <w:iCs/>
          <w:color w:val="000000"/>
          <w:sz w:val="24"/>
          <w:szCs w:val="24"/>
          <w:shd w:val="clear" w:color="auto" w:fill="FFFFFF"/>
        </w:rPr>
        <w:t>drives?</w:t>
      </w:r>
      <w:r w:rsidR="00806EF0" w:rsidRPr="002501ED">
        <w:rPr>
          <w:rFonts w:cs="Times New Roman"/>
          <w:color w:val="000000"/>
          <w:sz w:val="24"/>
          <w:szCs w:val="24"/>
          <w:shd w:val="clear" w:color="auto" w:fill="FFFFFF"/>
        </w:rPr>
        <w:t>.</w:t>
      </w:r>
      <w:proofErr w:type="gramEnd"/>
      <w:r w:rsidR="00806EF0" w:rsidRPr="002501ED">
        <w:rPr>
          <w:rFonts w:cs="Times New Roman"/>
          <w:color w:val="000000"/>
          <w:sz w:val="24"/>
          <w:szCs w:val="24"/>
          <w:shd w:val="clear" w:color="auto" w:fill="FFFFFF"/>
        </w:rPr>
        <w:t xml:space="preserve"> [online] Available at: </w:t>
      </w:r>
      <w:hyperlink r:id="rId171" w:history="1">
        <w:r w:rsidR="00ED0BFD" w:rsidRPr="002501ED">
          <w:rPr>
            <w:rStyle w:val="Hyperlink"/>
            <w:rFonts w:cs="Times New Roman"/>
            <w:sz w:val="24"/>
            <w:szCs w:val="24"/>
            <w:shd w:val="clear" w:color="auto" w:fill="FFFFFF"/>
          </w:rPr>
          <w:t>https://uberpeople.net/threads/how-long-is-your-wait-between-drives.153958/</w:t>
        </w:r>
      </w:hyperlink>
      <w:r w:rsidR="00ED0BFD" w:rsidRPr="002501ED">
        <w:rPr>
          <w:rFonts w:cs="Times New Roman"/>
          <w:color w:val="000000"/>
          <w:sz w:val="24"/>
          <w:szCs w:val="24"/>
          <w:shd w:val="clear" w:color="auto" w:fill="FFFFFF"/>
        </w:rPr>
        <w:t xml:space="preserve"> </w:t>
      </w:r>
      <w:r w:rsidR="00806EF0" w:rsidRPr="002501ED">
        <w:rPr>
          <w:rFonts w:cs="Times New Roman"/>
          <w:color w:val="000000"/>
          <w:sz w:val="24"/>
          <w:szCs w:val="24"/>
          <w:shd w:val="clear" w:color="auto" w:fill="FFFFFF"/>
        </w:rPr>
        <w:t>[Accessed 31 Jul. 2019].</w:t>
      </w:r>
    </w:p>
    <w:p w14:paraId="46B7702E" w14:textId="2746B706" w:rsidR="00BB0559" w:rsidRPr="002501ED" w:rsidRDefault="00BB0559" w:rsidP="00ED0BFD">
      <w:pPr>
        <w:spacing w:after="0" w:line="240" w:lineRule="auto"/>
        <w:ind w:left="360" w:hanging="360"/>
        <w:rPr>
          <w:rFonts w:cs="Times New Roman"/>
          <w:color w:val="000000"/>
          <w:sz w:val="24"/>
          <w:szCs w:val="24"/>
          <w:shd w:val="clear" w:color="auto" w:fill="FFFFFF"/>
        </w:rPr>
      </w:pPr>
      <w:r w:rsidRPr="002501ED">
        <w:rPr>
          <w:rFonts w:cs="Times New Roman"/>
          <w:color w:val="000000"/>
          <w:sz w:val="24"/>
          <w:szCs w:val="24"/>
          <w:shd w:val="clear" w:color="auto" w:fill="FFFFFF"/>
        </w:rPr>
        <w:t>U</w:t>
      </w:r>
      <w:r w:rsidR="00DE2B44" w:rsidRPr="002501ED">
        <w:rPr>
          <w:rFonts w:cs="Times New Roman"/>
          <w:color w:val="000000"/>
          <w:sz w:val="24"/>
          <w:szCs w:val="24"/>
          <w:shd w:val="clear" w:color="auto" w:fill="FFFFFF"/>
        </w:rPr>
        <w:t>.</w:t>
      </w:r>
      <w:r w:rsidRPr="002501ED">
        <w:rPr>
          <w:rFonts w:cs="Times New Roman"/>
          <w:color w:val="000000"/>
          <w:sz w:val="24"/>
          <w:szCs w:val="24"/>
          <w:shd w:val="clear" w:color="auto" w:fill="FFFFFF"/>
        </w:rPr>
        <w:t>S</w:t>
      </w:r>
      <w:r w:rsidR="00DE2B44" w:rsidRPr="002501ED">
        <w:rPr>
          <w:rFonts w:cs="Times New Roman"/>
          <w:color w:val="000000"/>
          <w:sz w:val="24"/>
          <w:szCs w:val="24"/>
          <w:shd w:val="clear" w:color="auto" w:fill="FFFFFF"/>
        </w:rPr>
        <w:t>.</w:t>
      </w:r>
      <w:r w:rsidRPr="002501ED">
        <w:rPr>
          <w:rFonts w:cs="Times New Roman"/>
          <w:color w:val="000000"/>
          <w:sz w:val="24"/>
          <w:szCs w:val="24"/>
          <w:shd w:val="clear" w:color="auto" w:fill="FFFFFF"/>
        </w:rPr>
        <w:t xml:space="preserve"> DOL, 2019. </w:t>
      </w:r>
      <w:r w:rsidRPr="002501ED">
        <w:rPr>
          <w:rFonts w:cs="Times New Roman"/>
          <w:i/>
          <w:iCs/>
          <w:color w:val="000000"/>
          <w:sz w:val="24"/>
          <w:szCs w:val="24"/>
          <w:shd w:val="clear" w:color="auto" w:fill="FFFFFF"/>
        </w:rPr>
        <w:t>SIC Division Structure | Occupational Safety and Health Administration</w:t>
      </w:r>
      <w:r w:rsidRPr="002501ED">
        <w:rPr>
          <w:rFonts w:cs="Times New Roman"/>
          <w:color w:val="000000"/>
          <w:sz w:val="24"/>
          <w:szCs w:val="24"/>
          <w:shd w:val="clear" w:color="auto" w:fill="FFFFFF"/>
        </w:rPr>
        <w:t xml:space="preserve">. [online] Available at: </w:t>
      </w:r>
      <w:hyperlink r:id="rId172" w:history="1">
        <w:r w:rsidR="00ED0BFD" w:rsidRPr="002501ED">
          <w:rPr>
            <w:rStyle w:val="Hyperlink"/>
            <w:rFonts w:cs="Times New Roman"/>
            <w:sz w:val="24"/>
            <w:szCs w:val="24"/>
            <w:shd w:val="clear" w:color="auto" w:fill="FFFFFF"/>
          </w:rPr>
          <w:t>https://www.osha.gov/pls/imis/sic_manual.html</w:t>
        </w:r>
      </w:hyperlink>
      <w:r w:rsidR="00ED0BFD" w:rsidRPr="002501ED">
        <w:rPr>
          <w:rFonts w:cs="Times New Roman"/>
          <w:color w:val="000000"/>
          <w:sz w:val="24"/>
          <w:szCs w:val="24"/>
          <w:shd w:val="clear" w:color="auto" w:fill="FFFFFF"/>
        </w:rPr>
        <w:t xml:space="preserve"> </w:t>
      </w:r>
      <w:r w:rsidRPr="002501ED">
        <w:rPr>
          <w:rFonts w:cs="Times New Roman"/>
          <w:color w:val="000000"/>
          <w:sz w:val="24"/>
          <w:szCs w:val="24"/>
          <w:shd w:val="clear" w:color="auto" w:fill="FFFFFF"/>
        </w:rPr>
        <w:t>[Accessed 8 Aug. 2019].</w:t>
      </w:r>
    </w:p>
    <w:p w14:paraId="00E2E5A0" w14:textId="2E74E7F8" w:rsidR="00806EF0" w:rsidRPr="002501ED" w:rsidRDefault="00806EF0" w:rsidP="00ED0BFD">
      <w:pPr>
        <w:spacing w:after="0" w:line="240" w:lineRule="auto"/>
        <w:ind w:left="360" w:hanging="360"/>
        <w:rPr>
          <w:rFonts w:cs="Times New Roman"/>
          <w:color w:val="000000"/>
          <w:sz w:val="24"/>
          <w:szCs w:val="24"/>
          <w:shd w:val="clear" w:color="auto" w:fill="FFFFFF"/>
        </w:rPr>
      </w:pPr>
      <w:r w:rsidRPr="002501ED">
        <w:rPr>
          <w:rFonts w:cs="Times New Roman"/>
          <w:color w:val="000000"/>
          <w:sz w:val="24"/>
          <w:szCs w:val="24"/>
          <w:shd w:val="clear" w:color="auto" w:fill="FFFFFF"/>
        </w:rPr>
        <w:t>U</w:t>
      </w:r>
      <w:r w:rsidR="00DE2B44" w:rsidRPr="002501ED">
        <w:rPr>
          <w:rFonts w:cs="Times New Roman"/>
          <w:color w:val="000000"/>
          <w:sz w:val="24"/>
          <w:szCs w:val="24"/>
          <w:shd w:val="clear" w:color="auto" w:fill="FFFFFF"/>
        </w:rPr>
        <w:t>.</w:t>
      </w:r>
      <w:r w:rsidRPr="002501ED">
        <w:rPr>
          <w:rFonts w:cs="Times New Roman"/>
          <w:color w:val="000000"/>
          <w:sz w:val="24"/>
          <w:szCs w:val="24"/>
          <w:shd w:val="clear" w:color="auto" w:fill="FFFFFF"/>
        </w:rPr>
        <w:t>S</w:t>
      </w:r>
      <w:r w:rsidR="00DE2B44" w:rsidRPr="002501ED">
        <w:rPr>
          <w:rFonts w:cs="Times New Roman"/>
          <w:color w:val="000000"/>
          <w:sz w:val="24"/>
          <w:szCs w:val="24"/>
          <w:shd w:val="clear" w:color="auto" w:fill="FFFFFF"/>
        </w:rPr>
        <w:t>.</w:t>
      </w:r>
      <w:r w:rsidR="002925EA" w:rsidRPr="002501ED">
        <w:rPr>
          <w:rFonts w:cs="Times New Roman"/>
          <w:color w:val="000000"/>
          <w:sz w:val="24"/>
          <w:szCs w:val="24"/>
          <w:shd w:val="clear" w:color="auto" w:fill="FFFFFF"/>
        </w:rPr>
        <w:t xml:space="preserve"> EPA, 2014</w:t>
      </w:r>
      <w:r w:rsidRPr="002501ED">
        <w:rPr>
          <w:rFonts w:cs="Times New Roman"/>
          <w:color w:val="000000"/>
          <w:sz w:val="24"/>
          <w:szCs w:val="24"/>
          <w:shd w:val="clear" w:color="auto" w:fill="FFFFFF"/>
        </w:rPr>
        <w:t>. </w:t>
      </w:r>
      <w:r w:rsidRPr="002501ED">
        <w:rPr>
          <w:rFonts w:cs="Times New Roman"/>
          <w:i/>
          <w:iCs/>
          <w:color w:val="000000"/>
          <w:sz w:val="24"/>
          <w:szCs w:val="24"/>
          <w:shd w:val="clear" w:color="auto" w:fill="FFFFFF"/>
        </w:rPr>
        <w:t>Smart Location Mapping | US EPA</w:t>
      </w:r>
      <w:r w:rsidRPr="002501ED">
        <w:rPr>
          <w:rFonts w:cs="Times New Roman"/>
          <w:color w:val="000000"/>
          <w:sz w:val="24"/>
          <w:szCs w:val="24"/>
          <w:shd w:val="clear" w:color="auto" w:fill="FFFFFF"/>
        </w:rPr>
        <w:t>. [online] U</w:t>
      </w:r>
      <w:r w:rsidR="002925EA" w:rsidRPr="002501ED">
        <w:rPr>
          <w:rFonts w:cs="Times New Roman"/>
          <w:color w:val="000000"/>
          <w:sz w:val="24"/>
          <w:szCs w:val="24"/>
          <w:shd w:val="clear" w:color="auto" w:fill="FFFFFF"/>
        </w:rPr>
        <w:t>.</w:t>
      </w:r>
      <w:r w:rsidRPr="002501ED">
        <w:rPr>
          <w:rFonts w:cs="Times New Roman"/>
          <w:color w:val="000000"/>
          <w:sz w:val="24"/>
          <w:szCs w:val="24"/>
          <w:shd w:val="clear" w:color="auto" w:fill="FFFFFF"/>
        </w:rPr>
        <w:t>S</w:t>
      </w:r>
      <w:r w:rsidR="002925EA" w:rsidRPr="002501ED">
        <w:rPr>
          <w:rFonts w:cs="Times New Roman"/>
          <w:color w:val="000000"/>
          <w:sz w:val="24"/>
          <w:szCs w:val="24"/>
          <w:shd w:val="clear" w:color="auto" w:fill="FFFFFF"/>
        </w:rPr>
        <w:t>.</w:t>
      </w:r>
      <w:r w:rsidRPr="002501ED">
        <w:rPr>
          <w:rFonts w:cs="Times New Roman"/>
          <w:color w:val="000000"/>
          <w:sz w:val="24"/>
          <w:szCs w:val="24"/>
          <w:shd w:val="clear" w:color="auto" w:fill="FFFFFF"/>
        </w:rPr>
        <w:t xml:space="preserve"> EPA. Available at: </w:t>
      </w:r>
      <w:hyperlink r:id="rId173" w:history="1">
        <w:r w:rsidR="00ED0BFD" w:rsidRPr="002501ED">
          <w:rPr>
            <w:rStyle w:val="Hyperlink"/>
            <w:rFonts w:cs="Times New Roman"/>
            <w:sz w:val="24"/>
            <w:szCs w:val="24"/>
            <w:shd w:val="clear" w:color="auto" w:fill="FFFFFF"/>
          </w:rPr>
          <w:t>https://www.epa.gov/smartgrowth/smart-location-mapping</w:t>
        </w:r>
      </w:hyperlink>
      <w:r w:rsidR="00ED0BFD" w:rsidRPr="002501ED">
        <w:rPr>
          <w:rFonts w:cs="Times New Roman"/>
          <w:color w:val="000000"/>
          <w:sz w:val="24"/>
          <w:szCs w:val="24"/>
          <w:shd w:val="clear" w:color="auto" w:fill="FFFFFF"/>
        </w:rPr>
        <w:t xml:space="preserve"> </w:t>
      </w:r>
      <w:r w:rsidRPr="002501ED">
        <w:rPr>
          <w:rFonts w:cs="Times New Roman"/>
          <w:color w:val="000000"/>
          <w:sz w:val="24"/>
          <w:szCs w:val="24"/>
          <w:shd w:val="clear" w:color="auto" w:fill="FFFFFF"/>
        </w:rPr>
        <w:t>[Accessed 31 Jul. 2019].</w:t>
      </w:r>
    </w:p>
    <w:p w14:paraId="55F3DCE0" w14:textId="0F88DBCF" w:rsidR="00A31847" w:rsidRPr="002501ED" w:rsidRDefault="00A31847" w:rsidP="00873B6F">
      <w:pPr>
        <w:pStyle w:val="NoSpacing"/>
        <w:ind w:left="360" w:hanging="360"/>
        <w:rPr>
          <w:rFonts w:ascii="Times New Roman" w:hAnsi="Times New Roman" w:cs="Times New Roman"/>
          <w:sz w:val="24"/>
          <w:szCs w:val="24"/>
          <w:shd w:val="clear" w:color="auto" w:fill="FFFFFF"/>
        </w:rPr>
      </w:pPr>
      <w:proofErr w:type="spellStart"/>
      <w:r w:rsidRPr="002501ED">
        <w:rPr>
          <w:rFonts w:ascii="Times New Roman" w:hAnsi="Times New Roman" w:cs="Times New Roman"/>
          <w:sz w:val="24"/>
          <w:szCs w:val="24"/>
          <w:shd w:val="clear" w:color="auto" w:fill="FFFFFF"/>
        </w:rPr>
        <w:t>Venigalla</w:t>
      </w:r>
      <w:proofErr w:type="spellEnd"/>
      <w:r w:rsidRPr="002501ED">
        <w:rPr>
          <w:rFonts w:ascii="Times New Roman" w:hAnsi="Times New Roman" w:cs="Times New Roman"/>
          <w:sz w:val="24"/>
          <w:szCs w:val="24"/>
          <w:shd w:val="clear" w:color="auto" w:fill="FFFFFF"/>
        </w:rPr>
        <w:t xml:space="preserve">, M.M., Chatterjee, A., Bronzini, M.S., 1999. A specialized equilibrium assignment algorithm for air quality modeling. </w:t>
      </w:r>
      <w:r w:rsidRPr="002501ED">
        <w:rPr>
          <w:rFonts w:ascii="Times New Roman" w:hAnsi="Times New Roman" w:cs="Times New Roman"/>
          <w:i/>
          <w:sz w:val="24"/>
          <w:szCs w:val="24"/>
          <w:shd w:val="clear" w:color="auto" w:fill="FFFFFF"/>
        </w:rPr>
        <w:t>Transportation Research Part D: Transport and Environment</w:t>
      </w:r>
      <w:r w:rsidR="004350EE" w:rsidRPr="002501ED">
        <w:rPr>
          <w:rFonts w:ascii="Times New Roman" w:hAnsi="Times New Roman" w:cs="Times New Roman"/>
          <w:sz w:val="24"/>
          <w:szCs w:val="24"/>
          <w:shd w:val="clear" w:color="auto" w:fill="FFFFFF"/>
        </w:rPr>
        <w:t>,</w:t>
      </w:r>
      <w:r w:rsidRPr="002501ED">
        <w:rPr>
          <w:rFonts w:ascii="Times New Roman" w:hAnsi="Times New Roman" w:cs="Times New Roman"/>
          <w:sz w:val="24"/>
          <w:szCs w:val="24"/>
          <w:shd w:val="clear" w:color="auto" w:fill="FFFFFF"/>
        </w:rPr>
        <w:t xml:space="preserve"> 4, 29</w:t>
      </w:r>
      <w:r w:rsidR="006E6152" w:rsidRPr="002501ED">
        <w:rPr>
          <w:rFonts w:ascii="Times New Roman" w:hAnsi="Times New Roman" w:cs="Times New Roman"/>
          <w:sz w:val="24"/>
          <w:szCs w:val="24"/>
          <w:shd w:val="clear" w:color="auto" w:fill="FFFFFF"/>
        </w:rPr>
        <w:t>-</w:t>
      </w:r>
      <w:r w:rsidRPr="002501ED">
        <w:rPr>
          <w:rFonts w:ascii="Times New Roman" w:hAnsi="Times New Roman" w:cs="Times New Roman"/>
          <w:sz w:val="24"/>
          <w:szCs w:val="24"/>
          <w:shd w:val="clear" w:color="auto" w:fill="FFFFFF"/>
        </w:rPr>
        <w:t xml:space="preserve">44. </w:t>
      </w:r>
      <w:hyperlink r:id="rId174" w:history="1">
        <w:r w:rsidR="004350EE" w:rsidRPr="002501ED">
          <w:rPr>
            <w:rStyle w:val="Hyperlink"/>
            <w:rFonts w:ascii="Times New Roman" w:hAnsi="Times New Roman" w:cs="Times New Roman"/>
            <w:sz w:val="24"/>
            <w:szCs w:val="24"/>
          </w:rPr>
          <w:t>https://doi.org/10.1016/S1361-9209(98)00022-4</w:t>
        </w:r>
      </w:hyperlink>
      <w:r w:rsidR="004350EE" w:rsidRPr="002501ED">
        <w:rPr>
          <w:rFonts w:ascii="Times New Roman" w:hAnsi="Times New Roman" w:cs="Times New Roman"/>
          <w:sz w:val="24"/>
          <w:szCs w:val="24"/>
          <w:shd w:val="clear" w:color="auto" w:fill="FFFFFF"/>
        </w:rPr>
        <w:t xml:space="preserve"> </w:t>
      </w:r>
    </w:p>
    <w:p w14:paraId="7665C9A7" w14:textId="550B13C9" w:rsidR="00F66C72" w:rsidRPr="002501ED" w:rsidRDefault="00F66C72" w:rsidP="000F6D04">
      <w:pPr>
        <w:spacing w:after="0" w:line="240" w:lineRule="auto"/>
        <w:ind w:left="360" w:hanging="360"/>
        <w:rPr>
          <w:rFonts w:cs="Times New Roman"/>
          <w:color w:val="000000"/>
          <w:sz w:val="24"/>
          <w:szCs w:val="24"/>
          <w:shd w:val="clear" w:color="auto" w:fill="FFFFFF"/>
        </w:rPr>
      </w:pPr>
      <w:r w:rsidRPr="002501ED">
        <w:rPr>
          <w:rFonts w:cs="Times New Roman"/>
          <w:color w:val="000000"/>
          <w:sz w:val="24"/>
          <w:szCs w:val="24"/>
          <w:shd w:val="clear" w:color="auto" w:fill="FFFFFF"/>
        </w:rPr>
        <w:t xml:space="preserve">Wang, M., Mu, L., 2018. Spatial disparities of Uber accessibility: An exploratory analysis in Atlanta, USA. </w:t>
      </w:r>
      <w:r w:rsidRPr="002501ED">
        <w:rPr>
          <w:rFonts w:cs="Times New Roman"/>
          <w:i/>
          <w:iCs/>
          <w:color w:val="000000"/>
          <w:sz w:val="24"/>
          <w:szCs w:val="24"/>
          <w:shd w:val="clear" w:color="auto" w:fill="FFFFFF"/>
        </w:rPr>
        <w:t>Computers, Environment and Urban Systems</w:t>
      </w:r>
      <w:r w:rsidR="003A2040" w:rsidRPr="002501ED">
        <w:rPr>
          <w:rFonts w:cs="Times New Roman"/>
          <w:color w:val="000000"/>
          <w:sz w:val="24"/>
          <w:szCs w:val="24"/>
          <w:shd w:val="clear" w:color="auto" w:fill="FFFFFF"/>
        </w:rPr>
        <w:t xml:space="preserve">, </w:t>
      </w:r>
      <w:r w:rsidRPr="002501ED">
        <w:rPr>
          <w:rFonts w:cs="Times New Roman"/>
          <w:color w:val="000000"/>
          <w:sz w:val="24"/>
          <w:szCs w:val="24"/>
          <w:shd w:val="clear" w:color="auto" w:fill="FFFFFF"/>
        </w:rPr>
        <w:t>67, 169</w:t>
      </w:r>
      <w:r w:rsidR="003A2040" w:rsidRPr="002501ED">
        <w:rPr>
          <w:rFonts w:cs="Times New Roman"/>
          <w:color w:val="000000"/>
          <w:sz w:val="24"/>
          <w:szCs w:val="24"/>
          <w:shd w:val="clear" w:color="auto" w:fill="FFFFFF"/>
        </w:rPr>
        <w:t>-</w:t>
      </w:r>
      <w:r w:rsidRPr="002501ED">
        <w:rPr>
          <w:rFonts w:cs="Times New Roman"/>
          <w:color w:val="000000"/>
          <w:sz w:val="24"/>
          <w:szCs w:val="24"/>
          <w:shd w:val="clear" w:color="auto" w:fill="FFFFFF"/>
        </w:rPr>
        <w:t xml:space="preserve">175. </w:t>
      </w:r>
      <w:hyperlink r:id="rId175" w:history="1">
        <w:r w:rsidR="002501ED" w:rsidRPr="002501ED">
          <w:rPr>
            <w:rStyle w:val="Hyperlink"/>
            <w:rFonts w:cs="Times New Roman"/>
            <w:sz w:val="24"/>
            <w:szCs w:val="24"/>
            <w:shd w:val="clear" w:color="auto" w:fill="FFFFFF"/>
          </w:rPr>
          <w:t>https://doi.org/10.1016/j.compenvurbsys.2017.09.003</w:t>
        </w:r>
      </w:hyperlink>
      <w:r w:rsidR="002501ED" w:rsidRPr="002501ED">
        <w:rPr>
          <w:rFonts w:cs="Times New Roman"/>
          <w:color w:val="000000"/>
          <w:sz w:val="24"/>
          <w:szCs w:val="24"/>
          <w:shd w:val="clear" w:color="auto" w:fill="FFFFFF"/>
        </w:rPr>
        <w:t xml:space="preserve"> </w:t>
      </w:r>
    </w:p>
    <w:p w14:paraId="1B8FE918" w14:textId="5D23A72D" w:rsidR="00806EF0" w:rsidRPr="002501ED" w:rsidRDefault="00806EF0" w:rsidP="002501ED">
      <w:pPr>
        <w:spacing w:after="0" w:line="240" w:lineRule="auto"/>
        <w:ind w:left="360" w:hanging="360"/>
        <w:rPr>
          <w:rFonts w:cs="Times New Roman"/>
          <w:color w:val="222222"/>
          <w:sz w:val="24"/>
          <w:szCs w:val="24"/>
          <w:shd w:val="clear" w:color="auto" w:fill="FFFFFF"/>
        </w:rPr>
      </w:pPr>
      <w:r w:rsidRPr="002501ED">
        <w:rPr>
          <w:rFonts w:cs="Times New Roman"/>
          <w:color w:val="222222"/>
          <w:sz w:val="24"/>
          <w:szCs w:val="24"/>
          <w:shd w:val="clear" w:color="auto" w:fill="FFFFFF"/>
        </w:rPr>
        <w:t>We</w:t>
      </w:r>
      <w:r w:rsidR="00332008" w:rsidRPr="002501ED">
        <w:rPr>
          <w:rFonts w:cs="Times New Roman"/>
          <w:color w:val="222222"/>
          <w:sz w:val="24"/>
          <w:szCs w:val="24"/>
          <w:shd w:val="clear" w:color="auto" w:fill="FFFFFF"/>
        </w:rPr>
        <w:t xml:space="preserve">nzel, T., </w:t>
      </w:r>
      <w:proofErr w:type="spellStart"/>
      <w:r w:rsidR="00332008" w:rsidRPr="002501ED">
        <w:rPr>
          <w:rFonts w:cs="Times New Roman"/>
          <w:color w:val="222222"/>
          <w:sz w:val="24"/>
          <w:szCs w:val="24"/>
          <w:shd w:val="clear" w:color="auto" w:fill="FFFFFF"/>
        </w:rPr>
        <w:t>Rames</w:t>
      </w:r>
      <w:proofErr w:type="spellEnd"/>
      <w:r w:rsidR="00332008" w:rsidRPr="002501ED">
        <w:rPr>
          <w:rFonts w:cs="Times New Roman"/>
          <w:color w:val="222222"/>
          <w:sz w:val="24"/>
          <w:szCs w:val="24"/>
          <w:shd w:val="clear" w:color="auto" w:fill="FFFFFF"/>
        </w:rPr>
        <w:t xml:space="preserve">, C., </w:t>
      </w:r>
      <w:proofErr w:type="spellStart"/>
      <w:r w:rsidR="00332008" w:rsidRPr="002501ED">
        <w:rPr>
          <w:rFonts w:cs="Times New Roman"/>
          <w:color w:val="222222"/>
          <w:sz w:val="24"/>
          <w:szCs w:val="24"/>
          <w:shd w:val="clear" w:color="auto" w:fill="FFFFFF"/>
        </w:rPr>
        <w:t>Kontou</w:t>
      </w:r>
      <w:proofErr w:type="spellEnd"/>
      <w:r w:rsidR="00332008" w:rsidRPr="002501ED">
        <w:rPr>
          <w:rFonts w:cs="Times New Roman"/>
          <w:color w:val="222222"/>
          <w:sz w:val="24"/>
          <w:szCs w:val="24"/>
          <w:shd w:val="clear" w:color="auto" w:fill="FFFFFF"/>
        </w:rPr>
        <w:t xml:space="preserve">, E., </w:t>
      </w:r>
      <w:proofErr w:type="spellStart"/>
      <w:r w:rsidRPr="002501ED">
        <w:rPr>
          <w:rFonts w:cs="Times New Roman"/>
          <w:color w:val="222222"/>
          <w:sz w:val="24"/>
          <w:szCs w:val="24"/>
          <w:shd w:val="clear" w:color="auto" w:fill="FFFFFF"/>
        </w:rPr>
        <w:t>Henao</w:t>
      </w:r>
      <w:proofErr w:type="spellEnd"/>
      <w:r w:rsidRPr="002501ED">
        <w:rPr>
          <w:rFonts w:cs="Times New Roman"/>
          <w:color w:val="222222"/>
          <w:sz w:val="24"/>
          <w:szCs w:val="24"/>
          <w:shd w:val="clear" w:color="auto" w:fill="FFFFFF"/>
        </w:rPr>
        <w:t xml:space="preserve">, A., 2019. Travel and energy implications of </w:t>
      </w:r>
      <w:proofErr w:type="spellStart"/>
      <w:r w:rsidRPr="002501ED">
        <w:rPr>
          <w:rFonts w:cs="Times New Roman"/>
          <w:color w:val="222222"/>
          <w:sz w:val="24"/>
          <w:szCs w:val="24"/>
          <w:shd w:val="clear" w:color="auto" w:fill="FFFFFF"/>
        </w:rPr>
        <w:t>ridesourcing</w:t>
      </w:r>
      <w:proofErr w:type="spellEnd"/>
      <w:r w:rsidRPr="002501ED">
        <w:rPr>
          <w:rFonts w:cs="Times New Roman"/>
          <w:color w:val="222222"/>
          <w:sz w:val="24"/>
          <w:szCs w:val="24"/>
          <w:shd w:val="clear" w:color="auto" w:fill="FFFFFF"/>
        </w:rPr>
        <w:t xml:space="preserve"> service in Austin, Texas. </w:t>
      </w:r>
      <w:r w:rsidR="008D05CB" w:rsidRPr="002501ED">
        <w:rPr>
          <w:rFonts w:cs="Times New Roman"/>
          <w:i/>
          <w:iCs/>
          <w:color w:val="222222"/>
          <w:sz w:val="24"/>
          <w:szCs w:val="24"/>
          <w:shd w:val="clear" w:color="auto" w:fill="FFFFFF"/>
        </w:rPr>
        <w:t>Transportation Research Part D</w:t>
      </w:r>
      <w:r w:rsidR="004350EE" w:rsidRPr="002501ED">
        <w:rPr>
          <w:rFonts w:cs="Times New Roman"/>
          <w:i/>
          <w:sz w:val="24"/>
          <w:szCs w:val="24"/>
          <w:shd w:val="clear" w:color="auto" w:fill="FFFFFF"/>
        </w:rPr>
        <w:t>: Transport and Environment</w:t>
      </w:r>
      <w:r w:rsidRPr="002501ED">
        <w:rPr>
          <w:rFonts w:cs="Times New Roman"/>
          <w:color w:val="222222"/>
          <w:sz w:val="24"/>
          <w:szCs w:val="24"/>
          <w:shd w:val="clear" w:color="auto" w:fill="FFFFFF"/>
        </w:rPr>
        <w:t>, </w:t>
      </w:r>
      <w:r w:rsidRPr="002501ED">
        <w:rPr>
          <w:rFonts w:cs="Times New Roman"/>
          <w:iCs/>
          <w:color w:val="222222"/>
          <w:sz w:val="24"/>
          <w:szCs w:val="24"/>
          <w:shd w:val="clear" w:color="auto" w:fill="FFFFFF"/>
        </w:rPr>
        <w:t>70</w:t>
      </w:r>
      <w:r w:rsidRPr="002501ED">
        <w:rPr>
          <w:rFonts w:cs="Times New Roman"/>
          <w:color w:val="222222"/>
          <w:sz w:val="24"/>
          <w:szCs w:val="24"/>
          <w:shd w:val="clear" w:color="auto" w:fill="FFFFFF"/>
        </w:rPr>
        <w:t>, 18-34.</w:t>
      </w:r>
      <w:r w:rsidR="009F1A41" w:rsidRPr="002501ED">
        <w:rPr>
          <w:rFonts w:cs="Times New Roman"/>
          <w:color w:val="222222"/>
          <w:sz w:val="24"/>
          <w:szCs w:val="24"/>
          <w:shd w:val="clear" w:color="auto" w:fill="FFFFFF"/>
        </w:rPr>
        <w:t xml:space="preserve"> </w:t>
      </w:r>
      <w:hyperlink r:id="rId176" w:tgtFrame="_blank" w:tooltip="Persistent link using digital object identifier" w:history="1">
        <w:r w:rsidR="009F1A41" w:rsidRPr="002501ED">
          <w:rPr>
            <w:rStyle w:val="Hyperlink"/>
            <w:rFonts w:cs="Times New Roman"/>
            <w:sz w:val="24"/>
            <w:szCs w:val="24"/>
          </w:rPr>
          <w:t>https://doi.org/10.1016/j.trd.2019.03.005</w:t>
        </w:r>
      </w:hyperlink>
    </w:p>
    <w:p w14:paraId="7AEDF982" w14:textId="78126FC6" w:rsidR="00806EF0" w:rsidRPr="002501ED" w:rsidRDefault="00806EF0" w:rsidP="002501ED">
      <w:pPr>
        <w:spacing w:after="0" w:line="240" w:lineRule="auto"/>
        <w:ind w:left="360" w:hanging="360"/>
        <w:rPr>
          <w:rFonts w:cs="Times New Roman"/>
          <w:color w:val="222222"/>
          <w:sz w:val="24"/>
          <w:szCs w:val="24"/>
          <w:shd w:val="clear" w:color="auto" w:fill="FFFFFF"/>
        </w:rPr>
      </w:pPr>
      <w:proofErr w:type="spellStart"/>
      <w:r w:rsidRPr="002501ED">
        <w:rPr>
          <w:rFonts w:cs="Times New Roman"/>
          <w:color w:val="222222"/>
          <w:sz w:val="24"/>
          <w:szCs w:val="24"/>
          <w:shd w:val="clear" w:color="auto" w:fill="FFFFFF"/>
        </w:rPr>
        <w:t>Windmeijer</w:t>
      </w:r>
      <w:proofErr w:type="spellEnd"/>
      <w:r w:rsidRPr="002501ED">
        <w:rPr>
          <w:rFonts w:cs="Times New Roman"/>
          <w:color w:val="222222"/>
          <w:sz w:val="24"/>
          <w:szCs w:val="24"/>
          <w:shd w:val="clear" w:color="auto" w:fill="FFFFFF"/>
        </w:rPr>
        <w:t>, F.A., 1995. Goodness-of-fit measures in binary choice models. </w:t>
      </w:r>
      <w:r w:rsidRPr="002501ED">
        <w:rPr>
          <w:rFonts w:cs="Times New Roman"/>
          <w:i/>
          <w:iCs/>
          <w:color w:val="222222"/>
          <w:sz w:val="24"/>
          <w:szCs w:val="24"/>
          <w:shd w:val="clear" w:color="auto" w:fill="FFFFFF"/>
        </w:rPr>
        <w:t>Econometric Reviews</w:t>
      </w:r>
      <w:r w:rsidRPr="002501ED">
        <w:rPr>
          <w:rFonts w:cs="Times New Roman"/>
          <w:color w:val="222222"/>
          <w:sz w:val="24"/>
          <w:szCs w:val="24"/>
          <w:shd w:val="clear" w:color="auto" w:fill="FFFFFF"/>
        </w:rPr>
        <w:t>, </w:t>
      </w:r>
      <w:r w:rsidRPr="002501ED">
        <w:rPr>
          <w:rFonts w:cs="Times New Roman"/>
          <w:iCs/>
          <w:color w:val="222222"/>
          <w:sz w:val="24"/>
          <w:szCs w:val="24"/>
          <w:shd w:val="clear" w:color="auto" w:fill="FFFFFF"/>
        </w:rPr>
        <w:t>14</w:t>
      </w:r>
      <w:r w:rsidRPr="002501ED">
        <w:rPr>
          <w:rFonts w:cs="Times New Roman"/>
          <w:color w:val="222222"/>
          <w:sz w:val="24"/>
          <w:szCs w:val="24"/>
          <w:shd w:val="clear" w:color="auto" w:fill="FFFFFF"/>
        </w:rPr>
        <w:t>(1), 101-116.</w:t>
      </w:r>
    </w:p>
    <w:p w14:paraId="7656E714" w14:textId="3F27488B" w:rsidR="00BA5A86" w:rsidRPr="002501ED" w:rsidRDefault="00332008" w:rsidP="002501ED">
      <w:pPr>
        <w:spacing w:after="0" w:line="240" w:lineRule="auto"/>
        <w:ind w:left="360" w:hanging="360"/>
        <w:rPr>
          <w:rFonts w:cs="Times New Roman"/>
          <w:color w:val="222222"/>
          <w:sz w:val="24"/>
          <w:szCs w:val="24"/>
          <w:shd w:val="clear" w:color="auto" w:fill="FFFFFF"/>
        </w:rPr>
      </w:pPr>
      <w:r w:rsidRPr="002501ED">
        <w:rPr>
          <w:rFonts w:cs="Times New Roman"/>
          <w:color w:val="222222"/>
          <w:sz w:val="24"/>
          <w:szCs w:val="24"/>
          <w:shd w:val="clear" w:color="auto" w:fill="FFFFFF"/>
        </w:rPr>
        <w:lastRenderedPageBreak/>
        <w:t xml:space="preserve">Xu, K., Sun, L., Liu, J., </w:t>
      </w:r>
      <w:r w:rsidR="00BA5A86" w:rsidRPr="002501ED">
        <w:rPr>
          <w:rFonts w:cs="Times New Roman"/>
          <w:color w:val="222222"/>
          <w:sz w:val="24"/>
          <w:szCs w:val="24"/>
          <w:shd w:val="clear" w:color="auto" w:fill="FFFFFF"/>
        </w:rPr>
        <w:t xml:space="preserve">Wang, H., 2018. An empirical investigation of taxi driver response behavior to ride-hailing requests: A </w:t>
      </w:r>
      <w:proofErr w:type="spellStart"/>
      <w:r w:rsidR="00BA5A86" w:rsidRPr="002501ED">
        <w:rPr>
          <w:rFonts w:cs="Times New Roman"/>
          <w:color w:val="222222"/>
          <w:sz w:val="24"/>
          <w:szCs w:val="24"/>
          <w:shd w:val="clear" w:color="auto" w:fill="FFFFFF"/>
        </w:rPr>
        <w:t>spatio</w:t>
      </w:r>
      <w:proofErr w:type="spellEnd"/>
      <w:r w:rsidR="00BA5A86" w:rsidRPr="002501ED">
        <w:rPr>
          <w:rFonts w:cs="Times New Roman"/>
          <w:color w:val="222222"/>
          <w:sz w:val="24"/>
          <w:szCs w:val="24"/>
          <w:shd w:val="clear" w:color="auto" w:fill="FFFFFF"/>
        </w:rPr>
        <w:t>-temporal perspective. PLOS ONE, 13(6), e0198605.</w:t>
      </w:r>
    </w:p>
    <w:p w14:paraId="6116D369" w14:textId="5A18BB3C" w:rsidR="004032EE" w:rsidRPr="002501ED" w:rsidRDefault="004032EE" w:rsidP="002501ED">
      <w:pPr>
        <w:spacing w:after="0" w:line="240" w:lineRule="auto"/>
        <w:ind w:left="360" w:hanging="360"/>
        <w:rPr>
          <w:rFonts w:cs="Times New Roman"/>
          <w:color w:val="222222"/>
          <w:sz w:val="24"/>
          <w:szCs w:val="24"/>
          <w:shd w:val="clear" w:color="auto" w:fill="FFFFFF"/>
        </w:rPr>
      </w:pPr>
      <w:r w:rsidRPr="002501ED">
        <w:rPr>
          <w:rFonts w:cs="Times New Roman"/>
          <w:color w:val="222222"/>
          <w:sz w:val="24"/>
          <w:szCs w:val="24"/>
          <w:shd w:val="clear" w:color="auto" w:fill="FFFFFF"/>
        </w:rPr>
        <w:t xml:space="preserve">Xu, Z., Yin, Y., Ye, J., 2019. On the supply curve of ride-hailing systems. </w:t>
      </w:r>
      <w:r w:rsidRPr="002501ED">
        <w:rPr>
          <w:rFonts w:cs="Times New Roman"/>
          <w:i/>
          <w:iCs/>
          <w:color w:val="222222"/>
          <w:sz w:val="24"/>
          <w:szCs w:val="24"/>
          <w:shd w:val="clear" w:color="auto" w:fill="FFFFFF"/>
        </w:rPr>
        <w:t>Transportation Research Part B: Methodological</w:t>
      </w:r>
      <w:r w:rsidR="002501ED">
        <w:rPr>
          <w:rFonts w:cs="Times New Roman"/>
          <w:color w:val="222222"/>
          <w:sz w:val="24"/>
          <w:szCs w:val="24"/>
          <w:shd w:val="clear" w:color="auto" w:fill="FFFFFF"/>
        </w:rPr>
        <w:t>, 132, 29-43.</w:t>
      </w:r>
      <w:r w:rsidRPr="002501ED">
        <w:rPr>
          <w:rFonts w:cs="Times New Roman"/>
          <w:color w:val="222222"/>
          <w:sz w:val="24"/>
          <w:szCs w:val="24"/>
          <w:shd w:val="clear" w:color="auto" w:fill="FFFFFF"/>
        </w:rPr>
        <w:t xml:space="preserve"> </w:t>
      </w:r>
      <w:hyperlink r:id="rId177" w:history="1">
        <w:r w:rsidR="00FB2B30" w:rsidRPr="002501ED">
          <w:rPr>
            <w:rStyle w:val="Hyperlink"/>
            <w:rFonts w:cs="Times New Roman"/>
            <w:sz w:val="24"/>
            <w:szCs w:val="24"/>
            <w:shd w:val="clear" w:color="auto" w:fill="FFFFFF"/>
          </w:rPr>
          <w:t>https://doi.org/10.1016/j.trb.2019.02.011</w:t>
        </w:r>
      </w:hyperlink>
    </w:p>
    <w:p w14:paraId="5DAB7BF5" w14:textId="6F6936D6" w:rsidR="00FB2B30" w:rsidRPr="002501ED" w:rsidRDefault="00FB2B30" w:rsidP="002501ED">
      <w:pPr>
        <w:spacing w:after="0" w:line="240" w:lineRule="auto"/>
        <w:ind w:left="360" w:hanging="360"/>
        <w:rPr>
          <w:rFonts w:cs="Times New Roman"/>
          <w:color w:val="222222"/>
          <w:sz w:val="24"/>
          <w:szCs w:val="24"/>
          <w:shd w:val="clear" w:color="auto" w:fill="FFFFFF"/>
        </w:rPr>
      </w:pPr>
      <w:r w:rsidRPr="002501ED">
        <w:rPr>
          <w:rFonts w:cs="Times New Roman"/>
          <w:color w:val="222222"/>
          <w:sz w:val="24"/>
          <w:szCs w:val="24"/>
          <w:shd w:val="clear" w:color="auto" w:fill="FFFFFF"/>
        </w:rPr>
        <w:t xml:space="preserve">Yang, H., Qin, X., </w:t>
      </w:r>
      <w:proofErr w:type="spellStart"/>
      <w:r w:rsidRPr="002501ED">
        <w:rPr>
          <w:rFonts w:cs="Times New Roman"/>
          <w:color w:val="222222"/>
          <w:sz w:val="24"/>
          <w:szCs w:val="24"/>
          <w:shd w:val="clear" w:color="auto" w:fill="FFFFFF"/>
        </w:rPr>
        <w:t>Ke</w:t>
      </w:r>
      <w:proofErr w:type="spellEnd"/>
      <w:r w:rsidRPr="002501ED">
        <w:rPr>
          <w:rFonts w:cs="Times New Roman"/>
          <w:color w:val="222222"/>
          <w:sz w:val="24"/>
          <w:szCs w:val="24"/>
          <w:shd w:val="clear" w:color="auto" w:fill="FFFFFF"/>
        </w:rPr>
        <w:t xml:space="preserve">, J., Ye, J., 2020. Optimizing matching time interval and matching radius in on-demand ride-sourcing markets. </w:t>
      </w:r>
      <w:r w:rsidRPr="002501ED">
        <w:rPr>
          <w:rFonts w:cs="Times New Roman"/>
          <w:i/>
          <w:iCs/>
          <w:sz w:val="24"/>
          <w:szCs w:val="24"/>
          <w:shd w:val="clear" w:color="auto" w:fill="FFFFFF"/>
        </w:rPr>
        <w:t>Transportation Research Part B: Methodological</w:t>
      </w:r>
      <w:r w:rsidRPr="002501ED">
        <w:rPr>
          <w:rFonts w:cs="Times New Roman"/>
          <w:color w:val="222222"/>
          <w:sz w:val="24"/>
          <w:szCs w:val="24"/>
          <w:shd w:val="clear" w:color="auto" w:fill="FFFFFF"/>
        </w:rPr>
        <w:t>, 131, 84</w:t>
      </w:r>
      <w:r w:rsidR="00444EA6" w:rsidRPr="002501ED">
        <w:rPr>
          <w:rFonts w:cs="Times New Roman"/>
          <w:color w:val="222222"/>
          <w:sz w:val="24"/>
          <w:szCs w:val="24"/>
          <w:shd w:val="clear" w:color="auto" w:fill="FFFFFF"/>
        </w:rPr>
        <w:t>-</w:t>
      </w:r>
      <w:r w:rsidRPr="002501ED">
        <w:rPr>
          <w:rFonts w:cs="Times New Roman"/>
          <w:color w:val="222222"/>
          <w:sz w:val="24"/>
          <w:szCs w:val="24"/>
          <w:shd w:val="clear" w:color="auto" w:fill="FFFFFF"/>
        </w:rPr>
        <w:t xml:space="preserve">105. </w:t>
      </w:r>
      <w:hyperlink r:id="rId178" w:history="1">
        <w:r w:rsidRPr="002501ED">
          <w:rPr>
            <w:rStyle w:val="Hyperlink"/>
            <w:rFonts w:cs="Times New Roman"/>
            <w:sz w:val="24"/>
            <w:szCs w:val="24"/>
            <w:shd w:val="clear" w:color="auto" w:fill="FFFFFF"/>
          </w:rPr>
          <w:t>https://doi.org/10.1016/j.trb.2019.11.005</w:t>
        </w:r>
      </w:hyperlink>
      <w:r w:rsidRPr="002501ED">
        <w:rPr>
          <w:rFonts w:cs="Times New Roman"/>
          <w:color w:val="222222"/>
          <w:sz w:val="24"/>
          <w:szCs w:val="24"/>
          <w:shd w:val="clear" w:color="auto" w:fill="FFFFFF"/>
        </w:rPr>
        <w:t xml:space="preserve"> </w:t>
      </w:r>
    </w:p>
    <w:p w14:paraId="7C690646" w14:textId="1A1C4817" w:rsidR="00626F3F" w:rsidRPr="002501ED" w:rsidRDefault="00332008" w:rsidP="002501ED">
      <w:pPr>
        <w:spacing w:after="0" w:line="240" w:lineRule="auto"/>
        <w:ind w:left="360" w:hanging="360"/>
        <w:rPr>
          <w:rFonts w:cs="Times New Roman"/>
          <w:color w:val="222222"/>
          <w:sz w:val="24"/>
          <w:szCs w:val="24"/>
          <w:shd w:val="clear" w:color="auto" w:fill="FFFFFF"/>
        </w:rPr>
      </w:pPr>
      <w:bookmarkStart w:id="40" w:name="_Hlk32620106"/>
      <w:r w:rsidRPr="002501ED">
        <w:rPr>
          <w:rFonts w:cs="Times New Roman"/>
          <w:color w:val="222222"/>
          <w:sz w:val="24"/>
          <w:szCs w:val="24"/>
          <w:shd w:val="clear" w:color="auto" w:fill="FFFFFF"/>
        </w:rPr>
        <w:t xml:space="preserve">Young, M., </w:t>
      </w:r>
      <w:r w:rsidR="00806EF0" w:rsidRPr="002501ED">
        <w:rPr>
          <w:rFonts w:cs="Times New Roman"/>
          <w:color w:val="222222"/>
          <w:sz w:val="24"/>
          <w:szCs w:val="24"/>
          <w:shd w:val="clear" w:color="auto" w:fill="FFFFFF"/>
        </w:rPr>
        <w:t>Farber, S., 2019. The who, why, and when of Uber and other ride-hailing trips: An examination of a large sample household travel survey. </w:t>
      </w:r>
      <w:r w:rsidR="00806EF0" w:rsidRPr="002501ED">
        <w:rPr>
          <w:rFonts w:cs="Times New Roman"/>
          <w:i/>
          <w:iCs/>
          <w:color w:val="222222"/>
          <w:sz w:val="24"/>
          <w:szCs w:val="24"/>
          <w:shd w:val="clear" w:color="auto" w:fill="FFFFFF"/>
        </w:rPr>
        <w:t xml:space="preserve">Transportation </w:t>
      </w:r>
      <w:r w:rsidR="008D05CB" w:rsidRPr="002501ED">
        <w:rPr>
          <w:rFonts w:cs="Times New Roman"/>
          <w:i/>
          <w:iCs/>
          <w:color w:val="222222"/>
          <w:sz w:val="24"/>
          <w:szCs w:val="24"/>
          <w:shd w:val="clear" w:color="auto" w:fill="FFFFFF"/>
        </w:rPr>
        <w:t>Research Part A</w:t>
      </w:r>
      <w:r w:rsidR="004350EE" w:rsidRPr="002501ED">
        <w:rPr>
          <w:rFonts w:cs="Times New Roman"/>
          <w:i/>
          <w:iCs/>
          <w:color w:val="222222"/>
          <w:sz w:val="24"/>
          <w:szCs w:val="24"/>
          <w:shd w:val="clear" w:color="auto" w:fill="FFFFFF"/>
        </w:rPr>
        <w:t>: Policy and Practice</w:t>
      </w:r>
      <w:r w:rsidR="00806EF0" w:rsidRPr="002501ED">
        <w:rPr>
          <w:rFonts w:cs="Times New Roman"/>
          <w:color w:val="222222"/>
          <w:sz w:val="24"/>
          <w:szCs w:val="24"/>
          <w:shd w:val="clear" w:color="auto" w:fill="FFFFFF"/>
        </w:rPr>
        <w:t>, </w:t>
      </w:r>
      <w:r w:rsidR="00806EF0" w:rsidRPr="002501ED">
        <w:rPr>
          <w:rFonts w:cs="Times New Roman"/>
          <w:iCs/>
          <w:color w:val="222222"/>
          <w:sz w:val="24"/>
          <w:szCs w:val="24"/>
          <w:shd w:val="clear" w:color="auto" w:fill="FFFFFF"/>
        </w:rPr>
        <w:t>119</w:t>
      </w:r>
      <w:r w:rsidR="00806EF0" w:rsidRPr="002501ED">
        <w:rPr>
          <w:rFonts w:cs="Times New Roman"/>
          <w:color w:val="222222"/>
          <w:sz w:val="24"/>
          <w:szCs w:val="24"/>
          <w:shd w:val="clear" w:color="auto" w:fill="FFFFFF"/>
        </w:rPr>
        <w:t>, 383-392.</w:t>
      </w:r>
    </w:p>
    <w:p w14:paraId="42C4A19A" w14:textId="77777777" w:rsidR="00375A9F" w:rsidRDefault="007F6400" w:rsidP="002501ED">
      <w:pPr>
        <w:spacing w:after="0" w:line="240" w:lineRule="auto"/>
        <w:ind w:left="360" w:hanging="360"/>
        <w:rPr>
          <w:rFonts w:cs="Times New Roman"/>
          <w:color w:val="222222"/>
          <w:sz w:val="24"/>
          <w:szCs w:val="24"/>
          <w:shd w:val="clear" w:color="auto" w:fill="FFFFFF"/>
        </w:rPr>
      </w:pPr>
      <w:proofErr w:type="spellStart"/>
      <w:r w:rsidRPr="00375A9F">
        <w:rPr>
          <w:rFonts w:cs="Times New Roman"/>
          <w:color w:val="222222"/>
          <w:sz w:val="24"/>
          <w:szCs w:val="24"/>
          <w:shd w:val="clear" w:color="auto" w:fill="FFFFFF"/>
        </w:rPr>
        <w:t>Zha</w:t>
      </w:r>
      <w:proofErr w:type="spellEnd"/>
      <w:r w:rsidRPr="00375A9F">
        <w:rPr>
          <w:rFonts w:cs="Times New Roman"/>
          <w:color w:val="222222"/>
          <w:sz w:val="24"/>
          <w:szCs w:val="24"/>
          <w:shd w:val="clear" w:color="auto" w:fill="FFFFFF"/>
        </w:rPr>
        <w:t xml:space="preserve">, L., Yin, Y., Yang, H., 2016. Economic analysis of ride-sourcing markets. </w:t>
      </w:r>
      <w:r w:rsidRPr="00375A9F">
        <w:rPr>
          <w:rFonts w:cs="Times New Roman"/>
          <w:i/>
          <w:iCs/>
          <w:color w:val="222222"/>
          <w:sz w:val="24"/>
          <w:szCs w:val="24"/>
          <w:shd w:val="clear" w:color="auto" w:fill="FFFFFF"/>
        </w:rPr>
        <w:t>Transportation Research Part C: Emerging Technologies</w:t>
      </w:r>
      <w:r w:rsidRPr="00375A9F">
        <w:rPr>
          <w:rFonts w:cs="Times New Roman"/>
          <w:color w:val="222222"/>
          <w:sz w:val="24"/>
          <w:szCs w:val="24"/>
          <w:shd w:val="clear" w:color="auto" w:fill="FFFFFF"/>
        </w:rPr>
        <w:t>, 71, 249</w:t>
      </w:r>
      <w:r w:rsidR="00444EA6" w:rsidRPr="00375A9F">
        <w:rPr>
          <w:rFonts w:cs="Times New Roman"/>
          <w:color w:val="222222"/>
          <w:sz w:val="24"/>
          <w:szCs w:val="24"/>
          <w:shd w:val="clear" w:color="auto" w:fill="FFFFFF"/>
        </w:rPr>
        <w:t>-</w:t>
      </w:r>
      <w:r w:rsidRPr="00375A9F">
        <w:rPr>
          <w:rFonts w:cs="Times New Roman"/>
          <w:color w:val="222222"/>
          <w:sz w:val="24"/>
          <w:szCs w:val="24"/>
          <w:shd w:val="clear" w:color="auto" w:fill="FFFFFF"/>
        </w:rPr>
        <w:t>266.</w:t>
      </w:r>
    </w:p>
    <w:p w14:paraId="45D44971" w14:textId="6D1D26A5" w:rsidR="007F6400" w:rsidRPr="00375A9F" w:rsidRDefault="00740F16" w:rsidP="00375A9F">
      <w:pPr>
        <w:spacing w:after="0" w:line="240" w:lineRule="auto"/>
        <w:ind w:left="360"/>
        <w:rPr>
          <w:rFonts w:cs="Times New Roman"/>
          <w:color w:val="222222"/>
          <w:sz w:val="24"/>
          <w:szCs w:val="24"/>
          <w:shd w:val="clear" w:color="auto" w:fill="FFFFFF"/>
        </w:rPr>
      </w:pPr>
      <w:hyperlink r:id="rId179" w:history="1">
        <w:r w:rsidR="0063115A" w:rsidRPr="005D1D43">
          <w:rPr>
            <w:rStyle w:val="Hyperlink"/>
            <w:rFonts w:cs="Times New Roman"/>
            <w:sz w:val="24"/>
            <w:szCs w:val="24"/>
            <w:shd w:val="clear" w:color="auto" w:fill="FFFFFF"/>
          </w:rPr>
          <w:t>https://doi.org/10.1016/j.trc.2016.07.010</w:t>
        </w:r>
      </w:hyperlink>
      <w:r w:rsidR="00444EA6" w:rsidRPr="00375A9F">
        <w:rPr>
          <w:rFonts w:cs="Times New Roman"/>
          <w:color w:val="222222"/>
          <w:sz w:val="24"/>
          <w:szCs w:val="24"/>
          <w:shd w:val="clear" w:color="auto" w:fill="FFFFFF"/>
        </w:rPr>
        <w:t xml:space="preserve"> </w:t>
      </w:r>
    </w:p>
    <w:bookmarkEnd w:id="40"/>
    <w:p w14:paraId="633C0F8C" w14:textId="7386E2FD" w:rsidR="00056768" w:rsidRPr="00375A9F" w:rsidRDefault="00056768" w:rsidP="002501ED">
      <w:pPr>
        <w:spacing w:after="0" w:line="240" w:lineRule="auto"/>
        <w:ind w:left="360" w:hanging="360"/>
        <w:jc w:val="left"/>
        <w:rPr>
          <w:rFonts w:cs="Times New Roman"/>
          <w:sz w:val="24"/>
          <w:szCs w:val="24"/>
        </w:rPr>
      </w:pPr>
      <w:r w:rsidRPr="00375A9F">
        <w:rPr>
          <w:rFonts w:cs="Times New Roman"/>
          <w:sz w:val="24"/>
          <w:szCs w:val="24"/>
        </w:rPr>
        <w:t xml:space="preserve">Zhang, W., </w:t>
      </w:r>
      <w:proofErr w:type="spellStart"/>
      <w:r w:rsidRPr="00375A9F">
        <w:rPr>
          <w:rFonts w:cs="Times New Roman"/>
          <w:sz w:val="24"/>
          <w:szCs w:val="24"/>
        </w:rPr>
        <w:t>Guhathakurta</w:t>
      </w:r>
      <w:proofErr w:type="spellEnd"/>
      <w:r w:rsidRPr="00375A9F">
        <w:rPr>
          <w:rFonts w:cs="Times New Roman"/>
          <w:sz w:val="24"/>
          <w:szCs w:val="24"/>
        </w:rPr>
        <w:t xml:space="preserve">, S., 2018. Residential location choice in the era of shared autonomous vehicles. </w:t>
      </w:r>
      <w:r w:rsidRPr="00375A9F">
        <w:rPr>
          <w:rFonts w:cs="Times New Roman"/>
          <w:i/>
          <w:sz w:val="24"/>
          <w:szCs w:val="24"/>
        </w:rPr>
        <w:t>Journal of Planning Education and Research</w:t>
      </w:r>
      <w:r w:rsidRPr="00375A9F">
        <w:rPr>
          <w:rFonts w:cs="Times New Roman"/>
          <w:sz w:val="24"/>
          <w:szCs w:val="24"/>
        </w:rPr>
        <w:t>.</w:t>
      </w:r>
      <w:r w:rsidR="002501ED" w:rsidRPr="00375A9F">
        <w:rPr>
          <w:rFonts w:cs="Times New Roman"/>
          <w:sz w:val="24"/>
          <w:szCs w:val="24"/>
        </w:rPr>
        <w:t xml:space="preserve"> </w:t>
      </w:r>
      <w:hyperlink r:id="rId180" w:history="1">
        <w:r w:rsidR="002501ED" w:rsidRPr="00375A9F">
          <w:rPr>
            <w:rStyle w:val="Hyperlink"/>
            <w:rFonts w:cs="Times New Roman"/>
            <w:sz w:val="24"/>
            <w:szCs w:val="24"/>
          </w:rPr>
          <w:t>https://doi.org/10.1177/0739456X18776062</w:t>
        </w:r>
      </w:hyperlink>
      <w:r w:rsidR="00332008" w:rsidRPr="00375A9F">
        <w:rPr>
          <w:rFonts w:cs="Times New Roman"/>
          <w:sz w:val="24"/>
          <w:szCs w:val="24"/>
        </w:rPr>
        <w:t xml:space="preserve"> </w:t>
      </w:r>
    </w:p>
    <w:sectPr w:rsidR="00056768" w:rsidRPr="00375A9F" w:rsidSect="009E0008">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33674C" w14:textId="77777777" w:rsidR="00A24D1F" w:rsidRDefault="00A24D1F" w:rsidP="00634D11">
      <w:pPr>
        <w:spacing w:after="0" w:line="240" w:lineRule="auto"/>
      </w:pPr>
      <w:r>
        <w:separator/>
      </w:r>
    </w:p>
  </w:endnote>
  <w:endnote w:type="continuationSeparator" w:id="0">
    <w:p w14:paraId="449DF543" w14:textId="77777777" w:rsidR="00A24D1F" w:rsidRDefault="00A24D1F" w:rsidP="00634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094842"/>
      <w:docPartObj>
        <w:docPartGallery w:val="Page Numbers (Bottom of Page)"/>
        <w:docPartUnique/>
      </w:docPartObj>
    </w:sdtPr>
    <w:sdtEndPr>
      <w:rPr>
        <w:noProof/>
      </w:rPr>
    </w:sdtEndPr>
    <w:sdtContent>
      <w:p w14:paraId="37B4DE79" w14:textId="464B0769" w:rsidR="00AC1882" w:rsidRDefault="00AC1882" w:rsidP="000C0EB7">
        <w:pPr>
          <w:pStyle w:val="Footer"/>
          <w:jc w:val="center"/>
        </w:pPr>
        <w:r>
          <w:fldChar w:fldCharType="begin"/>
        </w:r>
        <w:r>
          <w:instrText xml:space="preserve"> PAGE   \* MERGEFORMAT </w:instrText>
        </w:r>
        <w:r>
          <w:fldChar w:fldCharType="separate"/>
        </w:r>
        <w:r>
          <w:rPr>
            <w:noProof/>
          </w:rPr>
          <w:t>28</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E7FB7" w14:textId="38676B26" w:rsidR="00AC1882" w:rsidRDefault="00AC1882">
    <w:pPr>
      <w:pStyle w:val="Footer"/>
      <w:jc w:val="right"/>
    </w:pPr>
  </w:p>
  <w:p w14:paraId="27574769" w14:textId="77777777" w:rsidR="00AC1882" w:rsidRDefault="00AC18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5FB5E" w14:textId="6AABB6AF" w:rsidR="00AC1882" w:rsidRDefault="00AC1882">
    <w:pPr>
      <w:pStyle w:val="Footer"/>
      <w:jc w:val="right"/>
    </w:pPr>
  </w:p>
  <w:p w14:paraId="47494400" w14:textId="77777777" w:rsidR="00AC1882" w:rsidRDefault="00AC18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3668811"/>
      <w:docPartObj>
        <w:docPartGallery w:val="Page Numbers (Bottom of Page)"/>
        <w:docPartUnique/>
      </w:docPartObj>
    </w:sdtPr>
    <w:sdtEndPr>
      <w:rPr>
        <w:noProof/>
      </w:rPr>
    </w:sdtEndPr>
    <w:sdtContent>
      <w:p w14:paraId="0ACD4540" w14:textId="21A93321" w:rsidR="00AC1882" w:rsidRDefault="00AC1882" w:rsidP="007D682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A8391C" w14:textId="77777777" w:rsidR="00A24D1F" w:rsidRDefault="00A24D1F" w:rsidP="00634D11">
      <w:pPr>
        <w:spacing w:after="0" w:line="240" w:lineRule="auto"/>
      </w:pPr>
      <w:r>
        <w:separator/>
      </w:r>
    </w:p>
  </w:footnote>
  <w:footnote w:type="continuationSeparator" w:id="0">
    <w:p w14:paraId="06C58405" w14:textId="77777777" w:rsidR="00A24D1F" w:rsidRDefault="00A24D1F" w:rsidP="00634D11">
      <w:pPr>
        <w:spacing w:after="0" w:line="240" w:lineRule="auto"/>
      </w:pPr>
      <w:r>
        <w:continuationSeparator/>
      </w:r>
    </w:p>
  </w:footnote>
  <w:footnote w:id="1">
    <w:p w14:paraId="7ADCA3F0" w14:textId="30B1FF0F" w:rsidR="00AC1882" w:rsidRDefault="00AC1882">
      <w:pPr>
        <w:pStyle w:val="FootnoteText"/>
      </w:pPr>
      <w:r w:rsidRPr="00A8552E">
        <w:rPr>
          <w:rStyle w:val="FootnoteReference"/>
        </w:rPr>
        <w:footnoteRef/>
      </w:r>
      <w:r>
        <w:t xml:space="preserve"> The situation is a little different in some places outside the U.S. For example, Didi, once it receives a ride request, sends that request to all nearby drivers (Xu </w:t>
      </w:r>
      <w:r w:rsidRPr="006A5AF9">
        <w:rPr>
          <w:i/>
        </w:rPr>
        <w:t>et al</w:t>
      </w:r>
      <w:r>
        <w:t xml:space="preserve">., 2018; Jiang and Zhang, 2018). Drivers then respond positively or not to the request, and then Didi uses an algorithm to release the “deal” to a specific driver from among those who have responded (if no driver responds, the request is aborted). This is different from the operation of Uber and Lyft in the U.S., where the TNC directly assigns a pick-up to a specific driver (the driver has about 15 seconds to not accept, but routine non-acceptances get on the record of the driver). </w:t>
      </w:r>
    </w:p>
  </w:footnote>
  <w:footnote w:id="2">
    <w:p w14:paraId="371C5788" w14:textId="5F19544A" w:rsidR="00AC1882" w:rsidRDefault="00AC1882" w:rsidP="004842E3">
      <w:pPr>
        <w:pStyle w:val="FootnoteText"/>
      </w:pPr>
      <w:r w:rsidRPr="00A8552E">
        <w:rPr>
          <w:rStyle w:val="FootnoteReference"/>
        </w:rPr>
        <w:footnoteRef/>
      </w:r>
      <w:r>
        <w:t xml:space="preserve"> To be precise, a deadheading trip is assigned to a particular time period if its destination time-stamp is within the time period. For example, if a deadheading trip’s destination time-stamp is between 7AM and 10AM on a weekday, it is designated as an AM peak deadhead trip (that is, if a passenger is picked up between 7AM and 10AM, the previous deadheading trip leading up to the passenger pick-up is assigned to the AM peak). </w:t>
      </w:r>
    </w:p>
  </w:footnote>
  <w:footnote w:id="3">
    <w:p w14:paraId="4E01E56B" w14:textId="6388CDDF" w:rsidR="00AC1882" w:rsidRPr="00100D81" w:rsidRDefault="00AC1882" w:rsidP="00A17A93">
      <w:pPr>
        <w:pStyle w:val="FootnoteText"/>
      </w:pPr>
      <w:r w:rsidRPr="00A8552E">
        <w:rPr>
          <w:rStyle w:val="FootnoteReference"/>
        </w:rPr>
        <w:footnoteRef/>
      </w:r>
      <w:r>
        <w:t xml:space="preserve"> </w:t>
      </w:r>
      <w:r w:rsidRPr="00876C25">
        <w:rPr>
          <w:rFonts w:cs="Times New Roman"/>
        </w:rPr>
        <w:t xml:space="preserve">Note that this NPMNL would collapse to a traditional multinomial model in the case when there is a single size measure. In such a case, the </w:t>
      </w:r>
      <w:r w:rsidRPr="00BB414B">
        <w:rPr>
          <w:rFonts w:cs="Times New Roman"/>
          <w:noProof/>
          <w:position w:val="-14"/>
        </w:rPr>
        <w:object w:dxaOrig="610" w:dyaOrig="380" w14:anchorId="607E415A">
          <v:shape id="_x0000_i1092" type="#_x0000_t75" style="width:25.5pt;height:15pt" o:ole="" o:preferrelative="f">
            <v:imagedata r:id="rId1" o:title=""/>
          </v:shape>
          <o:OLEObject Type="Embed" ProgID="Equation.DSMT4" ShapeID="_x0000_i1092" DrawAspect="Content" ObjectID="_1646040617" r:id="rId2"/>
        </w:object>
      </w:r>
      <w:r w:rsidRPr="00876C25">
        <w:rPr>
          <w:rFonts w:cs="Times New Roman"/>
          <w:noProof/>
        </w:rPr>
        <w:t xml:space="preserve"> collapses to</w:t>
      </w:r>
      <w:r>
        <w:rPr>
          <w:rFonts w:cs="Times New Roman"/>
          <w:noProof/>
        </w:rPr>
        <w:t xml:space="preserve"> </w:t>
      </w:r>
      <w:r w:rsidRPr="00A17A93">
        <w:rPr>
          <w:rFonts w:cs="Times New Roman"/>
          <w:i/>
          <w:noProof/>
        </w:rPr>
        <w:t>z</w:t>
      </w:r>
      <w:r w:rsidRPr="00A17A93">
        <w:rPr>
          <w:rFonts w:cs="Times New Roman"/>
          <w:noProof/>
          <w:position w:val="-4"/>
          <w:vertAlign w:val="subscript"/>
        </w:rPr>
        <w:t>1</w:t>
      </w:r>
      <w:r w:rsidRPr="00876C25">
        <w:rPr>
          <w:rFonts w:cs="Times New Roman"/>
          <w:noProof/>
        </w:rPr>
        <w:t xml:space="preserve"> (with the normalization of 1 on this single size measure, as needed for identification)</w:t>
      </w:r>
      <w:r w:rsidRPr="00876C25">
        <w:rPr>
          <w:rFonts w:cs="Times New Roman"/>
        </w:rPr>
        <w:t xml:space="preserve">, and the utility function of Equation (2) becomes </w:t>
      </w:r>
      <w:r w:rsidRPr="00BB414B">
        <w:rPr>
          <w:rFonts w:cs="Times New Roman"/>
          <w:noProof/>
          <w:position w:val="-14"/>
        </w:rPr>
        <w:object w:dxaOrig="2688" w:dyaOrig="372" w14:anchorId="33B4AC60">
          <v:shape id="_x0000_i1094" type="#_x0000_t75" style="width:117pt;height:15pt" o:ole="" o:preferrelative="f">
            <v:imagedata r:id="rId3" o:title=""/>
          </v:shape>
          <o:OLEObject Type="Embed" ProgID="Equation.DSMT4" ShapeID="_x0000_i1094" DrawAspect="Content" ObjectID="_1646040618" r:id="rId4"/>
        </w:object>
      </w:r>
      <w:r w:rsidRPr="00876C25">
        <w:rPr>
          <w:rFonts w:cs="Times New Roman"/>
          <w:noProof/>
        </w:rPr>
        <w:t xml:space="preserve">This is the familiar linear-in-parameters utility functional form, with a log-transformation of the single size measure. But when there are multiple size measures (say </w:t>
      </w:r>
      <w:r w:rsidRPr="00A17A93">
        <w:rPr>
          <w:rFonts w:cs="Times New Roman"/>
          <w:i/>
          <w:noProof/>
        </w:rPr>
        <w:t>J</w:t>
      </w:r>
      <w:r w:rsidRPr="00876C25">
        <w:rPr>
          <w:rFonts w:cs="Times New Roman"/>
          <w:noProof/>
        </w:rPr>
        <w:t xml:space="preserve"> size measures), the utility function takes the form </w:t>
      </w:r>
      <w:r w:rsidRPr="00BB414B">
        <w:rPr>
          <w:rFonts w:cs="Times New Roman"/>
          <w:noProof/>
          <w:position w:val="-14"/>
        </w:rPr>
        <w:object w:dxaOrig="4920" w:dyaOrig="380" w14:anchorId="7C46084F">
          <v:shape id="_x0000_i1096" type="#_x0000_t75" style="width:215.25pt;height:15pt" o:ole="" o:preferrelative="f">
            <v:imagedata r:id="rId5" o:title=""/>
          </v:shape>
          <o:OLEObject Type="Embed" ProgID="Equation.DSMT4" ShapeID="_x0000_i1096" DrawAspect="Content" ObjectID="_1646040619" r:id="rId6"/>
        </w:object>
      </w:r>
      <w:r w:rsidRPr="00876C25">
        <w:rPr>
          <w:rFonts w:cs="Times New Roman"/>
          <w:noProof/>
        </w:rPr>
        <w:t>with the parameter</w:t>
      </w:r>
      <w:r>
        <w:rPr>
          <w:rFonts w:cs="Times New Roman"/>
          <w:noProof/>
        </w:rPr>
        <w:t xml:space="preserve"> </w:t>
      </w:r>
      <w:r w:rsidRPr="00A17A93">
        <w:rPr>
          <w:rFonts w:cs="Times New Roman"/>
          <w:i/>
          <w:noProof/>
        </w:rPr>
        <w:t>η</w:t>
      </w:r>
      <w:r w:rsidRPr="00876C25">
        <w:rPr>
          <w:rFonts w:cs="Times New Roman"/>
          <w:noProof/>
        </w:rPr>
        <w:t xml:space="preserve"> as well as the parameters</w:t>
      </w:r>
      <w:r>
        <w:rPr>
          <w:rFonts w:cs="Times New Roman"/>
          <w:noProof/>
        </w:rPr>
        <w:t xml:space="preserve"> </w:t>
      </w:r>
      <w:r w:rsidRPr="00BB414B">
        <w:rPr>
          <w:rFonts w:cs="Times New Roman"/>
          <w:noProof/>
          <w:position w:val="-14"/>
        </w:rPr>
        <w:object w:dxaOrig="2200" w:dyaOrig="380" w14:anchorId="3EB71993">
          <v:shape id="_x0000_i1098" type="#_x0000_t75" style="width:96pt;height:15.75pt" o:ole="" o:preferrelative="f">
            <v:imagedata r:id="rId7" o:title=""/>
          </v:shape>
          <o:OLEObject Type="Embed" ProgID="Equation.DSMT4" ShapeID="_x0000_i1098" DrawAspect="Content" ObjectID="_1646040620" r:id="rId8"/>
        </w:object>
      </w:r>
      <w:r w:rsidRPr="00876C25">
        <w:rPr>
          <w:rFonts w:cs="Times New Roman"/>
          <w:noProof/>
        </w:rPr>
        <w:t xml:space="preserve">to be estimated simultaneously. This results in the nonlinear in-parameters specification (see also Ben-Akiva and Lerman, 1985; page 260-261). </w:t>
      </w:r>
    </w:p>
  </w:footnote>
  <w:footnote w:id="4">
    <w:p w14:paraId="3FEF8821" w14:textId="4D4454D6" w:rsidR="00AC1882" w:rsidRDefault="00AC1882" w:rsidP="005A2143">
      <w:pPr>
        <w:pStyle w:val="FootnoteText"/>
      </w:pPr>
      <w:r w:rsidRPr="00A8552E">
        <w:rPr>
          <w:rStyle w:val="FootnoteReference"/>
        </w:rPr>
        <w:footnoteRef/>
      </w:r>
      <w:r>
        <w:t xml:space="preserve"> Sampling of choice sets is relatively common in </w:t>
      </w:r>
      <w:proofErr w:type="gramStart"/>
      <w:r>
        <w:t>logit based</w:t>
      </w:r>
      <w:proofErr w:type="gramEnd"/>
      <w:r>
        <w:t xml:space="preserve"> location choice modeling approaches, and enables the analyst to make a trade-off between the amount of information used for estimation and computational convenience. Previous studies have used choice set sample sizes of seven </w:t>
      </w:r>
      <w:r>
        <w:fldChar w:fldCharType="begin"/>
      </w:r>
      <w:r>
        <w:instrText xml:space="preserve"> ADDIN ZOTERO_ITEM CSL_CITATION {"citationID":"EV8dPuf3","properties":{"formattedCitation":"(Ben-Akiva et al., 1984; Bhat et al., 1998)","plainCitation":"(Ben-Akiva et al., 1984; Bhat et al., 1998)","noteIndex":4},"citationItems":[{"id":"pYE2dMDV/RC17nWG9","uris":["http://zotero.org/users/local/CJ2Dv405/items/QIXT7M36"],"uri":["http://zotero.org/users/local/CJ2Dv405/items/QIXT7M36"],"itemData":{"id":150,"type":"article-journal","container-title":"Japan Society of Civil Engineers, Proceedings","ISSN":"0578-3747","issue":"347","source":"trid.trb.org","title":"Disaggregate trip distribution models","URL":"https://trid.trb.org/view/271043","author":[{"family":"Ben-Akiva","given":"M."},{"family":"Gunn","given":"H. F."},{"family":"Silman","given":"L."}],"accessed":{"date-parts":[["2019",3,29]]},"issued":{"date-parts":[["1984",7]]}}},{"id":"pYE2dMDV/2Cmlk3T8","uris":["http://zotero.org/users/local/CJ2Dv405/items/RVXNZ7SV"],"uri":["http://zotero.org/users/local/CJ2Dv405/items/RVXNZ7SV"],"itemData":{"id":122,"type":"article-journal","container-title":"Transportation Research Record: Journal of the Transportation Research Board","DOI":"10.3141/1645-08","ISSN":"0361-1981, 2169-4052","issue":"1","language":"en","page":"60-68","source":"Crossref","title":"Disaggregate Attraction-End Choice Modeling: Formulation and Empirical Analysis","title-short":"Disaggregate Attraction-End Choice Modeling","volume":"1645","author":[{"family":"Bhat","given":"Chandra"},{"family":"Govindarajan","given":"Ajay"},{"family":"Pulugurta","given":"Vamsi"}],"issued":{"date-parts":[["1998",1]]}}}],"schema":"https://github.com/citation-style-language/schema/raw/master/csl-citation.json"} </w:instrText>
      </w:r>
      <w:r>
        <w:fldChar w:fldCharType="separate"/>
      </w:r>
      <w:r w:rsidRPr="00C76088">
        <w:rPr>
          <w:rFonts w:cs="Times New Roman"/>
        </w:rPr>
        <w:t xml:space="preserve">(Ben-Akiva </w:t>
      </w:r>
      <w:r w:rsidRPr="00797D96">
        <w:rPr>
          <w:rFonts w:cs="Times New Roman"/>
          <w:i/>
        </w:rPr>
        <w:t>et al.</w:t>
      </w:r>
      <w:r w:rsidRPr="00C76088">
        <w:rPr>
          <w:rFonts w:cs="Times New Roman"/>
        </w:rPr>
        <w:t xml:space="preserve">, 1984; Bhat </w:t>
      </w:r>
      <w:r w:rsidRPr="00797D96">
        <w:rPr>
          <w:rFonts w:cs="Times New Roman"/>
          <w:i/>
        </w:rPr>
        <w:t>et al.</w:t>
      </w:r>
      <w:r w:rsidRPr="00C76088">
        <w:rPr>
          <w:rFonts w:cs="Times New Roman"/>
        </w:rPr>
        <w:t>, 1998)</w:t>
      </w:r>
      <w:r>
        <w:fldChar w:fldCharType="end"/>
      </w:r>
      <w:r>
        <w:t xml:space="preserve">, 10 </w:t>
      </w:r>
      <w:r>
        <w:fldChar w:fldCharType="begin"/>
      </w:r>
      <w:r>
        <w:instrText xml:space="preserve"> ADDIN ZOTERO_ITEM CSL_CITATION {"citationID":"1GfEaMFL","properties":{"formattedCitation":"(Guo and Bhat, 2007; Lopez and Greenlee, 2016)","plainCitation":"(Guo and Bhat, 2007; Lopez and Greenlee, 2016)","noteIndex":4},"citationItems":[{"id":"pYE2dMDV/nVn1Yj49","uris":["http://zotero.org/users/local/CJ2Dv405/items/UZGGEZUX"],"uri":["http://zotero.org/users/local/CJ2Dv405/items/UZGGEZUX"],"itemData":{"id":399,"type":"article-journal","abstract":"In this paper, we explore different conceptualizations to represent neighborhoods in residential location choice models, and describe three alternative ways for constructing operational units to represent neighborhoods. In particular, we examine the possibility of using the census units to represent the hierarchical ‘fixed neighborhood’ definition, and the circular units and network bands to represent the hierarchical ‘sliding neighborhood’ definition. Overall, the network band definition is conceptually appealing. It also is marginally superior to the other two operational representations from a model fit standpoint.","container-title":"Journal of Transport Geography","DOI":"10.1016/j.jtrangeo.2005.11.001","ISSN":"0966-6923","issue":"1","journalAbbreviation":"Journal of Transport Geography","language":"en","page":"31-45","source":"ScienceDirect","title":"Operationalizing the concept of neighborhood: Application to residential location choice analysis","title-short":"Operationalizing the concept of neighborhood","volume":"15","author":[{"family":"Guo","given":"Jessica Y."},{"family":"Bhat","given":"Chandra R."}],"issued":{"date-parts":[["2007",1,1]]}}},{"id":"pYE2dMDV/TcVpCQm3","uris":["http://zotero.org/users/local/CJ2Dv405/items/TDXTBZVS"],"uri":["http://zotero.org/users/local/CJ2Dv405/items/TDXTBZVS"],"itemData":{"id":407,"type":"article-journal","abstract":"Urban renewal has been criticized for its unintended effects on the displacement of residents to housing situations where they are worse off. The literature concerned with housing displacement focuses on after the fact (ex post) analysis of mobility, hence providing only partial insights to prospective outcomes for residents. In this article, we develop a methodology for predicting before the fact (ex ante) spatial location outcomes for residents facing forced displacement. We ask where in the city will displaced residents locate and how do potential new locations compare to the current one? We apply this methodology to an ongoing urban renewal project in Illinois in order to predict spatial relocation patterns. Our findings show that residents facing forced displacement are likely to relocate to low-priced neighborhoods that are on average as bad or worse off in terms of housing adequacy, accessibility to labor, and shopping. These findings not only bear important implications for urban redevelopment policy, but also help to reveal spatially determined costs of moving which are not factored into current redevelopment impact evaluations.","container-title":"Applied Geography","DOI":"10.1016/j.apgeog.2016.08.013","ISSN":"0143-6228","journalAbbreviation":"Applied Geography","language":"en","page":"156-175","source":"ScienceDirect","title":"An ex-ante analysis of housing location choices due to housing displacement: The case of Bristol Place","title-short":"An ex-ante analysis of housing location choices due to housing displacement","volume":"75","author":[{"family":"Lopez","given":"Esteban"},{"family":"Greenlee","given":"Andrew"}],"issued":{"date-parts":[["2016",10,1]]}}}],"schema":"https://github.com/citation-style-language/schema/raw/master/csl-citation.json"} </w:instrText>
      </w:r>
      <w:r>
        <w:fldChar w:fldCharType="separate"/>
      </w:r>
      <w:r w:rsidRPr="00720CD8">
        <w:rPr>
          <w:rFonts w:cs="Times New Roman"/>
        </w:rPr>
        <w:t>(Guo and Bhat, 2007; Lopez and Greenlee, 2016)</w:t>
      </w:r>
      <w:r>
        <w:fldChar w:fldCharType="end"/>
      </w:r>
      <w:r>
        <w:t xml:space="preserve">, 11 </w:t>
      </w:r>
      <w:r>
        <w:fldChar w:fldCharType="begin"/>
      </w:r>
      <w:r>
        <w:instrText xml:space="preserve"> ADDIN ZOTERO_ITEM CSL_CITATION {"citationID":"BrzkIiql","properties":{"formattedCitation":"(Ben-Akiva et al., 1984)","plainCitation":"(Ben-Akiva et al., 1984)","noteIndex":4},"citationItems":[{"id":"pYE2dMDV/RC17nWG9","uris":["http://zotero.org/users/local/CJ2Dv405/items/QIXT7M36"],"uri":["http://zotero.org/users/local/CJ2Dv405/items/QIXT7M36"],"itemData":{"id":150,"type":"article-journal","container-title":"Japan Society of Civil Engineers, Proceedings","ISSN":"0578-3747","issue":"347","source":"trid.trb.org","title":"Disaggregate trip distribution models","URL":"https://trid.trb.org/view/271043","author":[{"family":"Ben-Akiva","given":"M."},{"family":"Gunn","given":"H. F."},{"family":"Silman","given":"L."}],"accessed":{"date-parts":[["2019",3,29]]},"issued":{"date-parts":[["1984",7]]}}}],"schema":"https://github.com/citation-style-language/schema/raw/master/csl-citation.json"} </w:instrText>
      </w:r>
      <w:r>
        <w:fldChar w:fldCharType="separate"/>
      </w:r>
      <w:r w:rsidRPr="00720CD8">
        <w:rPr>
          <w:rFonts w:cs="Times New Roman"/>
        </w:rPr>
        <w:t xml:space="preserve">(Ben-Akiva </w:t>
      </w:r>
      <w:r w:rsidRPr="00797D96">
        <w:rPr>
          <w:rFonts w:cs="Times New Roman"/>
          <w:i/>
        </w:rPr>
        <w:t>et al.</w:t>
      </w:r>
      <w:r w:rsidRPr="00720CD8">
        <w:rPr>
          <w:rFonts w:cs="Times New Roman"/>
        </w:rPr>
        <w:t>, 1984)</w:t>
      </w:r>
      <w:r>
        <w:fldChar w:fldCharType="end"/>
      </w:r>
      <w:r>
        <w:t xml:space="preserve"> and 30 </w:t>
      </w:r>
      <w:r>
        <w:fldChar w:fldCharType="begin"/>
      </w:r>
      <w:r>
        <w:instrText xml:space="preserve"> ADDIN ZOTERO_ITEM CSL_CITATION {"citationID":"WOQauSxY","properties":{"formattedCitation":"(Zhang and Guhathakurta, 2018)","plainCitation":"(Zhang and Guhathakurta, 2018)","noteIndex":4},"citationItems":[{"id":"pYE2dMDV/c4VANozG","uris":["http://zotero.org/users/local/CJ2Dv405/items/CVRBPYFN"],"uri":["http://zotero.org/users/local/CJ2Dv405/items/CVRBPYFN"],"itemData":{"id":404,"type":"article-journal","abstract":"This study examines the potential changes in residential location choice in a scenario where shared autonomous vehicles (SAVs) are a popular mode of travel in the Atlanta metropolitan area. This hypothetical study is based on an agent-based simulation approach, which integrates residential location choice models with a SAV simulation model. The coupled model simulates future home location choices given current home location preferences and real estate development patterns. The results indicate that commuters may relocate to neighborhoods with better public schools and more amenities due to reductions in commute costs.","container-title":"Journal of Planning Education and Research","DOI":"10.1177/0739456X18776062","ISSN":"0739-456X","journalAbbreviation":"Journal of Planning Education and Research","language":"en","page":"0739456X18776062","source":"SAGE Journals","title":"Residential Location Choice in the Era of Shared Autonomous Vehicles","author":[{"family":"Zhang","given":"Wenwen"},{"family":"Guhathakurta","given":"Subhrajit"}],"issued":{"date-parts":[["2018",5,28]]}}}],"schema":"https://github.com/citation-style-language/schema/raw/master/csl-citation.json"} </w:instrText>
      </w:r>
      <w:r>
        <w:fldChar w:fldCharType="separate"/>
      </w:r>
      <w:r w:rsidRPr="00720CD8">
        <w:rPr>
          <w:rFonts w:cs="Times New Roman"/>
        </w:rPr>
        <w:t>(Zhang and Guhathakurta, 2018)</w:t>
      </w:r>
      <w:r>
        <w:fldChar w:fldCharType="end"/>
      </w:r>
      <w:r>
        <w:t>.</w:t>
      </w:r>
    </w:p>
  </w:footnote>
  <w:footnote w:id="5">
    <w:p w14:paraId="3E3DFEBA" w14:textId="7FB9DE25" w:rsidR="00AC1882" w:rsidRDefault="00AC1882" w:rsidP="00A31847">
      <w:pPr>
        <w:pStyle w:val="FootnoteText"/>
      </w:pPr>
      <w:r>
        <w:rPr>
          <w:rStyle w:val="FootnoteReference"/>
        </w:rPr>
        <w:footnoteRef/>
      </w:r>
      <w:r>
        <w:t xml:space="preserve"> The travel time from a TAZ to itself (intra-zonal travel time) is assumed to be half the travel time to the nearest TAZ (</w:t>
      </w:r>
      <w:proofErr w:type="spellStart"/>
      <w:r>
        <w:t>Venigalla</w:t>
      </w:r>
      <w:proofErr w:type="spellEnd"/>
      <w:r>
        <w:t xml:space="preserve"> </w:t>
      </w:r>
      <w:r w:rsidRPr="006E6152">
        <w:rPr>
          <w:i/>
        </w:rPr>
        <w:t>et al</w:t>
      </w:r>
      <w:r>
        <w:t>., 1999).</w:t>
      </w:r>
    </w:p>
  </w:footnote>
  <w:footnote w:id="6">
    <w:p w14:paraId="6F4CE751" w14:textId="77777777" w:rsidR="00AC1882" w:rsidRDefault="00AC1882" w:rsidP="001D7149">
      <w:pPr>
        <w:pStyle w:val="FootnoteText"/>
      </w:pPr>
      <w:r w:rsidRPr="00A8552E">
        <w:rPr>
          <w:rStyle w:val="FootnoteReference"/>
        </w:rPr>
        <w:footnoteRef/>
      </w:r>
      <w:r>
        <w:t xml:space="preserve"> </w:t>
      </w:r>
      <w:hyperlink r:id="rId9" w:history="1">
        <w:r w:rsidRPr="00F3403A">
          <w:rPr>
            <w:rStyle w:val="Hyperlink"/>
          </w:rPr>
          <w:t>https://outreach.didichuxing.com/research/opendata/en/</w:t>
        </w:r>
      </w:hyperlink>
      <w:r>
        <w:t xml:space="preserve"> </w:t>
      </w:r>
    </w:p>
  </w:footnote>
  <w:footnote w:id="7">
    <w:p w14:paraId="7452FB5E" w14:textId="77777777" w:rsidR="00AC1882" w:rsidRDefault="00AC1882" w:rsidP="001D7149">
      <w:pPr>
        <w:pStyle w:val="FootnoteText"/>
      </w:pPr>
      <w:r w:rsidRPr="00A8552E">
        <w:rPr>
          <w:rStyle w:val="FootnoteReference"/>
        </w:rPr>
        <w:footnoteRef/>
      </w:r>
      <w:r>
        <w:t xml:space="preserve"> </w:t>
      </w:r>
      <w:hyperlink r:id="rId10" w:history="1">
        <w:r w:rsidRPr="00F3403A">
          <w:rPr>
            <w:rStyle w:val="Hyperlink"/>
          </w:rPr>
          <w:t>https://data.cityofchicago.org/Transportation/Transportation-Network-Providers-Trips/m6dm-c72p</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64CBFC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05E33"/>
    <w:multiLevelType w:val="hybridMultilevel"/>
    <w:tmpl w:val="05364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C4BA2"/>
    <w:multiLevelType w:val="hybridMultilevel"/>
    <w:tmpl w:val="A4781222"/>
    <w:lvl w:ilvl="0" w:tplc="5E3CAE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AD558F"/>
    <w:multiLevelType w:val="hybridMultilevel"/>
    <w:tmpl w:val="21643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F50B54"/>
    <w:multiLevelType w:val="hybridMultilevel"/>
    <w:tmpl w:val="A35A2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8771DA"/>
    <w:multiLevelType w:val="hybridMultilevel"/>
    <w:tmpl w:val="F5DE0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7616A5"/>
    <w:multiLevelType w:val="hybridMultilevel"/>
    <w:tmpl w:val="43AA4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881CF9"/>
    <w:multiLevelType w:val="hybridMultilevel"/>
    <w:tmpl w:val="39C22F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3E6EDF"/>
    <w:multiLevelType w:val="hybridMultilevel"/>
    <w:tmpl w:val="42542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733A4B"/>
    <w:multiLevelType w:val="hybridMultilevel"/>
    <w:tmpl w:val="EB7A5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C554E7"/>
    <w:multiLevelType w:val="hybridMultilevel"/>
    <w:tmpl w:val="E2EE5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044734"/>
    <w:multiLevelType w:val="hybridMultilevel"/>
    <w:tmpl w:val="23A8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EE3883"/>
    <w:multiLevelType w:val="hybridMultilevel"/>
    <w:tmpl w:val="A78E8B06"/>
    <w:lvl w:ilvl="0" w:tplc="3006C002">
      <w:start w:val="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675BA5"/>
    <w:multiLevelType w:val="hybridMultilevel"/>
    <w:tmpl w:val="E65CD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B71F8A"/>
    <w:multiLevelType w:val="hybridMultilevel"/>
    <w:tmpl w:val="DB481812"/>
    <w:lvl w:ilvl="0" w:tplc="095697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7E72B7B"/>
    <w:multiLevelType w:val="hybridMultilevel"/>
    <w:tmpl w:val="F8A0C4BA"/>
    <w:lvl w:ilvl="0" w:tplc="D35878FC">
      <w:start w:val="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AF2287"/>
    <w:multiLevelType w:val="hybridMultilevel"/>
    <w:tmpl w:val="4EE06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F268B7"/>
    <w:multiLevelType w:val="hybridMultilevel"/>
    <w:tmpl w:val="F2E4A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DB40D4"/>
    <w:multiLevelType w:val="hybridMultilevel"/>
    <w:tmpl w:val="6F963E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4804BA3"/>
    <w:multiLevelType w:val="hybridMultilevel"/>
    <w:tmpl w:val="6F163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BC465C"/>
    <w:multiLevelType w:val="hybridMultilevel"/>
    <w:tmpl w:val="0B32C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B84070"/>
    <w:multiLevelType w:val="hybridMultilevel"/>
    <w:tmpl w:val="B1906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473DFC"/>
    <w:multiLevelType w:val="multilevel"/>
    <w:tmpl w:val="04090025"/>
    <w:lvl w:ilvl="0">
      <w:start w:val="1"/>
      <w:numFmt w:val="decimal"/>
      <w:pStyle w:val="Heading1"/>
      <w:lvlText w:val="%1"/>
      <w:lvlJc w:val="left"/>
      <w:pPr>
        <w:ind w:left="3222" w:hanging="432"/>
      </w:pPr>
    </w:lvl>
    <w:lvl w:ilvl="1">
      <w:start w:val="1"/>
      <w:numFmt w:val="decimal"/>
      <w:pStyle w:val="Heading2"/>
      <w:lvlText w:val="%1.%2"/>
      <w:lvlJc w:val="left"/>
      <w:pPr>
        <w:ind w:left="576" w:hanging="576"/>
      </w:pPr>
    </w:lvl>
    <w:lvl w:ilvl="2">
      <w:start w:val="1"/>
      <w:numFmt w:val="decimal"/>
      <w:pStyle w:val="Heading3"/>
      <w:lvlText w:val="%1.%2.%3"/>
      <w:lvlJc w:val="left"/>
      <w:pPr>
        <w:ind w:left="378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6AC66F0E"/>
    <w:multiLevelType w:val="hybridMultilevel"/>
    <w:tmpl w:val="9B2A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AE3BAC"/>
    <w:multiLevelType w:val="hybridMultilevel"/>
    <w:tmpl w:val="8A8A5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684665"/>
    <w:multiLevelType w:val="hybridMultilevel"/>
    <w:tmpl w:val="A6D27598"/>
    <w:lvl w:ilvl="0" w:tplc="C66243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6D04BA2"/>
    <w:multiLevelType w:val="hybridMultilevel"/>
    <w:tmpl w:val="A9220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676B4E"/>
    <w:multiLevelType w:val="hybridMultilevel"/>
    <w:tmpl w:val="A5E4BB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0A201E"/>
    <w:multiLevelType w:val="hybridMultilevel"/>
    <w:tmpl w:val="BA8E6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22"/>
  </w:num>
  <w:num w:numId="4">
    <w:abstractNumId w:val="18"/>
  </w:num>
  <w:num w:numId="5">
    <w:abstractNumId w:val="1"/>
  </w:num>
  <w:num w:numId="6">
    <w:abstractNumId w:val="20"/>
  </w:num>
  <w:num w:numId="7">
    <w:abstractNumId w:val="17"/>
  </w:num>
  <w:num w:numId="8">
    <w:abstractNumId w:val="21"/>
  </w:num>
  <w:num w:numId="9">
    <w:abstractNumId w:val="23"/>
  </w:num>
  <w:num w:numId="10">
    <w:abstractNumId w:val="8"/>
  </w:num>
  <w:num w:numId="11">
    <w:abstractNumId w:val="27"/>
  </w:num>
  <w:num w:numId="12">
    <w:abstractNumId w:val="14"/>
  </w:num>
  <w:num w:numId="13">
    <w:abstractNumId w:val="4"/>
  </w:num>
  <w:num w:numId="14">
    <w:abstractNumId w:val="24"/>
  </w:num>
  <w:num w:numId="15">
    <w:abstractNumId w:val="13"/>
  </w:num>
  <w:num w:numId="16">
    <w:abstractNumId w:val="25"/>
  </w:num>
  <w:num w:numId="17">
    <w:abstractNumId w:val="3"/>
  </w:num>
  <w:num w:numId="18">
    <w:abstractNumId w:val="28"/>
  </w:num>
  <w:num w:numId="19">
    <w:abstractNumId w:val="16"/>
  </w:num>
  <w:num w:numId="20">
    <w:abstractNumId w:val="2"/>
  </w:num>
  <w:num w:numId="21">
    <w:abstractNumId w:val="5"/>
  </w:num>
  <w:num w:numId="22">
    <w:abstractNumId w:val="11"/>
  </w:num>
  <w:num w:numId="23">
    <w:abstractNumId w:val="0"/>
  </w:num>
  <w:num w:numId="24">
    <w:abstractNumId w:val="10"/>
  </w:num>
  <w:num w:numId="25">
    <w:abstractNumId w:val="12"/>
  </w:num>
  <w:num w:numId="26">
    <w:abstractNumId w:val="15"/>
  </w:num>
  <w:num w:numId="27">
    <w:abstractNumId w:val="9"/>
  </w:num>
  <w:num w:numId="28">
    <w:abstractNumId w:val="26"/>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765"/>
    <w:rsid w:val="00000231"/>
    <w:rsid w:val="00001567"/>
    <w:rsid w:val="00006613"/>
    <w:rsid w:val="00006959"/>
    <w:rsid w:val="00007A50"/>
    <w:rsid w:val="000108FE"/>
    <w:rsid w:val="000111DB"/>
    <w:rsid w:val="000128FC"/>
    <w:rsid w:val="000129A0"/>
    <w:rsid w:val="00012AE2"/>
    <w:rsid w:val="00013BFE"/>
    <w:rsid w:val="000143C7"/>
    <w:rsid w:val="00015381"/>
    <w:rsid w:val="00016601"/>
    <w:rsid w:val="000167FD"/>
    <w:rsid w:val="00020841"/>
    <w:rsid w:val="00021125"/>
    <w:rsid w:val="000219DE"/>
    <w:rsid w:val="00021A45"/>
    <w:rsid w:val="00022138"/>
    <w:rsid w:val="000235A7"/>
    <w:rsid w:val="00023F97"/>
    <w:rsid w:val="000246C8"/>
    <w:rsid w:val="000249B6"/>
    <w:rsid w:val="00024EC5"/>
    <w:rsid w:val="00025368"/>
    <w:rsid w:val="00025B3B"/>
    <w:rsid w:val="000264FF"/>
    <w:rsid w:val="00030141"/>
    <w:rsid w:val="00033BEB"/>
    <w:rsid w:val="00034121"/>
    <w:rsid w:val="00035C27"/>
    <w:rsid w:val="00036DE9"/>
    <w:rsid w:val="000426FD"/>
    <w:rsid w:val="00042C8D"/>
    <w:rsid w:val="00043C1F"/>
    <w:rsid w:val="0004562E"/>
    <w:rsid w:val="0004576D"/>
    <w:rsid w:val="000467AF"/>
    <w:rsid w:val="00047D26"/>
    <w:rsid w:val="00050774"/>
    <w:rsid w:val="000508D3"/>
    <w:rsid w:val="000510CA"/>
    <w:rsid w:val="000520E2"/>
    <w:rsid w:val="00052785"/>
    <w:rsid w:val="00052ABA"/>
    <w:rsid w:val="00054D76"/>
    <w:rsid w:val="00054FC4"/>
    <w:rsid w:val="00055B1F"/>
    <w:rsid w:val="00056768"/>
    <w:rsid w:val="00056B44"/>
    <w:rsid w:val="000570DF"/>
    <w:rsid w:val="00060C4F"/>
    <w:rsid w:val="000612F0"/>
    <w:rsid w:val="00062CEC"/>
    <w:rsid w:val="00063777"/>
    <w:rsid w:val="00063DE1"/>
    <w:rsid w:val="00064891"/>
    <w:rsid w:val="00065072"/>
    <w:rsid w:val="000650A7"/>
    <w:rsid w:val="0006560E"/>
    <w:rsid w:val="00066FE2"/>
    <w:rsid w:val="000719B4"/>
    <w:rsid w:val="00071DA1"/>
    <w:rsid w:val="0007365E"/>
    <w:rsid w:val="000739C4"/>
    <w:rsid w:val="0007615A"/>
    <w:rsid w:val="000770D9"/>
    <w:rsid w:val="00077D78"/>
    <w:rsid w:val="00077FA4"/>
    <w:rsid w:val="00082767"/>
    <w:rsid w:val="00082859"/>
    <w:rsid w:val="000841D3"/>
    <w:rsid w:val="000844C9"/>
    <w:rsid w:val="00084501"/>
    <w:rsid w:val="00084919"/>
    <w:rsid w:val="0008796D"/>
    <w:rsid w:val="000928A1"/>
    <w:rsid w:val="0009532E"/>
    <w:rsid w:val="00095A6A"/>
    <w:rsid w:val="00095F18"/>
    <w:rsid w:val="00096358"/>
    <w:rsid w:val="00096553"/>
    <w:rsid w:val="00096C6C"/>
    <w:rsid w:val="00096F96"/>
    <w:rsid w:val="000A0944"/>
    <w:rsid w:val="000A198D"/>
    <w:rsid w:val="000A33F7"/>
    <w:rsid w:val="000A472E"/>
    <w:rsid w:val="000A4859"/>
    <w:rsid w:val="000B029B"/>
    <w:rsid w:val="000B084C"/>
    <w:rsid w:val="000B197D"/>
    <w:rsid w:val="000B2205"/>
    <w:rsid w:val="000B2999"/>
    <w:rsid w:val="000B386A"/>
    <w:rsid w:val="000B38E6"/>
    <w:rsid w:val="000B39C2"/>
    <w:rsid w:val="000B4CA0"/>
    <w:rsid w:val="000B637D"/>
    <w:rsid w:val="000B705A"/>
    <w:rsid w:val="000B70AE"/>
    <w:rsid w:val="000C0EB7"/>
    <w:rsid w:val="000C1968"/>
    <w:rsid w:val="000C19F3"/>
    <w:rsid w:val="000C1C8A"/>
    <w:rsid w:val="000C1D7B"/>
    <w:rsid w:val="000C2353"/>
    <w:rsid w:val="000C4D6A"/>
    <w:rsid w:val="000C5CDD"/>
    <w:rsid w:val="000C5F44"/>
    <w:rsid w:val="000C67CC"/>
    <w:rsid w:val="000C6884"/>
    <w:rsid w:val="000C6C9F"/>
    <w:rsid w:val="000C73C7"/>
    <w:rsid w:val="000D0F54"/>
    <w:rsid w:val="000D0F67"/>
    <w:rsid w:val="000D31D2"/>
    <w:rsid w:val="000D36CE"/>
    <w:rsid w:val="000D55F5"/>
    <w:rsid w:val="000D59A9"/>
    <w:rsid w:val="000E08DE"/>
    <w:rsid w:val="000E0E1D"/>
    <w:rsid w:val="000E2C60"/>
    <w:rsid w:val="000E35CE"/>
    <w:rsid w:val="000E3915"/>
    <w:rsid w:val="000E43DF"/>
    <w:rsid w:val="000E441A"/>
    <w:rsid w:val="000E606B"/>
    <w:rsid w:val="000E6CAE"/>
    <w:rsid w:val="000F0041"/>
    <w:rsid w:val="000F1EB6"/>
    <w:rsid w:val="000F27C8"/>
    <w:rsid w:val="000F3BAB"/>
    <w:rsid w:val="000F48D6"/>
    <w:rsid w:val="000F49AD"/>
    <w:rsid w:val="000F5558"/>
    <w:rsid w:val="000F5A9B"/>
    <w:rsid w:val="000F5CC5"/>
    <w:rsid w:val="000F607D"/>
    <w:rsid w:val="000F65C7"/>
    <w:rsid w:val="000F6D04"/>
    <w:rsid w:val="000F70A6"/>
    <w:rsid w:val="000F7761"/>
    <w:rsid w:val="000F7910"/>
    <w:rsid w:val="000F794A"/>
    <w:rsid w:val="00100D81"/>
    <w:rsid w:val="00100F88"/>
    <w:rsid w:val="0010263A"/>
    <w:rsid w:val="00103829"/>
    <w:rsid w:val="00103C25"/>
    <w:rsid w:val="00104298"/>
    <w:rsid w:val="00105512"/>
    <w:rsid w:val="0010666D"/>
    <w:rsid w:val="001105CC"/>
    <w:rsid w:val="001106EB"/>
    <w:rsid w:val="00110ECB"/>
    <w:rsid w:val="00111513"/>
    <w:rsid w:val="0011158A"/>
    <w:rsid w:val="0011414F"/>
    <w:rsid w:val="00115118"/>
    <w:rsid w:val="00115934"/>
    <w:rsid w:val="0011626F"/>
    <w:rsid w:val="00121EC9"/>
    <w:rsid w:val="0012254C"/>
    <w:rsid w:val="00122BDE"/>
    <w:rsid w:val="00123D5E"/>
    <w:rsid w:val="00125542"/>
    <w:rsid w:val="001278F4"/>
    <w:rsid w:val="001312C1"/>
    <w:rsid w:val="001318D1"/>
    <w:rsid w:val="0013193F"/>
    <w:rsid w:val="001320F2"/>
    <w:rsid w:val="001321C5"/>
    <w:rsid w:val="001347AB"/>
    <w:rsid w:val="001356EA"/>
    <w:rsid w:val="00136380"/>
    <w:rsid w:val="001377CE"/>
    <w:rsid w:val="0014014B"/>
    <w:rsid w:val="00142558"/>
    <w:rsid w:val="00143216"/>
    <w:rsid w:val="00143377"/>
    <w:rsid w:val="001450A4"/>
    <w:rsid w:val="0014670F"/>
    <w:rsid w:val="00146C03"/>
    <w:rsid w:val="001472AF"/>
    <w:rsid w:val="00147D10"/>
    <w:rsid w:val="00150442"/>
    <w:rsid w:val="00150518"/>
    <w:rsid w:val="00151E5D"/>
    <w:rsid w:val="00152062"/>
    <w:rsid w:val="00152FCD"/>
    <w:rsid w:val="00153216"/>
    <w:rsid w:val="00154AC1"/>
    <w:rsid w:val="00155F45"/>
    <w:rsid w:val="00156240"/>
    <w:rsid w:val="00156DB1"/>
    <w:rsid w:val="0016042B"/>
    <w:rsid w:val="00160DC8"/>
    <w:rsid w:val="0016209F"/>
    <w:rsid w:val="00163EDC"/>
    <w:rsid w:val="0016470F"/>
    <w:rsid w:val="001647D6"/>
    <w:rsid w:val="00164B3F"/>
    <w:rsid w:val="00164F9D"/>
    <w:rsid w:val="00166D78"/>
    <w:rsid w:val="00167B4F"/>
    <w:rsid w:val="001737C3"/>
    <w:rsid w:val="001749EB"/>
    <w:rsid w:val="00176292"/>
    <w:rsid w:val="00176404"/>
    <w:rsid w:val="0017643A"/>
    <w:rsid w:val="0017692D"/>
    <w:rsid w:val="0018111A"/>
    <w:rsid w:val="001812BE"/>
    <w:rsid w:val="00181CA6"/>
    <w:rsid w:val="00181E4A"/>
    <w:rsid w:val="00182170"/>
    <w:rsid w:val="00183E01"/>
    <w:rsid w:val="00185069"/>
    <w:rsid w:val="001850FC"/>
    <w:rsid w:val="0018595C"/>
    <w:rsid w:val="00185A97"/>
    <w:rsid w:val="00186F1B"/>
    <w:rsid w:val="00187DFD"/>
    <w:rsid w:val="00190092"/>
    <w:rsid w:val="00190A22"/>
    <w:rsid w:val="0019293B"/>
    <w:rsid w:val="0019303D"/>
    <w:rsid w:val="00193E61"/>
    <w:rsid w:val="00193F9E"/>
    <w:rsid w:val="001946C5"/>
    <w:rsid w:val="00194E44"/>
    <w:rsid w:val="0019679B"/>
    <w:rsid w:val="0019705A"/>
    <w:rsid w:val="00197697"/>
    <w:rsid w:val="0019781D"/>
    <w:rsid w:val="00197961"/>
    <w:rsid w:val="001A0682"/>
    <w:rsid w:val="001A0D00"/>
    <w:rsid w:val="001A2D7A"/>
    <w:rsid w:val="001A3880"/>
    <w:rsid w:val="001A3978"/>
    <w:rsid w:val="001A451E"/>
    <w:rsid w:val="001A50FF"/>
    <w:rsid w:val="001A521B"/>
    <w:rsid w:val="001A571E"/>
    <w:rsid w:val="001A697E"/>
    <w:rsid w:val="001B06DA"/>
    <w:rsid w:val="001B1B45"/>
    <w:rsid w:val="001B1CBB"/>
    <w:rsid w:val="001B21DE"/>
    <w:rsid w:val="001B2A09"/>
    <w:rsid w:val="001B2B0D"/>
    <w:rsid w:val="001B2D96"/>
    <w:rsid w:val="001B32FA"/>
    <w:rsid w:val="001B377D"/>
    <w:rsid w:val="001B4142"/>
    <w:rsid w:val="001B4DE2"/>
    <w:rsid w:val="001B555B"/>
    <w:rsid w:val="001C0931"/>
    <w:rsid w:val="001C0940"/>
    <w:rsid w:val="001C2141"/>
    <w:rsid w:val="001C3EB4"/>
    <w:rsid w:val="001C41C0"/>
    <w:rsid w:val="001C47BB"/>
    <w:rsid w:val="001C50EB"/>
    <w:rsid w:val="001C52E3"/>
    <w:rsid w:val="001C5A95"/>
    <w:rsid w:val="001C64F4"/>
    <w:rsid w:val="001C6794"/>
    <w:rsid w:val="001C7030"/>
    <w:rsid w:val="001C78C3"/>
    <w:rsid w:val="001D1C3F"/>
    <w:rsid w:val="001D2BB6"/>
    <w:rsid w:val="001D3008"/>
    <w:rsid w:val="001D3391"/>
    <w:rsid w:val="001D3EB5"/>
    <w:rsid w:val="001D63D7"/>
    <w:rsid w:val="001D7149"/>
    <w:rsid w:val="001D786D"/>
    <w:rsid w:val="001E0A6C"/>
    <w:rsid w:val="001E0F26"/>
    <w:rsid w:val="001E2685"/>
    <w:rsid w:val="001E32B2"/>
    <w:rsid w:val="001E38BA"/>
    <w:rsid w:val="001E39EC"/>
    <w:rsid w:val="001E425F"/>
    <w:rsid w:val="001E5CEE"/>
    <w:rsid w:val="001E70EC"/>
    <w:rsid w:val="001F05A9"/>
    <w:rsid w:val="001F12C1"/>
    <w:rsid w:val="001F471A"/>
    <w:rsid w:val="001F486F"/>
    <w:rsid w:val="001F511B"/>
    <w:rsid w:val="001F5BE3"/>
    <w:rsid w:val="001F5F9B"/>
    <w:rsid w:val="001F6056"/>
    <w:rsid w:val="001F6729"/>
    <w:rsid w:val="001F6C4A"/>
    <w:rsid w:val="001F721A"/>
    <w:rsid w:val="001F7888"/>
    <w:rsid w:val="0020021D"/>
    <w:rsid w:val="0021001B"/>
    <w:rsid w:val="0021066E"/>
    <w:rsid w:val="00210942"/>
    <w:rsid w:val="00210DDD"/>
    <w:rsid w:val="00211295"/>
    <w:rsid w:val="0021167D"/>
    <w:rsid w:val="00212C31"/>
    <w:rsid w:val="00217227"/>
    <w:rsid w:val="002204D8"/>
    <w:rsid w:val="002209F0"/>
    <w:rsid w:val="00221E3E"/>
    <w:rsid w:val="00222E3D"/>
    <w:rsid w:val="002232B9"/>
    <w:rsid w:val="0022414D"/>
    <w:rsid w:val="0022529F"/>
    <w:rsid w:val="00225325"/>
    <w:rsid w:val="0022535F"/>
    <w:rsid w:val="0022563B"/>
    <w:rsid w:val="0022601C"/>
    <w:rsid w:val="00231A3C"/>
    <w:rsid w:val="00232352"/>
    <w:rsid w:val="002323A9"/>
    <w:rsid w:val="002324DC"/>
    <w:rsid w:val="00232C6F"/>
    <w:rsid w:val="002333F8"/>
    <w:rsid w:val="00233844"/>
    <w:rsid w:val="00233C45"/>
    <w:rsid w:val="002349F8"/>
    <w:rsid w:val="0023618C"/>
    <w:rsid w:val="00236D8B"/>
    <w:rsid w:val="00237062"/>
    <w:rsid w:val="00237FD8"/>
    <w:rsid w:val="00243524"/>
    <w:rsid w:val="0024371E"/>
    <w:rsid w:val="00245FE6"/>
    <w:rsid w:val="00246B60"/>
    <w:rsid w:val="00247973"/>
    <w:rsid w:val="00247B57"/>
    <w:rsid w:val="00247FD8"/>
    <w:rsid w:val="002501ED"/>
    <w:rsid w:val="00252614"/>
    <w:rsid w:val="00252842"/>
    <w:rsid w:val="00252DBE"/>
    <w:rsid w:val="00253156"/>
    <w:rsid w:val="002537BF"/>
    <w:rsid w:val="00253C9E"/>
    <w:rsid w:val="002551FF"/>
    <w:rsid w:val="00256B64"/>
    <w:rsid w:val="00261173"/>
    <w:rsid w:val="00261753"/>
    <w:rsid w:val="00263A24"/>
    <w:rsid w:val="002647FF"/>
    <w:rsid w:val="00264BE6"/>
    <w:rsid w:val="00265820"/>
    <w:rsid w:val="00265FBE"/>
    <w:rsid w:val="00266169"/>
    <w:rsid w:val="00272902"/>
    <w:rsid w:val="0027337F"/>
    <w:rsid w:val="00273B79"/>
    <w:rsid w:val="0027518A"/>
    <w:rsid w:val="0027525C"/>
    <w:rsid w:val="00276182"/>
    <w:rsid w:val="0028069A"/>
    <w:rsid w:val="00282210"/>
    <w:rsid w:val="002823C6"/>
    <w:rsid w:val="002828B3"/>
    <w:rsid w:val="00283668"/>
    <w:rsid w:val="002846B2"/>
    <w:rsid w:val="00284932"/>
    <w:rsid w:val="00284A87"/>
    <w:rsid w:val="00284B8F"/>
    <w:rsid w:val="00284E28"/>
    <w:rsid w:val="00287156"/>
    <w:rsid w:val="00287848"/>
    <w:rsid w:val="00287855"/>
    <w:rsid w:val="00287E86"/>
    <w:rsid w:val="00290368"/>
    <w:rsid w:val="00291FEF"/>
    <w:rsid w:val="00292061"/>
    <w:rsid w:val="002925EA"/>
    <w:rsid w:val="002926A9"/>
    <w:rsid w:val="00295886"/>
    <w:rsid w:val="00295A59"/>
    <w:rsid w:val="00295DA0"/>
    <w:rsid w:val="00296305"/>
    <w:rsid w:val="002979BC"/>
    <w:rsid w:val="002A0374"/>
    <w:rsid w:val="002A18BE"/>
    <w:rsid w:val="002A20C7"/>
    <w:rsid w:val="002A4966"/>
    <w:rsid w:val="002A73B1"/>
    <w:rsid w:val="002A7E6E"/>
    <w:rsid w:val="002B008E"/>
    <w:rsid w:val="002B0E7E"/>
    <w:rsid w:val="002B11EF"/>
    <w:rsid w:val="002B1920"/>
    <w:rsid w:val="002B27BA"/>
    <w:rsid w:val="002B2F3F"/>
    <w:rsid w:val="002B374B"/>
    <w:rsid w:val="002B49AB"/>
    <w:rsid w:val="002B4C86"/>
    <w:rsid w:val="002B5DAA"/>
    <w:rsid w:val="002B6C7D"/>
    <w:rsid w:val="002C06EE"/>
    <w:rsid w:val="002C070F"/>
    <w:rsid w:val="002C27CD"/>
    <w:rsid w:val="002C3598"/>
    <w:rsid w:val="002C561D"/>
    <w:rsid w:val="002C5AFC"/>
    <w:rsid w:val="002C664C"/>
    <w:rsid w:val="002C69DE"/>
    <w:rsid w:val="002C7926"/>
    <w:rsid w:val="002D01A7"/>
    <w:rsid w:val="002D02FA"/>
    <w:rsid w:val="002D2A75"/>
    <w:rsid w:val="002D448F"/>
    <w:rsid w:val="002D53E8"/>
    <w:rsid w:val="002D56E0"/>
    <w:rsid w:val="002D5E32"/>
    <w:rsid w:val="002E1B10"/>
    <w:rsid w:val="002E2AC7"/>
    <w:rsid w:val="002E3154"/>
    <w:rsid w:val="002E3C76"/>
    <w:rsid w:val="002E527C"/>
    <w:rsid w:val="002E5C6E"/>
    <w:rsid w:val="002E5E5C"/>
    <w:rsid w:val="002E63E7"/>
    <w:rsid w:val="002E6D6E"/>
    <w:rsid w:val="002E77B1"/>
    <w:rsid w:val="002F1481"/>
    <w:rsid w:val="002F30A9"/>
    <w:rsid w:val="002F335D"/>
    <w:rsid w:val="002F627C"/>
    <w:rsid w:val="002F6960"/>
    <w:rsid w:val="002F6F6B"/>
    <w:rsid w:val="002F72E6"/>
    <w:rsid w:val="002F783A"/>
    <w:rsid w:val="002F7BC9"/>
    <w:rsid w:val="0030038A"/>
    <w:rsid w:val="00302917"/>
    <w:rsid w:val="00303464"/>
    <w:rsid w:val="00303753"/>
    <w:rsid w:val="0030385F"/>
    <w:rsid w:val="00303C80"/>
    <w:rsid w:val="0030645B"/>
    <w:rsid w:val="003065DA"/>
    <w:rsid w:val="003077B1"/>
    <w:rsid w:val="00310132"/>
    <w:rsid w:val="00310266"/>
    <w:rsid w:val="0031366B"/>
    <w:rsid w:val="003140D3"/>
    <w:rsid w:val="00314F02"/>
    <w:rsid w:val="003171F8"/>
    <w:rsid w:val="003175EB"/>
    <w:rsid w:val="00317627"/>
    <w:rsid w:val="00317979"/>
    <w:rsid w:val="00317C63"/>
    <w:rsid w:val="0032019D"/>
    <w:rsid w:val="00320261"/>
    <w:rsid w:val="0032113E"/>
    <w:rsid w:val="00321646"/>
    <w:rsid w:val="00323017"/>
    <w:rsid w:val="003256EE"/>
    <w:rsid w:val="00325748"/>
    <w:rsid w:val="00325B53"/>
    <w:rsid w:val="003306C2"/>
    <w:rsid w:val="00331684"/>
    <w:rsid w:val="003316CE"/>
    <w:rsid w:val="00332008"/>
    <w:rsid w:val="003329E6"/>
    <w:rsid w:val="00332BBD"/>
    <w:rsid w:val="00332F2E"/>
    <w:rsid w:val="0033432B"/>
    <w:rsid w:val="00335235"/>
    <w:rsid w:val="00336471"/>
    <w:rsid w:val="00336DCB"/>
    <w:rsid w:val="00340AA2"/>
    <w:rsid w:val="00340E88"/>
    <w:rsid w:val="003412C1"/>
    <w:rsid w:val="00342886"/>
    <w:rsid w:val="00342FB7"/>
    <w:rsid w:val="003447A3"/>
    <w:rsid w:val="003459A9"/>
    <w:rsid w:val="003459DF"/>
    <w:rsid w:val="00345A05"/>
    <w:rsid w:val="0034615D"/>
    <w:rsid w:val="0034686A"/>
    <w:rsid w:val="00347033"/>
    <w:rsid w:val="00347096"/>
    <w:rsid w:val="0034716F"/>
    <w:rsid w:val="00350ECA"/>
    <w:rsid w:val="003514AE"/>
    <w:rsid w:val="00355520"/>
    <w:rsid w:val="00356263"/>
    <w:rsid w:val="00356290"/>
    <w:rsid w:val="003568BD"/>
    <w:rsid w:val="00356B46"/>
    <w:rsid w:val="0035751C"/>
    <w:rsid w:val="00363198"/>
    <w:rsid w:val="00363230"/>
    <w:rsid w:val="00364564"/>
    <w:rsid w:val="00364AA4"/>
    <w:rsid w:val="00364E63"/>
    <w:rsid w:val="003650ED"/>
    <w:rsid w:val="00366332"/>
    <w:rsid w:val="00366871"/>
    <w:rsid w:val="00366BEF"/>
    <w:rsid w:val="003700E7"/>
    <w:rsid w:val="00370FB3"/>
    <w:rsid w:val="0037157B"/>
    <w:rsid w:val="0037168B"/>
    <w:rsid w:val="003718E3"/>
    <w:rsid w:val="003738F3"/>
    <w:rsid w:val="003741EA"/>
    <w:rsid w:val="00375A9F"/>
    <w:rsid w:val="00375ABF"/>
    <w:rsid w:val="00376B30"/>
    <w:rsid w:val="00376D7F"/>
    <w:rsid w:val="003776B8"/>
    <w:rsid w:val="00380594"/>
    <w:rsid w:val="00381823"/>
    <w:rsid w:val="0038191A"/>
    <w:rsid w:val="00382237"/>
    <w:rsid w:val="00382A19"/>
    <w:rsid w:val="00383C44"/>
    <w:rsid w:val="003842EE"/>
    <w:rsid w:val="003845E1"/>
    <w:rsid w:val="00384A1B"/>
    <w:rsid w:val="00384C72"/>
    <w:rsid w:val="00385545"/>
    <w:rsid w:val="003859E0"/>
    <w:rsid w:val="00385ECD"/>
    <w:rsid w:val="0038723E"/>
    <w:rsid w:val="003874B5"/>
    <w:rsid w:val="00387D1C"/>
    <w:rsid w:val="00387D7B"/>
    <w:rsid w:val="00390C56"/>
    <w:rsid w:val="00391D89"/>
    <w:rsid w:val="003929F3"/>
    <w:rsid w:val="003937A0"/>
    <w:rsid w:val="003958B7"/>
    <w:rsid w:val="00396089"/>
    <w:rsid w:val="00396FA6"/>
    <w:rsid w:val="003A0F1F"/>
    <w:rsid w:val="003A155E"/>
    <w:rsid w:val="003A1FED"/>
    <w:rsid w:val="003A2040"/>
    <w:rsid w:val="003A21F5"/>
    <w:rsid w:val="003A242B"/>
    <w:rsid w:val="003A3B1D"/>
    <w:rsid w:val="003A5ECD"/>
    <w:rsid w:val="003A6AD4"/>
    <w:rsid w:val="003A7E1A"/>
    <w:rsid w:val="003B16A6"/>
    <w:rsid w:val="003B2076"/>
    <w:rsid w:val="003B25E7"/>
    <w:rsid w:val="003B3455"/>
    <w:rsid w:val="003B3FC1"/>
    <w:rsid w:val="003B5040"/>
    <w:rsid w:val="003B7039"/>
    <w:rsid w:val="003B74FB"/>
    <w:rsid w:val="003C2751"/>
    <w:rsid w:val="003C3B33"/>
    <w:rsid w:val="003C402B"/>
    <w:rsid w:val="003C44DB"/>
    <w:rsid w:val="003C466F"/>
    <w:rsid w:val="003C4FF0"/>
    <w:rsid w:val="003C52D9"/>
    <w:rsid w:val="003C6114"/>
    <w:rsid w:val="003C64AA"/>
    <w:rsid w:val="003C722D"/>
    <w:rsid w:val="003C7657"/>
    <w:rsid w:val="003C7BDD"/>
    <w:rsid w:val="003D1ADF"/>
    <w:rsid w:val="003D247C"/>
    <w:rsid w:val="003D4797"/>
    <w:rsid w:val="003D4DCD"/>
    <w:rsid w:val="003D4FBE"/>
    <w:rsid w:val="003D6355"/>
    <w:rsid w:val="003D674A"/>
    <w:rsid w:val="003D6DCA"/>
    <w:rsid w:val="003D7062"/>
    <w:rsid w:val="003E2260"/>
    <w:rsid w:val="003E2290"/>
    <w:rsid w:val="003E2755"/>
    <w:rsid w:val="003E2AF3"/>
    <w:rsid w:val="003E33B8"/>
    <w:rsid w:val="003E4721"/>
    <w:rsid w:val="003E4ED6"/>
    <w:rsid w:val="003E5157"/>
    <w:rsid w:val="003E609B"/>
    <w:rsid w:val="003E7AED"/>
    <w:rsid w:val="003F1B4B"/>
    <w:rsid w:val="003F1FC8"/>
    <w:rsid w:val="003F254E"/>
    <w:rsid w:val="003F2A60"/>
    <w:rsid w:val="003F2F28"/>
    <w:rsid w:val="003F2F86"/>
    <w:rsid w:val="003F4C82"/>
    <w:rsid w:val="003F5764"/>
    <w:rsid w:val="003F680F"/>
    <w:rsid w:val="003F7211"/>
    <w:rsid w:val="003F7516"/>
    <w:rsid w:val="003F7A8E"/>
    <w:rsid w:val="00400BB0"/>
    <w:rsid w:val="004022A7"/>
    <w:rsid w:val="00402896"/>
    <w:rsid w:val="004032EE"/>
    <w:rsid w:val="00403410"/>
    <w:rsid w:val="004036BF"/>
    <w:rsid w:val="00407B92"/>
    <w:rsid w:val="00407E5A"/>
    <w:rsid w:val="00410D8B"/>
    <w:rsid w:val="004111D6"/>
    <w:rsid w:val="004114A4"/>
    <w:rsid w:val="004123EC"/>
    <w:rsid w:val="0041335B"/>
    <w:rsid w:val="00413E0C"/>
    <w:rsid w:val="00413FE3"/>
    <w:rsid w:val="004145C9"/>
    <w:rsid w:val="004149EB"/>
    <w:rsid w:val="004150BB"/>
    <w:rsid w:val="004154D5"/>
    <w:rsid w:val="004172F1"/>
    <w:rsid w:val="00422625"/>
    <w:rsid w:val="00422749"/>
    <w:rsid w:val="00422C35"/>
    <w:rsid w:val="00424728"/>
    <w:rsid w:val="004258E6"/>
    <w:rsid w:val="00426248"/>
    <w:rsid w:val="0042638B"/>
    <w:rsid w:val="00426AD7"/>
    <w:rsid w:val="00426FDF"/>
    <w:rsid w:val="00430D16"/>
    <w:rsid w:val="00432923"/>
    <w:rsid w:val="0043306E"/>
    <w:rsid w:val="00433250"/>
    <w:rsid w:val="00434435"/>
    <w:rsid w:val="004350EE"/>
    <w:rsid w:val="00435B1B"/>
    <w:rsid w:val="00435CCB"/>
    <w:rsid w:val="00436500"/>
    <w:rsid w:val="0043672A"/>
    <w:rsid w:val="00437E40"/>
    <w:rsid w:val="00441DDC"/>
    <w:rsid w:val="00442385"/>
    <w:rsid w:val="00444EA6"/>
    <w:rsid w:val="0044756F"/>
    <w:rsid w:val="00450C2D"/>
    <w:rsid w:val="00450D02"/>
    <w:rsid w:val="004512CA"/>
    <w:rsid w:val="004529AB"/>
    <w:rsid w:val="00454032"/>
    <w:rsid w:val="00454BB4"/>
    <w:rsid w:val="00454CB3"/>
    <w:rsid w:val="00460105"/>
    <w:rsid w:val="0046026F"/>
    <w:rsid w:val="00461029"/>
    <w:rsid w:val="00461BEB"/>
    <w:rsid w:val="00463E6D"/>
    <w:rsid w:val="00464E94"/>
    <w:rsid w:val="0046582C"/>
    <w:rsid w:val="004673AD"/>
    <w:rsid w:val="004676DA"/>
    <w:rsid w:val="004729BB"/>
    <w:rsid w:val="004747D1"/>
    <w:rsid w:val="00474EB8"/>
    <w:rsid w:val="004751D8"/>
    <w:rsid w:val="00475327"/>
    <w:rsid w:val="004759BC"/>
    <w:rsid w:val="00477199"/>
    <w:rsid w:val="00480BCF"/>
    <w:rsid w:val="004812E5"/>
    <w:rsid w:val="00482854"/>
    <w:rsid w:val="00483992"/>
    <w:rsid w:val="004842E3"/>
    <w:rsid w:val="00485177"/>
    <w:rsid w:val="004851FC"/>
    <w:rsid w:val="00485EB5"/>
    <w:rsid w:val="00487ABD"/>
    <w:rsid w:val="00487E77"/>
    <w:rsid w:val="00490663"/>
    <w:rsid w:val="00490DCE"/>
    <w:rsid w:val="00491300"/>
    <w:rsid w:val="00491791"/>
    <w:rsid w:val="00491E92"/>
    <w:rsid w:val="00492D29"/>
    <w:rsid w:val="00493626"/>
    <w:rsid w:val="004936BE"/>
    <w:rsid w:val="00493DB8"/>
    <w:rsid w:val="004942EC"/>
    <w:rsid w:val="00495A9F"/>
    <w:rsid w:val="00495DAB"/>
    <w:rsid w:val="0049736E"/>
    <w:rsid w:val="004975B1"/>
    <w:rsid w:val="004A0E18"/>
    <w:rsid w:val="004A1766"/>
    <w:rsid w:val="004A1861"/>
    <w:rsid w:val="004A3D01"/>
    <w:rsid w:val="004A522F"/>
    <w:rsid w:val="004A5355"/>
    <w:rsid w:val="004A5DA9"/>
    <w:rsid w:val="004A6204"/>
    <w:rsid w:val="004A6375"/>
    <w:rsid w:val="004B00A6"/>
    <w:rsid w:val="004B0D5A"/>
    <w:rsid w:val="004B1716"/>
    <w:rsid w:val="004B1A23"/>
    <w:rsid w:val="004B1B7E"/>
    <w:rsid w:val="004B24FD"/>
    <w:rsid w:val="004B34E1"/>
    <w:rsid w:val="004B358B"/>
    <w:rsid w:val="004B3724"/>
    <w:rsid w:val="004B3BAB"/>
    <w:rsid w:val="004B4460"/>
    <w:rsid w:val="004B4E01"/>
    <w:rsid w:val="004B5069"/>
    <w:rsid w:val="004B61D1"/>
    <w:rsid w:val="004B68C1"/>
    <w:rsid w:val="004B6DE1"/>
    <w:rsid w:val="004B7EDD"/>
    <w:rsid w:val="004C1458"/>
    <w:rsid w:val="004C27C5"/>
    <w:rsid w:val="004C29E2"/>
    <w:rsid w:val="004C42AE"/>
    <w:rsid w:val="004C6A44"/>
    <w:rsid w:val="004C6B9C"/>
    <w:rsid w:val="004C6EC1"/>
    <w:rsid w:val="004D01F9"/>
    <w:rsid w:val="004D0C5E"/>
    <w:rsid w:val="004D13D9"/>
    <w:rsid w:val="004D1CAD"/>
    <w:rsid w:val="004D2099"/>
    <w:rsid w:val="004D305F"/>
    <w:rsid w:val="004D3208"/>
    <w:rsid w:val="004D3A49"/>
    <w:rsid w:val="004D3BCA"/>
    <w:rsid w:val="004D3BCF"/>
    <w:rsid w:val="004D49E1"/>
    <w:rsid w:val="004D4CE8"/>
    <w:rsid w:val="004D5BD6"/>
    <w:rsid w:val="004D700D"/>
    <w:rsid w:val="004E01E3"/>
    <w:rsid w:val="004E0D08"/>
    <w:rsid w:val="004E2BC3"/>
    <w:rsid w:val="004E2E46"/>
    <w:rsid w:val="004E36C8"/>
    <w:rsid w:val="004E4B97"/>
    <w:rsid w:val="004E5B43"/>
    <w:rsid w:val="004E695A"/>
    <w:rsid w:val="004E6C24"/>
    <w:rsid w:val="004E7BF5"/>
    <w:rsid w:val="004E7C19"/>
    <w:rsid w:val="004F146B"/>
    <w:rsid w:val="004F2C97"/>
    <w:rsid w:val="004F2E43"/>
    <w:rsid w:val="004F391D"/>
    <w:rsid w:val="004F39EB"/>
    <w:rsid w:val="004F3E78"/>
    <w:rsid w:val="004F42CC"/>
    <w:rsid w:val="004F5163"/>
    <w:rsid w:val="004F5187"/>
    <w:rsid w:val="004F6D63"/>
    <w:rsid w:val="005002F4"/>
    <w:rsid w:val="00501016"/>
    <w:rsid w:val="00501629"/>
    <w:rsid w:val="00501914"/>
    <w:rsid w:val="0050221C"/>
    <w:rsid w:val="0050386E"/>
    <w:rsid w:val="00507305"/>
    <w:rsid w:val="005076AF"/>
    <w:rsid w:val="00507A95"/>
    <w:rsid w:val="005109D9"/>
    <w:rsid w:val="00510DD2"/>
    <w:rsid w:val="00511274"/>
    <w:rsid w:val="00512610"/>
    <w:rsid w:val="00512729"/>
    <w:rsid w:val="00513FCD"/>
    <w:rsid w:val="005142B8"/>
    <w:rsid w:val="00514E1A"/>
    <w:rsid w:val="00515E21"/>
    <w:rsid w:val="005166A0"/>
    <w:rsid w:val="00516BC9"/>
    <w:rsid w:val="0051719B"/>
    <w:rsid w:val="00517793"/>
    <w:rsid w:val="00517C03"/>
    <w:rsid w:val="00517FAE"/>
    <w:rsid w:val="005202AF"/>
    <w:rsid w:val="00520D22"/>
    <w:rsid w:val="00521157"/>
    <w:rsid w:val="00523B82"/>
    <w:rsid w:val="005249B6"/>
    <w:rsid w:val="0053013D"/>
    <w:rsid w:val="0053158E"/>
    <w:rsid w:val="005321DF"/>
    <w:rsid w:val="005334E2"/>
    <w:rsid w:val="00533555"/>
    <w:rsid w:val="00535C86"/>
    <w:rsid w:val="005360C6"/>
    <w:rsid w:val="00536101"/>
    <w:rsid w:val="005371FC"/>
    <w:rsid w:val="0054146C"/>
    <w:rsid w:val="00541922"/>
    <w:rsid w:val="00542657"/>
    <w:rsid w:val="005428A8"/>
    <w:rsid w:val="00544DE9"/>
    <w:rsid w:val="00544E19"/>
    <w:rsid w:val="00545D78"/>
    <w:rsid w:val="00546CCB"/>
    <w:rsid w:val="0054726F"/>
    <w:rsid w:val="00547290"/>
    <w:rsid w:val="0054738B"/>
    <w:rsid w:val="005514D6"/>
    <w:rsid w:val="00551821"/>
    <w:rsid w:val="005543A3"/>
    <w:rsid w:val="005565EB"/>
    <w:rsid w:val="0055757C"/>
    <w:rsid w:val="00557C56"/>
    <w:rsid w:val="00560C86"/>
    <w:rsid w:val="0056130A"/>
    <w:rsid w:val="005614C1"/>
    <w:rsid w:val="005625B7"/>
    <w:rsid w:val="00562658"/>
    <w:rsid w:val="00562BCA"/>
    <w:rsid w:val="0056308C"/>
    <w:rsid w:val="00563509"/>
    <w:rsid w:val="00563CDB"/>
    <w:rsid w:val="00563F01"/>
    <w:rsid w:val="0056458F"/>
    <w:rsid w:val="005645AF"/>
    <w:rsid w:val="0056487F"/>
    <w:rsid w:val="005653FD"/>
    <w:rsid w:val="00566182"/>
    <w:rsid w:val="0056788C"/>
    <w:rsid w:val="0057059C"/>
    <w:rsid w:val="00570954"/>
    <w:rsid w:val="005709FB"/>
    <w:rsid w:val="00570C43"/>
    <w:rsid w:val="00572D03"/>
    <w:rsid w:val="00573806"/>
    <w:rsid w:val="0057443A"/>
    <w:rsid w:val="0057473D"/>
    <w:rsid w:val="00576669"/>
    <w:rsid w:val="00577B14"/>
    <w:rsid w:val="0058028B"/>
    <w:rsid w:val="00581B99"/>
    <w:rsid w:val="00583050"/>
    <w:rsid w:val="00583888"/>
    <w:rsid w:val="005852D4"/>
    <w:rsid w:val="00585D35"/>
    <w:rsid w:val="00585F8C"/>
    <w:rsid w:val="005864D9"/>
    <w:rsid w:val="00586980"/>
    <w:rsid w:val="005902A4"/>
    <w:rsid w:val="00591040"/>
    <w:rsid w:val="00592B4D"/>
    <w:rsid w:val="005942E5"/>
    <w:rsid w:val="00594D55"/>
    <w:rsid w:val="00597225"/>
    <w:rsid w:val="00597466"/>
    <w:rsid w:val="005977A2"/>
    <w:rsid w:val="005A0762"/>
    <w:rsid w:val="005A1326"/>
    <w:rsid w:val="005A1564"/>
    <w:rsid w:val="005A2143"/>
    <w:rsid w:val="005A25CE"/>
    <w:rsid w:val="005A55BD"/>
    <w:rsid w:val="005A7349"/>
    <w:rsid w:val="005B00ED"/>
    <w:rsid w:val="005B065F"/>
    <w:rsid w:val="005B0660"/>
    <w:rsid w:val="005B145C"/>
    <w:rsid w:val="005B1840"/>
    <w:rsid w:val="005B1CFC"/>
    <w:rsid w:val="005B212F"/>
    <w:rsid w:val="005B3D9D"/>
    <w:rsid w:val="005B49B4"/>
    <w:rsid w:val="005B4D03"/>
    <w:rsid w:val="005B4F6C"/>
    <w:rsid w:val="005B68F9"/>
    <w:rsid w:val="005B719A"/>
    <w:rsid w:val="005B7407"/>
    <w:rsid w:val="005C00D4"/>
    <w:rsid w:val="005C048B"/>
    <w:rsid w:val="005C0A4D"/>
    <w:rsid w:val="005C282A"/>
    <w:rsid w:val="005C28A5"/>
    <w:rsid w:val="005C28D5"/>
    <w:rsid w:val="005C29B6"/>
    <w:rsid w:val="005C2C0C"/>
    <w:rsid w:val="005C34C4"/>
    <w:rsid w:val="005C3A3F"/>
    <w:rsid w:val="005C4C83"/>
    <w:rsid w:val="005C70B3"/>
    <w:rsid w:val="005D1047"/>
    <w:rsid w:val="005D191A"/>
    <w:rsid w:val="005D2841"/>
    <w:rsid w:val="005D3B39"/>
    <w:rsid w:val="005D477F"/>
    <w:rsid w:val="005D7A7C"/>
    <w:rsid w:val="005E0EB9"/>
    <w:rsid w:val="005E1FFB"/>
    <w:rsid w:val="005E2BBF"/>
    <w:rsid w:val="005E2EC9"/>
    <w:rsid w:val="005E4286"/>
    <w:rsid w:val="005E605A"/>
    <w:rsid w:val="005E652D"/>
    <w:rsid w:val="005E6985"/>
    <w:rsid w:val="005E7C4A"/>
    <w:rsid w:val="005F36F5"/>
    <w:rsid w:val="005F39D1"/>
    <w:rsid w:val="005F4DD6"/>
    <w:rsid w:val="005F5AF9"/>
    <w:rsid w:val="005F65A2"/>
    <w:rsid w:val="005F65C5"/>
    <w:rsid w:val="005F7F21"/>
    <w:rsid w:val="00600AA5"/>
    <w:rsid w:val="0060151E"/>
    <w:rsid w:val="00601550"/>
    <w:rsid w:val="00602436"/>
    <w:rsid w:val="006026B6"/>
    <w:rsid w:val="006034B9"/>
    <w:rsid w:val="00605001"/>
    <w:rsid w:val="0060663C"/>
    <w:rsid w:val="00606F37"/>
    <w:rsid w:val="00607BB9"/>
    <w:rsid w:val="0061099B"/>
    <w:rsid w:val="00611454"/>
    <w:rsid w:val="00613885"/>
    <w:rsid w:val="00614671"/>
    <w:rsid w:val="00615058"/>
    <w:rsid w:val="006153F0"/>
    <w:rsid w:val="00616826"/>
    <w:rsid w:val="00616E54"/>
    <w:rsid w:val="00617DAC"/>
    <w:rsid w:val="00617ED2"/>
    <w:rsid w:val="006224BE"/>
    <w:rsid w:val="00622EAC"/>
    <w:rsid w:val="00623567"/>
    <w:rsid w:val="00624B72"/>
    <w:rsid w:val="0062506C"/>
    <w:rsid w:val="00626F3F"/>
    <w:rsid w:val="006276CA"/>
    <w:rsid w:val="00630A8A"/>
    <w:rsid w:val="0063115A"/>
    <w:rsid w:val="00633043"/>
    <w:rsid w:val="00633C3A"/>
    <w:rsid w:val="00633EB4"/>
    <w:rsid w:val="00634D11"/>
    <w:rsid w:val="006374D1"/>
    <w:rsid w:val="0064055C"/>
    <w:rsid w:val="00640990"/>
    <w:rsid w:val="00640AC7"/>
    <w:rsid w:val="00641B33"/>
    <w:rsid w:val="0064321F"/>
    <w:rsid w:val="00643857"/>
    <w:rsid w:val="0064403E"/>
    <w:rsid w:val="00644233"/>
    <w:rsid w:val="0064489C"/>
    <w:rsid w:val="0064493E"/>
    <w:rsid w:val="00644D4B"/>
    <w:rsid w:val="0064560C"/>
    <w:rsid w:val="00645FC6"/>
    <w:rsid w:val="006463B4"/>
    <w:rsid w:val="0064670D"/>
    <w:rsid w:val="0065105B"/>
    <w:rsid w:val="00651269"/>
    <w:rsid w:val="006513A1"/>
    <w:rsid w:val="0065282A"/>
    <w:rsid w:val="0065312B"/>
    <w:rsid w:val="00654094"/>
    <w:rsid w:val="00654785"/>
    <w:rsid w:val="006551A2"/>
    <w:rsid w:val="006554F6"/>
    <w:rsid w:val="006555BF"/>
    <w:rsid w:val="00655BB9"/>
    <w:rsid w:val="006561D5"/>
    <w:rsid w:val="006564E6"/>
    <w:rsid w:val="00656564"/>
    <w:rsid w:val="00657E5E"/>
    <w:rsid w:val="00660350"/>
    <w:rsid w:val="006623D2"/>
    <w:rsid w:val="00664BA1"/>
    <w:rsid w:val="00665526"/>
    <w:rsid w:val="006656C2"/>
    <w:rsid w:val="0066741C"/>
    <w:rsid w:val="006675E2"/>
    <w:rsid w:val="0066788F"/>
    <w:rsid w:val="00667BD4"/>
    <w:rsid w:val="0067088B"/>
    <w:rsid w:val="00670A53"/>
    <w:rsid w:val="00671415"/>
    <w:rsid w:val="0067453C"/>
    <w:rsid w:val="00677590"/>
    <w:rsid w:val="0067791A"/>
    <w:rsid w:val="006811B0"/>
    <w:rsid w:val="00682116"/>
    <w:rsid w:val="006828BA"/>
    <w:rsid w:val="0068554C"/>
    <w:rsid w:val="006855C2"/>
    <w:rsid w:val="00685A68"/>
    <w:rsid w:val="0068664A"/>
    <w:rsid w:val="0068744B"/>
    <w:rsid w:val="00687C50"/>
    <w:rsid w:val="0069193D"/>
    <w:rsid w:val="006932C9"/>
    <w:rsid w:val="006971BF"/>
    <w:rsid w:val="006A1047"/>
    <w:rsid w:val="006A3ABB"/>
    <w:rsid w:val="006A493C"/>
    <w:rsid w:val="006A51B9"/>
    <w:rsid w:val="006A51F8"/>
    <w:rsid w:val="006A5AF9"/>
    <w:rsid w:val="006A630F"/>
    <w:rsid w:val="006A6745"/>
    <w:rsid w:val="006A6CEF"/>
    <w:rsid w:val="006B0663"/>
    <w:rsid w:val="006B07AC"/>
    <w:rsid w:val="006B0E7C"/>
    <w:rsid w:val="006B1600"/>
    <w:rsid w:val="006B265F"/>
    <w:rsid w:val="006B42BA"/>
    <w:rsid w:val="006B4B2C"/>
    <w:rsid w:val="006B5150"/>
    <w:rsid w:val="006B52E3"/>
    <w:rsid w:val="006B743A"/>
    <w:rsid w:val="006B7AE6"/>
    <w:rsid w:val="006B7DB5"/>
    <w:rsid w:val="006C0D2E"/>
    <w:rsid w:val="006C120A"/>
    <w:rsid w:val="006C129C"/>
    <w:rsid w:val="006C1D17"/>
    <w:rsid w:val="006C1D66"/>
    <w:rsid w:val="006C1EE0"/>
    <w:rsid w:val="006C26CB"/>
    <w:rsid w:val="006C427A"/>
    <w:rsid w:val="006C5F36"/>
    <w:rsid w:val="006C704D"/>
    <w:rsid w:val="006C7735"/>
    <w:rsid w:val="006C778C"/>
    <w:rsid w:val="006D37EC"/>
    <w:rsid w:val="006D4516"/>
    <w:rsid w:val="006D48BE"/>
    <w:rsid w:val="006D4D3A"/>
    <w:rsid w:val="006D4F01"/>
    <w:rsid w:val="006D54E4"/>
    <w:rsid w:val="006D5F57"/>
    <w:rsid w:val="006D6061"/>
    <w:rsid w:val="006D6E57"/>
    <w:rsid w:val="006D70B5"/>
    <w:rsid w:val="006E067E"/>
    <w:rsid w:val="006E0AF5"/>
    <w:rsid w:val="006E10F6"/>
    <w:rsid w:val="006E1D00"/>
    <w:rsid w:val="006E290F"/>
    <w:rsid w:val="006E3631"/>
    <w:rsid w:val="006E417D"/>
    <w:rsid w:val="006E6152"/>
    <w:rsid w:val="006E63B2"/>
    <w:rsid w:val="006E6EC1"/>
    <w:rsid w:val="006E7840"/>
    <w:rsid w:val="006E7F2A"/>
    <w:rsid w:val="006F138D"/>
    <w:rsid w:val="006F1E45"/>
    <w:rsid w:val="006F22D7"/>
    <w:rsid w:val="006F2886"/>
    <w:rsid w:val="006F3491"/>
    <w:rsid w:val="006F3CE7"/>
    <w:rsid w:val="006F473B"/>
    <w:rsid w:val="006F5761"/>
    <w:rsid w:val="006F57CB"/>
    <w:rsid w:val="006F5A1F"/>
    <w:rsid w:val="006F5C60"/>
    <w:rsid w:val="006F7E97"/>
    <w:rsid w:val="00703105"/>
    <w:rsid w:val="0070385E"/>
    <w:rsid w:val="007042F6"/>
    <w:rsid w:val="00704BDF"/>
    <w:rsid w:val="00704FA6"/>
    <w:rsid w:val="00705229"/>
    <w:rsid w:val="0070705E"/>
    <w:rsid w:val="007072B9"/>
    <w:rsid w:val="007075F5"/>
    <w:rsid w:val="00707D05"/>
    <w:rsid w:val="0071017E"/>
    <w:rsid w:val="00710AC2"/>
    <w:rsid w:val="007111D2"/>
    <w:rsid w:val="007131CD"/>
    <w:rsid w:val="007139D6"/>
    <w:rsid w:val="00715169"/>
    <w:rsid w:val="00715D3C"/>
    <w:rsid w:val="00715F61"/>
    <w:rsid w:val="00717836"/>
    <w:rsid w:val="00717BC6"/>
    <w:rsid w:val="00720CD8"/>
    <w:rsid w:val="00720EEF"/>
    <w:rsid w:val="00724AC8"/>
    <w:rsid w:val="0073042E"/>
    <w:rsid w:val="00730EE7"/>
    <w:rsid w:val="007327A8"/>
    <w:rsid w:val="00732801"/>
    <w:rsid w:val="007329EA"/>
    <w:rsid w:val="00733AD6"/>
    <w:rsid w:val="00734146"/>
    <w:rsid w:val="00734F56"/>
    <w:rsid w:val="00736B22"/>
    <w:rsid w:val="00736C61"/>
    <w:rsid w:val="00736EDF"/>
    <w:rsid w:val="0073758C"/>
    <w:rsid w:val="007409BF"/>
    <w:rsid w:val="00740E92"/>
    <w:rsid w:val="00740F16"/>
    <w:rsid w:val="00741065"/>
    <w:rsid w:val="00741DF7"/>
    <w:rsid w:val="0074285A"/>
    <w:rsid w:val="00742AA3"/>
    <w:rsid w:val="00742C42"/>
    <w:rsid w:val="00743B72"/>
    <w:rsid w:val="007443F0"/>
    <w:rsid w:val="007447BF"/>
    <w:rsid w:val="0074539F"/>
    <w:rsid w:val="0074693F"/>
    <w:rsid w:val="00746F8C"/>
    <w:rsid w:val="00747A37"/>
    <w:rsid w:val="00750121"/>
    <w:rsid w:val="0075074B"/>
    <w:rsid w:val="00750FED"/>
    <w:rsid w:val="00752153"/>
    <w:rsid w:val="00754210"/>
    <w:rsid w:val="007548BA"/>
    <w:rsid w:val="007549DD"/>
    <w:rsid w:val="0075551A"/>
    <w:rsid w:val="0075563E"/>
    <w:rsid w:val="00755736"/>
    <w:rsid w:val="00757D65"/>
    <w:rsid w:val="00760327"/>
    <w:rsid w:val="007608FA"/>
    <w:rsid w:val="007617B8"/>
    <w:rsid w:val="00762146"/>
    <w:rsid w:val="00763FDA"/>
    <w:rsid w:val="007643F9"/>
    <w:rsid w:val="00764C7F"/>
    <w:rsid w:val="00765518"/>
    <w:rsid w:val="007659F5"/>
    <w:rsid w:val="007709D0"/>
    <w:rsid w:val="00774CDD"/>
    <w:rsid w:val="00776837"/>
    <w:rsid w:val="00776A13"/>
    <w:rsid w:val="007775F8"/>
    <w:rsid w:val="00777BCA"/>
    <w:rsid w:val="00777ED9"/>
    <w:rsid w:val="00781163"/>
    <w:rsid w:val="00781B95"/>
    <w:rsid w:val="00784482"/>
    <w:rsid w:val="007851FF"/>
    <w:rsid w:val="00785796"/>
    <w:rsid w:val="00785B42"/>
    <w:rsid w:val="00787966"/>
    <w:rsid w:val="0079078A"/>
    <w:rsid w:val="00790ED4"/>
    <w:rsid w:val="00791B52"/>
    <w:rsid w:val="007928BC"/>
    <w:rsid w:val="00792AA1"/>
    <w:rsid w:val="00792B56"/>
    <w:rsid w:val="007932CC"/>
    <w:rsid w:val="00794886"/>
    <w:rsid w:val="007952C0"/>
    <w:rsid w:val="0079699F"/>
    <w:rsid w:val="007978E9"/>
    <w:rsid w:val="00797D96"/>
    <w:rsid w:val="00797DDB"/>
    <w:rsid w:val="007A020F"/>
    <w:rsid w:val="007A15BB"/>
    <w:rsid w:val="007A1FAD"/>
    <w:rsid w:val="007A2C6A"/>
    <w:rsid w:val="007A2F10"/>
    <w:rsid w:val="007A3166"/>
    <w:rsid w:val="007A3B08"/>
    <w:rsid w:val="007A46BB"/>
    <w:rsid w:val="007A4BFE"/>
    <w:rsid w:val="007A4DD2"/>
    <w:rsid w:val="007A7163"/>
    <w:rsid w:val="007A7B21"/>
    <w:rsid w:val="007B11B1"/>
    <w:rsid w:val="007B19A6"/>
    <w:rsid w:val="007B1A00"/>
    <w:rsid w:val="007B6CC1"/>
    <w:rsid w:val="007B7394"/>
    <w:rsid w:val="007B7F41"/>
    <w:rsid w:val="007C0CA4"/>
    <w:rsid w:val="007C16E6"/>
    <w:rsid w:val="007C3626"/>
    <w:rsid w:val="007C3D79"/>
    <w:rsid w:val="007C490D"/>
    <w:rsid w:val="007C4BF7"/>
    <w:rsid w:val="007C55C7"/>
    <w:rsid w:val="007C6E63"/>
    <w:rsid w:val="007D11B4"/>
    <w:rsid w:val="007D2235"/>
    <w:rsid w:val="007D66DC"/>
    <w:rsid w:val="007D6825"/>
    <w:rsid w:val="007D7586"/>
    <w:rsid w:val="007E315D"/>
    <w:rsid w:val="007E3928"/>
    <w:rsid w:val="007E3C7D"/>
    <w:rsid w:val="007E5BC5"/>
    <w:rsid w:val="007E7678"/>
    <w:rsid w:val="007F1375"/>
    <w:rsid w:val="007F1D36"/>
    <w:rsid w:val="007F1E91"/>
    <w:rsid w:val="007F28E3"/>
    <w:rsid w:val="007F2C63"/>
    <w:rsid w:val="007F3935"/>
    <w:rsid w:val="007F39FF"/>
    <w:rsid w:val="007F3D3A"/>
    <w:rsid w:val="007F4988"/>
    <w:rsid w:val="007F5A8D"/>
    <w:rsid w:val="007F5EE9"/>
    <w:rsid w:val="007F6400"/>
    <w:rsid w:val="007F66AA"/>
    <w:rsid w:val="007F75FA"/>
    <w:rsid w:val="007F76AC"/>
    <w:rsid w:val="00800920"/>
    <w:rsid w:val="00801894"/>
    <w:rsid w:val="00801BFC"/>
    <w:rsid w:val="00802C6D"/>
    <w:rsid w:val="00803470"/>
    <w:rsid w:val="0080418C"/>
    <w:rsid w:val="00804412"/>
    <w:rsid w:val="00804ADF"/>
    <w:rsid w:val="0080532D"/>
    <w:rsid w:val="008067B9"/>
    <w:rsid w:val="00806EF0"/>
    <w:rsid w:val="00807D8F"/>
    <w:rsid w:val="00811366"/>
    <w:rsid w:val="00811B8A"/>
    <w:rsid w:val="00811F70"/>
    <w:rsid w:val="008130CA"/>
    <w:rsid w:val="00814296"/>
    <w:rsid w:val="00816140"/>
    <w:rsid w:val="00816155"/>
    <w:rsid w:val="00816BB2"/>
    <w:rsid w:val="00821856"/>
    <w:rsid w:val="00821D70"/>
    <w:rsid w:val="00822C6A"/>
    <w:rsid w:val="0082496A"/>
    <w:rsid w:val="00824EE3"/>
    <w:rsid w:val="00825245"/>
    <w:rsid w:val="00830EB2"/>
    <w:rsid w:val="008317D3"/>
    <w:rsid w:val="008368D2"/>
    <w:rsid w:val="008371CF"/>
    <w:rsid w:val="00837280"/>
    <w:rsid w:val="008373F2"/>
    <w:rsid w:val="0083753C"/>
    <w:rsid w:val="0083766A"/>
    <w:rsid w:val="008377C7"/>
    <w:rsid w:val="00840BA9"/>
    <w:rsid w:val="00841F9F"/>
    <w:rsid w:val="00842779"/>
    <w:rsid w:val="0084277E"/>
    <w:rsid w:val="0084314C"/>
    <w:rsid w:val="0084338D"/>
    <w:rsid w:val="00843474"/>
    <w:rsid w:val="00843B63"/>
    <w:rsid w:val="0084419D"/>
    <w:rsid w:val="008448E2"/>
    <w:rsid w:val="00844D43"/>
    <w:rsid w:val="008451CC"/>
    <w:rsid w:val="0084606B"/>
    <w:rsid w:val="008465C8"/>
    <w:rsid w:val="00847253"/>
    <w:rsid w:val="008508FB"/>
    <w:rsid w:val="00850A48"/>
    <w:rsid w:val="0085104F"/>
    <w:rsid w:val="00851732"/>
    <w:rsid w:val="00851BBD"/>
    <w:rsid w:val="0085221D"/>
    <w:rsid w:val="00855128"/>
    <w:rsid w:val="00855E26"/>
    <w:rsid w:val="00855EF9"/>
    <w:rsid w:val="00860E73"/>
    <w:rsid w:val="00861E50"/>
    <w:rsid w:val="008621BF"/>
    <w:rsid w:val="00862390"/>
    <w:rsid w:val="00865C66"/>
    <w:rsid w:val="00866FE8"/>
    <w:rsid w:val="00867DB1"/>
    <w:rsid w:val="00867E09"/>
    <w:rsid w:val="00870149"/>
    <w:rsid w:val="00873B6F"/>
    <w:rsid w:val="00874CCF"/>
    <w:rsid w:val="008752DC"/>
    <w:rsid w:val="00875444"/>
    <w:rsid w:val="0087556F"/>
    <w:rsid w:val="008755C5"/>
    <w:rsid w:val="0087677F"/>
    <w:rsid w:val="00876C25"/>
    <w:rsid w:val="008772E6"/>
    <w:rsid w:val="00877B9C"/>
    <w:rsid w:val="00880301"/>
    <w:rsid w:val="00880E58"/>
    <w:rsid w:val="00880FB1"/>
    <w:rsid w:val="0088586F"/>
    <w:rsid w:val="00885ACF"/>
    <w:rsid w:val="00885E94"/>
    <w:rsid w:val="00885EA2"/>
    <w:rsid w:val="008868C7"/>
    <w:rsid w:val="008871EC"/>
    <w:rsid w:val="0088787C"/>
    <w:rsid w:val="008902B7"/>
    <w:rsid w:val="00891524"/>
    <w:rsid w:val="00891691"/>
    <w:rsid w:val="00891927"/>
    <w:rsid w:val="0089224D"/>
    <w:rsid w:val="00892528"/>
    <w:rsid w:val="00892E08"/>
    <w:rsid w:val="00893683"/>
    <w:rsid w:val="00894852"/>
    <w:rsid w:val="008949B9"/>
    <w:rsid w:val="00895369"/>
    <w:rsid w:val="00895D16"/>
    <w:rsid w:val="008964FD"/>
    <w:rsid w:val="00897344"/>
    <w:rsid w:val="00897A83"/>
    <w:rsid w:val="008A05C9"/>
    <w:rsid w:val="008A05F5"/>
    <w:rsid w:val="008A1634"/>
    <w:rsid w:val="008A2DE7"/>
    <w:rsid w:val="008A69E3"/>
    <w:rsid w:val="008A6BBA"/>
    <w:rsid w:val="008A6F50"/>
    <w:rsid w:val="008A7382"/>
    <w:rsid w:val="008A76FC"/>
    <w:rsid w:val="008A770A"/>
    <w:rsid w:val="008B04E8"/>
    <w:rsid w:val="008B2E66"/>
    <w:rsid w:val="008B323B"/>
    <w:rsid w:val="008B38DB"/>
    <w:rsid w:val="008B54F5"/>
    <w:rsid w:val="008B55DC"/>
    <w:rsid w:val="008B5B62"/>
    <w:rsid w:val="008B6AED"/>
    <w:rsid w:val="008C1A56"/>
    <w:rsid w:val="008C1ECE"/>
    <w:rsid w:val="008C23AE"/>
    <w:rsid w:val="008C463E"/>
    <w:rsid w:val="008C6431"/>
    <w:rsid w:val="008C6CA4"/>
    <w:rsid w:val="008C7B4A"/>
    <w:rsid w:val="008D05CB"/>
    <w:rsid w:val="008D097C"/>
    <w:rsid w:val="008D1FA3"/>
    <w:rsid w:val="008D202A"/>
    <w:rsid w:val="008D2A78"/>
    <w:rsid w:val="008D3279"/>
    <w:rsid w:val="008D361A"/>
    <w:rsid w:val="008D608A"/>
    <w:rsid w:val="008D6308"/>
    <w:rsid w:val="008D6C79"/>
    <w:rsid w:val="008E1010"/>
    <w:rsid w:val="008E1E61"/>
    <w:rsid w:val="008E3BCE"/>
    <w:rsid w:val="008E5C31"/>
    <w:rsid w:val="008E79DF"/>
    <w:rsid w:val="008F0106"/>
    <w:rsid w:val="008F097B"/>
    <w:rsid w:val="008F1AF3"/>
    <w:rsid w:val="008F1EA7"/>
    <w:rsid w:val="008F3E0F"/>
    <w:rsid w:val="008F431C"/>
    <w:rsid w:val="008F67D2"/>
    <w:rsid w:val="008F69BB"/>
    <w:rsid w:val="008F72C2"/>
    <w:rsid w:val="008F7A73"/>
    <w:rsid w:val="00900A76"/>
    <w:rsid w:val="00900E70"/>
    <w:rsid w:val="009028D1"/>
    <w:rsid w:val="00902A96"/>
    <w:rsid w:val="00902F0B"/>
    <w:rsid w:val="00903173"/>
    <w:rsid w:val="00903693"/>
    <w:rsid w:val="009038A3"/>
    <w:rsid w:val="0090439E"/>
    <w:rsid w:val="0090445A"/>
    <w:rsid w:val="009066A6"/>
    <w:rsid w:val="00907C6A"/>
    <w:rsid w:val="0091184D"/>
    <w:rsid w:val="009130F1"/>
    <w:rsid w:val="00913C0B"/>
    <w:rsid w:val="00913CDE"/>
    <w:rsid w:val="00913D58"/>
    <w:rsid w:val="00914FD1"/>
    <w:rsid w:val="00915106"/>
    <w:rsid w:val="009157EC"/>
    <w:rsid w:val="00915AB9"/>
    <w:rsid w:val="00917EBD"/>
    <w:rsid w:val="009211CA"/>
    <w:rsid w:val="00925F12"/>
    <w:rsid w:val="009263C9"/>
    <w:rsid w:val="0092665D"/>
    <w:rsid w:val="00926B41"/>
    <w:rsid w:val="009304DD"/>
    <w:rsid w:val="00931969"/>
    <w:rsid w:val="00933757"/>
    <w:rsid w:val="00936BEA"/>
    <w:rsid w:val="00941F64"/>
    <w:rsid w:val="00944244"/>
    <w:rsid w:val="0094531F"/>
    <w:rsid w:val="0094544F"/>
    <w:rsid w:val="009516AF"/>
    <w:rsid w:val="00955512"/>
    <w:rsid w:val="00955E78"/>
    <w:rsid w:val="00956AFC"/>
    <w:rsid w:val="00962F2C"/>
    <w:rsid w:val="00964952"/>
    <w:rsid w:val="009666C4"/>
    <w:rsid w:val="00966E4D"/>
    <w:rsid w:val="00966F29"/>
    <w:rsid w:val="00967532"/>
    <w:rsid w:val="00967765"/>
    <w:rsid w:val="00970426"/>
    <w:rsid w:val="00971582"/>
    <w:rsid w:val="00972C44"/>
    <w:rsid w:val="00972E2B"/>
    <w:rsid w:val="00973574"/>
    <w:rsid w:val="009748DC"/>
    <w:rsid w:val="00975733"/>
    <w:rsid w:val="00976632"/>
    <w:rsid w:val="00976762"/>
    <w:rsid w:val="009768CC"/>
    <w:rsid w:val="0098135E"/>
    <w:rsid w:val="009820EC"/>
    <w:rsid w:val="00984106"/>
    <w:rsid w:val="00984CEB"/>
    <w:rsid w:val="00985AE7"/>
    <w:rsid w:val="009866E3"/>
    <w:rsid w:val="009868A5"/>
    <w:rsid w:val="00987243"/>
    <w:rsid w:val="0098790E"/>
    <w:rsid w:val="009914C7"/>
    <w:rsid w:val="009928E9"/>
    <w:rsid w:val="00992F22"/>
    <w:rsid w:val="00993CC7"/>
    <w:rsid w:val="0099479D"/>
    <w:rsid w:val="00994995"/>
    <w:rsid w:val="00996569"/>
    <w:rsid w:val="00997ACF"/>
    <w:rsid w:val="009A15FD"/>
    <w:rsid w:val="009A1B6A"/>
    <w:rsid w:val="009A325A"/>
    <w:rsid w:val="009A417A"/>
    <w:rsid w:val="009A4CA7"/>
    <w:rsid w:val="009A54C8"/>
    <w:rsid w:val="009A58C1"/>
    <w:rsid w:val="009A5FBC"/>
    <w:rsid w:val="009A6474"/>
    <w:rsid w:val="009A700C"/>
    <w:rsid w:val="009A7AE5"/>
    <w:rsid w:val="009B035C"/>
    <w:rsid w:val="009B2943"/>
    <w:rsid w:val="009B3C1B"/>
    <w:rsid w:val="009B3DF7"/>
    <w:rsid w:val="009B4C70"/>
    <w:rsid w:val="009B53BF"/>
    <w:rsid w:val="009B5A3C"/>
    <w:rsid w:val="009B5D51"/>
    <w:rsid w:val="009B5E16"/>
    <w:rsid w:val="009B6605"/>
    <w:rsid w:val="009C0628"/>
    <w:rsid w:val="009C14CA"/>
    <w:rsid w:val="009C1624"/>
    <w:rsid w:val="009C2578"/>
    <w:rsid w:val="009C27C6"/>
    <w:rsid w:val="009C2BFF"/>
    <w:rsid w:val="009C3807"/>
    <w:rsid w:val="009C3C3B"/>
    <w:rsid w:val="009C4F95"/>
    <w:rsid w:val="009C541E"/>
    <w:rsid w:val="009C5EBF"/>
    <w:rsid w:val="009C648A"/>
    <w:rsid w:val="009C67DE"/>
    <w:rsid w:val="009C7314"/>
    <w:rsid w:val="009C74C8"/>
    <w:rsid w:val="009D04D2"/>
    <w:rsid w:val="009D1128"/>
    <w:rsid w:val="009D2CFD"/>
    <w:rsid w:val="009D2EE8"/>
    <w:rsid w:val="009D3AC1"/>
    <w:rsid w:val="009D3E7E"/>
    <w:rsid w:val="009D5FB5"/>
    <w:rsid w:val="009D74B6"/>
    <w:rsid w:val="009D7B6C"/>
    <w:rsid w:val="009E0008"/>
    <w:rsid w:val="009E0FF1"/>
    <w:rsid w:val="009E1E4C"/>
    <w:rsid w:val="009E2A53"/>
    <w:rsid w:val="009E2D8C"/>
    <w:rsid w:val="009E340C"/>
    <w:rsid w:val="009E410E"/>
    <w:rsid w:val="009E44BB"/>
    <w:rsid w:val="009E4FE9"/>
    <w:rsid w:val="009E534A"/>
    <w:rsid w:val="009E673E"/>
    <w:rsid w:val="009F0E33"/>
    <w:rsid w:val="009F1A41"/>
    <w:rsid w:val="009F1E9A"/>
    <w:rsid w:val="009F483A"/>
    <w:rsid w:val="009F5017"/>
    <w:rsid w:val="009F5D67"/>
    <w:rsid w:val="009F7D0F"/>
    <w:rsid w:val="00A001FB"/>
    <w:rsid w:val="00A00F1E"/>
    <w:rsid w:val="00A01478"/>
    <w:rsid w:val="00A01D74"/>
    <w:rsid w:val="00A02E57"/>
    <w:rsid w:val="00A035C0"/>
    <w:rsid w:val="00A057EE"/>
    <w:rsid w:val="00A06AE5"/>
    <w:rsid w:val="00A07AA7"/>
    <w:rsid w:val="00A07F4B"/>
    <w:rsid w:val="00A105D8"/>
    <w:rsid w:val="00A10AC4"/>
    <w:rsid w:val="00A11AC3"/>
    <w:rsid w:val="00A1214C"/>
    <w:rsid w:val="00A12A9F"/>
    <w:rsid w:val="00A132AF"/>
    <w:rsid w:val="00A13DDC"/>
    <w:rsid w:val="00A13F6E"/>
    <w:rsid w:val="00A149DA"/>
    <w:rsid w:val="00A15DB4"/>
    <w:rsid w:val="00A16581"/>
    <w:rsid w:val="00A16F49"/>
    <w:rsid w:val="00A171EA"/>
    <w:rsid w:val="00A17A93"/>
    <w:rsid w:val="00A17E4D"/>
    <w:rsid w:val="00A20E37"/>
    <w:rsid w:val="00A23C62"/>
    <w:rsid w:val="00A24B9F"/>
    <w:rsid w:val="00A24D1F"/>
    <w:rsid w:val="00A25F54"/>
    <w:rsid w:val="00A26AC9"/>
    <w:rsid w:val="00A273BD"/>
    <w:rsid w:val="00A3072F"/>
    <w:rsid w:val="00A3105B"/>
    <w:rsid w:val="00A31707"/>
    <w:rsid w:val="00A31847"/>
    <w:rsid w:val="00A33026"/>
    <w:rsid w:val="00A33C1B"/>
    <w:rsid w:val="00A33F1B"/>
    <w:rsid w:val="00A37485"/>
    <w:rsid w:val="00A411C6"/>
    <w:rsid w:val="00A41BD0"/>
    <w:rsid w:val="00A424B8"/>
    <w:rsid w:val="00A42FF0"/>
    <w:rsid w:val="00A444DF"/>
    <w:rsid w:val="00A454D1"/>
    <w:rsid w:val="00A45856"/>
    <w:rsid w:val="00A46703"/>
    <w:rsid w:val="00A50603"/>
    <w:rsid w:val="00A511EE"/>
    <w:rsid w:val="00A517B8"/>
    <w:rsid w:val="00A531D6"/>
    <w:rsid w:val="00A552C3"/>
    <w:rsid w:val="00A55563"/>
    <w:rsid w:val="00A555FB"/>
    <w:rsid w:val="00A612EB"/>
    <w:rsid w:val="00A617B6"/>
    <w:rsid w:val="00A64AA2"/>
    <w:rsid w:val="00A64BA2"/>
    <w:rsid w:val="00A655D6"/>
    <w:rsid w:val="00A65EF5"/>
    <w:rsid w:val="00A66C7E"/>
    <w:rsid w:val="00A67185"/>
    <w:rsid w:val="00A67A26"/>
    <w:rsid w:val="00A70B24"/>
    <w:rsid w:val="00A70BC3"/>
    <w:rsid w:val="00A71959"/>
    <w:rsid w:val="00A71D52"/>
    <w:rsid w:val="00A71D73"/>
    <w:rsid w:val="00A72785"/>
    <w:rsid w:val="00A72B18"/>
    <w:rsid w:val="00A73EEB"/>
    <w:rsid w:val="00A806D1"/>
    <w:rsid w:val="00A8095C"/>
    <w:rsid w:val="00A82196"/>
    <w:rsid w:val="00A8304F"/>
    <w:rsid w:val="00A85322"/>
    <w:rsid w:val="00A8552E"/>
    <w:rsid w:val="00A8687A"/>
    <w:rsid w:val="00A8790A"/>
    <w:rsid w:val="00A87B0A"/>
    <w:rsid w:val="00A90304"/>
    <w:rsid w:val="00A90B0F"/>
    <w:rsid w:val="00A92E1E"/>
    <w:rsid w:val="00A92F32"/>
    <w:rsid w:val="00A938ED"/>
    <w:rsid w:val="00A951E7"/>
    <w:rsid w:val="00A96EE1"/>
    <w:rsid w:val="00A9788B"/>
    <w:rsid w:val="00AA15CA"/>
    <w:rsid w:val="00AA2B3B"/>
    <w:rsid w:val="00AA33C0"/>
    <w:rsid w:val="00AA3CE2"/>
    <w:rsid w:val="00AA3D68"/>
    <w:rsid w:val="00AA5319"/>
    <w:rsid w:val="00AA7023"/>
    <w:rsid w:val="00AA73A2"/>
    <w:rsid w:val="00AB076E"/>
    <w:rsid w:val="00AB0EB8"/>
    <w:rsid w:val="00AB20D1"/>
    <w:rsid w:val="00AB2113"/>
    <w:rsid w:val="00AB3C9E"/>
    <w:rsid w:val="00AB4E95"/>
    <w:rsid w:val="00AB534C"/>
    <w:rsid w:val="00AB599F"/>
    <w:rsid w:val="00AC0459"/>
    <w:rsid w:val="00AC0681"/>
    <w:rsid w:val="00AC10E7"/>
    <w:rsid w:val="00AC1882"/>
    <w:rsid w:val="00AC28D2"/>
    <w:rsid w:val="00AC335E"/>
    <w:rsid w:val="00AC335F"/>
    <w:rsid w:val="00AC3701"/>
    <w:rsid w:val="00AC4A66"/>
    <w:rsid w:val="00AC562A"/>
    <w:rsid w:val="00AC6AAD"/>
    <w:rsid w:val="00AD1670"/>
    <w:rsid w:val="00AD2C21"/>
    <w:rsid w:val="00AD2D10"/>
    <w:rsid w:val="00AD3EA9"/>
    <w:rsid w:val="00AD5AA5"/>
    <w:rsid w:val="00AD5D20"/>
    <w:rsid w:val="00AD6267"/>
    <w:rsid w:val="00AD682F"/>
    <w:rsid w:val="00AD6A8E"/>
    <w:rsid w:val="00AD6C22"/>
    <w:rsid w:val="00AD6F13"/>
    <w:rsid w:val="00AD724C"/>
    <w:rsid w:val="00AE2024"/>
    <w:rsid w:val="00AE33B5"/>
    <w:rsid w:val="00AE4057"/>
    <w:rsid w:val="00AE41E5"/>
    <w:rsid w:val="00AE461A"/>
    <w:rsid w:val="00AE5705"/>
    <w:rsid w:val="00AE5A35"/>
    <w:rsid w:val="00AE5B3E"/>
    <w:rsid w:val="00AE6951"/>
    <w:rsid w:val="00AE6D69"/>
    <w:rsid w:val="00AE6FD7"/>
    <w:rsid w:val="00AE7419"/>
    <w:rsid w:val="00AE77AD"/>
    <w:rsid w:val="00AF1B8A"/>
    <w:rsid w:val="00AF227F"/>
    <w:rsid w:val="00AF3156"/>
    <w:rsid w:val="00AF5E15"/>
    <w:rsid w:val="00AF7EAC"/>
    <w:rsid w:val="00B000CC"/>
    <w:rsid w:val="00B013B6"/>
    <w:rsid w:val="00B04E0D"/>
    <w:rsid w:val="00B0521F"/>
    <w:rsid w:val="00B06553"/>
    <w:rsid w:val="00B071A5"/>
    <w:rsid w:val="00B075ED"/>
    <w:rsid w:val="00B104C4"/>
    <w:rsid w:val="00B10B7E"/>
    <w:rsid w:val="00B11FB4"/>
    <w:rsid w:val="00B12202"/>
    <w:rsid w:val="00B128D3"/>
    <w:rsid w:val="00B13A62"/>
    <w:rsid w:val="00B13CEB"/>
    <w:rsid w:val="00B148F1"/>
    <w:rsid w:val="00B1624B"/>
    <w:rsid w:val="00B163D7"/>
    <w:rsid w:val="00B207F2"/>
    <w:rsid w:val="00B225BA"/>
    <w:rsid w:val="00B22782"/>
    <w:rsid w:val="00B22890"/>
    <w:rsid w:val="00B22B7A"/>
    <w:rsid w:val="00B23511"/>
    <w:rsid w:val="00B24971"/>
    <w:rsid w:val="00B258AC"/>
    <w:rsid w:val="00B26868"/>
    <w:rsid w:val="00B27FFC"/>
    <w:rsid w:val="00B328AC"/>
    <w:rsid w:val="00B32FF1"/>
    <w:rsid w:val="00B33351"/>
    <w:rsid w:val="00B3335B"/>
    <w:rsid w:val="00B3372F"/>
    <w:rsid w:val="00B33791"/>
    <w:rsid w:val="00B34744"/>
    <w:rsid w:val="00B3486E"/>
    <w:rsid w:val="00B34B55"/>
    <w:rsid w:val="00B34E38"/>
    <w:rsid w:val="00B35816"/>
    <w:rsid w:val="00B35B58"/>
    <w:rsid w:val="00B35E36"/>
    <w:rsid w:val="00B40BD6"/>
    <w:rsid w:val="00B43342"/>
    <w:rsid w:val="00B43EDA"/>
    <w:rsid w:val="00B448C7"/>
    <w:rsid w:val="00B46038"/>
    <w:rsid w:val="00B46899"/>
    <w:rsid w:val="00B46DD1"/>
    <w:rsid w:val="00B55F6C"/>
    <w:rsid w:val="00B57059"/>
    <w:rsid w:val="00B6142C"/>
    <w:rsid w:val="00B6294C"/>
    <w:rsid w:val="00B64027"/>
    <w:rsid w:val="00B664E8"/>
    <w:rsid w:val="00B6727B"/>
    <w:rsid w:val="00B67A4B"/>
    <w:rsid w:val="00B70680"/>
    <w:rsid w:val="00B71E8D"/>
    <w:rsid w:val="00B72984"/>
    <w:rsid w:val="00B7323C"/>
    <w:rsid w:val="00B73761"/>
    <w:rsid w:val="00B73A1A"/>
    <w:rsid w:val="00B754BA"/>
    <w:rsid w:val="00B759C9"/>
    <w:rsid w:val="00B77A65"/>
    <w:rsid w:val="00B82B79"/>
    <w:rsid w:val="00B82CCD"/>
    <w:rsid w:val="00B8341E"/>
    <w:rsid w:val="00B844BE"/>
    <w:rsid w:val="00B8601D"/>
    <w:rsid w:val="00B87E19"/>
    <w:rsid w:val="00B91088"/>
    <w:rsid w:val="00B91DBE"/>
    <w:rsid w:val="00B92053"/>
    <w:rsid w:val="00B922C6"/>
    <w:rsid w:val="00B93B7C"/>
    <w:rsid w:val="00B93CEB"/>
    <w:rsid w:val="00B94125"/>
    <w:rsid w:val="00B947E4"/>
    <w:rsid w:val="00B95302"/>
    <w:rsid w:val="00B9614A"/>
    <w:rsid w:val="00B963C2"/>
    <w:rsid w:val="00B96D8F"/>
    <w:rsid w:val="00BA03A5"/>
    <w:rsid w:val="00BA0467"/>
    <w:rsid w:val="00BA0484"/>
    <w:rsid w:val="00BA2DAC"/>
    <w:rsid w:val="00BA2ED9"/>
    <w:rsid w:val="00BA3493"/>
    <w:rsid w:val="00BA4912"/>
    <w:rsid w:val="00BA5059"/>
    <w:rsid w:val="00BA5A86"/>
    <w:rsid w:val="00BA6ED0"/>
    <w:rsid w:val="00BA7C36"/>
    <w:rsid w:val="00BB011B"/>
    <w:rsid w:val="00BB0559"/>
    <w:rsid w:val="00BB0664"/>
    <w:rsid w:val="00BB0C6E"/>
    <w:rsid w:val="00BB1C4B"/>
    <w:rsid w:val="00BB1ED1"/>
    <w:rsid w:val="00BB339F"/>
    <w:rsid w:val="00BB3CBB"/>
    <w:rsid w:val="00BB414B"/>
    <w:rsid w:val="00BB46A9"/>
    <w:rsid w:val="00BB52C2"/>
    <w:rsid w:val="00BB5636"/>
    <w:rsid w:val="00BC06E2"/>
    <w:rsid w:val="00BC1E30"/>
    <w:rsid w:val="00BC2079"/>
    <w:rsid w:val="00BC426B"/>
    <w:rsid w:val="00BC45E9"/>
    <w:rsid w:val="00BC521B"/>
    <w:rsid w:val="00BC58C9"/>
    <w:rsid w:val="00BC6312"/>
    <w:rsid w:val="00BC6557"/>
    <w:rsid w:val="00BC7009"/>
    <w:rsid w:val="00BD0C81"/>
    <w:rsid w:val="00BD2956"/>
    <w:rsid w:val="00BD3ECC"/>
    <w:rsid w:val="00BD5510"/>
    <w:rsid w:val="00BD5FE3"/>
    <w:rsid w:val="00BD70D4"/>
    <w:rsid w:val="00BE0383"/>
    <w:rsid w:val="00BE0FA7"/>
    <w:rsid w:val="00BE402F"/>
    <w:rsid w:val="00BE6B69"/>
    <w:rsid w:val="00BF03FD"/>
    <w:rsid w:val="00BF05BE"/>
    <w:rsid w:val="00BF16D9"/>
    <w:rsid w:val="00BF31C1"/>
    <w:rsid w:val="00BF3962"/>
    <w:rsid w:val="00BF45A3"/>
    <w:rsid w:val="00BF498B"/>
    <w:rsid w:val="00BF4C5E"/>
    <w:rsid w:val="00BF5FDB"/>
    <w:rsid w:val="00BF6420"/>
    <w:rsid w:val="00BF69A4"/>
    <w:rsid w:val="00BF69C1"/>
    <w:rsid w:val="00BF7326"/>
    <w:rsid w:val="00BF7D22"/>
    <w:rsid w:val="00C005FA"/>
    <w:rsid w:val="00C0062F"/>
    <w:rsid w:val="00C012D0"/>
    <w:rsid w:val="00C02057"/>
    <w:rsid w:val="00C020FB"/>
    <w:rsid w:val="00C030DD"/>
    <w:rsid w:val="00C031B8"/>
    <w:rsid w:val="00C0343E"/>
    <w:rsid w:val="00C039B2"/>
    <w:rsid w:val="00C03A4E"/>
    <w:rsid w:val="00C03DBC"/>
    <w:rsid w:val="00C04B95"/>
    <w:rsid w:val="00C05E90"/>
    <w:rsid w:val="00C0696F"/>
    <w:rsid w:val="00C07542"/>
    <w:rsid w:val="00C117F7"/>
    <w:rsid w:val="00C1210A"/>
    <w:rsid w:val="00C121B7"/>
    <w:rsid w:val="00C14849"/>
    <w:rsid w:val="00C15477"/>
    <w:rsid w:val="00C16021"/>
    <w:rsid w:val="00C169A7"/>
    <w:rsid w:val="00C20DA1"/>
    <w:rsid w:val="00C2110F"/>
    <w:rsid w:val="00C22640"/>
    <w:rsid w:val="00C23B29"/>
    <w:rsid w:val="00C23D0F"/>
    <w:rsid w:val="00C24470"/>
    <w:rsid w:val="00C25613"/>
    <w:rsid w:val="00C25BC1"/>
    <w:rsid w:val="00C26653"/>
    <w:rsid w:val="00C26990"/>
    <w:rsid w:val="00C26EF4"/>
    <w:rsid w:val="00C27FAC"/>
    <w:rsid w:val="00C303EA"/>
    <w:rsid w:val="00C30D4A"/>
    <w:rsid w:val="00C32486"/>
    <w:rsid w:val="00C36064"/>
    <w:rsid w:val="00C368A4"/>
    <w:rsid w:val="00C36AB4"/>
    <w:rsid w:val="00C37731"/>
    <w:rsid w:val="00C37CF7"/>
    <w:rsid w:val="00C37D3D"/>
    <w:rsid w:val="00C40139"/>
    <w:rsid w:val="00C4099E"/>
    <w:rsid w:val="00C41EA2"/>
    <w:rsid w:val="00C42EB1"/>
    <w:rsid w:val="00C43E65"/>
    <w:rsid w:val="00C45515"/>
    <w:rsid w:val="00C458FF"/>
    <w:rsid w:val="00C46C0F"/>
    <w:rsid w:val="00C46DEC"/>
    <w:rsid w:val="00C47148"/>
    <w:rsid w:val="00C50BF9"/>
    <w:rsid w:val="00C53B82"/>
    <w:rsid w:val="00C546DD"/>
    <w:rsid w:val="00C55156"/>
    <w:rsid w:val="00C5556C"/>
    <w:rsid w:val="00C56A49"/>
    <w:rsid w:val="00C57614"/>
    <w:rsid w:val="00C60592"/>
    <w:rsid w:val="00C60FFF"/>
    <w:rsid w:val="00C610D1"/>
    <w:rsid w:val="00C61CB8"/>
    <w:rsid w:val="00C61D74"/>
    <w:rsid w:val="00C63F77"/>
    <w:rsid w:val="00C64519"/>
    <w:rsid w:val="00C64E9D"/>
    <w:rsid w:val="00C650F8"/>
    <w:rsid w:val="00C6535E"/>
    <w:rsid w:val="00C65DF1"/>
    <w:rsid w:val="00C66075"/>
    <w:rsid w:val="00C66B4A"/>
    <w:rsid w:val="00C66DEA"/>
    <w:rsid w:val="00C674CE"/>
    <w:rsid w:val="00C67B5D"/>
    <w:rsid w:val="00C715F3"/>
    <w:rsid w:val="00C72F0A"/>
    <w:rsid w:val="00C736CE"/>
    <w:rsid w:val="00C73942"/>
    <w:rsid w:val="00C73BAE"/>
    <w:rsid w:val="00C74236"/>
    <w:rsid w:val="00C743DA"/>
    <w:rsid w:val="00C74F5D"/>
    <w:rsid w:val="00C75878"/>
    <w:rsid w:val="00C75A07"/>
    <w:rsid w:val="00C76088"/>
    <w:rsid w:val="00C76BA3"/>
    <w:rsid w:val="00C809B3"/>
    <w:rsid w:val="00C81AC3"/>
    <w:rsid w:val="00C82A96"/>
    <w:rsid w:val="00C83CFD"/>
    <w:rsid w:val="00C8517F"/>
    <w:rsid w:val="00C85B6E"/>
    <w:rsid w:val="00C866F9"/>
    <w:rsid w:val="00C87798"/>
    <w:rsid w:val="00C87905"/>
    <w:rsid w:val="00C91CC3"/>
    <w:rsid w:val="00C93A5C"/>
    <w:rsid w:val="00C9471A"/>
    <w:rsid w:val="00C954F3"/>
    <w:rsid w:val="00C975A8"/>
    <w:rsid w:val="00C9793B"/>
    <w:rsid w:val="00C97973"/>
    <w:rsid w:val="00C97F8F"/>
    <w:rsid w:val="00CA05BC"/>
    <w:rsid w:val="00CA0FE3"/>
    <w:rsid w:val="00CA1829"/>
    <w:rsid w:val="00CA1C78"/>
    <w:rsid w:val="00CA2870"/>
    <w:rsid w:val="00CA2CFC"/>
    <w:rsid w:val="00CA3A41"/>
    <w:rsid w:val="00CA4898"/>
    <w:rsid w:val="00CA65D6"/>
    <w:rsid w:val="00CA6B6A"/>
    <w:rsid w:val="00CA6DBE"/>
    <w:rsid w:val="00CA7D6A"/>
    <w:rsid w:val="00CB0123"/>
    <w:rsid w:val="00CB0A2E"/>
    <w:rsid w:val="00CB1477"/>
    <w:rsid w:val="00CB2089"/>
    <w:rsid w:val="00CB51AE"/>
    <w:rsid w:val="00CB5533"/>
    <w:rsid w:val="00CB659F"/>
    <w:rsid w:val="00CB6E1F"/>
    <w:rsid w:val="00CB738D"/>
    <w:rsid w:val="00CC30DF"/>
    <w:rsid w:val="00CC3408"/>
    <w:rsid w:val="00CC354E"/>
    <w:rsid w:val="00CC3662"/>
    <w:rsid w:val="00CC4433"/>
    <w:rsid w:val="00CC469A"/>
    <w:rsid w:val="00CC47D8"/>
    <w:rsid w:val="00CC4D73"/>
    <w:rsid w:val="00CC711A"/>
    <w:rsid w:val="00CC7B2E"/>
    <w:rsid w:val="00CD097F"/>
    <w:rsid w:val="00CD1A37"/>
    <w:rsid w:val="00CD1BB6"/>
    <w:rsid w:val="00CD28C9"/>
    <w:rsid w:val="00CD28F0"/>
    <w:rsid w:val="00CE01E2"/>
    <w:rsid w:val="00CE1C8B"/>
    <w:rsid w:val="00CE3419"/>
    <w:rsid w:val="00CE3464"/>
    <w:rsid w:val="00CE54D0"/>
    <w:rsid w:val="00CE6DB7"/>
    <w:rsid w:val="00CE74C9"/>
    <w:rsid w:val="00CE7D66"/>
    <w:rsid w:val="00CF05A3"/>
    <w:rsid w:val="00CF169B"/>
    <w:rsid w:val="00CF336E"/>
    <w:rsid w:val="00CF33A5"/>
    <w:rsid w:val="00CF3795"/>
    <w:rsid w:val="00CF575B"/>
    <w:rsid w:val="00CF5D6F"/>
    <w:rsid w:val="00CF755E"/>
    <w:rsid w:val="00CF7E3B"/>
    <w:rsid w:val="00D01893"/>
    <w:rsid w:val="00D022D4"/>
    <w:rsid w:val="00D03AD9"/>
    <w:rsid w:val="00D04A33"/>
    <w:rsid w:val="00D10FC8"/>
    <w:rsid w:val="00D140E3"/>
    <w:rsid w:val="00D144F3"/>
    <w:rsid w:val="00D15165"/>
    <w:rsid w:val="00D1595E"/>
    <w:rsid w:val="00D15C3D"/>
    <w:rsid w:val="00D16B9D"/>
    <w:rsid w:val="00D16CE4"/>
    <w:rsid w:val="00D216BA"/>
    <w:rsid w:val="00D21E12"/>
    <w:rsid w:val="00D22BD8"/>
    <w:rsid w:val="00D22C03"/>
    <w:rsid w:val="00D22F11"/>
    <w:rsid w:val="00D24B52"/>
    <w:rsid w:val="00D271E4"/>
    <w:rsid w:val="00D27C95"/>
    <w:rsid w:val="00D30FA8"/>
    <w:rsid w:val="00D32023"/>
    <w:rsid w:val="00D33D2C"/>
    <w:rsid w:val="00D35B59"/>
    <w:rsid w:val="00D35BE6"/>
    <w:rsid w:val="00D377B9"/>
    <w:rsid w:val="00D409DE"/>
    <w:rsid w:val="00D40A18"/>
    <w:rsid w:val="00D41EC9"/>
    <w:rsid w:val="00D42BE5"/>
    <w:rsid w:val="00D43EE3"/>
    <w:rsid w:val="00D469EA"/>
    <w:rsid w:val="00D47019"/>
    <w:rsid w:val="00D5067B"/>
    <w:rsid w:val="00D5070C"/>
    <w:rsid w:val="00D534AA"/>
    <w:rsid w:val="00D535AE"/>
    <w:rsid w:val="00D54F1A"/>
    <w:rsid w:val="00D55AB4"/>
    <w:rsid w:val="00D55E51"/>
    <w:rsid w:val="00D565DB"/>
    <w:rsid w:val="00D573B8"/>
    <w:rsid w:val="00D57AF5"/>
    <w:rsid w:val="00D57F76"/>
    <w:rsid w:val="00D6312F"/>
    <w:rsid w:val="00D6342F"/>
    <w:rsid w:val="00D63BD1"/>
    <w:rsid w:val="00D646C0"/>
    <w:rsid w:val="00D6479D"/>
    <w:rsid w:val="00D647F0"/>
    <w:rsid w:val="00D6481A"/>
    <w:rsid w:val="00D648B1"/>
    <w:rsid w:val="00D65FF0"/>
    <w:rsid w:val="00D66600"/>
    <w:rsid w:val="00D66C94"/>
    <w:rsid w:val="00D67112"/>
    <w:rsid w:val="00D6713E"/>
    <w:rsid w:val="00D71572"/>
    <w:rsid w:val="00D71ED7"/>
    <w:rsid w:val="00D7283F"/>
    <w:rsid w:val="00D73304"/>
    <w:rsid w:val="00D7387D"/>
    <w:rsid w:val="00D745B5"/>
    <w:rsid w:val="00D755CA"/>
    <w:rsid w:val="00D76279"/>
    <w:rsid w:val="00D77382"/>
    <w:rsid w:val="00D80744"/>
    <w:rsid w:val="00D81138"/>
    <w:rsid w:val="00D82186"/>
    <w:rsid w:val="00D8293D"/>
    <w:rsid w:val="00D82B7F"/>
    <w:rsid w:val="00D83B46"/>
    <w:rsid w:val="00D84EE8"/>
    <w:rsid w:val="00D84F9F"/>
    <w:rsid w:val="00D852AC"/>
    <w:rsid w:val="00D858C7"/>
    <w:rsid w:val="00D8652B"/>
    <w:rsid w:val="00D86894"/>
    <w:rsid w:val="00D90394"/>
    <w:rsid w:val="00D90FDF"/>
    <w:rsid w:val="00D916D4"/>
    <w:rsid w:val="00D92DEA"/>
    <w:rsid w:val="00D95BC7"/>
    <w:rsid w:val="00D965AC"/>
    <w:rsid w:val="00D9680B"/>
    <w:rsid w:val="00D97F06"/>
    <w:rsid w:val="00DA06A2"/>
    <w:rsid w:val="00DA0F7F"/>
    <w:rsid w:val="00DA1799"/>
    <w:rsid w:val="00DA20F7"/>
    <w:rsid w:val="00DA24BB"/>
    <w:rsid w:val="00DA3885"/>
    <w:rsid w:val="00DA4348"/>
    <w:rsid w:val="00DA44F5"/>
    <w:rsid w:val="00DA468B"/>
    <w:rsid w:val="00DA4D60"/>
    <w:rsid w:val="00DA55C8"/>
    <w:rsid w:val="00DB0AF9"/>
    <w:rsid w:val="00DB1DD5"/>
    <w:rsid w:val="00DB28FC"/>
    <w:rsid w:val="00DB2B49"/>
    <w:rsid w:val="00DB2DC8"/>
    <w:rsid w:val="00DB40A0"/>
    <w:rsid w:val="00DB60A1"/>
    <w:rsid w:val="00DB6DFA"/>
    <w:rsid w:val="00DC0C67"/>
    <w:rsid w:val="00DC1DD7"/>
    <w:rsid w:val="00DC3421"/>
    <w:rsid w:val="00DC3E28"/>
    <w:rsid w:val="00DC3EFD"/>
    <w:rsid w:val="00DC4426"/>
    <w:rsid w:val="00DC44CC"/>
    <w:rsid w:val="00DC4B7A"/>
    <w:rsid w:val="00DC53D5"/>
    <w:rsid w:val="00DC5E17"/>
    <w:rsid w:val="00DD0051"/>
    <w:rsid w:val="00DD0E49"/>
    <w:rsid w:val="00DD1135"/>
    <w:rsid w:val="00DD1E8E"/>
    <w:rsid w:val="00DD2121"/>
    <w:rsid w:val="00DD26E3"/>
    <w:rsid w:val="00DD2EED"/>
    <w:rsid w:val="00DD46FE"/>
    <w:rsid w:val="00DD5181"/>
    <w:rsid w:val="00DD51AF"/>
    <w:rsid w:val="00DD77DE"/>
    <w:rsid w:val="00DE0CBA"/>
    <w:rsid w:val="00DE200D"/>
    <w:rsid w:val="00DE2509"/>
    <w:rsid w:val="00DE2B44"/>
    <w:rsid w:val="00DE3146"/>
    <w:rsid w:val="00DE356D"/>
    <w:rsid w:val="00DE5D81"/>
    <w:rsid w:val="00DF0CDB"/>
    <w:rsid w:val="00DF1D87"/>
    <w:rsid w:val="00DF1E73"/>
    <w:rsid w:val="00DF2230"/>
    <w:rsid w:val="00DF3DDA"/>
    <w:rsid w:val="00DF63BB"/>
    <w:rsid w:val="00DF7EAD"/>
    <w:rsid w:val="00E009C2"/>
    <w:rsid w:val="00E01BC1"/>
    <w:rsid w:val="00E01DED"/>
    <w:rsid w:val="00E02368"/>
    <w:rsid w:val="00E03B20"/>
    <w:rsid w:val="00E04894"/>
    <w:rsid w:val="00E04C7F"/>
    <w:rsid w:val="00E058BD"/>
    <w:rsid w:val="00E07A19"/>
    <w:rsid w:val="00E100D4"/>
    <w:rsid w:val="00E1266D"/>
    <w:rsid w:val="00E12A96"/>
    <w:rsid w:val="00E166A4"/>
    <w:rsid w:val="00E16E9B"/>
    <w:rsid w:val="00E17515"/>
    <w:rsid w:val="00E20591"/>
    <w:rsid w:val="00E2111E"/>
    <w:rsid w:val="00E2195D"/>
    <w:rsid w:val="00E220B0"/>
    <w:rsid w:val="00E221B9"/>
    <w:rsid w:val="00E2220C"/>
    <w:rsid w:val="00E233E8"/>
    <w:rsid w:val="00E23C5A"/>
    <w:rsid w:val="00E2405F"/>
    <w:rsid w:val="00E24D74"/>
    <w:rsid w:val="00E2530A"/>
    <w:rsid w:val="00E25813"/>
    <w:rsid w:val="00E268B0"/>
    <w:rsid w:val="00E27094"/>
    <w:rsid w:val="00E27DC9"/>
    <w:rsid w:val="00E27FAC"/>
    <w:rsid w:val="00E3135F"/>
    <w:rsid w:val="00E3151A"/>
    <w:rsid w:val="00E31AAC"/>
    <w:rsid w:val="00E31DA0"/>
    <w:rsid w:val="00E32C52"/>
    <w:rsid w:val="00E3564A"/>
    <w:rsid w:val="00E36F7B"/>
    <w:rsid w:val="00E370CD"/>
    <w:rsid w:val="00E37597"/>
    <w:rsid w:val="00E40C19"/>
    <w:rsid w:val="00E40EC0"/>
    <w:rsid w:val="00E41781"/>
    <w:rsid w:val="00E44671"/>
    <w:rsid w:val="00E44EAA"/>
    <w:rsid w:val="00E45DFA"/>
    <w:rsid w:val="00E45FF5"/>
    <w:rsid w:val="00E46848"/>
    <w:rsid w:val="00E46BD8"/>
    <w:rsid w:val="00E46F9E"/>
    <w:rsid w:val="00E52EF5"/>
    <w:rsid w:val="00E53A08"/>
    <w:rsid w:val="00E5428F"/>
    <w:rsid w:val="00E5475F"/>
    <w:rsid w:val="00E55A34"/>
    <w:rsid w:val="00E55EF3"/>
    <w:rsid w:val="00E56124"/>
    <w:rsid w:val="00E60F93"/>
    <w:rsid w:val="00E622A6"/>
    <w:rsid w:val="00E62CFC"/>
    <w:rsid w:val="00E63A21"/>
    <w:rsid w:val="00E64507"/>
    <w:rsid w:val="00E66632"/>
    <w:rsid w:val="00E666AC"/>
    <w:rsid w:val="00E6682E"/>
    <w:rsid w:val="00E67CDF"/>
    <w:rsid w:val="00E70BAD"/>
    <w:rsid w:val="00E71882"/>
    <w:rsid w:val="00E722EF"/>
    <w:rsid w:val="00E72691"/>
    <w:rsid w:val="00E72A40"/>
    <w:rsid w:val="00E73522"/>
    <w:rsid w:val="00E7360D"/>
    <w:rsid w:val="00E73681"/>
    <w:rsid w:val="00E73949"/>
    <w:rsid w:val="00E73E9E"/>
    <w:rsid w:val="00E74CA7"/>
    <w:rsid w:val="00E74CC8"/>
    <w:rsid w:val="00E751DA"/>
    <w:rsid w:val="00E7557B"/>
    <w:rsid w:val="00E7608C"/>
    <w:rsid w:val="00E764DC"/>
    <w:rsid w:val="00E76696"/>
    <w:rsid w:val="00E77ECF"/>
    <w:rsid w:val="00E808C9"/>
    <w:rsid w:val="00E844D2"/>
    <w:rsid w:val="00E8462E"/>
    <w:rsid w:val="00E84FF0"/>
    <w:rsid w:val="00E85AE8"/>
    <w:rsid w:val="00E85D10"/>
    <w:rsid w:val="00E87E80"/>
    <w:rsid w:val="00E902CC"/>
    <w:rsid w:val="00E90967"/>
    <w:rsid w:val="00E909F2"/>
    <w:rsid w:val="00E90CD0"/>
    <w:rsid w:val="00E90F4F"/>
    <w:rsid w:val="00E9106C"/>
    <w:rsid w:val="00E91A33"/>
    <w:rsid w:val="00E921DB"/>
    <w:rsid w:val="00E93258"/>
    <w:rsid w:val="00E93E80"/>
    <w:rsid w:val="00E93F21"/>
    <w:rsid w:val="00E94DC9"/>
    <w:rsid w:val="00E95035"/>
    <w:rsid w:val="00E95972"/>
    <w:rsid w:val="00E95E77"/>
    <w:rsid w:val="00E95F9E"/>
    <w:rsid w:val="00E96072"/>
    <w:rsid w:val="00E96281"/>
    <w:rsid w:val="00E96773"/>
    <w:rsid w:val="00E96E37"/>
    <w:rsid w:val="00E96EDB"/>
    <w:rsid w:val="00EA0EEA"/>
    <w:rsid w:val="00EA108A"/>
    <w:rsid w:val="00EA1BE5"/>
    <w:rsid w:val="00EA1F08"/>
    <w:rsid w:val="00EA2C01"/>
    <w:rsid w:val="00EA4D3E"/>
    <w:rsid w:val="00EA6264"/>
    <w:rsid w:val="00EA7575"/>
    <w:rsid w:val="00EB162F"/>
    <w:rsid w:val="00EB43CB"/>
    <w:rsid w:val="00EB505F"/>
    <w:rsid w:val="00EB50D9"/>
    <w:rsid w:val="00EC01D8"/>
    <w:rsid w:val="00EC081A"/>
    <w:rsid w:val="00EC1122"/>
    <w:rsid w:val="00EC3A67"/>
    <w:rsid w:val="00EC5B0F"/>
    <w:rsid w:val="00EC5C7E"/>
    <w:rsid w:val="00EC61ED"/>
    <w:rsid w:val="00EC6904"/>
    <w:rsid w:val="00EC76FA"/>
    <w:rsid w:val="00EC7D5D"/>
    <w:rsid w:val="00ED0868"/>
    <w:rsid w:val="00ED0BFD"/>
    <w:rsid w:val="00ED1C43"/>
    <w:rsid w:val="00ED2821"/>
    <w:rsid w:val="00ED3410"/>
    <w:rsid w:val="00ED36F0"/>
    <w:rsid w:val="00ED4931"/>
    <w:rsid w:val="00ED4AF6"/>
    <w:rsid w:val="00ED4CD9"/>
    <w:rsid w:val="00ED4DFD"/>
    <w:rsid w:val="00ED5ADD"/>
    <w:rsid w:val="00ED6034"/>
    <w:rsid w:val="00EE0609"/>
    <w:rsid w:val="00EE08A3"/>
    <w:rsid w:val="00EE09BD"/>
    <w:rsid w:val="00EE1EF4"/>
    <w:rsid w:val="00EE2218"/>
    <w:rsid w:val="00EE2308"/>
    <w:rsid w:val="00EE29E3"/>
    <w:rsid w:val="00EE3F67"/>
    <w:rsid w:val="00EE42DB"/>
    <w:rsid w:val="00EE7501"/>
    <w:rsid w:val="00EE77B0"/>
    <w:rsid w:val="00EF06AA"/>
    <w:rsid w:val="00EF122C"/>
    <w:rsid w:val="00EF1FD0"/>
    <w:rsid w:val="00EF21C1"/>
    <w:rsid w:val="00EF2AD5"/>
    <w:rsid w:val="00EF33E4"/>
    <w:rsid w:val="00EF3EB1"/>
    <w:rsid w:val="00EF489D"/>
    <w:rsid w:val="00EF5503"/>
    <w:rsid w:val="00F00303"/>
    <w:rsid w:val="00F040EA"/>
    <w:rsid w:val="00F04444"/>
    <w:rsid w:val="00F047CC"/>
    <w:rsid w:val="00F058F3"/>
    <w:rsid w:val="00F063A6"/>
    <w:rsid w:val="00F069E0"/>
    <w:rsid w:val="00F10292"/>
    <w:rsid w:val="00F10B5C"/>
    <w:rsid w:val="00F10CEA"/>
    <w:rsid w:val="00F11C2C"/>
    <w:rsid w:val="00F127B4"/>
    <w:rsid w:val="00F12D37"/>
    <w:rsid w:val="00F1489B"/>
    <w:rsid w:val="00F1570F"/>
    <w:rsid w:val="00F20B82"/>
    <w:rsid w:val="00F2179D"/>
    <w:rsid w:val="00F21F79"/>
    <w:rsid w:val="00F2204E"/>
    <w:rsid w:val="00F22083"/>
    <w:rsid w:val="00F22734"/>
    <w:rsid w:val="00F234B4"/>
    <w:rsid w:val="00F247A3"/>
    <w:rsid w:val="00F27FE7"/>
    <w:rsid w:val="00F30499"/>
    <w:rsid w:val="00F30EE6"/>
    <w:rsid w:val="00F31D40"/>
    <w:rsid w:val="00F32B55"/>
    <w:rsid w:val="00F343F1"/>
    <w:rsid w:val="00F35143"/>
    <w:rsid w:val="00F3578D"/>
    <w:rsid w:val="00F408FD"/>
    <w:rsid w:val="00F41B52"/>
    <w:rsid w:val="00F41D02"/>
    <w:rsid w:val="00F436B4"/>
    <w:rsid w:val="00F44DB3"/>
    <w:rsid w:val="00F465CF"/>
    <w:rsid w:val="00F507CA"/>
    <w:rsid w:val="00F50C6B"/>
    <w:rsid w:val="00F50EBC"/>
    <w:rsid w:val="00F533D2"/>
    <w:rsid w:val="00F534E2"/>
    <w:rsid w:val="00F544A4"/>
    <w:rsid w:val="00F548B3"/>
    <w:rsid w:val="00F54F2F"/>
    <w:rsid w:val="00F54F32"/>
    <w:rsid w:val="00F55735"/>
    <w:rsid w:val="00F5623B"/>
    <w:rsid w:val="00F57E06"/>
    <w:rsid w:val="00F6036D"/>
    <w:rsid w:val="00F60704"/>
    <w:rsid w:val="00F610F0"/>
    <w:rsid w:val="00F61339"/>
    <w:rsid w:val="00F61446"/>
    <w:rsid w:val="00F61DF8"/>
    <w:rsid w:val="00F62399"/>
    <w:rsid w:val="00F63723"/>
    <w:rsid w:val="00F64895"/>
    <w:rsid w:val="00F659CC"/>
    <w:rsid w:val="00F66C72"/>
    <w:rsid w:val="00F670DB"/>
    <w:rsid w:val="00F67BCD"/>
    <w:rsid w:val="00F70F0D"/>
    <w:rsid w:val="00F729AB"/>
    <w:rsid w:val="00F7439A"/>
    <w:rsid w:val="00F75792"/>
    <w:rsid w:val="00F76CAD"/>
    <w:rsid w:val="00F80277"/>
    <w:rsid w:val="00F80F0E"/>
    <w:rsid w:val="00F81042"/>
    <w:rsid w:val="00F815FF"/>
    <w:rsid w:val="00F82926"/>
    <w:rsid w:val="00F82F76"/>
    <w:rsid w:val="00F848CE"/>
    <w:rsid w:val="00F84E08"/>
    <w:rsid w:val="00F86BF4"/>
    <w:rsid w:val="00F87239"/>
    <w:rsid w:val="00F878C3"/>
    <w:rsid w:val="00F90B7E"/>
    <w:rsid w:val="00F9150E"/>
    <w:rsid w:val="00F93C10"/>
    <w:rsid w:val="00F93DBE"/>
    <w:rsid w:val="00F9419B"/>
    <w:rsid w:val="00F943BC"/>
    <w:rsid w:val="00F952E4"/>
    <w:rsid w:val="00F96463"/>
    <w:rsid w:val="00F979C5"/>
    <w:rsid w:val="00F97BBE"/>
    <w:rsid w:val="00FA054B"/>
    <w:rsid w:val="00FA0DB5"/>
    <w:rsid w:val="00FA1805"/>
    <w:rsid w:val="00FA19B9"/>
    <w:rsid w:val="00FA32BC"/>
    <w:rsid w:val="00FA3EB3"/>
    <w:rsid w:val="00FA47DC"/>
    <w:rsid w:val="00FA5F06"/>
    <w:rsid w:val="00FA67AA"/>
    <w:rsid w:val="00FA7C01"/>
    <w:rsid w:val="00FB0C1B"/>
    <w:rsid w:val="00FB1652"/>
    <w:rsid w:val="00FB2B30"/>
    <w:rsid w:val="00FB3108"/>
    <w:rsid w:val="00FB3A07"/>
    <w:rsid w:val="00FB66DB"/>
    <w:rsid w:val="00FB795F"/>
    <w:rsid w:val="00FC1441"/>
    <w:rsid w:val="00FC2F89"/>
    <w:rsid w:val="00FC3176"/>
    <w:rsid w:val="00FC3281"/>
    <w:rsid w:val="00FC4386"/>
    <w:rsid w:val="00FD087D"/>
    <w:rsid w:val="00FD0CCA"/>
    <w:rsid w:val="00FD10F9"/>
    <w:rsid w:val="00FD266C"/>
    <w:rsid w:val="00FD28FC"/>
    <w:rsid w:val="00FD46DA"/>
    <w:rsid w:val="00FD4D95"/>
    <w:rsid w:val="00FD50FE"/>
    <w:rsid w:val="00FD7DD0"/>
    <w:rsid w:val="00FE0158"/>
    <w:rsid w:val="00FE029B"/>
    <w:rsid w:val="00FE428C"/>
    <w:rsid w:val="00FE5367"/>
    <w:rsid w:val="00FE61DE"/>
    <w:rsid w:val="00FE78C6"/>
    <w:rsid w:val="00FF0157"/>
    <w:rsid w:val="00FF05DF"/>
    <w:rsid w:val="00FF06C9"/>
    <w:rsid w:val="00FF10E3"/>
    <w:rsid w:val="00FF20B4"/>
    <w:rsid w:val="00FF329A"/>
    <w:rsid w:val="00FF4CE4"/>
    <w:rsid w:val="00FF50AE"/>
    <w:rsid w:val="00FF560D"/>
    <w:rsid w:val="00FF67FD"/>
    <w:rsid w:val="00FF75F6"/>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F1AAA0"/>
  <w15:chartTrackingRefBased/>
  <w15:docId w15:val="{ECD6F2BF-7EA1-46F3-B3A2-66A67CFD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4849"/>
    <w:pPr>
      <w:spacing w:line="360" w:lineRule="auto"/>
    </w:pPr>
    <w:rPr>
      <w:rFonts w:ascii="Times New Roman" w:hAnsi="Times New Roman"/>
    </w:rPr>
  </w:style>
  <w:style w:type="paragraph" w:styleId="Heading1">
    <w:name w:val="heading 1"/>
    <w:basedOn w:val="Normal"/>
    <w:next w:val="Normal"/>
    <w:link w:val="Heading1Char"/>
    <w:uiPriority w:val="9"/>
    <w:qFormat/>
    <w:rsid w:val="00B35B58"/>
    <w:pPr>
      <w:keepNext/>
      <w:keepLines/>
      <w:numPr>
        <w:numId w:val="3"/>
      </w:numPr>
      <w:spacing w:before="320" w:after="40"/>
      <w:ind w:left="432"/>
      <w:outlineLvl w:val="0"/>
    </w:pPr>
    <w:rPr>
      <w:rFonts w:eastAsiaTheme="majorEastAsia" w:cstheme="majorBidi"/>
      <w:b/>
      <w:bCs/>
      <w:caps/>
      <w:spacing w:val="4"/>
      <w:sz w:val="24"/>
      <w:szCs w:val="28"/>
    </w:rPr>
  </w:style>
  <w:style w:type="paragraph" w:styleId="Heading2">
    <w:name w:val="heading 2"/>
    <w:basedOn w:val="Normal"/>
    <w:next w:val="Normal"/>
    <w:link w:val="Heading2Char"/>
    <w:uiPriority w:val="9"/>
    <w:unhideWhenUsed/>
    <w:qFormat/>
    <w:rsid w:val="00B35B58"/>
    <w:pPr>
      <w:keepNext/>
      <w:keepLines/>
      <w:numPr>
        <w:ilvl w:val="1"/>
        <w:numId w:val="3"/>
      </w:numPr>
      <w:spacing w:before="120" w:after="0"/>
      <w:outlineLvl w:val="1"/>
    </w:pPr>
    <w:rPr>
      <w:rFonts w:eastAsiaTheme="majorEastAsia" w:cstheme="majorBidi"/>
      <w:b/>
      <w:bCs/>
      <w:sz w:val="24"/>
      <w:szCs w:val="28"/>
    </w:rPr>
  </w:style>
  <w:style w:type="paragraph" w:styleId="Heading3">
    <w:name w:val="heading 3"/>
    <w:basedOn w:val="Normal"/>
    <w:next w:val="Normal"/>
    <w:link w:val="Heading3Char"/>
    <w:uiPriority w:val="9"/>
    <w:unhideWhenUsed/>
    <w:qFormat/>
    <w:rsid w:val="00B35B58"/>
    <w:pPr>
      <w:keepNext/>
      <w:keepLines/>
      <w:numPr>
        <w:ilvl w:val="2"/>
        <w:numId w:val="3"/>
      </w:numPr>
      <w:spacing w:before="120" w:after="0"/>
      <w:ind w:left="720"/>
      <w:outlineLvl w:val="2"/>
    </w:pPr>
    <w:rPr>
      <w:rFonts w:eastAsiaTheme="majorEastAsia" w:cstheme="majorBidi"/>
      <w:i/>
      <w:spacing w:val="4"/>
      <w:sz w:val="24"/>
      <w:szCs w:val="24"/>
    </w:rPr>
  </w:style>
  <w:style w:type="paragraph" w:styleId="Heading4">
    <w:name w:val="heading 4"/>
    <w:basedOn w:val="Normal"/>
    <w:next w:val="Normal"/>
    <w:link w:val="Heading4Char"/>
    <w:uiPriority w:val="9"/>
    <w:semiHidden/>
    <w:unhideWhenUsed/>
    <w:qFormat/>
    <w:rsid w:val="00C14849"/>
    <w:pPr>
      <w:keepNext/>
      <w:keepLines/>
      <w:numPr>
        <w:ilvl w:val="3"/>
        <w:numId w:val="3"/>
      </w:numPr>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C14849"/>
    <w:pPr>
      <w:keepNext/>
      <w:keepLines/>
      <w:numPr>
        <w:ilvl w:val="4"/>
        <w:numId w:val="3"/>
      </w:numPr>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C14849"/>
    <w:pPr>
      <w:keepNext/>
      <w:keepLines/>
      <w:numPr>
        <w:ilvl w:val="5"/>
        <w:numId w:val="3"/>
      </w:numPr>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C14849"/>
    <w:pPr>
      <w:keepNext/>
      <w:keepLines/>
      <w:numPr>
        <w:ilvl w:val="6"/>
        <w:numId w:val="3"/>
      </w:numPr>
      <w:spacing w:before="120" w:after="0"/>
      <w:outlineLvl w:val="6"/>
    </w:pPr>
    <w:rPr>
      <w:rFonts w:asciiTheme="minorHAnsi" w:hAnsiTheme="minorHAnsi"/>
      <w:i/>
      <w:iCs/>
    </w:rPr>
  </w:style>
  <w:style w:type="paragraph" w:styleId="Heading8">
    <w:name w:val="heading 8"/>
    <w:basedOn w:val="Normal"/>
    <w:next w:val="Normal"/>
    <w:link w:val="Heading8Char"/>
    <w:uiPriority w:val="9"/>
    <w:semiHidden/>
    <w:unhideWhenUsed/>
    <w:qFormat/>
    <w:rsid w:val="00C14849"/>
    <w:pPr>
      <w:keepNext/>
      <w:keepLines/>
      <w:numPr>
        <w:ilvl w:val="7"/>
        <w:numId w:val="3"/>
      </w:numPr>
      <w:spacing w:before="120" w:after="0"/>
      <w:outlineLvl w:val="7"/>
    </w:pPr>
    <w:rPr>
      <w:rFonts w:asciiTheme="minorHAnsi" w:hAnsiTheme="minorHAnsi"/>
      <w:b/>
      <w:bCs/>
    </w:rPr>
  </w:style>
  <w:style w:type="paragraph" w:styleId="Heading9">
    <w:name w:val="heading 9"/>
    <w:basedOn w:val="Normal"/>
    <w:next w:val="Normal"/>
    <w:link w:val="Heading9Char"/>
    <w:uiPriority w:val="9"/>
    <w:semiHidden/>
    <w:unhideWhenUsed/>
    <w:qFormat/>
    <w:rsid w:val="00C14849"/>
    <w:pPr>
      <w:keepNext/>
      <w:keepLines/>
      <w:numPr>
        <w:ilvl w:val="8"/>
        <w:numId w:val="3"/>
      </w:numPr>
      <w:spacing w:before="120" w:after="0"/>
      <w:outlineLvl w:val="8"/>
    </w:pPr>
    <w:rPr>
      <w:rFonts w:asciiTheme="minorHAnsi" w:hAnsiTheme="minorHAns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5B58"/>
    <w:rPr>
      <w:rFonts w:ascii="Times New Roman" w:eastAsiaTheme="majorEastAsia" w:hAnsi="Times New Roman" w:cstheme="majorBidi"/>
      <w:b/>
      <w:bCs/>
      <w:caps/>
      <w:spacing w:val="4"/>
      <w:sz w:val="24"/>
      <w:szCs w:val="28"/>
    </w:rPr>
  </w:style>
  <w:style w:type="character" w:customStyle="1" w:styleId="Heading2Char">
    <w:name w:val="Heading 2 Char"/>
    <w:basedOn w:val="DefaultParagraphFont"/>
    <w:link w:val="Heading2"/>
    <w:uiPriority w:val="9"/>
    <w:rsid w:val="00B35B58"/>
    <w:rPr>
      <w:rFonts w:ascii="Times New Roman" w:eastAsiaTheme="majorEastAsia" w:hAnsi="Times New Roman" w:cstheme="majorBidi"/>
      <w:b/>
      <w:bCs/>
      <w:sz w:val="24"/>
      <w:szCs w:val="28"/>
    </w:rPr>
  </w:style>
  <w:style w:type="character" w:customStyle="1" w:styleId="Heading3Char">
    <w:name w:val="Heading 3 Char"/>
    <w:basedOn w:val="DefaultParagraphFont"/>
    <w:link w:val="Heading3"/>
    <w:uiPriority w:val="9"/>
    <w:rsid w:val="00B35B58"/>
    <w:rPr>
      <w:rFonts w:ascii="Times New Roman" w:eastAsiaTheme="majorEastAsia" w:hAnsi="Times New Roman" w:cstheme="majorBidi"/>
      <w:i/>
      <w:spacing w:val="4"/>
      <w:sz w:val="24"/>
      <w:szCs w:val="24"/>
    </w:rPr>
  </w:style>
  <w:style w:type="character" w:customStyle="1" w:styleId="Heading4Char">
    <w:name w:val="Heading 4 Char"/>
    <w:basedOn w:val="DefaultParagraphFont"/>
    <w:link w:val="Heading4"/>
    <w:uiPriority w:val="9"/>
    <w:semiHidden/>
    <w:rsid w:val="00C14849"/>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C14849"/>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C14849"/>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C14849"/>
    <w:rPr>
      <w:i/>
      <w:iCs/>
    </w:rPr>
  </w:style>
  <w:style w:type="character" w:customStyle="1" w:styleId="Heading8Char">
    <w:name w:val="Heading 8 Char"/>
    <w:basedOn w:val="DefaultParagraphFont"/>
    <w:link w:val="Heading8"/>
    <w:uiPriority w:val="9"/>
    <w:semiHidden/>
    <w:rsid w:val="00C14849"/>
    <w:rPr>
      <w:b/>
      <w:bCs/>
    </w:rPr>
  </w:style>
  <w:style w:type="character" w:customStyle="1" w:styleId="Heading9Char">
    <w:name w:val="Heading 9 Char"/>
    <w:basedOn w:val="DefaultParagraphFont"/>
    <w:link w:val="Heading9"/>
    <w:uiPriority w:val="9"/>
    <w:semiHidden/>
    <w:rsid w:val="00C14849"/>
    <w:rPr>
      <w:i/>
      <w:iCs/>
    </w:rPr>
  </w:style>
  <w:style w:type="paragraph" w:styleId="Caption">
    <w:name w:val="caption"/>
    <w:basedOn w:val="Normal"/>
    <w:next w:val="Normal"/>
    <w:uiPriority w:val="35"/>
    <w:unhideWhenUsed/>
    <w:qFormat/>
    <w:rsid w:val="00747A37"/>
    <w:rPr>
      <w:b/>
      <w:bCs/>
      <w:sz w:val="20"/>
      <w:szCs w:val="18"/>
    </w:rPr>
  </w:style>
  <w:style w:type="paragraph" w:styleId="Title">
    <w:name w:val="Title"/>
    <w:basedOn w:val="Normal"/>
    <w:next w:val="Normal"/>
    <w:link w:val="TitleChar"/>
    <w:uiPriority w:val="10"/>
    <w:qFormat/>
    <w:rsid w:val="001C5A95"/>
    <w:pPr>
      <w:spacing w:after="0" w:line="240" w:lineRule="auto"/>
      <w:contextualSpacing/>
    </w:pPr>
    <w:rPr>
      <w:rFonts w:eastAsiaTheme="majorEastAsia" w:cstheme="majorBidi"/>
      <w:b/>
      <w:bCs/>
      <w:spacing w:val="-7"/>
      <w:sz w:val="32"/>
      <w:szCs w:val="48"/>
    </w:rPr>
  </w:style>
  <w:style w:type="character" w:customStyle="1" w:styleId="TitleChar">
    <w:name w:val="Title Char"/>
    <w:basedOn w:val="DefaultParagraphFont"/>
    <w:link w:val="Title"/>
    <w:uiPriority w:val="10"/>
    <w:rsid w:val="001C5A95"/>
    <w:rPr>
      <w:rFonts w:ascii="Times New Roman" w:eastAsiaTheme="majorEastAsia" w:hAnsi="Times New Roman" w:cstheme="majorBidi"/>
      <w:b/>
      <w:bCs/>
      <w:spacing w:val="-7"/>
      <w:sz w:val="32"/>
      <w:szCs w:val="48"/>
    </w:rPr>
  </w:style>
  <w:style w:type="paragraph" w:styleId="Subtitle">
    <w:name w:val="Subtitle"/>
    <w:basedOn w:val="Normal"/>
    <w:next w:val="Normal"/>
    <w:link w:val="SubtitleChar"/>
    <w:uiPriority w:val="11"/>
    <w:qFormat/>
    <w:rsid w:val="00C14849"/>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C14849"/>
    <w:rPr>
      <w:rFonts w:asciiTheme="majorHAnsi" w:eastAsiaTheme="majorEastAsia" w:hAnsiTheme="majorHAnsi" w:cstheme="majorBidi"/>
      <w:sz w:val="24"/>
      <w:szCs w:val="24"/>
    </w:rPr>
  </w:style>
  <w:style w:type="character" w:styleId="Strong">
    <w:name w:val="Strong"/>
    <w:basedOn w:val="DefaultParagraphFont"/>
    <w:uiPriority w:val="22"/>
    <w:qFormat/>
    <w:rsid w:val="00C14849"/>
    <w:rPr>
      <w:b/>
      <w:bCs/>
      <w:color w:val="auto"/>
    </w:rPr>
  </w:style>
  <w:style w:type="character" w:styleId="Emphasis">
    <w:name w:val="Emphasis"/>
    <w:basedOn w:val="DefaultParagraphFont"/>
    <w:uiPriority w:val="20"/>
    <w:qFormat/>
    <w:rsid w:val="00C14849"/>
    <w:rPr>
      <w:i/>
      <w:iCs/>
      <w:color w:val="auto"/>
    </w:rPr>
  </w:style>
  <w:style w:type="paragraph" w:styleId="NoSpacing">
    <w:name w:val="No Spacing"/>
    <w:uiPriority w:val="1"/>
    <w:qFormat/>
    <w:rsid w:val="00C14849"/>
    <w:pPr>
      <w:spacing w:after="0" w:line="240" w:lineRule="auto"/>
    </w:pPr>
  </w:style>
  <w:style w:type="paragraph" w:styleId="Quote">
    <w:name w:val="Quote"/>
    <w:basedOn w:val="Normal"/>
    <w:next w:val="Normal"/>
    <w:link w:val="QuoteChar"/>
    <w:uiPriority w:val="29"/>
    <w:qFormat/>
    <w:rsid w:val="00C14849"/>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C14849"/>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C14849"/>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C14849"/>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C14849"/>
    <w:rPr>
      <w:i/>
      <w:iCs/>
      <w:color w:val="auto"/>
    </w:rPr>
  </w:style>
  <w:style w:type="character" w:styleId="IntenseEmphasis">
    <w:name w:val="Intense Emphasis"/>
    <w:basedOn w:val="DefaultParagraphFont"/>
    <w:uiPriority w:val="21"/>
    <w:qFormat/>
    <w:rsid w:val="00C14849"/>
    <w:rPr>
      <w:b/>
      <w:bCs/>
      <w:i/>
      <w:iCs/>
      <w:color w:val="auto"/>
    </w:rPr>
  </w:style>
  <w:style w:type="character" w:styleId="SubtleReference">
    <w:name w:val="Subtle Reference"/>
    <w:basedOn w:val="DefaultParagraphFont"/>
    <w:uiPriority w:val="31"/>
    <w:qFormat/>
    <w:rsid w:val="00C14849"/>
    <w:rPr>
      <w:smallCaps/>
      <w:color w:val="auto"/>
      <w:u w:val="single" w:color="7F7F7F" w:themeColor="text1" w:themeTint="80"/>
    </w:rPr>
  </w:style>
  <w:style w:type="character" w:styleId="IntenseReference">
    <w:name w:val="Intense Reference"/>
    <w:basedOn w:val="DefaultParagraphFont"/>
    <w:uiPriority w:val="32"/>
    <w:qFormat/>
    <w:rsid w:val="00C14849"/>
    <w:rPr>
      <w:b/>
      <w:bCs/>
      <w:smallCaps/>
      <w:color w:val="auto"/>
      <w:u w:val="single"/>
    </w:rPr>
  </w:style>
  <w:style w:type="character" w:styleId="BookTitle">
    <w:name w:val="Book Title"/>
    <w:basedOn w:val="DefaultParagraphFont"/>
    <w:uiPriority w:val="33"/>
    <w:qFormat/>
    <w:rsid w:val="00C14849"/>
    <w:rPr>
      <w:b/>
      <w:bCs/>
      <w:smallCaps/>
      <w:color w:val="auto"/>
    </w:rPr>
  </w:style>
  <w:style w:type="paragraph" w:styleId="TOCHeading">
    <w:name w:val="TOC Heading"/>
    <w:basedOn w:val="Heading1"/>
    <w:next w:val="Normal"/>
    <w:uiPriority w:val="39"/>
    <w:semiHidden/>
    <w:unhideWhenUsed/>
    <w:qFormat/>
    <w:rsid w:val="00C14849"/>
    <w:pPr>
      <w:outlineLvl w:val="9"/>
    </w:pPr>
  </w:style>
  <w:style w:type="paragraph" w:styleId="ListParagraph">
    <w:name w:val="List Paragraph"/>
    <w:basedOn w:val="Normal"/>
    <w:uiPriority w:val="34"/>
    <w:qFormat/>
    <w:rsid w:val="00C14849"/>
    <w:pPr>
      <w:ind w:left="720"/>
      <w:contextualSpacing/>
    </w:pPr>
  </w:style>
  <w:style w:type="paragraph" w:styleId="ListBullet">
    <w:name w:val="List Bullet"/>
    <w:basedOn w:val="Normal"/>
    <w:uiPriority w:val="99"/>
    <w:unhideWhenUsed/>
    <w:rsid w:val="000E6CAE"/>
    <w:pPr>
      <w:numPr>
        <w:numId w:val="23"/>
      </w:numPr>
      <w:contextualSpacing/>
    </w:pPr>
  </w:style>
  <w:style w:type="character" w:customStyle="1" w:styleId="MTEquationSection">
    <w:name w:val="MTEquationSection"/>
    <w:basedOn w:val="DefaultParagraphFont"/>
    <w:rsid w:val="00F50EBC"/>
    <w:rPr>
      <w:vanish w:val="0"/>
      <w:color w:val="FF0000"/>
    </w:rPr>
  </w:style>
  <w:style w:type="paragraph" w:styleId="Bibliography">
    <w:name w:val="Bibliography"/>
    <w:basedOn w:val="Normal"/>
    <w:next w:val="Normal"/>
    <w:uiPriority w:val="37"/>
    <w:unhideWhenUsed/>
    <w:rsid w:val="00915106"/>
    <w:pPr>
      <w:spacing w:after="0" w:line="240" w:lineRule="auto"/>
      <w:ind w:left="720" w:hanging="720"/>
    </w:pPr>
  </w:style>
  <w:style w:type="table" w:styleId="TableGrid">
    <w:name w:val="Table Grid"/>
    <w:basedOn w:val="TableNormal"/>
    <w:uiPriority w:val="39"/>
    <w:rsid w:val="00A25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4D11"/>
    <w:rPr>
      <w:color w:val="0563C1" w:themeColor="hyperlink"/>
      <w:u w:val="single"/>
    </w:rPr>
  </w:style>
  <w:style w:type="paragraph" w:styleId="Header">
    <w:name w:val="header"/>
    <w:basedOn w:val="Normal"/>
    <w:link w:val="HeaderChar"/>
    <w:uiPriority w:val="99"/>
    <w:unhideWhenUsed/>
    <w:rsid w:val="00634D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4D11"/>
    <w:rPr>
      <w:rFonts w:ascii="Times New Roman" w:hAnsi="Times New Roman"/>
    </w:rPr>
  </w:style>
  <w:style w:type="paragraph" w:styleId="Footer">
    <w:name w:val="footer"/>
    <w:basedOn w:val="Normal"/>
    <w:link w:val="FooterChar"/>
    <w:uiPriority w:val="99"/>
    <w:unhideWhenUsed/>
    <w:rsid w:val="00634D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4D11"/>
    <w:rPr>
      <w:rFonts w:ascii="Times New Roman" w:hAnsi="Times New Roman"/>
    </w:rPr>
  </w:style>
  <w:style w:type="character" w:styleId="LineNumber">
    <w:name w:val="line number"/>
    <w:basedOn w:val="DefaultParagraphFont"/>
    <w:uiPriority w:val="99"/>
    <w:semiHidden/>
    <w:unhideWhenUsed/>
    <w:rsid w:val="00634D11"/>
  </w:style>
  <w:style w:type="paragraph" w:styleId="BalloonText">
    <w:name w:val="Balloon Text"/>
    <w:basedOn w:val="Normal"/>
    <w:link w:val="BalloonTextChar"/>
    <w:uiPriority w:val="99"/>
    <w:semiHidden/>
    <w:unhideWhenUsed/>
    <w:rsid w:val="00DD5181"/>
    <w:pPr>
      <w:spacing w:after="0" w:line="240" w:lineRule="auto"/>
    </w:pPr>
    <w:rPr>
      <w:rFonts w:cs="Times New Roman"/>
      <w:sz w:val="18"/>
      <w:szCs w:val="18"/>
    </w:rPr>
  </w:style>
  <w:style w:type="character" w:customStyle="1" w:styleId="BalloonTextChar">
    <w:name w:val="Balloon Text Char"/>
    <w:basedOn w:val="DefaultParagraphFont"/>
    <w:link w:val="BalloonText"/>
    <w:uiPriority w:val="99"/>
    <w:semiHidden/>
    <w:rsid w:val="00DD5181"/>
    <w:rPr>
      <w:rFonts w:ascii="Times New Roman" w:hAnsi="Times New Roman" w:cs="Times New Roman"/>
      <w:sz w:val="18"/>
      <w:szCs w:val="18"/>
    </w:rPr>
  </w:style>
  <w:style w:type="paragraph" w:styleId="EndnoteText">
    <w:name w:val="endnote text"/>
    <w:basedOn w:val="Normal"/>
    <w:link w:val="EndnoteTextChar"/>
    <w:uiPriority w:val="99"/>
    <w:semiHidden/>
    <w:unhideWhenUsed/>
    <w:rsid w:val="00BC45E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45E9"/>
    <w:rPr>
      <w:rFonts w:ascii="Times New Roman" w:hAnsi="Times New Roman"/>
      <w:sz w:val="20"/>
      <w:szCs w:val="20"/>
    </w:rPr>
  </w:style>
  <w:style w:type="character" w:styleId="EndnoteReference">
    <w:name w:val="endnote reference"/>
    <w:basedOn w:val="DefaultParagraphFont"/>
    <w:uiPriority w:val="99"/>
    <w:semiHidden/>
    <w:unhideWhenUsed/>
    <w:rsid w:val="00BC45E9"/>
    <w:rPr>
      <w:vertAlign w:val="superscript"/>
    </w:rPr>
  </w:style>
  <w:style w:type="paragraph" w:styleId="FootnoteText">
    <w:name w:val="footnote text"/>
    <w:basedOn w:val="Normal"/>
    <w:link w:val="FootnoteTextChar"/>
    <w:uiPriority w:val="99"/>
    <w:semiHidden/>
    <w:unhideWhenUsed/>
    <w:rsid w:val="00626F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6F3F"/>
    <w:rPr>
      <w:rFonts w:ascii="Times New Roman" w:hAnsi="Times New Roman"/>
      <w:sz w:val="20"/>
      <w:szCs w:val="20"/>
    </w:rPr>
  </w:style>
  <w:style w:type="character" w:styleId="FootnoteReference">
    <w:name w:val="footnote reference"/>
    <w:basedOn w:val="DefaultParagraphFont"/>
    <w:uiPriority w:val="99"/>
    <w:semiHidden/>
    <w:unhideWhenUsed/>
    <w:rsid w:val="00626F3F"/>
    <w:rPr>
      <w:vertAlign w:val="superscript"/>
    </w:rPr>
  </w:style>
  <w:style w:type="paragraph" w:styleId="Revision">
    <w:name w:val="Revision"/>
    <w:hidden/>
    <w:uiPriority w:val="99"/>
    <w:semiHidden/>
    <w:rsid w:val="00ED1C43"/>
    <w:pPr>
      <w:spacing w:after="0" w:line="240" w:lineRule="auto"/>
      <w:jc w:val="left"/>
    </w:pPr>
    <w:rPr>
      <w:rFonts w:ascii="Times New Roman" w:hAnsi="Times New Roman"/>
    </w:rPr>
  </w:style>
  <w:style w:type="character" w:customStyle="1" w:styleId="UnresolvedMention1">
    <w:name w:val="Unresolved Mention1"/>
    <w:basedOn w:val="DefaultParagraphFont"/>
    <w:uiPriority w:val="99"/>
    <w:semiHidden/>
    <w:unhideWhenUsed/>
    <w:rsid w:val="00E64507"/>
    <w:rPr>
      <w:color w:val="605E5C"/>
      <w:shd w:val="clear" w:color="auto" w:fill="E1DFDD"/>
    </w:rPr>
  </w:style>
  <w:style w:type="character" w:styleId="CommentReference">
    <w:name w:val="annotation reference"/>
    <w:basedOn w:val="DefaultParagraphFont"/>
    <w:uiPriority w:val="99"/>
    <w:semiHidden/>
    <w:unhideWhenUsed/>
    <w:rsid w:val="00B57059"/>
    <w:rPr>
      <w:sz w:val="16"/>
      <w:szCs w:val="16"/>
    </w:rPr>
  </w:style>
  <w:style w:type="paragraph" w:styleId="CommentText">
    <w:name w:val="annotation text"/>
    <w:basedOn w:val="Normal"/>
    <w:link w:val="CommentTextChar"/>
    <w:uiPriority w:val="99"/>
    <w:semiHidden/>
    <w:unhideWhenUsed/>
    <w:rsid w:val="00B57059"/>
    <w:pPr>
      <w:spacing w:line="240" w:lineRule="auto"/>
    </w:pPr>
    <w:rPr>
      <w:sz w:val="20"/>
      <w:szCs w:val="20"/>
    </w:rPr>
  </w:style>
  <w:style w:type="character" w:customStyle="1" w:styleId="CommentTextChar">
    <w:name w:val="Comment Text Char"/>
    <w:basedOn w:val="DefaultParagraphFont"/>
    <w:link w:val="CommentText"/>
    <w:uiPriority w:val="99"/>
    <w:semiHidden/>
    <w:rsid w:val="00B5705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7059"/>
    <w:rPr>
      <w:b/>
      <w:bCs/>
    </w:rPr>
  </w:style>
  <w:style w:type="character" w:customStyle="1" w:styleId="CommentSubjectChar">
    <w:name w:val="Comment Subject Char"/>
    <w:basedOn w:val="CommentTextChar"/>
    <w:link w:val="CommentSubject"/>
    <w:uiPriority w:val="99"/>
    <w:semiHidden/>
    <w:rsid w:val="00B57059"/>
    <w:rPr>
      <w:rFonts w:ascii="Times New Roman" w:hAnsi="Times New Roman"/>
      <w:b/>
      <w:bCs/>
      <w:sz w:val="20"/>
      <w:szCs w:val="20"/>
    </w:rPr>
  </w:style>
  <w:style w:type="character" w:customStyle="1" w:styleId="UnresolvedMention2">
    <w:name w:val="Unresolved Mention2"/>
    <w:basedOn w:val="DefaultParagraphFont"/>
    <w:uiPriority w:val="99"/>
    <w:semiHidden/>
    <w:unhideWhenUsed/>
    <w:rsid w:val="00E268B0"/>
    <w:rPr>
      <w:color w:val="605E5C"/>
      <w:shd w:val="clear" w:color="auto" w:fill="E1DFDD"/>
    </w:rPr>
  </w:style>
  <w:style w:type="character" w:styleId="PlaceholderText">
    <w:name w:val="Placeholder Text"/>
    <w:basedOn w:val="DefaultParagraphFont"/>
    <w:uiPriority w:val="99"/>
    <w:semiHidden/>
    <w:rsid w:val="00000231"/>
    <w:rPr>
      <w:color w:val="808080"/>
    </w:rPr>
  </w:style>
  <w:style w:type="character" w:customStyle="1" w:styleId="UnresolvedMention3">
    <w:name w:val="Unresolved Mention3"/>
    <w:basedOn w:val="DefaultParagraphFont"/>
    <w:uiPriority w:val="99"/>
    <w:semiHidden/>
    <w:unhideWhenUsed/>
    <w:rsid w:val="00A171EA"/>
    <w:rPr>
      <w:color w:val="605E5C"/>
      <w:shd w:val="clear" w:color="auto" w:fill="E1DFDD"/>
    </w:rPr>
  </w:style>
  <w:style w:type="character" w:customStyle="1" w:styleId="UnresolvedMention4">
    <w:name w:val="Unresolved Mention4"/>
    <w:basedOn w:val="DefaultParagraphFont"/>
    <w:uiPriority w:val="99"/>
    <w:semiHidden/>
    <w:unhideWhenUsed/>
    <w:rsid w:val="00FB2B30"/>
    <w:rPr>
      <w:color w:val="605E5C"/>
      <w:shd w:val="clear" w:color="auto" w:fill="E1DFDD"/>
    </w:rPr>
  </w:style>
  <w:style w:type="character" w:styleId="UnresolvedMention">
    <w:name w:val="Unresolved Mention"/>
    <w:basedOn w:val="DefaultParagraphFont"/>
    <w:uiPriority w:val="99"/>
    <w:semiHidden/>
    <w:unhideWhenUsed/>
    <w:rsid w:val="00444E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4286">
      <w:bodyDiv w:val="1"/>
      <w:marLeft w:val="0"/>
      <w:marRight w:val="0"/>
      <w:marTop w:val="0"/>
      <w:marBottom w:val="0"/>
      <w:divBdr>
        <w:top w:val="none" w:sz="0" w:space="0" w:color="auto"/>
        <w:left w:val="none" w:sz="0" w:space="0" w:color="auto"/>
        <w:bottom w:val="none" w:sz="0" w:space="0" w:color="auto"/>
        <w:right w:val="none" w:sz="0" w:space="0" w:color="auto"/>
      </w:divBdr>
      <w:divsChild>
        <w:div w:id="1570574724">
          <w:marLeft w:val="0"/>
          <w:marRight w:val="0"/>
          <w:marTop w:val="0"/>
          <w:marBottom w:val="0"/>
          <w:divBdr>
            <w:top w:val="none" w:sz="0" w:space="0" w:color="auto"/>
            <w:left w:val="none" w:sz="0" w:space="0" w:color="auto"/>
            <w:bottom w:val="none" w:sz="0" w:space="0" w:color="auto"/>
            <w:right w:val="none" w:sz="0" w:space="0" w:color="auto"/>
          </w:divBdr>
        </w:div>
      </w:divsChild>
    </w:div>
    <w:div w:id="26301714">
      <w:bodyDiv w:val="1"/>
      <w:marLeft w:val="0"/>
      <w:marRight w:val="0"/>
      <w:marTop w:val="0"/>
      <w:marBottom w:val="0"/>
      <w:divBdr>
        <w:top w:val="none" w:sz="0" w:space="0" w:color="auto"/>
        <w:left w:val="none" w:sz="0" w:space="0" w:color="auto"/>
        <w:bottom w:val="none" w:sz="0" w:space="0" w:color="auto"/>
        <w:right w:val="none" w:sz="0" w:space="0" w:color="auto"/>
      </w:divBdr>
    </w:div>
    <w:div w:id="596907900">
      <w:bodyDiv w:val="1"/>
      <w:marLeft w:val="0"/>
      <w:marRight w:val="0"/>
      <w:marTop w:val="0"/>
      <w:marBottom w:val="0"/>
      <w:divBdr>
        <w:top w:val="none" w:sz="0" w:space="0" w:color="auto"/>
        <w:left w:val="none" w:sz="0" w:space="0" w:color="auto"/>
        <w:bottom w:val="none" w:sz="0" w:space="0" w:color="auto"/>
        <w:right w:val="none" w:sz="0" w:space="0" w:color="auto"/>
      </w:divBdr>
    </w:div>
    <w:div w:id="604918558">
      <w:bodyDiv w:val="1"/>
      <w:marLeft w:val="0"/>
      <w:marRight w:val="0"/>
      <w:marTop w:val="0"/>
      <w:marBottom w:val="0"/>
      <w:divBdr>
        <w:top w:val="none" w:sz="0" w:space="0" w:color="auto"/>
        <w:left w:val="none" w:sz="0" w:space="0" w:color="auto"/>
        <w:bottom w:val="none" w:sz="0" w:space="0" w:color="auto"/>
        <w:right w:val="none" w:sz="0" w:space="0" w:color="auto"/>
      </w:divBdr>
    </w:div>
    <w:div w:id="667757599">
      <w:bodyDiv w:val="1"/>
      <w:marLeft w:val="0"/>
      <w:marRight w:val="0"/>
      <w:marTop w:val="0"/>
      <w:marBottom w:val="0"/>
      <w:divBdr>
        <w:top w:val="none" w:sz="0" w:space="0" w:color="auto"/>
        <w:left w:val="none" w:sz="0" w:space="0" w:color="auto"/>
        <w:bottom w:val="none" w:sz="0" w:space="0" w:color="auto"/>
        <w:right w:val="none" w:sz="0" w:space="0" w:color="auto"/>
      </w:divBdr>
    </w:div>
    <w:div w:id="789008088">
      <w:bodyDiv w:val="1"/>
      <w:marLeft w:val="0"/>
      <w:marRight w:val="0"/>
      <w:marTop w:val="0"/>
      <w:marBottom w:val="0"/>
      <w:divBdr>
        <w:top w:val="none" w:sz="0" w:space="0" w:color="auto"/>
        <w:left w:val="none" w:sz="0" w:space="0" w:color="auto"/>
        <w:bottom w:val="none" w:sz="0" w:space="0" w:color="auto"/>
        <w:right w:val="none" w:sz="0" w:space="0" w:color="auto"/>
      </w:divBdr>
    </w:div>
    <w:div w:id="1034499897">
      <w:bodyDiv w:val="1"/>
      <w:marLeft w:val="0"/>
      <w:marRight w:val="0"/>
      <w:marTop w:val="0"/>
      <w:marBottom w:val="0"/>
      <w:divBdr>
        <w:top w:val="none" w:sz="0" w:space="0" w:color="auto"/>
        <w:left w:val="none" w:sz="0" w:space="0" w:color="auto"/>
        <w:bottom w:val="none" w:sz="0" w:space="0" w:color="auto"/>
        <w:right w:val="none" w:sz="0" w:space="0" w:color="auto"/>
      </w:divBdr>
    </w:div>
    <w:div w:id="1066218238">
      <w:bodyDiv w:val="1"/>
      <w:marLeft w:val="0"/>
      <w:marRight w:val="0"/>
      <w:marTop w:val="0"/>
      <w:marBottom w:val="0"/>
      <w:divBdr>
        <w:top w:val="none" w:sz="0" w:space="0" w:color="auto"/>
        <w:left w:val="none" w:sz="0" w:space="0" w:color="auto"/>
        <w:bottom w:val="none" w:sz="0" w:space="0" w:color="auto"/>
        <w:right w:val="none" w:sz="0" w:space="0" w:color="auto"/>
      </w:divBdr>
    </w:div>
    <w:div w:id="1375495681">
      <w:bodyDiv w:val="1"/>
      <w:marLeft w:val="0"/>
      <w:marRight w:val="0"/>
      <w:marTop w:val="0"/>
      <w:marBottom w:val="0"/>
      <w:divBdr>
        <w:top w:val="none" w:sz="0" w:space="0" w:color="auto"/>
        <w:left w:val="none" w:sz="0" w:space="0" w:color="auto"/>
        <w:bottom w:val="none" w:sz="0" w:space="0" w:color="auto"/>
        <w:right w:val="none" w:sz="0" w:space="0" w:color="auto"/>
      </w:divBdr>
    </w:div>
    <w:div w:id="1508668252">
      <w:bodyDiv w:val="1"/>
      <w:marLeft w:val="0"/>
      <w:marRight w:val="0"/>
      <w:marTop w:val="0"/>
      <w:marBottom w:val="0"/>
      <w:divBdr>
        <w:top w:val="none" w:sz="0" w:space="0" w:color="auto"/>
        <w:left w:val="none" w:sz="0" w:space="0" w:color="auto"/>
        <w:bottom w:val="none" w:sz="0" w:space="0" w:color="auto"/>
        <w:right w:val="none" w:sz="0" w:space="0" w:color="auto"/>
      </w:divBdr>
    </w:div>
    <w:div w:id="1534155074">
      <w:bodyDiv w:val="1"/>
      <w:marLeft w:val="0"/>
      <w:marRight w:val="0"/>
      <w:marTop w:val="0"/>
      <w:marBottom w:val="0"/>
      <w:divBdr>
        <w:top w:val="none" w:sz="0" w:space="0" w:color="auto"/>
        <w:left w:val="none" w:sz="0" w:space="0" w:color="auto"/>
        <w:bottom w:val="none" w:sz="0" w:space="0" w:color="auto"/>
        <w:right w:val="none" w:sz="0" w:space="0" w:color="auto"/>
      </w:divBdr>
    </w:div>
    <w:div w:id="1801455273">
      <w:bodyDiv w:val="1"/>
      <w:marLeft w:val="0"/>
      <w:marRight w:val="0"/>
      <w:marTop w:val="0"/>
      <w:marBottom w:val="0"/>
      <w:divBdr>
        <w:top w:val="none" w:sz="0" w:space="0" w:color="auto"/>
        <w:left w:val="none" w:sz="0" w:space="0" w:color="auto"/>
        <w:bottom w:val="none" w:sz="0" w:space="0" w:color="auto"/>
        <w:right w:val="none" w:sz="0" w:space="0" w:color="auto"/>
      </w:divBdr>
    </w:div>
    <w:div w:id="1870071058">
      <w:bodyDiv w:val="1"/>
      <w:marLeft w:val="0"/>
      <w:marRight w:val="0"/>
      <w:marTop w:val="0"/>
      <w:marBottom w:val="0"/>
      <w:divBdr>
        <w:top w:val="none" w:sz="0" w:space="0" w:color="auto"/>
        <w:left w:val="none" w:sz="0" w:space="0" w:color="auto"/>
        <w:bottom w:val="none" w:sz="0" w:space="0" w:color="auto"/>
        <w:right w:val="none" w:sz="0" w:space="0" w:color="auto"/>
      </w:divBdr>
    </w:div>
    <w:div w:id="1987321706">
      <w:bodyDiv w:val="1"/>
      <w:marLeft w:val="0"/>
      <w:marRight w:val="0"/>
      <w:marTop w:val="0"/>
      <w:marBottom w:val="0"/>
      <w:divBdr>
        <w:top w:val="none" w:sz="0" w:space="0" w:color="auto"/>
        <w:left w:val="none" w:sz="0" w:space="0" w:color="auto"/>
        <w:bottom w:val="none" w:sz="0" w:space="0" w:color="auto"/>
        <w:right w:val="none" w:sz="0" w:space="0" w:color="auto"/>
      </w:divBdr>
    </w:div>
    <w:div w:id="2019192966">
      <w:bodyDiv w:val="1"/>
      <w:marLeft w:val="0"/>
      <w:marRight w:val="0"/>
      <w:marTop w:val="0"/>
      <w:marBottom w:val="0"/>
      <w:divBdr>
        <w:top w:val="none" w:sz="0" w:space="0" w:color="auto"/>
        <w:left w:val="none" w:sz="0" w:space="0" w:color="auto"/>
        <w:bottom w:val="none" w:sz="0" w:space="0" w:color="auto"/>
        <w:right w:val="none" w:sz="0" w:space="0" w:color="auto"/>
      </w:divBdr>
    </w:div>
    <w:div w:id="2077046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xml"/><Relationship Id="rId21" Type="http://schemas.openxmlformats.org/officeDocument/2006/relationships/image" Target="media/image5.wmf"/><Relationship Id="rId42" Type="http://schemas.openxmlformats.org/officeDocument/2006/relationships/image" Target="media/image14.wmf"/><Relationship Id="rId63" Type="http://schemas.openxmlformats.org/officeDocument/2006/relationships/image" Target="media/image28.wmf"/><Relationship Id="rId84" Type="http://schemas.openxmlformats.org/officeDocument/2006/relationships/oleObject" Target="embeddings/oleObject38.bin"/><Relationship Id="rId138" Type="http://schemas.openxmlformats.org/officeDocument/2006/relationships/oleObject" Target="embeddings/oleObject65.bin"/><Relationship Id="rId159" Type="http://schemas.openxmlformats.org/officeDocument/2006/relationships/hyperlink" Target="https://doi.org/10.1016/j.rtbm.2018.02.008" TargetMode="External"/><Relationship Id="rId170" Type="http://schemas.openxmlformats.org/officeDocument/2006/relationships/hyperlink" Target="https://www.statista.com/outlook/368/109/ride-hailing/united-states" TargetMode="External"/><Relationship Id="rId107" Type="http://schemas.openxmlformats.org/officeDocument/2006/relationships/image" Target="media/image50.wmf"/><Relationship Id="rId11" Type="http://schemas.openxmlformats.org/officeDocument/2006/relationships/hyperlink" Target="mailto:ram.pendyala@asu.edu" TargetMode="External"/><Relationship Id="rId32" Type="http://schemas.openxmlformats.org/officeDocument/2006/relationships/image" Target="media/image9.wmf"/><Relationship Id="rId53" Type="http://schemas.openxmlformats.org/officeDocument/2006/relationships/oleObject" Target="embeddings/oleObject23.bin"/><Relationship Id="rId74" Type="http://schemas.openxmlformats.org/officeDocument/2006/relationships/oleObject" Target="embeddings/oleObject33.bin"/><Relationship Id="rId128" Type="http://schemas.openxmlformats.org/officeDocument/2006/relationships/oleObject" Target="embeddings/oleObject60.bin"/><Relationship Id="rId149" Type="http://schemas.openxmlformats.org/officeDocument/2006/relationships/hyperlink" Target="https://dx.doi.org/10.2139/ssrn.2890666" TargetMode="External"/><Relationship Id="rId5" Type="http://schemas.openxmlformats.org/officeDocument/2006/relationships/webSettings" Target="webSettings.xml"/><Relationship Id="rId95" Type="http://schemas.openxmlformats.org/officeDocument/2006/relationships/image" Target="media/image44.wmf"/><Relationship Id="rId160" Type="http://schemas.openxmlformats.org/officeDocument/2006/relationships/hyperlink" Target="https://money.cnn.com/2016/05/08/technology/uber-lyft-austin-vote-fingerprinting/" TargetMode="External"/><Relationship Id="rId181" Type="http://schemas.openxmlformats.org/officeDocument/2006/relationships/fontTable" Target="fontTable.xml"/><Relationship Id="rId22" Type="http://schemas.openxmlformats.org/officeDocument/2006/relationships/oleObject" Target="embeddings/oleObject2.bin"/><Relationship Id="rId43" Type="http://schemas.openxmlformats.org/officeDocument/2006/relationships/oleObject" Target="embeddings/oleObject14.bin"/><Relationship Id="rId64" Type="http://schemas.openxmlformats.org/officeDocument/2006/relationships/oleObject" Target="embeddings/oleObject28.bin"/><Relationship Id="rId118" Type="http://schemas.openxmlformats.org/officeDocument/2006/relationships/image" Target="media/image55.wmf"/><Relationship Id="rId139" Type="http://schemas.openxmlformats.org/officeDocument/2006/relationships/image" Target="media/image65.wmf"/><Relationship Id="rId85" Type="http://schemas.openxmlformats.org/officeDocument/2006/relationships/image" Target="media/image39.wmf"/><Relationship Id="rId150" Type="http://schemas.openxmlformats.org/officeDocument/2006/relationships/hyperlink" Target="https://www.planning.org/publications/report/9107556/" TargetMode="External"/><Relationship Id="rId171" Type="http://schemas.openxmlformats.org/officeDocument/2006/relationships/hyperlink" Target="https://uberpeople.net/threads/how-long-is-your-wait-between-drives.153958/" TargetMode="External"/><Relationship Id="rId12" Type="http://schemas.openxmlformats.org/officeDocument/2006/relationships/hyperlink" Target="mailto:william.lam@polyu.edu.hk" TargetMode="External"/><Relationship Id="rId33" Type="http://schemas.openxmlformats.org/officeDocument/2006/relationships/oleObject" Target="embeddings/oleObject9.bin"/><Relationship Id="rId108" Type="http://schemas.openxmlformats.org/officeDocument/2006/relationships/oleObject" Target="embeddings/oleObject50.bin"/><Relationship Id="rId129" Type="http://schemas.openxmlformats.org/officeDocument/2006/relationships/image" Target="media/image60.wmf"/><Relationship Id="rId54" Type="http://schemas.openxmlformats.org/officeDocument/2006/relationships/image" Target="media/image23.wmf"/><Relationship Id="rId75" Type="http://schemas.openxmlformats.org/officeDocument/2006/relationships/image" Target="media/image34.wmf"/><Relationship Id="rId96" Type="http://schemas.openxmlformats.org/officeDocument/2006/relationships/oleObject" Target="embeddings/oleObject44.bin"/><Relationship Id="rId140" Type="http://schemas.openxmlformats.org/officeDocument/2006/relationships/oleObject" Target="embeddings/oleObject66.bin"/><Relationship Id="rId161" Type="http://schemas.openxmlformats.org/officeDocument/2006/relationships/hyperlink" Target="https://doi.org/10.1177%2F0361198118796025" TargetMode="External"/><Relationship Id="rId182"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oleObject" Target="embeddings/oleObject3.bin"/><Relationship Id="rId119" Type="http://schemas.openxmlformats.org/officeDocument/2006/relationships/oleObject" Target="embeddings/oleObject55.bin"/><Relationship Id="rId44" Type="http://schemas.openxmlformats.org/officeDocument/2006/relationships/image" Target="media/image15.wmf"/><Relationship Id="rId60" Type="http://schemas.openxmlformats.org/officeDocument/2006/relationships/image" Target="media/image26.wmf"/><Relationship Id="rId65" Type="http://schemas.openxmlformats.org/officeDocument/2006/relationships/image" Target="media/image29.wmf"/><Relationship Id="rId81" Type="http://schemas.openxmlformats.org/officeDocument/2006/relationships/image" Target="media/image37.wmf"/><Relationship Id="rId86" Type="http://schemas.openxmlformats.org/officeDocument/2006/relationships/oleObject" Target="embeddings/oleObject39.bin"/><Relationship Id="rId130" Type="http://schemas.openxmlformats.org/officeDocument/2006/relationships/oleObject" Target="embeddings/oleObject61.bin"/><Relationship Id="rId135" Type="http://schemas.openxmlformats.org/officeDocument/2006/relationships/image" Target="media/image63.wmf"/><Relationship Id="rId151" Type="http://schemas.openxmlformats.org/officeDocument/2006/relationships/hyperlink" Target="https://doi.org/10.1016/0191-2615(82)90037-6" TargetMode="External"/><Relationship Id="rId156" Type="http://schemas.openxmlformats.org/officeDocument/2006/relationships/hyperlink" Target="https://doi.org/10.1007/s11116-018-9923-2" TargetMode="External"/><Relationship Id="rId177" Type="http://schemas.openxmlformats.org/officeDocument/2006/relationships/hyperlink" Target="https://doi.org/10.1016/j.trb.2019.02.011" TargetMode="External"/><Relationship Id="rId172" Type="http://schemas.openxmlformats.org/officeDocument/2006/relationships/hyperlink" Target="https://www.osha.gov/pls/imis/sic_manual.html" TargetMode="Externa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oleObject" Target="embeddings/oleObject12.bin"/><Relationship Id="rId109" Type="http://schemas.openxmlformats.org/officeDocument/2006/relationships/image" Target="media/image51.wmf"/><Relationship Id="rId34" Type="http://schemas.openxmlformats.org/officeDocument/2006/relationships/image" Target="media/image10.wmf"/><Relationship Id="rId50" Type="http://schemas.openxmlformats.org/officeDocument/2006/relationships/image" Target="media/image21.wmf"/><Relationship Id="rId55" Type="http://schemas.openxmlformats.org/officeDocument/2006/relationships/oleObject" Target="embeddings/oleObject24.bin"/><Relationship Id="rId76" Type="http://schemas.openxmlformats.org/officeDocument/2006/relationships/oleObject" Target="embeddings/oleObject34.bin"/><Relationship Id="rId97" Type="http://schemas.openxmlformats.org/officeDocument/2006/relationships/image" Target="media/image45.wmf"/><Relationship Id="rId104" Type="http://schemas.openxmlformats.org/officeDocument/2006/relationships/oleObject" Target="embeddings/oleObject48.bin"/><Relationship Id="rId120" Type="http://schemas.openxmlformats.org/officeDocument/2006/relationships/image" Target="media/image56.wmf"/><Relationship Id="rId125" Type="http://schemas.openxmlformats.org/officeDocument/2006/relationships/oleObject" Target="embeddings/oleObject58.bin"/><Relationship Id="rId141" Type="http://schemas.openxmlformats.org/officeDocument/2006/relationships/image" Target="media/image66.wmf"/><Relationship Id="rId146" Type="http://schemas.openxmlformats.org/officeDocument/2006/relationships/hyperlink" Target="https://doi.org/10.1287/msom.2018.0707" TargetMode="External"/><Relationship Id="rId167" Type="http://schemas.openxmlformats.org/officeDocument/2006/relationships/hyperlink" Target="https://www.mercurynews.com/2018/05/10/drunk-driving-arrests-decline-in-some-cities/" TargetMode="External"/><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42.bin"/><Relationship Id="rId162" Type="http://schemas.openxmlformats.org/officeDocument/2006/relationships/hyperlink" Target="https://www.chicagotribune.com/business/blue-sky/ct-uber-lyft-congestion-20180225-story.html" TargetMode="External"/><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3.wmf"/><Relationship Id="rId45" Type="http://schemas.openxmlformats.org/officeDocument/2006/relationships/oleObject" Target="embeddings/oleObject15.bin"/><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oleObject" Target="embeddings/oleObject51.bin"/><Relationship Id="rId115" Type="http://schemas.openxmlformats.org/officeDocument/2006/relationships/image" Target="media/image54.wmf"/><Relationship Id="rId131" Type="http://schemas.openxmlformats.org/officeDocument/2006/relationships/image" Target="media/image61.wmf"/><Relationship Id="rId136" Type="http://schemas.openxmlformats.org/officeDocument/2006/relationships/oleObject" Target="embeddings/oleObject64.bin"/><Relationship Id="rId157" Type="http://schemas.openxmlformats.org/officeDocument/2006/relationships/hyperlink" Target="https://doi.org/10.1016/j.jtrangeo.2016.08.014" TargetMode="External"/><Relationship Id="rId178" Type="http://schemas.openxmlformats.org/officeDocument/2006/relationships/hyperlink" Target="https://doi.org/10.1016/j.trb.2019.11.005" TargetMode="External"/><Relationship Id="rId61" Type="http://schemas.openxmlformats.org/officeDocument/2006/relationships/image" Target="media/image27.wmf"/><Relationship Id="rId82" Type="http://schemas.openxmlformats.org/officeDocument/2006/relationships/oleObject" Target="embeddings/oleObject37.bin"/><Relationship Id="rId152" Type="http://schemas.openxmlformats.org/officeDocument/2006/relationships/hyperlink" Target="https://doi.org/10.1126/sciadv.aau2670" TargetMode="External"/><Relationship Id="rId173" Type="http://schemas.openxmlformats.org/officeDocument/2006/relationships/hyperlink" Target="https://www.epa.gov/smartgrowth/smart-location-mapping" TargetMode="External"/><Relationship Id="rId19" Type="http://schemas.openxmlformats.org/officeDocument/2006/relationships/image" Target="media/image3.png"/><Relationship Id="rId14" Type="http://schemas.openxmlformats.org/officeDocument/2006/relationships/footer" Target="footer2.xml"/><Relationship Id="rId30" Type="http://schemas.openxmlformats.org/officeDocument/2006/relationships/oleObject" Target="embeddings/oleObject7.bin"/><Relationship Id="rId35" Type="http://schemas.openxmlformats.org/officeDocument/2006/relationships/oleObject" Target="embeddings/oleObject10.bin"/><Relationship Id="rId56" Type="http://schemas.openxmlformats.org/officeDocument/2006/relationships/image" Target="media/image24.wmf"/><Relationship Id="rId77" Type="http://schemas.openxmlformats.org/officeDocument/2006/relationships/image" Target="media/image35.wmf"/><Relationship Id="rId100" Type="http://schemas.openxmlformats.org/officeDocument/2006/relationships/oleObject" Target="embeddings/oleObject46.bin"/><Relationship Id="rId105" Type="http://schemas.openxmlformats.org/officeDocument/2006/relationships/image" Target="media/image49.wmf"/><Relationship Id="rId126" Type="http://schemas.openxmlformats.org/officeDocument/2006/relationships/image" Target="media/image59.wmf"/><Relationship Id="rId147" Type="http://schemas.openxmlformats.org/officeDocument/2006/relationships/hyperlink" Target="https://doi.org/10.1016/j.trc.2019.08.019" TargetMode="External"/><Relationship Id="rId168" Type="http://schemas.openxmlformats.org/officeDocument/2006/relationships/hyperlink" Target="https://data.world/ride-austin/ride-austin-june-6-april-13" TargetMode="External"/><Relationship Id="rId8" Type="http://schemas.openxmlformats.org/officeDocument/2006/relationships/hyperlink" Target="mailto:gopindra@utexas.edu" TargetMode="External"/><Relationship Id="rId51" Type="http://schemas.openxmlformats.org/officeDocument/2006/relationships/oleObject" Target="embeddings/oleObject22.bin"/><Relationship Id="rId72" Type="http://schemas.openxmlformats.org/officeDocument/2006/relationships/oleObject" Target="embeddings/oleObject32.bin"/><Relationship Id="rId93" Type="http://schemas.openxmlformats.org/officeDocument/2006/relationships/image" Target="media/image43.wmf"/><Relationship Id="rId98" Type="http://schemas.openxmlformats.org/officeDocument/2006/relationships/oleObject" Target="embeddings/oleObject45.bin"/><Relationship Id="rId121" Type="http://schemas.openxmlformats.org/officeDocument/2006/relationships/oleObject" Target="embeddings/oleObject56.bin"/><Relationship Id="rId142" Type="http://schemas.openxmlformats.org/officeDocument/2006/relationships/oleObject" Target="embeddings/oleObject67.bin"/><Relationship Id="rId163" Type="http://schemas.openxmlformats.org/officeDocument/2006/relationships/hyperlink" Target="https://doi.org/10.1016/j.apgeog.2016.08.013" TargetMode="External"/><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6.wmf"/><Relationship Id="rId67" Type="http://schemas.openxmlformats.org/officeDocument/2006/relationships/image" Target="media/image30.wmf"/><Relationship Id="rId116" Type="http://schemas.openxmlformats.org/officeDocument/2006/relationships/oleObject" Target="embeddings/oleObject54.bin"/><Relationship Id="rId137" Type="http://schemas.openxmlformats.org/officeDocument/2006/relationships/image" Target="media/image64.wmf"/><Relationship Id="rId158" Type="http://schemas.openxmlformats.org/officeDocument/2006/relationships/hyperlink" Target="https://doi.org/10.1109/ACCESS.2018.2810140" TargetMode="External"/><Relationship Id="rId20" Type="http://schemas.openxmlformats.org/officeDocument/2006/relationships/image" Target="media/image4.png"/><Relationship Id="rId41" Type="http://schemas.openxmlformats.org/officeDocument/2006/relationships/oleObject" Target="embeddings/oleObject13.bin"/><Relationship Id="rId62" Type="http://schemas.openxmlformats.org/officeDocument/2006/relationships/oleObject" Target="embeddings/oleObject27.bin"/><Relationship Id="rId83" Type="http://schemas.openxmlformats.org/officeDocument/2006/relationships/image" Target="media/image38.wmf"/><Relationship Id="rId88" Type="http://schemas.openxmlformats.org/officeDocument/2006/relationships/oleObject" Target="embeddings/oleObject40.bin"/><Relationship Id="rId111" Type="http://schemas.openxmlformats.org/officeDocument/2006/relationships/image" Target="media/image52.wmf"/><Relationship Id="rId132" Type="http://schemas.openxmlformats.org/officeDocument/2006/relationships/oleObject" Target="embeddings/oleObject62.bin"/><Relationship Id="rId153" Type="http://schemas.openxmlformats.org/officeDocument/2006/relationships/hyperlink" Target="http://www.dot.state.oh.us/Divisions/Planning/SPR/Research/reportsandplans/Reports/2011/Planning/134368_FR.pdf" TargetMode="External"/><Relationship Id="rId174" Type="http://schemas.openxmlformats.org/officeDocument/2006/relationships/hyperlink" Target="https://doi.org/10.1016/S1361-9209(98)00022-4" TargetMode="External"/><Relationship Id="rId179" Type="http://schemas.openxmlformats.org/officeDocument/2006/relationships/hyperlink" Target="https://doi.org/10.1016/j.trc.2016.07.010" TargetMode="External"/><Relationship Id="rId15" Type="http://schemas.openxmlformats.org/officeDocument/2006/relationships/footer" Target="footer3.xml"/><Relationship Id="rId36" Type="http://schemas.openxmlformats.org/officeDocument/2006/relationships/image" Target="media/image11.wmf"/><Relationship Id="rId57" Type="http://schemas.openxmlformats.org/officeDocument/2006/relationships/oleObject" Target="embeddings/oleObject25.bin"/><Relationship Id="rId106" Type="http://schemas.openxmlformats.org/officeDocument/2006/relationships/oleObject" Target="embeddings/oleObject49.bin"/><Relationship Id="rId127" Type="http://schemas.openxmlformats.org/officeDocument/2006/relationships/oleObject" Target="embeddings/oleObject59.bin"/><Relationship Id="rId10" Type="http://schemas.openxmlformats.org/officeDocument/2006/relationships/hyperlink" Target="mailto:ibatur@asu.edu" TargetMode="External"/><Relationship Id="rId31" Type="http://schemas.openxmlformats.org/officeDocument/2006/relationships/oleObject" Target="embeddings/oleObject8.bin"/><Relationship Id="rId52" Type="http://schemas.openxmlformats.org/officeDocument/2006/relationships/image" Target="media/image22.wmf"/><Relationship Id="rId73" Type="http://schemas.openxmlformats.org/officeDocument/2006/relationships/image" Target="media/image33.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57.wmf"/><Relationship Id="rId143" Type="http://schemas.openxmlformats.org/officeDocument/2006/relationships/image" Target="media/image67.wmf"/><Relationship Id="rId148" Type="http://schemas.openxmlformats.org/officeDocument/2006/relationships/hyperlink" Target="https://doi.org/10.17226/14665" TargetMode="External"/><Relationship Id="rId164" Type="http://schemas.openxmlformats.org/officeDocument/2006/relationships/hyperlink" Target="https://doi.org/10.1016/j.trb.2019.05.019" TargetMode="External"/><Relationship Id="rId169" Type="http://schemas.openxmlformats.org/officeDocument/2006/relationships/hyperlink" Target="https://ops.fhwa.dot.gov/publications/fhwahop16022/fhwahop16022.pdf" TargetMode="External"/><Relationship Id="rId4" Type="http://schemas.openxmlformats.org/officeDocument/2006/relationships/settings" Target="settings.xml"/><Relationship Id="rId9" Type="http://schemas.openxmlformats.org/officeDocument/2006/relationships/hyperlink" Target="mailto:bhat@mail.utexas.edu" TargetMode="External"/><Relationship Id="rId180" Type="http://schemas.openxmlformats.org/officeDocument/2006/relationships/hyperlink" Target="https://doi.org/10.1177/0739456X18776062" TargetMode="External"/><Relationship Id="rId26" Type="http://schemas.openxmlformats.org/officeDocument/2006/relationships/image" Target="media/image7.wmf"/><Relationship Id="rId47" Type="http://schemas.openxmlformats.org/officeDocument/2006/relationships/oleObject" Target="embeddings/oleObject16.bin"/><Relationship Id="rId68" Type="http://schemas.openxmlformats.org/officeDocument/2006/relationships/oleObject" Target="embeddings/oleObject30.bin"/><Relationship Id="rId89" Type="http://schemas.openxmlformats.org/officeDocument/2006/relationships/image" Target="media/image41.wmf"/><Relationship Id="rId112" Type="http://schemas.openxmlformats.org/officeDocument/2006/relationships/oleObject" Target="embeddings/oleObject52.bin"/><Relationship Id="rId133" Type="http://schemas.openxmlformats.org/officeDocument/2006/relationships/image" Target="media/image62.wmf"/><Relationship Id="rId154" Type="http://schemas.openxmlformats.org/officeDocument/2006/relationships/hyperlink" Target="https://qz.com/1387942/uber-drivers-are-forcing-riders-to-cancel-trips-when-fares-are-too-cheap/" TargetMode="External"/><Relationship Id="rId175" Type="http://schemas.openxmlformats.org/officeDocument/2006/relationships/hyperlink" Target="https://doi.org/10.1016/j.compenvurbsys.2017.09.003" TargetMode="External"/><Relationship Id="rId16" Type="http://schemas.openxmlformats.org/officeDocument/2006/relationships/image" Target="media/image1.wmf"/><Relationship Id="rId37" Type="http://schemas.openxmlformats.org/officeDocument/2006/relationships/oleObject" Target="embeddings/oleObject11.bin"/><Relationship Id="rId58" Type="http://schemas.openxmlformats.org/officeDocument/2006/relationships/image" Target="media/image25.wmf"/><Relationship Id="rId79" Type="http://schemas.openxmlformats.org/officeDocument/2006/relationships/image" Target="media/image36.wmf"/><Relationship Id="rId102" Type="http://schemas.openxmlformats.org/officeDocument/2006/relationships/oleObject" Target="embeddings/oleObject47.bin"/><Relationship Id="rId123" Type="http://schemas.openxmlformats.org/officeDocument/2006/relationships/oleObject" Target="embeddings/oleObject57.bin"/><Relationship Id="rId144" Type="http://schemas.openxmlformats.org/officeDocument/2006/relationships/oleObject" Target="embeddings/oleObject68.bin"/><Relationship Id="rId90" Type="http://schemas.openxmlformats.org/officeDocument/2006/relationships/oleObject" Target="embeddings/oleObject41.bin"/><Relationship Id="rId165" Type="http://schemas.openxmlformats.org/officeDocument/2006/relationships/hyperlink" Target="https://doi.org/10.3141/1894-02" TargetMode="External"/><Relationship Id="rId27" Type="http://schemas.openxmlformats.org/officeDocument/2006/relationships/oleObject" Target="embeddings/oleObject5.bin"/><Relationship Id="rId48" Type="http://schemas.openxmlformats.org/officeDocument/2006/relationships/image" Target="media/image17.wmf"/><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oleObject" Target="embeddings/oleObject63.bin"/><Relationship Id="rId80" Type="http://schemas.openxmlformats.org/officeDocument/2006/relationships/oleObject" Target="embeddings/oleObject36.bin"/><Relationship Id="rId155" Type="http://schemas.openxmlformats.org/officeDocument/2006/relationships/hyperlink" Target="https://doi.org/10.1016/j.jtrangeo.2005.11.001" TargetMode="External"/><Relationship Id="rId176" Type="http://schemas.openxmlformats.org/officeDocument/2006/relationships/hyperlink" Target="https://doi.org/10.1016/j.trd.2019.03.005" TargetMode="External"/><Relationship Id="rId17" Type="http://schemas.openxmlformats.org/officeDocument/2006/relationships/oleObject" Target="embeddings/oleObject1.bin"/><Relationship Id="rId38" Type="http://schemas.openxmlformats.org/officeDocument/2006/relationships/image" Target="media/image12.wmf"/><Relationship Id="rId59" Type="http://schemas.openxmlformats.org/officeDocument/2006/relationships/oleObject" Target="embeddings/oleObject26.bin"/><Relationship Id="rId103" Type="http://schemas.openxmlformats.org/officeDocument/2006/relationships/image" Target="media/image48.wmf"/><Relationship Id="rId124" Type="http://schemas.openxmlformats.org/officeDocument/2006/relationships/image" Target="media/image58.wmf"/><Relationship Id="rId70" Type="http://schemas.openxmlformats.org/officeDocument/2006/relationships/oleObject" Target="embeddings/oleObject31.bin"/><Relationship Id="rId91" Type="http://schemas.openxmlformats.org/officeDocument/2006/relationships/image" Target="media/image42.wmf"/><Relationship Id="rId145" Type="http://schemas.openxmlformats.org/officeDocument/2006/relationships/image" Target="media/image68.png"/><Relationship Id="rId166" Type="http://schemas.openxmlformats.org/officeDocument/2006/relationships/hyperlink" Target="https://www.miamiherald.com/news/local/article215758380.html" TargetMode="External"/><Relationship Id="rId1" Type="http://schemas.openxmlformats.org/officeDocument/2006/relationships/customXml" Target="../customXml/item1.xml"/><Relationship Id="rId28" Type="http://schemas.openxmlformats.org/officeDocument/2006/relationships/image" Target="media/image8.wmf"/><Relationship Id="rId49" Type="http://schemas.openxmlformats.org/officeDocument/2006/relationships/oleObject" Target="embeddings/oleObject17.bin"/><Relationship Id="rId114" Type="http://schemas.openxmlformats.org/officeDocument/2006/relationships/oleObject" Target="embeddings/oleObject53.bin"/></Relationships>
</file>

<file path=word/_rels/footnotes.xml.rels><?xml version="1.0" encoding="UTF-8" standalone="yes"?>
<Relationships xmlns="http://schemas.openxmlformats.org/package/2006/relationships"><Relationship Id="rId8" Type="http://schemas.openxmlformats.org/officeDocument/2006/relationships/oleObject" Target="embeddings/oleObject21.bin"/><Relationship Id="rId3" Type="http://schemas.openxmlformats.org/officeDocument/2006/relationships/image" Target="media/image18.wmf"/><Relationship Id="rId7" Type="http://schemas.openxmlformats.org/officeDocument/2006/relationships/image" Target="media/image20.wmf"/><Relationship Id="rId2" Type="http://schemas.openxmlformats.org/officeDocument/2006/relationships/oleObject" Target="embeddings/oleObject18.bin"/><Relationship Id="rId1" Type="http://schemas.openxmlformats.org/officeDocument/2006/relationships/image" Target="media/image17.wmf"/><Relationship Id="rId6" Type="http://schemas.openxmlformats.org/officeDocument/2006/relationships/oleObject" Target="embeddings/oleObject20.bin"/><Relationship Id="rId5" Type="http://schemas.openxmlformats.org/officeDocument/2006/relationships/image" Target="media/image19.wmf"/><Relationship Id="rId10" Type="http://schemas.openxmlformats.org/officeDocument/2006/relationships/hyperlink" Target="https://data.cityofchicago.org/Transportation/Transportation-Network-Providers-Trips/m6dm-c72p" TargetMode="External"/><Relationship Id="rId4" Type="http://schemas.openxmlformats.org/officeDocument/2006/relationships/oleObject" Target="embeddings/oleObject19.bin"/><Relationship Id="rId9" Type="http://schemas.openxmlformats.org/officeDocument/2006/relationships/hyperlink" Target="https://outreach.didichuxing.com/research/opendata/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981438BD-FDE2-4341-8F95-C0D9C5F52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34846</Words>
  <Characters>198625</Characters>
  <Application>Microsoft Office Word</Application>
  <DocSecurity>0</DocSecurity>
  <Lines>1655</Lines>
  <Paragraphs>466</Paragraphs>
  <ScaleCrop>false</ScaleCrop>
  <HeadingPairs>
    <vt:vector size="2" baseType="variant">
      <vt:variant>
        <vt:lpstr>Title</vt:lpstr>
      </vt:variant>
      <vt:variant>
        <vt:i4>1</vt:i4>
      </vt:variant>
    </vt:vector>
  </HeadingPairs>
  <TitlesOfParts>
    <vt:vector size="1" baseType="lpstr">
      <vt:lpstr/>
    </vt:vector>
  </TitlesOfParts>
  <Company>Cockrell School of Engineering</Company>
  <LinksUpToDate>false</LinksUpToDate>
  <CharactersWithSpaces>233005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Sivakumar Nair, Gopindra</dc:creator>
  <cp:keywords/>
  <dc:description/>
  <cp:lastModifiedBy>Macias, Lisa J</cp:lastModifiedBy>
  <cp:revision>2</cp:revision>
  <cp:lastPrinted>2020-03-03T21:14:00Z</cp:lastPrinted>
  <dcterms:created xsi:type="dcterms:W3CDTF">2020-03-18T17:40:00Z</dcterms:created>
  <dcterms:modified xsi:type="dcterms:W3CDTF">2020-03-18T17:40:00Z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zotero-version="5.0.82"&gt;&lt;session id="pYE2dMDV"/&gt;&lt;style id="http://www.zotero.org/styles/elsevier-harvard" hasBibliography="1" bibliographyStyleHasBeenSet="1"/&gt;&lt;prefs&gt;&lt;pref name="fieldType" value="Field"/&gt;&lt;/prefs&gt;&lt;/data&gt;</vt:lpwstr>
  </property>
  <property fmtid="{D5CDD505-2E9C-101B-9397-08002B2CF9AE}" pid="3" name="MTEquationNumber2">
    <vt:lpwstr>(#E1)</vt:lpwstr>
  </property>
  <property fmtid="{D5CDD505-2E9C-101B-9397-08002B2CF9AE}" pid="4" name="MTEquationSection">
    <vt:lpwstr>1</vt:lpwstr>
  </property>
  <property fmtid="{D5CDD505-2E9C-101B-9397-08002B2CF9AE}" pid="5" name="MTWinEqns">
    <vt:bool>true</vt:bool>
  </property>
</Properties>
</file>