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3DCCD" w14:textId="77777777" w:rsidR="00944E80" w:rsidRPr="00C84332" w:rsidRDefault="00944E80" w:rsidP="00FE38B5">
      <w:pPr>
        <w:autoSpaceDE w:val="0"/>
        <w:autoSpaceDN w:val="0"/>
        <w:adjustRightInd w:val="0"/>
        <w:spacing w:line="276" w:lineRule="auto"/>
        <w:rPr>
          <w:szCs w:val="24"/>
        </w:rPr>
      </w:pPr>
    </w:p>
    <w:p w14:paraId="726A79BD" w14:textId="77777777" w:rsidR="00944E80" w:rsidRPr="00C84332" w:rsidRDefault="00944E80" w:rsidP="00FE38B5">
      <w:pPr>
        <w:autoSpaceDE w:val="0"/>
        <w:autoSpaceDN w:val="0"/>
        <w:adjustRightInd w:val="0"/>
        <w:spacing w:line="276" w:lineRule="auto"/>
        <w:jc w:val="center"/>
        <w:rPr>
          <w:szCs w:val="24"/>
        </w:rPr>
      </w:pPr>
    </w:p>
    <w:p w14:paraId="20CF2752" w14:textId="77777777" w:rsidR="00FE38B5" w:rsidRDefault="00FE38B5" w:rsidP="00FE38B5">
      <w:pPr>
        <w:spacing w:line="276" w:lineRule="auto"/>
        <w:jc w:val="center"/>
        <w:rPr>
          <w:rFonts w:cs="Times New Roman"/>
          <w:b/>
          <w:bCs/>
          <w:color w:val="000000"/>
          <w:szCs w:val="24"/>
        </w:rPr>
      </w:pPr>
    </w:p>
    <w:p w14:paraId="77068965" w14:textId="77777777" w:rsidR="00FE38B5" w:rsidRDefault="00FE38B5" w:rsidP="00FE38B5">
      <w:pPr>
        <w:spacing w:line="276" w:lineRule="auto"/>
        <w:jc w:val="center"/>
        <w:rPr>
          <w:rFonts w:cs="Times New Roman"/>
          <w:b/>
          <w:bCs/>
          <w:color w:val="000000"/>
          <w:szCs w:val="24"/>
        </w:rPr>
      </w:pPr>
    </w:p>
    <w:p w14:paraId="1D6708A3" w14:textId="77777777" w:rsidR="00FE38B5" w:rsidRDefault="00FE38B5" w:rsidP="00FE38B5">
      <w:pPr>
        <w:spacing w:line="276" w:lineRule="auto"/>
        <w:jc w:val="center"/>
        <w:rPr>
          <w:rFonts w:cs="Times New Roman"/>
          <w:b/>
          <w:bCs/>
          <w:color w:val="000000"/>
          <w:szCs w:val="24"/>
        </w:rPr>
      </w:pPr>
    </w:p>
    <w:p w14:paraId="1A7BD11A" w14:textId="77777777" w:rsidR="00FE38B5" w:rsidRDefault="00FE38B5" w:rsidP="00FE38B5">
      <w:pPr>
        <w:spacing w:line="276" w:lineRule="auto"/>
        <w:jc w:val="center"/>
        <w:rPr>
          <w:rFonts w:cs="Times New Roman"/>
          <w:b/>
          <w:bCs/>
          <w:color w:val="000000"/>
          <w:szCs w:val="24"/>
        </w:rPr>
      </w:pPr>
    </w:p>
    <w:p w14:paraId="0DF1B661" w14:textId="77777777" w:rsidR="00FE38B5" w:rsidRDefault="00FE38B5" w:rsidP="00FE38B5">
      <w:pPr>
        <w:spacing w:line="276" w:lineRule="auto"/>
        <w:jc w:val="center"/>
        <w:rPr>
          <w:rFonts w:cs="Times New Roman"/>
          <w:b/>
          <w:bCs/>
          <w:color w:val="000000"/>
          <w:szCs w:val="24"/>
        </w:rPr>
      </w:pPr>
    </w:p>
    <w:p w14:paraId="2F8B0B1C" w14:textId="77777777" w:rsidR="00FE38B5" w:rsidRDefault="00FE38B5" w:rsidP="00FE38B5">
      <w:pPr>
        <w:spacing w:line="276" w:lineRule="auto"/>
        <w:jc w:val="center"/>
        <w:rPr>
          <w:rFonts w:cs="Times New Roman"/>
          <w:b/>
          <w:bCs/>
          <w:color w:val="000000"/>
          <w:szCs w:val="24"/>
        </w:rPr>
      </w:pPr>
    </w:p>
    <w:p w14:paraId="519B8E6E" w14:textId="0CEE5DA4" w:rsidR="00944E80" w:rsidRPr="00FE38B5" w:rsidRDefault="00FA3AD7" w:rsidP="00FE38B5">
      <w:pPr>
        <w:spacing w:line="276" w:lineRule="auto"/>
        <w:jc w:val="center"/>
        <w:rPr>
          <w:rFonts w:cs="Times New Roman"/>
          <w:b/>
          <w:bCs/>
          <w:color w:val="000000"/>
          <w:szCs w:val="24"/>
        </w:rPr>
      </w:pPr>
      <w:r w:rsidRPr="00FE38B5">
        <w:rPr>
          <w:rFonts w:cs="Times New Roman"/>
          <w:b/>
          <w:bCs/>
          <w:color w:val="000000"/>
          <w:szCs w:val="24"/>
        </w:rPr>
        <w:t>Transformation-Based Generalization of Ordered-Response Probit Models with Dummy Endogenous Regressors</w:t>
      </w:r>
    </w:p>
    <w:p w14:paraId="2EBCBF4C" w14:textId="1A03968F" w:rsidR="00FA3AD7" w:rsidRPr="00FE38B5" w:rsidRDefault="00FA3AD7" w:rsidP="00FE38B5">
      <w:pPr>
        <w:spacing w:line="276" w:lineRule="auto"/>
        <w:jc w:val="center"/>
        <w:rPr>
          <w:rFonts w:cs="Times New Roman"/>
          <w:b/>
          <w:bCs/>
          <w:color w:val="000000"/>
          <w:szCs w:val="24"/>
        </w:rPr>
      </w:pPr>
    </w:p>
    <w:p w14:paraId="16B3BE86" w14:textId="2B7755F8" w:rsidR="00FA3AD7" w:rsidRPr="001F00FC" w:rsidRDefault="00FA3AD7" w:rsidP="00FE38B5">
      <w:pPr>
        <w:spacing w:line="276" w:lineRule="auto"/>
        <w:jc w:val="center"/>
        <w:rPr>
          <w:rFonts w:cs="Times New Roman"/>
          <w:szCs w:val="24"/>
        </w:rPr>
      </w:pPr>
    </w:p>
    <w:p w14:paraId="57B3F6BD" w14:textId="77777777" w:rsidR="00944E80" w:rsidRPr="001F00FC" w:rsidRDefault="00944E80" w:rsidP="00FE38B5">
      <w:pPr>
        <w:spacing w:line="276" w:lineRule="auto"/>
      </w:pPr>
    </w:p>
    <w:p w14:paraId="2E0D9644" w14:textId="77777777" w:rsidR="00944E80" w:rsidRPr="001F00FC" w:rsidRDefault="00944E80" w:rsidP="00FE38B5">
      <w:pPr>
        <w:spacing w:line="276" w:lineRule="auto"/>
        <w:jc w:val="center"/>
        <w:rPr>
          <w:rFonts w:cs="Times New Roman"/>
          <w:szCs w:val="24"/>
        </w:rPr>
      </w:pPr>
    </w:p>
    <w:p w14:paraId="5A4A6DDE" w14:textId="77777777" w:rsidR="00944E80" w:rsidRPr="001F00FC" w:rsidRDefault="00944E80" w:rsidP="00FE38B5">
      <w:pPr>
        <w:spacing w:line="276" w:lineRule="auto"/>
        <w:jc w:val="center"/>
        <w:rPr>
          <w:rFonts w:cs="Times New Roman"/>
          <w:szCs w:val="24"/>
        </w:rPr>
      </w:pPr>
    </w:p>
    <w:p w14:paraId="7465BC34" w14:textId="77777777" w:rsidR="00944E80" w:rsidRPr="001F00FC" w:rsidRDefault="00944E80" w:rsidP="00FE38B5">
      <w:pPr>
        <w:spacing w:line="276" w:lineRule="auto"/>
        <w:jc w:val="center"/>
        <w:rPr>
          <w:rFonts w:cs="Times New Roman"/>
          <w:szCs w:val="24"/>
        </w:rPr>
      </w:pPr>
    </w:p>
    <w:p w14:paraId="4317D9A1" w14:textId="0436034C" w:rsidR="00944E80" w:rsidRDefault="00944E80" w:rsidP="00FE38B5">
      <w:pPr>
        <w:spacing w:line="276" w:lineRule="auto"/>
        <w:jc w:val="center"/>
        <w:rPr>
          <w:rFonts w:cs="Times New Roman"/>
          <w:szCs w:val="24"/>
        </w:rPr>
      </w:pPr>
    </w:p>
    <w:p w14:paraId="27293116" w14:textId="724CCE7D" w:rsidR="00FE38B5" w:rsidRDefault="00FE38B5" w:rsidP="00FE38B5">
      <w:pPr>
        <w:spacing w:line="276" w:lineRule="auto"/>
        <w:jc w:val="center"/>
        <w:rPr>
          <w:rFonts w:cs="Times New Roman"/>
          <w:szCs w:val="24"/>
        </w:rPr>
      </w:pPr>
    </w:p>
    <w:p w14:paraId="079A85C7" w14:textId="77777777" w:rsidR="00FE38B5" w:rsidRPr="001F00FC" w:rsidRDefault="00FE38B5" w:rsidP="00FE38B5">
      <w:pPr>
        <w:spacing w:line="276" w:lineRule="auto"/>
        <w:jc w:val="center"/>
        <w:rPr>
          <w:rFonts w:cs="Times New Roman"/>
          <w:szCs w:val="24"/>
        </w:rPr>
      </w:pPr>
    </w:p>
    <w:p w14:paraId="0504DC38" w14:textId="0D0ABAF9" w:rsidR="00944E80" w:rsidRPr="001F00FC" w:rsidRDefault="00944E80" w:rsidP="00FE38B5">
      <w:pPr>
        <w:spacing w:line="276" w:lineRule="auto"/>
        <w:jc w:val="center"/>
        <w:rPr>
          <w:rFonts w:cs="Times New Roman"/>
          <w:b/>
          <w:szCs w:val="24"/>
          <w:lang w:val="fr-FR"/>
        </w:rPr>
      </w:pPr>
      <w:r w:rsidRPr="001F00FC">
        <w:rPr>
          <w:rFonts w:cs="Times New Roman"/>
          <w:b/>
          <w:szCs w:val="24"/>
          <w:lang w:val="fr-FR"/>
        </w:rPr>
        <w:t>Chandra R. Bhat</w:t>
      </w:r>
    </w:p>
    <w:p w14:paraId="268104F2" w14:textId="77777777" w:rsidR="00944E80" w:rsidRPr="001F00FC" w:rsidRDefault="00944E80" w:rsidP="00FE38B5">
      <w:pPr>
        <w:spacing w:line="276" w:lineRule="auto"/>
        <w:jc w:val="center"/>
        <w:rPr>
          <w:rFonts w:cs="Times New Roman"/>
          <w:szCs w:val="24"/>
        </w:rPr>
      </w:pPr>
      <w:r w:rsidRPr="001F00FC">
        <w:rPr>
          <w:rFonts w:cs="Times New Roman"/>
          <w:szCs w:val="24"/>
        </w:rPr>
        <w:t>The University of Texas at Austin</w:t>
      </w:r>
    </w:p>
    <w:p w14:paraId="3EA77F05" w14:textId="77777777" w:rsidR="00944E80" w:rsidRPr="001F00FC" w:rsidRDefault="00944E80" w:rsidP="00FE38B5">
      <w:pPr>
        <w:spacing w:line="276" w:lineRule="auto"/>
        <w:jc w:val="center"/>
        <w:rPr>
          <w:rFonts w:cs="Times New Roman"/>
          <w:szCs w:val="24"/>
        </w:rPr>
      </w:pPr>
      <w:r w:rsidRPr="001F00FC">
        <w:rPr>
          <w:rFonts w:cs="Times New Roman"/>
          <w:szCs w:val="24"/>
        </w:rPr>
        <w:t>Dept of Civil, Architectural and Environmental Engineering</w:t>
      </w:r>
    </w:p>
    <w:p w14:paraId="3AC0CB1E" w14:textId="77777777" w:rsidR="00944E80" w:rsidRPr="001F00FC" w:rsidRDefault="00944E80" w:rsidP="00FE38B5">
      <w:pPr>
        <w:spacing w:line="276" w:lineRule="auto"/>
        <w:jc w:val="center"/>
        <w:rPr>
          <w:rFonts w:cs="Times New Roman"/>
          <w:szCs w:val="24"/>
        </w:rPr>
      </w:pPr>
      <w:r w:rsidRPr="001F00FC">
        <w:rPr>
          <w:rFonts w:cs="Times New Roman"/>
          <w:szCs w:val="24"/>
        </w:rPr>
        <w:t>301 E. Dean Keeton St. Stop C1761, Austin TX 78712-1172</w:t>
      </w:r>
    </w:p>
    <w:p w14:paraId="113D11BF" w14:textId="77777777" w:rsidR="00944E80" w:rsidRPr="001F00FC" w:rsidRDefault="00944E80" w:rsidP="00FE38B5">
      <w:pPr>
        <w:spacing w:line="276" w:lineRule="auto"/>
        <w:jc w:val="center"/>
        <w:rPr>
          <w:rFonts w:cs="Times New Roman"/>
          <w:szCs w:val="24"/>
        </w:rPr>
      </w:pPr>
      <w:r w:rsidRPr="001F00FC">
        <w:rPr>
          <w:rFonts w:cs="Times New Roman"/>
          <w:szCs w:val="24"/>
        </w:rPr>
        <w:t>Phone: 512-471-4535, Fax: 512-475-8744</w:t>
      </w:r>
    </w:p>
    <w:p w14:paraId="6EDE89AD" w14:textId="5A3B580D" w:rsidR="00944E80" w:rsidRPr="001F00FC" w:rsidRDefault="00944E80" w:rsidP="00FE38B5">
      <w:pPr>
        <w:spacing w:line="276" w:lineRule="auto"/>
        <w:jc w:val="center"/>
        <w:rPr>
          <w:rFonts w:cs="Times New Roman"/>
          <w:szCs w:val="24"/>
        </w:rPr>
      </w:pPr>
      <w:r w:rsidRPr="001F00FC">
        <w:rPr>
          <w:rFonts w:cs="Times New Roman"/>
          <w:szCs w:val="24"/>
        </w:rPr>
        <w:t xml:space="preserve">Email: </w:t>
      </w:r>
      <w:hyperlink r:id="rId8" w:history="1">
        <w:r w:rsidRPr="001F00FC">
          <w:rPr>
            <w:rFonts w:cs="Times New Roman"/>
            <w:szCs w:val="24"/>
          </w:rPr>
          <w:t>bhat@mail.utexas.edu</w:t>
        </w:r>
      </w:hyperlink>
      <w:r w:rsidR="00A8718B">
        <w:rPr>
          <w:rFonts w:cs="Times New Roman"/>
          <w:szCs w:val="24"/>
        </w:rPr>
        <w:t xml:space="preserve"> </w:t>
      </w:r>
    </w:p>
    <w:p w14:paraId="6A54A203" w14:textId="77777777" w:rsidR="00944E80" w:rsidRPr="001F00FC" w:rsidRDefault="00944E80" w:rsidP="00FE38B5">
      <w:pPr>
        <w:spacing w:line="276" w:lineRule="auto"/>
        <w:jc w:val="center"/>
        <w:rPr>
          <w:rFonts w:cs="Times New Roman"/>
          <w:szCs w:val="24"/>
        </w:rPr>
      </w:pPr>
    </w:p>
    <w:p w14:paraId="43A14D5A" w14:textId="77777777" w:rsidR="00944E80" w:rsidRPr="001F00FC" w:rsidRDefault="00944E80" w:rsidP="00FE38B5">
      <w:pPr>
        <w:spacing w:line="276" w:lineRule="auto"/>
        <w:jc w:val="center"/>
        <w:rPr>
          <w:rFonts w:cs="Times New Roman"/>
          <w:szCs w:val="24"/>
        </w:rPr>
      </w:pPr>
    </w:p>
    <w:p w14:paraId="1E213C5B" w14:textId="77777777" w:rsidR="00944E80" w:rsidRPr="00D73B66" w:rsidRDefault="00944E80" w:rsidP="00FE38B5">
      <w:pPr>
        <w:spacing w:line="276" w:lineRule="auto"/>
        <w:jc w:val="center"/>
        <w:rPr>
          <w:szCs w:val="24"/>
        </w:rPr>
      </w:pPr>
    </w:p>
    <w:p w14:paraId="7C152D8C" w14:textId="77777777" w:rsidR="00944E80" w:rsidRPr="00D73B66" w:rsidRDefault="00944E80" w:rsidP="00FE38B5">
      <w:pPr>
        <w:spacing w:line="276" w:lineRule="auto"/>
        <w:jc w:val="center"/>
        <w:rPr>
          <w:szCs w:val="24"/>
        </w:rPr>
      </w:pPr>
    </w:p>
    <w:p w14:paraId="5381406E" w14:textId="77777777" w:rsidR="00944E80" w:rsidRPr="00D73B66" w:rsidRDefault="00944E80" w:rsidP="00FE38B5">
      <w:pPr>
        <w:spacing w:line="276" w:lineRule="auto"/>
        <w:jc w:val="center"/>
        <w:rPr>
          <w:szCs w:val="24"/>
        </w:rPr>
      </w:pPr>
    </w:p>
    <w:p w14:paraId="20919D72" w14:textId="77777777" w:rsidR="00944E80" w:rsidRPr="00D73B66" w:rsidRDefault="00944E80" w:rsidP="00FE38B5">
      <w:pPr>
        <w:spacing w:line="276" w:lineRule="auto"/>
        <w:jc w:val="center"/>
        <w:rPr>
          <w:szCs w:val="24"/>
        </w:rPr>
      </w:pPr>
    </w:p>
    <w:p w14:paraId="0D51DDF5" w14:textId="77777777" w:rsidR="00944E80" w:rsidRPr="00D73B66" w:rsidRDefault="00944E80" w:rsidP="00FE38B5">
      <w:pPr>
        <w:spacing w:line="276" w:lineRule="auto"/>
        <w:rPr>
          <w:szCs w:val="24"/>
        </w:rPr>
        <w:sectPr w:rsidR="00944E80" w:rsidRPr="00D73B66" w:rsidSect="00D34286">
          <w:footerReference w:type="first" r:id="rId9"/>
          <w:pgSz w:w="12240" w:h="15840"/>
          <w:pgMar w:top="1440" w:right="1440" w:bottom="1440" w:left="1440" w:header="720" w:footer="720" w:gutter="0"/>
          <w:cols w:space="720"/>
          <w:docGrid w:linePitch="360"/>
        </w:sectPr>
      </w:pPr>
    </w:p>
    <w:p w14:paraId="18BCB4AE" w14:textId="77777777" w:rsidR="00944E80" w:rsidRPr="001F00FC" w:rsidRDefault="00944E80" w:rsidP="00B4106B">
      <w:pPr>
        <w:spacing w:line="276" w:lineRule="auto"/>
        <w:rPr>
          <w:rFonts w:cs="Times New Roman"/>
          <w:b/>
          <w:caps/>
          <w:szCs w:val="24"/>
        </w:rPr>
      </w:pPr>
      <w:r w:rsidRPr="001F00FC">
        <w:rPr>
          <w:rFonts w:cs="Times New Roman"/>
          <w:b/>
          <w:caps/>
          <w:szCs w:val="24"/>
        </w:rPr>
        <w:lastRenderedPageBreak/>
        <w:t>Abstract</w:t>
      </w:r>
    </w:p>
    <w:p w14:paraId="127046E0" w14:textId="18C618CB" w:rsidR="00FA3AD7" w:rsidRPr="001F00FC" w:rsidRDefault="00FA3AD7" w:rsidP="00B4106B">
      <w:pPr>
        <w:spacing w:line="276" w:lineRule="auto"/>
        <w:jc w:val="both"/>
        <w:rPr>
          <w:rFonts w:cs="Times New Roman"/>
          <w:szCs w:val="24"/>
        </w:rPr>
      </w:pPr>
      <w:r w:rsidRPr="001F00FC">
        <w:rPr>
          <w:rFonts w:cs="Times New Roman"/>
          <w:szCs w:val="24"/>
        </w:rPr>
        <w:t xml:space="preserve">In this paper, we propose a </w:t>
      </w:r>
      <w:proofErr w:type="spellStart"/>
      <w:r w:rsidRPr="001F00FC">
        <w:rPr>
          <w:rFonts w:cs="Times New Roman"/>
          <w:szCs w:val="24"/>
        </w:rPr>
        <w:t>Yeonjoo</w:t>
      </w:r>
      <w:proofErr w:type="spellEnd"/>
      <w:r w:rsidRPr="001F00FC">
        <w:rPr>
          <w:rFonts w:cs="Times New Roman"/>
          <w:szCs w:val="24"/>
        </w:rPr>
        <w:t>-Johnson (YJ) transformation to accommodate flexible specifications of stochastic terms in multivariate mixed data models in general, and ordered-response models with binary endogenous explanatory variables (EEVs) in particular. The use of such a flexible parametric distribution lends additional robustness to the maximum likelihood (ML) estimator. The resulting bivariate YJ model is as easy to estimate as a bivariate normal model. More generally, the YJ transformation is an efficient way to capture flexible marginal error distributions, which then can be bound together using an implicit copula approach. The proposed approach can be applied to a number of different univariate and multivariate mixed modeling structures</w:t>
      </w:r>
      <w:r w:rsidR="001F00FC" w:rsidRPr="001F00FC">
        <w:rPr>
          <w:rFonts w:cs="Times New Roman"/>
          <w:szCs w:val="24"/>
        </w:rPr>
        <w:t>.</w:t>
      </w:r>
      <w:r w:rsidRPr="001F00FC">
        <w:rPr>
          <w:rFonts w:cs="Times New Roman"/>
          <w:szCs w:val="24"/>
        </w:rPr>
        <w:t xml:space="preserve"> </w:t>
      </w:r>
      <w:r w:rsidR="001F00FC" w:rsidRPr="001F00FC">
        <w:rPr>
          <w:rFonts w:cs="Times New Roman"/>
          <w:szCs w:val="24"/>
        </w:rPr>
        <w:t>I</w:t>
      </w:r>
      <w:r w:rsidRPr="001F00FC">
        <w:rPr>
          <w:rFonts w:cs="Times New Roman"/>
          <w:szCs w:val="24"/>
        </w:rPr>
        <w:t xml:space="preserve">n </w:t>
      </w:r>
      <w:r w:rsidR="001F00FC" w:rsidRPr="001F00FC">
        <w:rPr>
          <w:rFonts w:cs="Times New Roman"/>
          <w:szCs w:val="24"/>
        </w:rPr>
        <w:t xml:space="preserve">a demonstration application, in </w:t>
      </w:r>
      <w:r w:rsidRPr="001F00FC">
        <w:rPr>
          <w:rFonts w:cs="Times New Roman"/>
          <w:szCs w:val="24"/>
        </w:rPr>
        <w:t>the current paper</w:t>
      </w:r>
      <w:r w:rsidR="001F00FC" w:rsidRPr="001F00FC">
        <w:rPr>
          <w:rFonts w:cs="Times New Roman"/>
          <w:szCs w:val="24"/>
        </w:rPr>
        <w:t>, the proposed model is applied</w:t>
      </w:r>
      <w:r w:rsidRPr="001F00FC">
        <w:rPr>
          <w:rFonts w:cs="Times New Roman"/>
          <w:szCs w:val="24"/>
        </w:rPr>
        <w:t xml:space="preserve"> to investigate the effect of urban living on walking frequency, considering the choice of urban living as being endogenous to walking frequency. </w:t>
      </w:r>
    </w:p>
    <w:p w14:paraId="46AAE5B3" w14:textId="77777777" w:rsidR="00944E80" w:rsidRPr="001F00FC" w:rsidRDefault="00944E80" w:rsidP="00B4106B">
      <w:pPr>
        <w:spacing w:line="276" w:lineRule="auto"/>
        <w:jc w:val="both"/>
        <w:rPr>
          <w:rFonts w:cs="Times New Roman"/>
          <w:szCs w:val="24"/>
        </w:rPr>
      </w:pPr>
    </w:p>
    <w:p w14:paraId="253AD840" w14:textId="4C6158EE" w:rsidR="00944E80" w:rsidRPr="001F00FC" w:rsidRDefault="00944E80" w:rsidP="00B4106B">
      <w:pPr>
        <w:spacing w:line="276" w:lineRule="auto"/>
        <w:jc w:val="both"/>
        <w:rPr>
          <w:rFonts w:cs="Times New Roman"/>
          <w:szCs w:val="24"/>
        </w:rPr>
      </w:pPr>
      <w:r w:rsidRPr="001F00FC">
        <w:rPr>
          <w:rFonts w:cs="Times New Roman"/>
          <w:b/>
          <w:szCs w:val="24"/>
        </w:rPr>
        <w:t>Keywords</w:t>
      </w:r>
      <w:r w:rsidRPr="001F00FC">
        <w:rPr>
          <w:rFonts w:cs="Times New Roman"/>
          <w:szCs w:val="24"/>
        </w:rPr>
        <w:t>:</w:t>
      </w:r>
      <w:r w:rsidR="001F00FC" w:rsidRPr="001F00FC">
        <w:rPr>
          <w:rFonts w:cs="Times New Roman"/>
          <w:szCs w:val="24"/>
        </w:rPr>
        <w:t xml:space="preserve"> Ordered-Response Model, Mixed Data Modeling</w:t>
      </w:r>
      <w:r w:rsidRPr="001F00FC">
        <w:rPr>
          <w:rFonts w:cs="Times New Roman"/>
          <w:szCs w:val="24"/>
        </w:rPr>
        <w:t xml:space="preserve">, </w:t>
      </w:r>
      <w:r w:rsidR="001F00FC" w:rsidRPr="001F00FC">
        <w:rPr>
          <w:rFonts w:cs="Times New Roman"/>
          <w:szCs w:val="24"/>
        </w:rPr>
        <w:t>Residential Self-Selection, Walking Frequency, Built Environment Effects</w:t>
      </w:r>
    </w:p>
    <w:p w14:paraId="5D86C905" w14:textId="77777777" w:rsidR="00944E80" w:rsidRPr="00D73B66" w:rsidRDefault="00944E80" w:rsidP="00B4106B">
      <w:pPr>
        <w:spacing w:line="276" w:lineRule="auto"/>
        <w:rPr>
          <w:szCs w:val="24"/>
        </w:rPr>
        <w:sectPr w:rsidR="00944E80" w:rsidRPr="00D73B66" w:rsidSect="00942200">
          <w:footerReference w:type="default" r:id="rId10"/>
          <w:pgSz w:w="12240" w:h="15840"/>
          <w:pgMar w:top="1440" w:right="1440" w:bottom="1440" w:left="1440" w:header="720" w:footer="720" w:gutter="0"/>
          <w:cols w:space="720"/>
          <w:docGrid w:linePitch="360"/>
        </w:sectPr>
      </w:pPr>
    </w:p>
    <w:p w14:paraId="02CAB019" w14:textId="2F138A3B" w:rsidR="007A28A2" w:rsidRPr="00FE38B5" w:rsidRDefault="007A28A2" w:rsidP="00B4106B">
      <w:pPr>
        <w:numPr>
          <w:ilvl w:val="0"/>
          <w:numId w:val="5"/>
        </w:numPr>
        <w:spacing w:line="276" w:lineRule="auto"/>
        <w:ind w:left="540" w:hanging="540"/>
        <w:jc w:val="both"/>
        <w:rPr>
          <w:b/>
          <w:bCs/>
        </w:rPr>
      </w:pPr>
      <w:r w:rsidRPr="00FE38B5">
        <w:rPr>
          <w:b/>
          <w:bCs/>
        </w:rPr>
        <w:lastRenderedPageBreak/>
        <w:t>I</w:t>
      </w:r>
      <w:r w:rsidR="003D61DE" w:rsidRPr="00FE38B5">
        <w:rPr>
          <w:b/>
          <w:bCs/>
        </w:rPr>
        <w:t>NTRODUCTION</w:t>
      </w:r>
    </w:p>
    <w:p w14:paraId="33766E9E" w14:textId="1E6AE597" w:rsidR="00625C17" w:rsidRPr="0065493C" w:rsidRDefault="00EC11F6" w:rsidP="00B4106B">
      <w:pPr>
        <w:spacing w:line="276" w:lineRule="auto"/>
        <w:jc w:val="both"/>
        <w:rPr>
          <w:rFonts w:cs="Times New Roman"/>
          <w:szCs w:val="24"/>
        </w:rPr>
      </w:pPr>
      <w:r w:rsidRPr="0065493C">
        <w:rPr>
          <w:rFonts w:cs="Times New Roman"/>
          <w:szCs w:val="24"/>
        </w:rPr>
        <w:t xml:space="preserve">Econometric consumer choice models may have a variety of dependent outcome variables, including those that are continuous, grouped, binary, ordered-response, unordered-response (or nominal), count, or multiple- discrete-continuous. </w:t>
      </w:r>
      <w:r w:rsidR="0024402E" w:rsidRPr="0065493C">
        <w:rPr>
          <w:rFonts w:cs="Times New Roman"/>
          <w:szCs w:val="24"/>
        </w:rPr>
        <w:t xml:space="preserve">Increasingly, to recognize the jointness in decision-making regarding multiple dependent outcomes, there has been an emphasis on multivariate modeling approaches (see Bhat and Mondal, 2022 for a recent review of such approaches). </w:t>
      </w:r>
      <w:r w:rsidRPr="0065493C">
        <w:rPr>
          <w:rFonts w:cs="Times New Roman"/>
          <w:szCs w:val="24"/>
        </w:rPr>
        <w:t xml:space="preserve">In all of these models, </w:t>
      </w:r>
      <w:r w:rsidR="0024402E" w:rsidRPr="0065493C">
        <w:rPr>
          <w:rFonts w:cs="Times New Roman"/>
          <w:szCs w:val="24"/>
        </w:rPr>
        <w:t xml:space="preserve">typically referred to as multivariate mixed data models, </w:t>
      </w:r>
      <w:r w:rsidRPr="0065493C">
        <w:rPr>
          <w:rFonts w:cs="Times New Roman"/>
          <w:szCs w:val="24"/>
        </w:rPr>
        <w:t xml:space="preserve">stochasticity is introduced to recognize that there will always be unobserved individual-specific factors that impact the outcome variable. </w:t>
      </w:r>
      <w:r w:rsidR="0024402E" w:rsidRPr="0065493C">
        <w:rPr>
          <w:rFonts w:cs="Times New Roman"/>
          <w:szCs w:val="24"/>
        </w:rPr>
        <w:t>S</w:t>
      </w:r>
      <w:r w:rsidRPr="0065493C">
        <w:rPr>
          <w:rFonts w:cs="Times New Roman"/>
          <w:szCs w:val="24"/>
        </w:rPr>
        <w:t xml:space="preserve">uch stochasticity is </w:t>
      </w:r>
      <w:r w:rsidR="0024402E" w:rsidRPr="0065493C">
        <w:rPr>
          <w:rFonts w:cs="Times New Roman"/>
          <w:szCs w:val="24"/>
        </w:rPr>
        <w:t xml:space="preserve">commonly </w:t>
      </w:r>
      <w:r w:rsidRPr="0065493C">
        <w:rPr>
          <w:rFonts w:cs="Times New Roman"/>
          <w:szCs w:val="24"/>
        </w:rPr>
        <w:t xml:space="preserve">assumed to originate in the context of an underlying latent variable </w:t>
      </w:r>
      <w:r w:rsidR="0024402E" w:rsidRPr="0065493C">
        <w:rPr>
          <w:rFonts w:cs="Times New Roman"/>
          <w:szCs w:val="24"/>
        </w:rPr>
        <w:t xml:space="preserve">for each outcome variable, which </w:t>
      </w:r>
      <w:r w:rsidRPr="0065493C">
        <w:rPr>
          <w:rFonts w:cs="Times New Roman"/>
          <w:szCs w:val="24"/>
        </w:rPr>
        <w:t xml:space="preserve">is then </w:t>
      </w:r>
      <w:r w:rsidR="0024402E" w:rsidRPr="0065493C">
        <w:rPr>
          <w:rFonts w:cs="Times New Roman"/>
          <w:szCs w:val="24"/>
        </w:rPr>
        <w:t xml:space="preserve">appropriately mapped </w:t>
      </w:r>
      <w:r w:rsidRPr="0065493C">
        <w:rPr>
          <w:rFonts w:cs="Times New Roman"/>
          <w:szCs w:val="24"/>
        </w:rPr>
        <w:t xml:space="preserve">to the actual observed outcome (except for the continuous case when the underlying latent variable is </w:t>
      </w:r>
      <w:r w:rsidR="00276DAC" w:rsidRPr="0065493C">
        <w:rPr>
          <w:rFonts w:cs="Times New Roman"/>
          <w:szCs w:val="24"/>
        </w:rPr>
        <w:t xml:space="preserve">also </w:t>
      </w:r>
      <w:r w:rsidRPr="0065493C">
        <w:rPr>
          <w:rFonts w:cs="Times New Roman"/>
          <w:szCs w:val="24"/>
        </w:rPr>
        <w:t xml:space="preserve">the actual observed variable). </w:t>
      </w:r>
      <w:r w:rsidR="00276DAC" w:rsidRPr="0065493C">
        <w:rPr>
          <w:rFonts w:cs="Times New Roman"/>
          <w:szCs w:val="24"/>
        </w:rPr>
        <w:t>For example, to analyze a</w:t>
      </w:r>
      <w:r w:rsidR="00EB2A7D" w:rsidRPr="0065493C">
        <w:rPr>
          <w:rFonts w:cs="Times New Roman"/>
          <w:szCs w:val="24"/>
        </w:rPr>
        <w:t>n ordered-response</w:t>
      </w:r>
      <w:r w:rsidR="00276DAC" w:rsidRPr="0065493C">
        <w:rPr>
          <w:rFonts w:cs="Times New Roman"/>
          <w:szCs w:val="24"/>
        </w:rPr>
        <w:t xml:space="preserve"> outcome, a latent preference </w:t>
      </w:r>
      <w:r w:rsidR="00EB2A7D" w:rsidRPr="0065493C">
        <w:rPr>
          <w:rFonts w:cs="Times New Roman"/>
          <w:szCs w:val="24"/>
        </w:rPr>
        <w:t>underlying the outcome is assumed</w:t>
      </w:r>
      <w:r w:rsidR="00276DAC" w:rsidRPr="0065493C">
        <w:rPr>
          <w:rFonts w:cs="Times New Roman"/>
          <w:szCs w:val="24"/>
        </w:rPr>
        <w:t xml:space="preserve">, which is then mapped to the observed </w:t>
      </w:r>
      <w:r w:rsidR="00E175A8">
        <w:rPr>
          <w:rFonts w:cs="Times New Roman"/>
          <w:szCs w:val="24"/>
        </w:rPr>
        <w:t>ordered</w:t>
      </w:r>
      <w:r w:rsidR="00276DAC" w:rsidRPr="0065493C">
        <w:rPr>
          <w:rFonts w:cs="Times New Roman"/>
          <w:szCs w:val="24"/>
        </w:rPr>
        <w:t xml:space="preserve"> outcome based on a thresholding mechanism. Or to analyze a nominal outcome, a latent utility </w:t>
      </w:r>
      <w:r w:rsidR="00EB2A7D" w:rsidRPr="0065493C">
        <w:rPr>
          <w:rFonts w:cs="Times New Roman"/>
          <w:szCs w:val="24"/>
        </w:rPr>
        <w:t xml:space="preserve">valuation </w:t>
      </w:r>
      <w:r w:rsidR="00276DAC" w:rsidRPr="0065493C">
        <w:rPr>
          <w:rFonts w:cs="Times New Roman"/>
          <w:szCs w:val="24"/>
        </w:rPr>
        <w:t>associated with each alternative</w:t>
      </w:r>
      <w:r w:rsidR="00E175A8">
        <w:rPr>
          <w:rFonts w:cs="Times New Roman"/>
          <w:szCs w:val="24"/>
        </w:rPr>
        <w:t xml:space="preserve"> is assumed</w:t>
      </w:r>
      <w:r w:rsidR="00276DAC" w:rsidRPr="0065493C">
        <w:rPr>
          <w:rFonts w:cs="Times New Roman"/>
          <w:szCs w:val="24"/>
        </w:rPr>
        <w:t xml:space="preserve">, </w:t>
      </w:r>
      <w:r w:rsidR="00E175A8">
        <w:rPr>
          <w:rFonts w:cs="Times New Roman"/>
          <w:szCs w:val="24"/>
        </w:rPr>
        <w:t>which is then mapped tot he observed unordered outcome based on a utility maximizing decision principle.</w:t>
      </w:r>
      <w:r w:rsidR="00EB2A7D" w:rsidRPr="0065493C">
        <w:rPr>
          <w:rFonts w:cs="Times New Roman"/>
          <w:szCs w:val="24"/>
        </w:rPr>
        <w:t xml:space="preserve"> Stochasticity is then included in the latent preference (for the ordered-response case) or the utility valuation (for the nominal case)</w:t>
      </w:r>
      <w:r w:rsidR="00D268F9" w:rsidRPr="0065493C">
        <w:rPr>
          <w:rFonts w:cs="Times New Roman"/>
          <w:szCs w:val="24"/>
        </w:rPr>
        <w:t xml:space="preserve"> in the form of a kernel error term with or without random coefficients on exogenous variables. Joint multivariate models can then be developed through accommodating covariance on the kernel error terms (see, for example, </w:t>
      </w:r>
      <w:r w:rsidR="004109FA" w:rsidRPr="0065493C">
        <w:rPr>
          <w:rFonts w:cs="Times New Roman"/>
          <w:color w:val="000000" w:themeColor="text1"/>
          <w:szCs w:val="24"/>
        </w:rPr>
        <w:t xml:space="preserve">Müller and </w:t>
      </w:r>
      <w:proofErr w:type="spellStart"/>
      <w:r w:rsidR="004109FA" w:rsidRPr="0065493C">
        <w:rPr>
          <w:rFonts w:cs="Times New Roman"/>
          <w:color w:val="000000" w:themeColor="text1"/>
          <w:szCs w:val="24"/>
        </w:rPr>
        <w:t>Czado</w:t>
      </w:r>
      <w:proofErr w:type="spellEnd"/>
      <w:r w:rsidR="004109FA" w:rsidRPr="0065493C">
        <w:rPr>
          <w:rFonts w:cs="Times New Roman"/>
          <w:color w:val="000000" w:themeColor="text1"/>
          <w:szCs w:val="24"/>
        </w:rPr>
        <w:t xml:space="preserve">, 2018, Wei et al., 2019, </w:t>
      </w:r>
      <w:proofErr w:type="spellStart"/>
      <w:r w:rsidR="004109FA" w:rsidRPr="0065493C">
        <w:rPr>
          <w:rFonts w:cs="Times New Roman"/>
          <w:color w:val="000000" w:themeColor="text1"/>
          <w:szCs w:val="24"/>
        </w:rPr>
        <w:t>Jiryaie</w:t>
      </w:r>
      <w:proofErr w:type="spellEnd"/>
      <w:r w:rsidR="004109FA" w:rsidRPr="0065493C">
        <w:rPr>
          <w:rFonts w:cs="Times New Roman"/>
          <w:color w:val="000000" w:themeColor="text1"/>
          <w:szCs w:val="24"/>
        </w:rPr>
        <w:t xml:space="preserve"> and Khodadadi, 2019, and Kwon et al., 2022)</w:t>
      </w:r>
      <w:r w:rsidR="00D268F9" w:rsidRPr="0065493C">
        <w:rPr>
          <w:rFonts w:cs="Times New Roman"/>
          <w:szCs w:val="24"/>
        </w:rPr>
        <w:t xml:space="preserve"> and/or through multivariate parsimonious factoring mechanisms for the random coefficients (see, for example, </w:t>
      </w:r>
      <w:r w:rsidR="004109FA" w:rsidRPr="0065493C">
        <w:rPr>
          <w:rFonts w:cs="Times New Roman"/>
          <w:szCs w:val="24"/>
        </w:rPr>
        <w:t xml:space="preserve">Bhat, 2015, </w:t>
      </w:r>
      <w:r w:rsidR="004109FA" w:rsidRPr="0065493C">
        <w:rPr>
          <w:rFonts w:cs="Times New Roman"/>
          <w:color w:val="000000" w:themeColor="text1"/>
          <w:szCs w:val="24"/>
        </w:rPr>
        <w:t>Ong et al., 2018, Dias et al., 2020, Kang et al., 2021</w:t>
      </w:r>
      <w:r w:rsidR="004109FA" w:rsidRPr="0065493C">
        <w:rPr>
          <w:rFonts w:cs="Times New Roman"/>
          <w:szCs w:val="24"/>
        </w:rPr>
        <w:t>)</w:t>
      </w:r>
      <w:r w:rsidR="00D268F9" w:rsidRPr="0065493C">
        <w:rPr>
          <w:rFonts w:cs="Times New Roman"/>
          <w:szCs w:val="24"/>
        </w:rPr>
        <w:t xml:space="preserve">. </w:t>
      </w:r>
      <w:r w:rsidR="00625C17" w:rsidRPr="0065493C">
        <w:rPr>
          <w:rFonts w:cs="Times New Roman"/>
          <w:szCs w:val="24"/>
        </w:rPr>
        <w:t xml:space="preserve">In the latter case, the jointness across outcomes is </w:t>
      </w:r>
      <w:r w:rsidR="004109FA" w:rsidRPr="0065493C">
        <w:rPr>
          <w:rFonts w:cs="Times New Roman"/>
          <w:szCs w:val="24"/>
        </w:rPr>
        <w:t xml:space="preserve">typically </w:t>
      </w:r>
      <w:r w:rsidR="00625C17" w:rsidRPr="0065493C">
        <w:rPr>
          <w:rFonts w:cs="Times New Roman"/>
          <w:szCs w:val="24"/>
        </w:rPr>
        <w:t xml:space="preserve">generated through the use of a limited number of </w:t>
      </w:r>
      <w:r w:rsidR="00064886">
        <w:rPr>
          <w:rFonts w:cs="Times New Roman"/>
          <w:szCs w:val="24"/>
        </w:rPr>
        <w:t xml:space="preserve">latent </w:t>
      </w:r>
      <w:r w:rsidR="00625C17" w:rsidRPr="0065493C">
        <w:rPr>
          <w:rFonts w:cs="Times New Roman"/>
          <w:szCs w:val="24"/>
        </w:rPr>
        <w:t>constructs</w:t>
      </w:r>
      <w:r w:rsidR="004109FA" w:rsidRPr="0065493C">
        <w:rPr>
          <w:rFonts w:cs="Times New Roman"/>
          <w:szCs w:val="24"/>
        </w:rPr>
        <w:t xml:space="preserve"> (or factors)</w:t>
      </w:r>
      <w:r w:rsidR="00625C17" w:rsidRPr="0065493C">
        <w:rPr>
          <w:rFonts w:cs="Times New Roman"/>
          <w:szCs w:val="24"/>
        </w:rPr>
        <w:t xml:space="preserve">, themselves being underlying </w:t>
      </w:r>
      <w:r w:rsidR="00064886">
        <w:rPr>
          <w:rFonts w:cs="Times New Roman"/>
          <w:szCs w:val="24"/>
        </w:rPr>
        <w:t xml:space="preserve">stochastic </w:t>
      </w:r>
      <w:proofErr w:type="spellStart"/>
      <w:r w:rsidR="00064886">
        <w:rPr>
          <w:rFonts w:cs="Times New Roman"/>
          <w:szCs w:val="24"/>
        </w:rPr>
        <w:t>cumulatives</w:t>
      </w:r>
      <w:proofErr w:type="spellEnd"/>
      <w:r w:rsidR="00625C17" w:rsidRPr="0065493C">
        <w:rPr>
          <w:rFonts w:cs="Times New Roman"/>
          <w:szCs w:val="24"/>
        </w:rPr>
        <w:t xml:space="preserve"> of a battery of indicators representing attitudinal or lifestyle characteristics. If these </w:t>
      </w:r>
      <w:r w:rsidR="00595F4B">
        <w:rPr>
          <w:rFonts w:cs="Times New Roman"/>
          <w:szCs w:val="24"/>
        </w:rPr>
        <w:t xml:space="preserve">stochastic </w:t>
      </w:r>
      <w:r w:rsidR="00625C17" w:rsidRPr="0065493C">
        <w:rPr>
          <w:rFonts w:cs="Times New Roman"/>
          <w:szCs w:val="24"/>
        </w:rPr>
        <w:t xml:space="preserve">latent constructs are used as determinants of the underlying latent variables affecting the endogenous outcomes (either with or without interactions with other exogenous variables), it leads to jointness across the endogenous outcomes. </w:t>
      </w:r>
    </w:p>
    <w:p w14:paraId="352D1727" w14:textId="7A734701" w:rsidR="001935B3" w:rsidRPr="0065493C" w:rsidRDefault="001935B3" w:rsidP="00B4106B">
      <w:pPr>
        <w:spacing w:line="276" w:lineRule="auto"/>
        <w:jc w:val="both"/>
        <w:rPr>
          <w:rFonts w:cs="Times New Roman"/>
          <w:szCs w:val="24"/>
        </w:rPr>
      </w:pPr>
      <w:r w:rsidRPr="0065493C">
        <w:rPr>
          <w:rFonts w:cs="Times New Roman"/>
          <w:szCs w:val="24"/>
        </w:rPr>
        <w:tab/>
        <w:t xml:space="preserve">Regardless of how </w:t>
      </w:r>
      <w:r w:rsidR="004119BD" w:rsidRPr="0065493C">
        <w:rPr>
          <w:rFonts w:cs="Times New Roman"/>
          <w:szCs w:val="24"/>
        </w:rPr>
        <w:t xml:space="preserve">jointness is developed in the models discussed above, </w:t>
      </w:r>
      <w:r w:rsidR="006B4D74" w:rsidRPr="0065493C">
        <w:rPr>
          <w:rFonts w:cs="Times New Roman"/>
          <w:szCs w:val="24"/>
        </w:rPr>
        <w:t xml:space="preserve">almost all multivariate mixed data models are based on </w:t>
      </w:r>
      <w:r w:rsidR="002213D1" w:rsidRPr="0065493C">
        <w:rPr>
          <w:rFonts w:cs="Times New Roman"/>
          <w:szCs w:val="24"/>
        </w:rPr>
        <w:t xml:space="preserve">a multivariate </w:t>
      </w:r>
      <w:r w:rsidR="004119BD" w:rsidRPr="0065493C">
        <w:rPr>
          <w:rFonts w:cs="Times New Roman"/>
          <w:szCs w:val="24"/>
        </w:rPr>
        <w:t>norma</w:t>
      </w:r>
      <w:r w:rsidR="002213D1" w:rsidRPr="0065493C">
        <w:rPr>
          <w:rFonts w:cs="Times New Roman"/>
          <w:szCs w:val="24"/>
        </w:rPr>
        <w:t>l</w:t>
      </w:r>
      <w:r w:rsidR="004119BD" w:rsidRPr="0065493C">
        <w:rPr>
          <w:rFonts w:cs="Times New Roman"/>
          <w:szCs w:val="24"/>
        </w:rPr>
        <w:t xml:space="preserve"> distribut</w:t>
      </w:r>
      <w:r w:rsidR="002213D1" w:rsidRPr="0065493C">
        <w:rPr>
          <w:rFonts w:cs="Times New Roman"/>
          <w:szCs w:val="24"/>
        </w:rPr>
        <w:t>ion</w:t>
      </w:r>
      <w:r w:rsidR="006B4D74" w:rsidRPr="0065493C">
        <w:rPr>
          <w:rFonts w:cs="Times New Roman"/>
          <w:szCs w:val="24"/>
        </w:rPr>
        <w:t xml:space="preserve"> of </w:t>
      </w:r>
      <w:r w:rsidR="002213D1" w:rsidRPr="0065493C">
        <w:rPr>
          <w:rFonts w:cs="Times New Roman"/>
          <w:szCs w:val="24"/>
        </w:rPr>
        <w:t>the underlying latent variables of the outcomes</w:t>
      </w:r>
      <w:r w:rsidR="004119BD" w:rsidRPr="0065493C">
        <w:rPr>
          <w:rFonts w:cs="Times New Roman"/>
          <w:szCs w:val="24"/>
        </w:rPr>
        <w:t xml:space="preserve"> (</w:t>
      </w:r>
      <w:r w:rsidR="006B4D74" w:rsidRPr="0065493C">
        <w:rPr>
          <w:rFonts w:cs="Times New Roman"/>
          <w:szCs w:val="24"/>
        </w:rPr>
        <w:t xml:space="preserve">imposed </w:t>
      </w:r>
      <w:r w:rsidR="004119BD" w:rsidRPr="0065493C">
        <w:rPr>
          <w:rFonts w:cs="Times New Roman"/>
          <w:szCs w:val="24"/>
        </w:rPr>
        <w:t xml:space="preserve">either directly on the kernel error terms </w:t>
      </w:r>
      <w:r w:rsidR="002213D1" w:rsidRPr="0065493C">
        <w:rPr>
          <w:rFonts w:cs="Times New Roman"/>
          <w:szCs w:val="24"/>
        </w:rPr>
        <w:t xml:space="preserve">of each outcome </w:t>
      </w:r>
      <w:r w:rsidR="00E175A8">
        <w:rPr>
          <w:rFonts w:cs="Times New Roman"/>
          <w:szCs w:val="24"/>
        </w:rPr>
        <w:t>and/</w:t>
      </w:r>
      <w:r w:rsidR="004119BD" w:rsidRPr="0065493C">
        <w:rPr>
          <w:rFonts w:cs="Times New Roman"/>
          <w:szCs w:val="24"/>
        </w:rPr>
        <w:t xml:space="preserve">or through the kernel error terms </w:t>
      </w:r>
      <w:r w:rsidR="006B4D74" w:rsidRPr="0065493C">
        <w:rPr>
          <w:rFonts w:cs="Times New Roman"/>
          <w:szCs w:val="24"/>
        </w:rPr>
        <w:t xml:space="preserve">embedded in </w:t>
      </w:r>
      <w:r w:rsidR="004119BD" w:rsidRPr="0065493C">
        <w:rPr>
          <w:rFonts w:cs="Times New Roman"/>
          <w:szCs w:val="24"/>
        </w:rPr>
        <w:t>the latent const</w:t>
      </w:r>
      <w:r w:rsidR="006B4D74" w:rsidRPr="0065493C">
        <w:rPr>
          <w:rFonts w:cs="Times New Roman"/>
          <w:szCs w:val="24"/>
        </w:rPr>
        <w:t xml:space="preserve">ructs or </w:t>
      </w:r>
      <w:r w:rsidR="002213D1" w:rsidRPr="0065493C">
        <w:rPr>
          <w:rFonts w:cs="Times New Roman"/>
          <w:szCs w:val="24"/>
        </w:rPr>
        <w:t>factors</w:t>
      </w:r>
      <w:r w:rsidR="004119BD" w:rsidRPr="0065493C">
        <w:rPr>
          <w:rFonts w:cs="Times New Roman"/>
          <w:szCs w:val="24"/>
        </w:rPr>
        <w:t xml:space="preserve">). </w:t>
      </w:r>
      <w:r w:rsidR="0042498C" w:rsidRPr="0065493C">
        <w:rPr>
          <w:rFonts w:cs="Times New Roman"/>
          <w:szCs w:val="24"/>
        </w:rPr>
        <w:t xml:space="preserve">Unfortunately, the </w:t>
      </w:r>
      <w:r w:rsidR="006B4D74" w:rsidRPr="0065493C">
        <w:rPr>
          <w:rFonts w:cs="Times New Roman"/>
          <w:szCs w:val="24"/>
        </w:rPr>
        <w:t xml:space="preserve">multivariate </w:t>
      </w:r>
      <w:r w:rsidR="0042498C" w:rsidRPr="0065493C">
        <w:rPr>
          <w:rFonts w:cs="Times New Roman"/>
          <w:szCs w:val="24"/>
        </w:rPr>
        <w:t xml:space="preserve">distribution of the error terms </w:t>
      </w:r>
      <w:r w:rsidR="006B4D74" w:rsidRPr="0065493C">
        <w:rPr>
          <w:rFonts w:cs="Times New Roman"/>
          <w:szCs w:val="24"/>
        </w:rPr>
        <w:t xml:space="preserve">of the dependent outcomes </w:t>
      </w:r>
      <w:r w:rsidR="0042498C" w:rsidRPr="0065493C">
        <w:rPr>
          <w:rFonts w:cs="Times New Roman"/>
          <w:szCs w:val="24"/>
        </w:rPr>
        <w:t xml:space="preserve">(conditional on other observed exogenous variables) is unknown </w:t>
      </w:r>
      <w:r w:rsidR="0042498C" w:rsidRPr="00064886">
        <w:rPr>
          <w:rFonts w:cs="Times New Roman"/>
          <w:i/>
          <w:iCs/>
          <w:szCs w:val="24"/>
        </w:rPr>
        <w:t>a priori</w:t>
      </w:r>
      <w:r w:rsidR="006B4D74" w:rsidRPr="0065493C">
        <w:rPr>
          <w:rFonts w:cs="Times New Roman"/>
          <w:szCs w:val="24"/>
        </w:rPr>
        <w:t xml:space="preserve">. Purely out of convenience, rather than based on any underlying economic theory, it is common to </w:t>
      </w:r>
      <w:r w:rsidR="006B4D74" w:rsidRPr="00064886">
        <w:rPr>
          <w:rFonts w:cs="Times New Roman"/>
          <w:i/>
          <w:iCs/>
          <w:szCs w:val="24"/>
        </w:rPr>
        <w:t>a priori</w:t>
      </w:r>
      <w:r w:rsidR="006B4D74" w:rsidRPr="0065493C">
        <w:rPr>
          <w:rFonts w:cs="Times New Roman"/>
          <w:szCs w:val="24"/>
        </w:rPr>
        <w:t xml:space="preserve"> assume a </w:t>
      </w:r>
      <w:r w:rsidR="0042498C" w:rsidRPr="0065493C">
        <w:rPr>
          <w:rFonts w:cs="Times New Roman"/>
          <w:szCs w:val="24"/>
        </w:rPr>
        <w:t>multivariate normal distribution</w:t>
      </w:r>
      <w:r w:rsidR="006B4D74" w:rsidRPr="0065493C">
        <w:rPr>
          <w:rFonts w:cs="Times New Roman"/>
          <w:szCs w:val="24"/>
        </w:rPr>
        <w:t xml:space="preserve"> for the error terms</w:t>
      </w:r>
      <w:r w:rsidR="0042498C" w:rsidRPr="0065493C">
        <w:rPr>
          <w:rFonts w:cs="Times New Roman"/>
          <w:szCs w:val="24"/>
        </w:rPr>
        <w:t xml:space="preserve">. </w:t>
      </w:r>
      <w:r w:rsidR="006B4D74" w:rsidRPr="0065493C">
        <w:rPr>
          <w:rFonts w:cs="Times New Roman"/>
          <w:szCs w:val="24"/>
        </w:rPr>
        <w:t>But t</w:t>
      </w:r>
      <w:r w:rsidR="0042498C" w:rsidRPr="0065493C">
        <w:rPr>
          <w:rFonts w:cs="Times New Roman"/>
          <w:szCs w:val="24"/>
        </w:rPr>
        <w:t xml:space="preserve">he use of a multivariate normal distribution when a different multivariate distribution characterizes the error terms can, and in general will, lead to </w:t>
      </w:r>
      <w:r w:rsidR="003A31B6" w:rsidRPr="0065493C">
        <w:rPr>
          <w:rFonts w:cs="Times New Roman"/>
          <w:szCs w:val="24"/>
        </w:rPr>
        <w:t xml:space="preserve">biased </w:t>
      </w:r>
      <w:r w:rsidR="0042498C" w:rsidRPr="0065493C">
        <w:rPr>
          <w:rFonts w:cs="Times New Roman"/>
          <w:szCs w:val="24"/>
        </w:rPr>
        <w:t>parameter estimates</w:t>
      </w:r>
      <w:r w:rsidR="003A31B6" w:rsidRPr="0065493C">
        <w:rPr>
          <w:rFonts w:cs="Times New Roman"/>
          <w:szCs w:val="24"/>
        </w:rPr>
        <w:t xml:space="preserve">, especially of </w:t>
      </w:r>
      <w:r w:rsidR="0042498C" w:rsidRPr="0065493C">
        <w:rPr>
          <w:rFonts w:cs="Times New Roman"/>
          <w:szCs w:val="24"/>
        </w:rPr>
        <w:t xml:space="preserve">the </w:t>
      </w:r>
      <w:r w:rsidR="003A31B6" w:rsidRPr="0065493C">
        <w:rPr>
          <w:rFonts w:cs="Times New Roman"/>
          <w:szCs w:val="24"/>
        </w:rPr>
        <w:t xml:space="preserve">treatment </w:t>
      </w:r>
      <w:r w:rsidR="0042498C" w:rsidRPr="0065493C">
        <w:rPr>
          <w:rFonts w:cs="Times New Roman"/>
          <w:szCs w:val="24"/>
        </w:rPr>
        <w:t>effect</w:t>
      </w:r>
      <w:r w:rsidR="003A31B6" w:rsidRPr="0065493C">
        <w:rPr>
          <w:rFonts w:cs="Times New Roman"/>
          <w:szCs w:val="24"/>
        </w:rPr>
        <w:t>s</w:t>
      </w:r>
      <w:r w:rsidR="0042498C" w:rsidRPr="0065493C">
        <w:rPr>
          <w:rFonts w:cs="Times New Roman"/>
          <w:szCs w:val="24"/>
        </w:rPr>
        <w:t xml:space="preserve"> </w:t>
      </w:r>
      <w:r w:rsidR="003A31B6" w:rsidRPr="0065493C">
        <w:rPr>
          <w:rFonts w:cs="Times New Roman"/>
          <w:szCs w:val="24"/>
        </w:rPr>
        <w:t xml:space="preserve">of one endogenous outcome on another (see, </w:t>
      </w:r>
      <w:r w:rsidR="002F783F" w:rsidRPr="0065493C">
        <w:rPr>
          <w:rFonts w:cs="Times New Roman"/>
          <w:szCs w:val="24"/>
        </w:rPr>
        <w:t xml:space="preserve">for example, </w:t>
      </w:r>
      <w:r w:rsidR="003A31B6" w:rsidRPr="0065493C">
        <w:rPr>
          <w:rFonts w:cs="Times New Roman"/>
          <w:szCs w:val="24"/>
        </w:rPr>
        <w:t xml:space="preserve">Han and Lee, 2019, and Bhat and Mondal, 2022). </w:t>
      </w:r>
    </w:p>
    <w:p w14:paraId="324B7170" w14:textId="27D4DEE4" w:rsidR="00C66917" w:rsidRPr="00FE38B5" w:rsidRDefault="00A60218" w:rsidP="00B4106B">
      <w:pPr>
        <w:autoSpaceDE w:val="0"/>
        <w:autoSpaceDN w:val="0"/>
        <w:adjustRightInd w:val="0"/>
        <w:spacing w:line="276" w:lineRule="auto"/>
        <w:jc w:val="both"/>
        <w:rPr>
          <w:rFonts w:cs="Times New Roman"/>
          <w:szCs w:val="24"/>
        </w:rPr>
      </w:pPr>
      <w:r w:rsidRPr="0065493C">
        <w:rPr>
          <w:rFonts w:cs="Times New Roman"/>
          <w:szCs w:val="24"/>
        </w:rPr>
        <w:lastRenderedPageBreak/>
        <w:tab/>
        <w:t>The most general way to accommodate an unknown multivariate distribution would be, of course, to use a multivariate nonparametric joint distribution</w:t>
      </w:r>
      <w:r w:rsidR="002F783F" w:rsidRPr="0065493C">
        <w:rPr>
          <w:rFonts w:cs="Times New Roman"/>
          <w:szCs w:val="24"/>
        </w:rPr>
        <w:t xml:space="preserve">, with some assumptions related to smoothness and regularity imposed on the joint distribution (as in Gallant and </w:t>
      </w:r>
      <w:proofErr w:type="spellStart"/>
      <w:r w:rsidR="002F783F" w:rsidRPr="0065493C">
        <w:rPr>
          <w:rFonts w:cs="Times New Roman"/>
          <w:szCs w:val="24"/>
        </w:rPr>
        <w:t>Nychka</w:t>
      </w:r>
      <w:proofErr w:type="spellEnd"/>
      <w:r w:rsidR="002F783F" w:rsidRPr="0065493C">
        <w:rPr>
          <w:rFonts w:cs="Times New Roman"/>
          <w:szCs w:val="24"/>
        </w:rPr>
        <w:t>, 1987</w:t>
      </w:r>
      <w:r w:rsidR="00177A62" w:rsidRPr="0065493C">
        <w:rPr>
          <w:rFonts w:cs="Times New Roman"/>
          <w:szCs w:val="24"/>
        </w:rPr>
        <w:t xml:space="preserve">, </w:t>
      </w:r>
      <w:proofErr w:type="spellStart"/>
      <w:r w:rsidR="000E1DF9" w:rsidRPr="00FE38B5">
        <w:rPr>
          <w:rFonts w:cs="Times New Roman"/>
          <w:szCs w:val="24"/>
        </w:rPr>
        <w:t>Vytlacil</w:t>
      </w:r>
      <w:proofErr w:type="spellEnd"/>
      <w:r w:rsidR="000E1DF9" w:rsidRPr="00FE38B5">
        <w:rPr>
          <w:rFonts w:cs="Times New Roman"/>
          <w:szCs w:val="24"/>
        </w:rPr>
        <w:t xml:space="preserve"> and </w:t>
      </w:r>
      <w:proofErr w:type="spellStart"/>
      <w:r w:rsidR="000E1DF9" w:rsidRPr="00FE38B5">
        <w:rPr>
          <w:rFonts w:cs="Times New Roman"/>
          <w:szCs w:val="24"/>
        </w:rPr>
        <w:t>Yildiz</w:t>
      </w:r>
      <w:proofErr w:type="spellEnd"/>
      <w:r w:rsidR="000E1DF9" w:rsidRPr="00FE38B5">
        <w:rPr>
          <w:rFonts w:cs="Times New Roman"/>
          <w:szCs w:val="24"/>
        </w:rPr>
        <w:t xml:space="preserve"> 2007</w:t>
      </w:r>
      <w:r w:rsidR="00064886" w:rsidRPr="00FE38B5">
        <w:rPr>
          <w:rFonts w:cs="Times New Roman"/>
          <w:szCs w:val="24"/>
        </w:rPr>
        <w:t>,</w:t>
      </w:r>
      <w:r w:rsidR="000E1DF9" w:rsidRPr="00FE38B5">
        <w:rPr>
          <w:rFonts w:cs="Times New Roman"/>
          <w:szCs w:val="24"/>
        </w:rPr>
        <w:t xml:space="preserve"> or </w:t>
      </w:r>
      <w:proofErr w:type="spellStart"/>
      <w:r w:rsidR="000E1DF9" w:rsidRPr="00FE38B5">
        <w:rPr>
          <w:rFonts w:cs="Times New Roman"/>
          <w:szCs w:val="24"/>
        </w:rPr>
        <w:t>Chesher</w:t>
      </w:r>
      <w:proofErr w:type="spellEnd"/>
      <w:r w:rsidR="000E1DF9" w:rsidRPr="00FE38B5">
        <w:rPr>
          <w:rFonts w:cs="Times New Roman"/>
          <w:szCs w:val="24"/>
        </w:rPr>
        <w:t xml:space="preserve"> and Rosen 2013). </w:t>
      </w:r>
      <w:r w:rsidR="002F783F" w:rsidRPr="00FE38B5">
        <w:rPr>
          <w:rFonts w:cs="Times New Roman"/>
          <w:szCs w:val="24"/>
        </w:rPr>
        <w:t>Such methods, however,</w:t>
      </w:r>
      <w:r w:rsidR="00D74678" w:rsidRPr="00FE38B5">
        <w:rPr>
          <w:rFonts w:cs="Times New Roman"/>
          <w:szCs w:val="24"/>
        </w:rPr>
        <w:t xml:space="preserve"> </w:t>
      </w:r>
      <w:r w:rsidR="002F783F" w:rsidRPr="00FE38B5">
        <w:rPr>
          <w:rFonts w:cs="Times New Roman"/>
          <w:szCs w:val="24"/>
        </w:rPr>
        <w:t xml:space="preserve">quickly get </w:t>
      </w:r>
      <w:r w:rsidR="00D74678" w:rsidRPr="00FE38B5">
        <w:rPr>
          <w:rFonts w:cs="Times New Roman"/>
          <w:szCs w:val="24"/>
        </w:rPr>
        <w:t>extremely</w:t>
      </w:r>
      <w:r w:rsidR="002F783F" w:rsidRPr="00FE38B5">
        <w:rPr>
          <w:rFonts w:cs="Times New Roman"/>
          <w:szCs w:val="24"/>
        </w:rPr>
        <w:t xml:space="preserve"> profligate in parameters</w:t>
      </w:r>
      <w:r w:rsidR="00C32CB0" w:rsidRPr="00FE38B5">
        <w:rPr>
          <w:rFonts w:cs="Times New Roman"/>
          <w:szCs w:val="24"/>
        </w:rPr>
        <w:t xml:space="preserve"> because of series-based </w:t>
      </w:r>
      <w:r w:rsidR="000E1DF9" w:rsidRPr="00FE38B5">
        <w:rPr>
          <w:rFonts w:cs="Times New Roman"/>
          <w:szCs w:val="24"/>
        </w:rPr>
        <w:t xml:space="preserve">or similar </w:t>
      </w:r>
      <w:r w:rsidR="00C32CB0" w:rsidRPr="00FE38B5">
        <w:rPr>
          <w:rFonts w:cs="Times New Roman"/>
          <w:szCs w:val="24"/>
        </w:rPr>
        <w:t>approximations of the density function</w:t>
      </w:r>
      <w:r w:rsidR="00D74678" w:rsidRPr="00FE38B5">
        <w:rPr>
          <w:rFonts w:cs="Times New Roman"/>
          <w:szCs w:val="24"/>
        </w:rPr>
        <w:t>, especially when moving beyond a univariate distribution to a multivariate distribution (see Chen et al., 2006 and</w:t>
      </w:r>
      <w:r w:rsidR="00177A62" w:rsidRPr="00FE38B5">
        <w:rPr>
          <w:rFonts w:cs="Times New Roman"/>
          <w:szCs w:val="24"/>
        </w:rPr>
        <w:t xml:space="preserve"> Denzel, 2019</w:t>
      </w:r>
      <w:r w:rsidR="00D74678" w:rsidRPr="00FE38B5">
        <w:rPr>
          <w:rFonts w:cs="Times New Roman"/>
          <w:szCs w:val="24"/>
        </w:rPr>
        <w:t>). Besides, no clear asymptotic distribution results are available for such models</w:t>
      </w:r>
      <w:r w:rsidR="00F309BC" w:rsidRPr="00FE38B5">
        <w:rPr>
          <w:rFonts w:cs="Times New Roman"/>
          <w:szCs w:val="24"/>
        </w:rPr>
        <w:t xml:space="preserve"> (needed to compute parameter standard errors)</w:t>
      </w:r>
      <w:r w:rsidR="00D74678" w:rsidRPr="00FE38B5">
        <w:rPr>
          <w:rFonts w:cs="Times New Roman"/>
          <w:szCs w:val="24"/>
        </w:rPr>
        <w:t>, and any treatment effects of one endogenous outcome on another are not point-identified (</w:t>
      </w:r>
      <w:proofErr w:type="spellStart"/>
      <w:r w:rsidR="00D74678" w:rsidRPr="00FE38B5">
        <w:rPr>
          <w:rFonts w:cs="Times New Roman"/>
          <w:szCs w:val="24"/>
        </w:rPr>
        <w:t>Schwiebert</w:t>
      </w:r>
      <w:proofErr w:type="spellEnd"/>
      <w:r w:rsidR="00D74678" w:rsidRPr="00FE38B5">
        <w:rPr>
          <w:rFonts w:cs="Times New Roman"/>
          <w:szCs w:val="24"/>
        </w:rPr>
        <w:t>, 201</w:t>
      </w:r>
      <w:r w:rsidR="006871EB" w:rsidRPr="00FE38B5">
        <w:rPr>
          <w:rFonts w:cs="Times New Roman"/>
          <w:szCs w:val="24"/>
        </w:rPr>
        <w:t>3</w:t>
      </w:r>
      <w:r w:rsidR="00D74678" w:rsidRPr="00FE38B5">
        <w:rPr>
          <w:rFonts w:cs="Times New Roman"/>
          <w:szCs w:val="24"/>
        </w:rPr>
        <w:t xml:space="preserve">; Han and Lee, 2019). </w:t>
      </w:r>
      <w:r w:rsidR="003A7593" w:rsidRPr="00FE38B5">
        <w:rPr>
          <w:rFonts w:cs="Times New Roman"/>
          <w:szCs w:val="24"/>
        </w:rPr>
        <w:t xml:space="preserve">Similar issues of </w:t>
      </w:r>
      <w:proofErr w:type="spellStart"/>
      <w:r w:rsidR="003A7593" w:rsidRPr="00FE38B5">
        <w:rPr>
          <w:rFonts w:cs="Times New Roman"/>
          <w:szCs w:val="24"/>
        </w:rPr>
        <w:t>profligateness</w:t>
      </w:r>
      <w:proofErr w:type="spellEnd"/>
      <w:r w:rsidR="003A7593" w:rsidRPr="00FE38B5">
        <w:rPr>
          <w:rFonts w:cs="Times New Roman"/>
          <w:szCs w:val="24"/>
        </w:rPr>
        <w:t xml:space="preserve"> and kernel density estimation </w:t>
      </w:r>
      <w:r w:rsidR="00C66917" w:rsidRPr="00FE38B5">
        <w:rPr>
          <w:rFonts w:cs="Times New Roman"/>
          <w:szCs w:val="24"/>
        </w:rPr>
        <w:t xml:space="preserve">difficulty can </w:t>
      </w:r>
      <w:r w:rsidR="003A7593" w:rsidRPr="00FE38B5">
        <w:rPr>
          <w:rFonts w:cs="Times New Roman"/>
          <w:szCs w:val="24"/>
        </w:rPr>
        <w:t>arise when using semi-parametric approach</w:t>
      </w:r>
      <w:r w:rsidR="000E1DF9" w:rsidRPr="00FE38B5">
        <w:rPr>
          <w:rFonts w:cs="Times New Roman"/>
          <w:szCs w:val="24"/>
        </w:rPr>
        <w:t xml:space="preserve">es (such </w:t>
      </w:r>
      <w:r w:rsidR="00064886" w:rsidRPr="00FE38B5">
        <w:rPr>
          <w:rFonts w:cs="Times New Roman"/>
          <w:szCs w:val="24"/>
        </w:rPr>
        <w:t xml:space="preserve">as </w:t>
      </w:r>
      <w:r w:rsidR="000E1DF9" w:rsidRPr="00FE38B5">
        <w:rPr>
          <w:rFonts w:cs="Times New Roman"/>
          <w:szCs w:val="24"/>
        </w:rPr>
        <w:t>those of</w:t>
      </w:r>
      <w:r w:rsidR="003A7593" w:rsidRPr="00FE38B5">
        <w:rPr>
          <w:rFonts w:cs="Times New Roman"/>
          <w:szCs w:val="24"/>
        </w:rPr>
        <w:t xml:space="preserve"> </w:t>
      </w:r>
      <w:proofErr w:type="spellStart"/>
      <w:r w:rsidR="00C66917" w:rsidRPr="00FE38B5">
        <w:rPr>
          <w:rFonts w:cs="Times New Roman"/>
          <w:szCs w:val="24"/>
        </w:rPr>
        <w:t>Lewbel</w:t>
      </w:r>
      <w:proofErr w:type="spellEnd"/>
      <w:r w:rsidR="00064886" w:rsidRPr="00FE38B5">
        <w:rPr>
          <w:rFonts w:cs="Times New Roman"/>
          <w:szCs w:val="24"/>
        </w:rPr>
        <w:t xml:space="preserve">, </w:t>
      </w:r>
      <w:r w:rsidR="00C66917" w:rsidRPr="00FE38B5">
        <w:rPr>
          <w:rFonts w:cs="Times New Roman"/>
          <w:szCs w:val="24"/>
        </w:rPr>
        <w:t>2000</w:t>
      </w:r>
      <w:r w:rsidR="000E1DF9" w:rsidRPr="00FE38B5">
        <w:rPr>
          <w:rFonts w:cs="Times New Roman"/>
          <w:szCs w:val="24"/>
        </w:rPr>
        <w:t xml:space="preserve">, </w:t>
      </w:r>
      <w:r w:rsidR="003A7593" w:rsidRPr="00FE38B5">
        <w:rPr>
          <w:rFonts w:cs="Times New Roman"/>
          <w:szCs w:val="24"/>
        </w:rPr>
        <w:t xml:space="preserve">Dong and </w:t>
      </w:r>
      <w:proofErr w:type="spellStart"/>
      <w:r w:rsidR="003A7593" w:rsidRPr="00FE38B5">
        <w:rPr>
          <w:rFonts w:cs="Times New Roman"/>
          <w:szCs w:val="24"/>
        </w:rPr>
        <w:t>Lewbel</w:t>
      </w:r>
      <w:proofErr w:type="spellEnd"/>
      <w:r w:rsidR="00064886" w:rsidRPr="00FE38B5">
        <w:rPr>
          <w:rFonts w:cs="Times New Roman"/>
          <w:szCs w:val="24"/>
        </w:rPr>
        <w:t xml:space="preserve">, </w:t>
      </w:r>
      <w:r w:rsidR="003A7593" w:rsidRPr="00FE38B5">
        <w:rPr>
          <w:rFonts w:cs="Times New Roman"/>
          <w:szCs w:val="24"/>
        </w:rPr>
        <w:t xml:space="preserve">2015, </w:t>
      </w:r>
      <w:proofErr w:type="spellStart"/>
      <w:r w:rsidR="000E1DF9" w:rsidRPr="00FE38B5">
        <w:rPr>
          <w:rFonts w:cs="Times New Roman"/>
          <w:szCs w:val="24"/>
        </w:rPr>
        <w:t>Yildiz</w:t>
      </w:r>
      <w:proofErr w:type="spellEnd"/>
      <w:r w:rsidR="00064886" w:rsidRPr="00FE38B5">
        <w:rPr>
          <w:rFonts w:cs="Times New Roman"/>
          <w:szCs w:val="24"/>
        </w:rPr>
        <w:t xml:space="preserve">, </w:t>
      </w:r>
      <w:r w:rsidR="000E1DF9" w:rsidRPr="00FE38B5">
        <w:rPr>
          <w:rFonts w:cs="Times New Roman"/>
          <w:szCs w:val="24"/>
        </w:rPr>
        <w:t>2013, and Mu and Zhang</w:t>
      </w:r>
      <w:r w:rsidR="00064886" w:rsidRPr="00FE38B5">
        <w:rPr>
          <w:rFonts w:cs="Times New Roman"/>
          <w:szCs w:val="24"/>
        </w:rPr>
        <w:t xml:space="preserve">, </w:t>
      </w:r>
      <w:r w:rsidR="000E1DF9" w:rsidRPr="00FE38B5">
        <w:rPr>
          <w:rFonts w:cs="Times New Roman"/>
          <w:szCs w:val="24"/>
        </w:rPr>
        <w:t>2018)</w:t>
      </w:r>
      <w:r w:rsidR="00064886" w:rsidRPr="00FE38B5">
        <w:rPr>
          <w:rFonts w:cs="Times New Roman"/>
          <w:szCs w:val="24"/>
        </w:rPr>
        <w:t xml:space="preserve">. These semi-parametric approaches </w:t>
      </w:r>
      <w:r w:rsidR="003A7593" w:rsidRPr="00FE38B5">
        <w:rPr>
          <w:rFonts w:cs="Times New Roman"/>
          <w:szCs w:val="24"/>
        </w:rPr>
        <w:t>also provide unbiased estimator</w:t>
      </w:r>
      <w:r w:rsidR="000E1DF9" w:rsidRPr="00FE38B5">
        <w:rPr>
          <w:rFonts w:cs="Times New Roman"/>
          <w:szCs w:val="24"/>
        </w:rPr>
        <w:t>s</w:t>
      </w:r>
      <w:r w:rsidR="003A7593" w:rsidRPr="00FE38B5">
        <w:rPr>
          <w:rFonts w:cs="Times New Roman"/>
          <w:szCs w:val="24"/>
        </w:rPr>
        <w:t xml:space="preserve"> </w:t>
      </w:r>
      <w:r w:rsidR="000E1DF9" w:rsidRPr="00FE38B5">
        <w:rPr>
          <w:rFonts w:cs="Times New Roman"/>
          <w:szCs w:val="24"/>
        </w:rPr>
        <w:t xml:space="preserve">only </w:t>
      </w:r>
      <w:r w:rsidR="003A7593" w:rsidRPr="00FE38B5">
        <w:rPr>
          <w:rFonts w:cs="Times New Roman"/>
          <w:szCs w:val="24"/>
        </w:rPr>
        <w:t xml:space="preserve">under specific </w:t>
      </w:r>
      <w:r w:rsidR="000E1DF9" w:rsidRPr="00FE38B5">
        <w:rPr>
          <w:rFonts w:cs="Times New Roman"/>
          <w:szCs w:val="24"/>
        </w:rPr>
        <w:t xml:space="preserve">conditions (such as a </w:t>
      </w:r>
      <w:r w:rsidR="003A7593" w:rsidRPr="00FE38B5">
        <w:rPr>
          <w:rFonts w:cs="Times New Roman"/>
          <w:szCs w:val="24"/>
        </w:rPr>
        <w:t xml:space="preserve">large support </w:t>
      </w:r>
      <w:r w:rsidR="000E1DF9" w:rsidRPr="00FE38B5">
        <w:rPr>
          <w:rFonts w:cs="Times New Roman"/>
          <w:szCs w:val="24"/>
        </w:rPr>
        <w:t>requirement for the</w:t>
      </w:r>
      <w:r w:rsidR="003A7593" w:rsidRPr="00FE38B5">
        <w:rPr>
          <w:rFonts w:cs="Times New Roman"/>
          <w:szCs w:val="24"/>
        </w:rPr>
        <w:t xml:space="preserve"> “special regressor” </w:t>
      </w:r>
      <w:r w:rsidR="000E1DF9" w:rsidRPr="00FE38B5">
        <w:rPr>
          <w:rFonts w:cs="Times New Roman"/>
          <w:szCs w:val="24"/>
        </w:rPr>
        <w:t xml:space="preserve">in the Dong and </w:t>
      </w:r>
      <w:proofErr w:type="spellStart"/>
      <w:r w:rsidR="000E1DF9" w:rsidRPr="00FE38B5">
        <w:rPr>
          <w:rFonts w:cs="Times New Roman"/>
          <w:szCs w:val="24"/>
        </w:rPr>
        <w:t>Lewbel</w:t>
      </w:r>
      <w:proofErr w:type="spellEnd"/>
      <w:r w:rsidR="000E1DF9" w:rsidRPr="00FE38B5">
        <w:rPr>
          <w:rFonts w:cs="Times New Roman"/>
          <w:szCs w:val="24"/>
        </w:rPr>
        <w:t xml:space="preserve"> (2015) approach; </w:t>
      </w:r>
      <w:r w:rsidR="003A7593" w:rsidRPr="00FE38B5">
        <w:rPr>
          <w:rFonts w:cs="Times New Roman"/>
          <w:szCs w:val="24"/>
        </w:rPr>
        <w:t xml:space="preserve">see Bontemps and </w:t>
      </w:r>
      <w:proofErr w:type="spellStart"/>
      <w:r w:rsidR="003A7593" w:rsidRPr="00FE38B5">
        <w:rPr>
          <w:rFonts w:cs="Times New Roman"/>
          <w:szCs w:val="24"/>
        </w:rPr>
        <w:t>Nauges</w:t>
      </w:r>
      <w:proofErr w:type="spellEnd"/>
      <w:r w:rsidR="00064886" w:rsidRPr="00FE38B5">
        <w:rPr>
          <w:rFonts w:cs="Times New Roman"/>
          <w:szCs w:val="24"/>
        </w:rPr>
        <w:t xml:space="preserve">, </w:t>
      </w:r>
      <w:r w:rsidR="003A7593" w:rsidRPr="00FE38B5">
        <w:rPr>
          <w:rFonts w:cs="Times New Roman"/>
          <w:szCs w:val="24"/>
        </w:rPr>
        <w:t xml:space="preserve">2017). </w:t>
      </w:r>
    </w:p>
    <w:p w14:paraId="4D0D3987" w14:textId="0ECDE51B" w:rsidR="00625C17" w:rsidRPr="0065493C" w:rsidRDefault="00D74678" w:rsidP="00B4106B">
      <w:pPr>
        <w:autoSpaceDE w:val="0"/>
        <w:autoSpaceDN w:val="0"/>
        <w:adjustRightInd w:val="0"/>
        <w:spacing w:line="276" w:lineRule="auto"/>
        <w:ind w:firstLine="720"/>
        <w:jc w:val="both"/>
        <w:rPr>
          <w:rFonts w:cs="Times New Roman"/>
          <w:szCs w:val="24"/>
        </w:rPr>
      </w:pPr>
      <w:r w:rsidRPr="0065493C">
        <w:rPr>
          <w:rFonts w:cs="Times New Roman"/>
          <w:szCs w:val="24"/>
        </w:rPr>
        <w:t xml:space="preserve">A convenient alternative </w:t>
      </w:r>
      <w:r w:rsidR="00BF35BB" w:rsidRPr="0065493C">
        <w:rPr>
          <w:rFonts w:cs="Times New Roman"/>
          <w:szCs w:val="24"/>
        </w:rPr>
        <w:t xml:space="preserve">to handle skewed or fat-tailed </w:t>
      </w:r>
      <w:r w:rsidR="00E175A8">
        <w:rPr>
          <w:rFonts w:cs="Times New Roman"/>
          <w:szCs w:val="24"/>
        </w:rPr>
        <w:t xml:space="preserve">multivariate distributions for the </w:t>
      </w:r>
      <w:r w:rsidR="0056775F" w:rsidRPr="0065493C">
        <w:rPr>
          <w:rFonts w:cs="Times New Roman"/>
          <w:szCs w:val="24"/>
        </w:rPr>
        <w:t xml:space="preserve">error terms </w:t>
      </w:r>
      <w:r w:rsidRPr="0065493C">
        <w:rPr>
          <w:rFonts w:cs="Times New Roman"/>
          <w:szCs w:val="24"/>
        </w:rPr>
        <w:t xml:space="preserve">is to use a </w:t>
      </w:r>
      <w:r w:rsidR="00C02FBF" w:rsidRPr="0065493C">
        <w:rPr>
          <w:rFonts w:cs="Times New Roman"/>
          <w:szCs w:val="24"/>
        </w:rPr>
        <w:t xml:space="preserve">parametric </w:t>
      </w:r>
      <w:r w:rsidRPr="0065493C">
        <w:rPr>
          <w:rFonts w:cs="Times New Roman"/>
          <w:szCs w:val="24"/>
        </w:rPr>
        <w:t>copula approach</w:t>
      </w:r>
      <w:r w:rsidR="00E175A8">
        <w:rPr>
          <w:rFonts w:cs="Times New Roman"/>
          <w:szCs w:val="24"/>
        </w:rPr>
        <w:t>.</w:t>
      </w:r>
      <w:r w:rsidR="00C02FBF" w:rsidRPr="0065493C">
        <w:rPr>
          <w:rFonts w:cs="Times New Roman"/>
          <w:szCs w:val="24"/>
        </w:rPr>
        <w:t xml:space="preserve"> </w:t>
      </w:r>
      <w:r w:rsidR="005E66D5" w:rsidRPr="0065493C">
        <w:rPr>
          <w:rFonts w:cs="Times New Roman"/>
          <w:szCs w:val="24"/>
        </w:rPr>
        <w:t>Essentially, rather than a completely non-parametric multivariate distribution, th</w:t>
      </w:r>
      <w:r w:rsidR="00E175A8">
        <w:rPr>
          <w:rFonts w:cs="Times New Roman"/>
          <w:szCs w:val="24"/>
        </w:rPr>
        <w:t>is</w:t>
      </w:r>
      <w:r w:rsidR="005E66D5" w:rsidRPr="0065493C">
        <w:rPr>
          <w:rFonts w:cs="Times New Roman"/>
          <w:szCs w:val="24"/>
        </w:rPr>
        <w:t xml:space="preserve"> </w:t>
      </w:r>
      <w:r w:rsidR="001D5D89" w:rsidRPr="0065493C">
        <w:rPr>
          <w:rFonts w:cs="Times New Roman"/>
          <w:szCs w:val="24"/>
        </w:rPr>
        <w:t xml:space="preserve">parametric </w:t>
      </w:r>
      <w:r w:rsidR="005E66D5" w:rsidRPr="0065493C">
        <w:rPr>
          <w:rFonts w:cs="Times New Roman"/>
          <w:szCs w:val="24"/>
        </w:rPr>
        <w:t xml:space="preserve">copula approach breaks down the </w:t>
      </w:r>
      <w:r w:rsidR="001D5D89" w:rsidRPr="0065493C">
        <w:rPr>
          <w:rFonts w:cs="Times New Roman"/>
          <w:szCs w:val="24"/>
        </w:rPr>
        <w:t xml:space="preserve">multivariate distribution into univariate specifications for each marginal distribution that are then tied together using a specific parametric copula </w:t>
      </w:r>
      <w:r w:rsidR="0056775F" w:rsidRPr="0065493C">
        <w:rPr>
          <w:rFonts w:cs="Times New Roman"/>
          <w:szCs w:val="24"/>
        </w:rPr>
        <w:t xml:space="preserve">dependence </w:t>
      </w:r>
      <w:r w:rsidR="001D5D89" w:rsidRPr="0065493C">
        <w:rPr>
          <w:rFonts w:cs="Times New Roman"/>
          <w:szCs w:val="24"/>
        </w:rPr>
        <w:t>structure</w:t>
      </w:r>
      <w:r w:rsidR="00E175A8">
        <w:rPr>
          <w:rFonts w:cs="Times New Roman"/>
          <w:szCs w:val="24"/>
        </w:rPr>
        <w:t xml:space="preserve"> (</w:t>
      </w:r>
      <w:r w:rsidR="00E175A8" w:rsidRPr="0065493C">
        <w:rPr>
          <w:rFonts w:cs="Times New Roman"/>
          <w:noProof/>
          <w:color w:val="000000" w:themeColor="text1"/>
          <w:szCs w:val="24"/>
        </w:rPr>
        <w:t xml:space="preserve">see Joe, </w:t>
      </w:r>
      <w:r w:rsidR="00E175A8">
        <w:rPr>
          <w:rFonts w:cs="Times New Roman"/>
          <w:noProof/>
          <w:color w:val="000000" w:themeColor="text1"/>
          <w:szCs w:val="24"/>
        </w:rPr>
        <w:t>1997</w:t>
      </w:r>
      <w:r w:rsidR="00E175A8" w:rsidRPr="0065493C">
        <w:rPr>
          <w:rFonts w:cs="Times New Roman"/>
          <w:noProof/>
          <w:color w:val="000000" w:themeColor="text1"/>
          <w:szCs w:val="24"/>
        </w:rPr>
        <w:t xml:space="preserve"> and Bhat and Eluru, 2009).</w:t>
      </w:r>
      <w:r w:rsidR="001D5D89" w:rsidRPr="0065493C">
        <w:rPr>
          <w:rFonts w:cs="Times New Roman"/>
          <w:szCs w:val="24"/>
        </w:rPr>
        <w:t xml:space="preserve">. </w:t>
      </w:r>
      <w:r w:rsidR="00C32CB0" w:rsidRPr="0065493C">
        <w:rPr>
          <w:rFonts w:cs="Times New Roman"/>
          <w:szCs w:val="24"/>
        </w:rPr>
        <w:t xml:space="preserve">Within this </w:t>
      </w:r>
      <w:r w:rsidR="001D5D89" w:rsidRPr="0065493C">
        <w:rPr>
          <w:rFonts w:cs="Times New Roman"/>
          <w:szCs w:val="24"/>
        </w:rPr>
        <w:t>copula approach</w:t>
      </w:r>
      <w:r w:rsidR="00C32CB0" w:rsidRPr="0065493C">
        <w:rPr>
          <w:rFonts w:cs="Times New Roman"/>
          <w:szCs w:val="24"/>
        </w:rPr>
        <w:t xml:space="preserve">, the use of non-parametric marginals leads to an infinite-dimensional parameter space and the usual maximum likelihood </w:t>
      </w:r>
      <w:r w:rsidR="00691403" w:rsidRPr="0065493C">
        <w:rPr>
          <w:rFonts w:cs="Times New Roman"/>
          <w:szCs w:val="24"/>
        </w:rPr>
        <w:t xml:space="preserve">estimation approach </w:t>
      </w:r>
      <w:r w:rsidR="00C32CB0" w:rsidRPr="0065493C">
        <w:rPr>
          <w:rFonts w:cs="Times New Roman"/>
          <w:szCs w:val="24"/>
        </w:rPr>
        <w:t xml:space="preserve">fails to produce any meaningful </w:t>
      </w:r>
      <w:r w:rsidR="00691403" w:rsidRPr="0065493C">
        <w:rPr>
          <w:rFonts w:cs="Times New Roman"/>
          <w:szCs w:val="24"/>
        </w:rPr>
        <w:t>estimator (</w:t>
      </w:r>
      <w:proofErr w:type="spellStart"/>
      <w:r w:rsidR="00691403" w:rsidRPr="0065493C">
        <w:rPr>
          <w:rFonts w:cs="Times New Roman"/>
          <w:szCs w:val="24"/>
        </w:rPr>
        <w:t>Geman</w:t>
      </w:r>
      <w:proofErr w:type="spellEnd"/>
      <w:r w:rsidR="00691403" w:rsidRPr="0065493C">
        <w:rPr>
          <w:rFonts w:cs="Times New Roman"/>
          <w:szCs w:val="24"/>
        </w:rPr>
        <w:t xml:space="preserve"> and Hwang, 1982). To overcome this, recent studies have considered what is called the sieve maximum likelihood estimation approach (see, for example, </w:t>
      </w:r>
      <w:r w:rsidR="00F309BC" w:rsidRPr="0065493C">
        <w:rPr>
          <w:rFonts w:cs="Times New Roman"/>
          <w:szCs w:val="24"/>
        </w:rPr>
        <w:t xml:space="preserve">Zou et al., 2017, Xu and Lee, 2018; Han and Lee, 2019, </w:t>
      </w:r>
      <w:r w:rsidR="00691403" w:rsidRPr="0065493C">
        <w:rPr>
          <w:rFonts w:cs="Times New Roman"/>
          <w:szCs w:val="24"/>
        </w:rPr>
        <w:t xml:space="preserve">Szabo et al., 2020, </w:t>
      </w:r>
      <w:r w:rsidR="00F309BC" w:rsidRPr="0065493C">
        <w:rPr>
          <w:rFonts w:cs="Times New Roman"/>
          <w:szCs w:val="24"/>
        </w:rPr>
        <w:t>Huang and Xu, 2022</w:t>
      </w:r>
      <w:r w:rsidR="00691403" w:rsidRPr="0065493C">
        <w:rPr>
          <w:rFonts w:cs="Times New Roman"/>
          <w:szCs w:val="24"/>
        </w:rPr>
        <w:t>).</w:t>
      </w:r>
      <w:r w:rsidR="00F309BC" w:rsidRPr="0065493C">
        <w:rPr>
          <w:rFonts w:cs="Times New Roman"/>
          <w:szCs w:val="24"/>
        </w:rPr>
        <w:t xml:space="preserve"> </w:t>
      </w:r>
      <w:r w:rsidR="005E66D5" w:rsidRPr="0065493C">
        <w:rPr>
          <w:rFonts w:cs="Times New Roman"/>
          <w:szCs w:val="24"/>
        </w:rPr>
        <w:t>But this sieve-based approach, while providing clear asymptotic distribution results under usual regularity conditions, continues to be profligate in parameters</w:t>
      </w:r>
      <w:r w:rsidR="005050A0" w:rsidRPr="0065493C">
        <w:rPr>
          <w:rFonts w:cs="Times New Roman"/>
          <w:szCs w:val="24"/>
        </w:rPr>
        <w:t xml:space="preserve"> and is computationally expensive (see Smith et al., 2020)</w:t>
      </w:r>
      <w:r w:rsidR="001D5D89" w:rsidRPr="0065493C">
        <w:rPr>
          <w:rFonts w:cs="Times New Roman"/>
          <w:szCs w:val="24"/>
        </w:rPr>
        <w:t xml:space="preserve">. On the other hand, a parametric copula, combined with flexible </w:t>
      </w:r>
      <w:r w:rsidR="005050A0" w:rsidRPr="0065493C">
        <w:rPr>
          <w:rFonts w:cs="Times New Roman"/>
          <w:szCs w:val="24"/>
        </w:rPr>
        <w:t xml:space="preserve">(but) </w:t>
      </w:r>
      <w:r w:rsidR="001D5D89" w:rsidRPr="0065493C">
        <w:rPr>
          <w:rFonts w:cs="Times New Roman"/>
          <w:szCs w:val="24"/>
        </w:rPr>
        <w:t xml:space="preserve">parametric marginals, has advantages in terms of fewer parameters to estimate and has clear estimation efficiency advantages through the use of a parametric maximum likelihood estimation approach. </w:t>
      </w:r>
      <w:r w:rsidR="004A53FF" w:rsidRPr="0065493C">
        <w:rPr>
          <w:rFonts w:cs="Times New Roman"/>
          <w:szCs w:val="24"/>
        </w:rPr>
        <w:t>In fact, earlier studies have shown that</w:t>
      </w:r>
      <w:r w:rsidR="0027278C" w:rsidRPr="0065493C">
        <w:rPr>
          <w:rFonts w:cs="Times New Roman"/>
          <w:szCs w:val="24"/>
        </w:rPr>
        <w:t xml:space="preserve">, as long as the marginal distributions are specified to be reasonably flexible (allowing for skewness and fat tails), a parametric copula dependence structure is able to very closely mimic any multivariate distribution (Chen, 2006). </w:t>
      </w:r>
      <w:r w:rsidR="0094769A" w:rsidRPr="0065493C">
        <w:rPr>
          <w:rFonts w:cs="Times New Roman"/>
          <w:szCs w:val="24"/>
        </w:rPr>
        <w:t xml:space="preserve">As further elucidated by </w:t>
      </w:r>
      <w:proofErr w:type="spellStart"/>
      <w:r w:rsidR="0094769A" w:rsidRPr="0065493C">
        <w:rPr>
          <w:rFonts w:cs="Times New Roman"/>
          <w:szCs w:val="24"/>
        </w:rPr>
        <w:t>Baillien</w:t>
      </w:r>
      <w:proofErr w:type="spellEnd"/>
      <w:r w:rsidR="0094769A" w:rsidRPr="0065493C">
        <w:rPr>
          <w:rFonts w:cs="Times New Roman"/>
          <w:szCs w:val="24"/>
        </w:rPr>
        <w:t xml:space="preserve"> et al. (2022), multivariate skewness and fat tails can be introduced </w:t>
      </w:r>
      <w:r w:rsidR="0094769A" w:rsidRPr="0065493C">
        <w:rPr>
          <w:rFonts w:eastAsia="CMR12" w:cs="Times New Roman"/>
          <w:szCs w:val="24"/>
        </w:rPr>
        <w:t>in a multivariate copula</w:t>
      </w:r>
      <w:r w:rsidR="00E175A8">
        <w:rPr>
          <w:rFonts w:eastAsia="CMR12" w:cs="Times New Roman"/>
          <w:szCs w:val="24"/>
        </w:rPr>
        <w:t xml:space="preserve"> </w:t>
      </w:r>
      <w:r w:rsidR="0094769A" w:rsidRPr="0065493C">
        <w:rPr>
          <w:rFonts w:eastAsia="CMR12" w:cs="Times New Roman"/>
          <w:szCs w:val="24"/>
        </w:rPr>
        <w:t xml:space="preserve">either through skewed/fat tail margins, a skewed/fat tail copula, or both. However, </w:t>
      </w:r>
      <w:r w:rsidR="00A1716A" w:rsidRPr="0065493C">
        <w:rPr>
          <w:rFonts w:eastAsia="CMR12" w:cs="Times New Roman"/>
          <w:szCs w:val="24"/>
        </w:rPr>
        <w:t xml:space="preserve">as they go on to state, </w:t>
      </w:r>
      <w:r w:rsidR="0094769A" w:rsidRPr="0065493C">
        <w:rPr>
          <w:rFonts w:eastAsia="CMR12" w:cs="Times New Roman"/>
          <w:szCs w:val="24"/>
        </w:rPr>
        <w:t xml:space="preserve">a skewed/fat tail copula over skewed/fat tail marginals substantially increases model complexity and may be considered “overkill”. </w:t>
      </w:r>
      <w:r w:rsidR="00713582" w:rsidRPr="0065493C">
        <w:rPr>
          <w:rFonts w:eastAsia="CMR12" w:cs="Times New Roman"/>
          <w:szCs w:val="24"/>
        </w:rPr>
        <w:t xml:space="preserve">Similarly, </w:t>
      </w:r>
      <w:proofErr w:type="spellStart"/>
      <w:r w:rsidR="00713582" w:rsidRPr="0065493C">
        <w:rPr>
          <w:rFonts w:eastAsia="CMR12" w:cs="Times New Roman"/>
          <w:szCs w:val="24"/>
        </w:rPr>
        <w:t>Denze</w:t>
      </w:r>
      <w:r w:rsidR="008256D4">
        <w:rPr>
          <w:rFonts w:eastAsia="CMR12" w:cs="Times New Roman"/>
          <w:szCs w:val="24"/>
        </w:rPr>
        <w:t>r</w:t>
      </w:r>
      <w:proofErr w:type="spellEnd"/>
      <w:r w:rsidR="00713582" w:rsidRPr="0065493C">
        <w:rPr>
          <w:rFonts w:eastAsia="CMR12" w:cs="Times New Roman"/>
          <w:szCs w:val="24"/>
        </w:rPr>
        <w:t xml:space="preserve"> (2019) extensively compare an entire set of different copula dependency structures (including the Clayton copula, the Frank copula, the Gumbel, and the t copula) with the baseline Gaussian copula dependency structure for a binary response model with a binary endogenous explanatory variable (EEV). Based on </w:t>
      </w:r>
      <w:r w:rsidR="000966CC" w:rsidRPr="0065493C">
        <w:rPr>
          <w:rFonts w:eastAsia="CMR12" w:cs="Times New Roman"/>
          <w:szCs w:val="24"/>
        </w:rPr>
        <w:t xml:space="preserve">evaluations of both bias and root mean squared error for the </w:t>
      </w:r>
      <w:r w:rsidR="000F3267" w:rsidRPr="0065493C">
        <w:rPr>
          <w:rFonts w:eastAsia="CMR12" w:cs="Times New Roman"/>
          <w:szCs w:val="24"/>
        </w:rPr>
        <w:t xml:space="preserve">average partial </w:t>
      </w:r>
      <w:r w:rsidR="000F3267" w:rsidRPr="0065493C">
        <w:rPr>
          <w:rFonts w:eastAsia="CMR12" w:cs="Times New Roman"/>
          <w:szCs w:val="24"/>
        </w:rPr>
        <w:lastRenderedPageBreak/>
        <w:t>effects (APEs)</w:t>
      </w:r>
      <w:r w:rsidR="000966CC" w:rsidRPr="0065493C">
        <w:rPr>
          <w:rFonts w:eastAsia="CMR12" w:cs="Times New Roman"/>
          <w:szCs w:val="24"/>
        </w:rPr>
        <w:t>, they find that</w:t>
      </w:r>
      <w:r w:rsidR="000966CC" w:rsidRPr="0065493C">
        <w:rPr>
          <w:rFonts w:cs="Times New Roman"/>
          <w:szCs w:val="24"/>
        </w:rPr>
        <w:t xml:space="preserve"> </w:t>
      </w:r>
      <w:r w:rsidR="001C3C10">
        <w:rPr>
          <w:rFonts w:cs="Times New Roman"/>
          <w:szCs w:val="24"/>
        </w:rPr>
        <w:t>the Gaussian dependency structure performs very well even when alternate bivariate structures characterize the dep</w:t>
      </w:r>
      <w:r w:rsidR="00E175A8">
        <w:rPr>
          <w:rFonts w:cs="Times New Roman"/>
          <w:szCs w:val="24"/>
        </w:rPr>
        <w:t>end</w:t>
      </w:r>
      <w:r w:rsidR="001C3C10">
        <w:rPr>
          <w:rFonts w:cs="Times New Roman"/>
          <w:szCs w:val="24"/>
        </w:rPr>
        <w:t xml:space="preserve">ency. </w:t>
      </w:r>
      <w:r w:rsidR="000F3267" w:rsidRPr="0065493C">
        <w:rPr>
          <w:rFonts w:cs="Times New Roman"/>
          <w:szCs w:val="24"/>
        </w:rPr>
        <w:t>In another similar study, Han and Lee (2019)</w:t>
      </w:r>
      <w:r w:rsidR="000966CC" w:rsidRPr="0065493C">
        <w:rPr>
          <w:rFonts w:cs="Times New Roman"/>
          <w:szCs w:val="24"/>
        </w:rPr>
        <w:t xml:space="preserve">, also focusing on a binary response model with a binary EEV, find that a bivariate model </w:t>
      </w:r>
      <w:r w:rsidR="001C5081">
        <w:rPr>
          <w:rFonts w:cs="Times New Roman"/>
          <w:szCs w:val="24"/>
        </w:rPr>
        <w:t xml:space="preserve">with flexible marginals </w:t>
      </w:r>
      <w:r w:rsidR="000966CC" w:rsidRPr="0065493C">
        <w:rPr>
          <w:rFonts w:cs="Times New Roman"/>
          <w:szCs w:val="24"/>
        </w:rPr>
        <w:t xml:space="preserve">is robust to misspecification of the bivariate dependency structure. </w:t>
      </w:r>
      <w:r w:rsidR="0094769A" w:rsidRPr="0065493C">
        <w:rPr>
          <w:rFonts w:eastAsia="CMR12" w:cs="Times New Roman"/>
          <w:szCs w:val="24"/>
        </w:rPr>
        <w:t>Thus, in this paper, we consider the convenient Gaussian copula for the multivariate dependence structure, but build in substantial flexibility in the marginal distribution specification, as discussed below.</w:t>
      </w:r>
      <w:r w:rsidR="00D6170C" w:rsidRPr="0065493C">
        <w:rPr>
          <w:rFonts w:eastAsia="CMR12" w:cs="Times New Roman"/>
          <w:szCs w:val="24"/>
        </w:rPr>
        <w:t xml:space="preserve"> Doing so ensures robustness, and also enables point identification as well as efficient estimation (Han and Lee, 2019). </w:t>
      </w:r>
    </w:p>
    <w:p w14:paraId="32B177DB" w14:textId="0AEA90E1" w:rsidR="00C66917" w:rsidRPr="0065493C" w:rsidRDefault="00E175A8" w:rsidP="00B4106B">
      <w:pPr>
        <w:autoSpaceDE w:val="0"/>
        <w:autoSpaceDN w:val="0"/>
        <w:adjustRightInd w:val="0"/>
        <w:spacing w:line="276" w:lineRule="auto"/>
        <w:jc w:val="both"/>
        <w:rPr>
          <w:rFonts w:cs="Times New Roman"/>
          <w:szCs w:val="24"/>
        </w:rPr>
      </w:pPr>
      <w:r>
        <w:rPr>
          <w:rFonts w:cs="Times New Roman"/>
          <w:szCs w:val="24"/>
        </w:rPr>
        <w:t xml:space="preserve">  </w:t>
      </w:r>
    </w:p>
    <w:p w14:paraId="2AE0D4EF" w14:textId="751BFBB3" w:rsidR="001D5D89" w:rsidRPr="00FE38B5" w:rsidRDefault="001D5D89" w:rsidP="00B4106B">
      <w:pPr>
        <w:numPr>
          <w:ilvl w:val="1"/>
          <w:numId w:val="2"/>
        </w:numPr>
        <w:spacing w:line="276" w:lineRule="auto"/>
        <w:ind w:left="540" w:hanging="540"/>
        <w:jc w:val="both"/>
        <w:rPr>
          <w:rFonts w:cs="Times New Roman"/>
          <w:b/>
          <w:bCs/>
          <w:szCs w:val="24"/>
        </w:rPr>
      </w:pPr>
      <w:r w:rsidRPr="00FE38B5">
        <w:rPr>
          <w:rFonts w:cs="Times New Roman"/>
          <w:b/>
          <w:bCs/>
          <w:szCs w:val="24"/>
        </w:rPr>
        <w:t xml:space="preserve">Flexible </w:t>
      </w:r>
      <w:r w:rsidR="00810288" w:rsidRPr="00FE38B5">
        <w:rPr>
          <w:rFonts w:cs="Times New Roman"/>
          <w:b/>
          <w:bCs/>
          <w:szCs w:val="24"/>
        </w:rPr>
        <w:t xml:space="preserve">Parametric </w:t>
      </w:r>
      <w:r w:rsidRPr="00FE38B5">
        <w:rPr>
          <w:rFonts w:cs="Times New Roman"/>
          <w:b/>
          <w:bCs/>
          <w:szCs w:val="24"/>
        </w:rPr>
        <w:t>Marginal Distributions</w:t>
      </w:r>
    </w:p>
    <w:p w14:paraId="2DD955B7" w14:textId="305AF838" w:rsidR="000E1DF9" w:rsidRPr="00212DC9" w:rsidRDefault="00BF35BB" w:rsidP="00B4106B">
      <w:pPr>
        <w:spacing w:line="276" w:lineRule="auto"/>
        <w:jc w:val="both"/>
        <w:rPr>
          <w:rFonts w:cs="Times New Roman"/>
          <w:szCs w:val="24"/>
        </w:rPr>
      </w:pPr>
      <w:r w:rsidRPr="00212DC9">
        <w:rPr>
          <w:rFonts w:cs="Times New Roman"/>
          <w:szCs w:val="24"/>
        </w:rPr>
        <w:t>T</w:t>
      </w:r>
      <w:r w:rsidR="000D077F" w:rsidRPr="00212DC9">
        <w:rPr>
          <w:rFonts w:cs="Times New Roman"/>
          <w:szCs w:val="24"/>
        </w:rPr>
        <w:t>wo</w:t>
      </w:r>
      <w:r w:rsidRPr="00212DC9">
        <w:rPr>
          <w:rFonts w:cs="Times New Roman"/>
          <w:szCs w:val="24"/>
        </w:rPr>
        <w:t xml:space="preserve"> broad methods are available to </w:t>
      </w:r>
      <w:r w:rsidR="00DE31CF" w:rsidRPr="00212DC9">
        <w:rPr>
          <w:rFonts w:cs="Times New Roman"/>
          <w:szCs w:val="24"/>
        </w:rPr>
        <w:t xml:space="preserve">generate flexible parametric densities with skew and/or excess kurtosis (fat tails). The first is to use a </w:t>
      </w:r>
      <w:r w:rsidR="00656990" w:rsidRPr="00212DC9">
        <w:rPr>
          <w:rFonts w:cs="Times New Roman"/>
          <w:szCs w:val="24"/>
        </w:rPr>
        <w:t xml:space="preserve">parametric </w:t>
      </w:r>
      <w:r w:rsidR="00DE31CF" w:rsidRPr="00212DC9">
        <w:rPr>
          <w:rFonts w:cs="Times New Roman"/>
          <w:szCs w:val="24"/>
        </w:rPr>
        <w:t>skew distribution (such as a skew-normal or a skew-t distribution</w:t>
      </w:r>
      <w:r w:rsidR="00F96496" w:rsidRPr="00212DC9">
        <w:rPr>
          <w:rFonts w:cs="Times New Roman"/>
          <w:szCs w:val="24"/>
        </w:rPr>
        <w:t xml:space="preserve"> or the broader class of skew-elliptical distributions</w:t>
      </w:r>
      <w:r w:rsidR="0024479E">
        <w:rPr>
          <w:rFonts w:cs="Times New Roman"/>
          <w:szCs w:val="24"/>
        </w:rPr>
        <w:t xml:space="preserve"> or even mixtures of skew distributions</w:t>
      </w:r>
      <w:r w:rsidR="00DE31CF" w:rsidRPr="00212DC9">
        <w:rPr>
          <w:rFonts w:cs="Times New Roman"/>
          <w:szCs w:val="24"/>
        </w:rPr>
        <w:t>) and the second is to use a transformation method</w:t>
      </w:r>
      <w:r w:rsidR="00440473" w:rsidRPr="00212DC9">
        <w:rPr>
          <w:rFonts w:cs="Times New Roman"/>
          <w:szCs w:val="24"/>
        </w:rPr>
        <w:t xml:space="preserve">. </w:t>
      </w:r>
      <w:r w:rsidR="00595F4B">
        <w:rPr>
          <w:rFonts w:cs="Times New Roman"/>
          <w:szCs w:val="24"/>
        </w:rPr>
        <w:t>In its simplest form, t</w:t>
      </w:r>
      <w:r w:rsidR="00440473" w:rsidRPr="00212DC9">
        <w:rPr>
          <w:rFonts w:cs="Times New Roman"/>
          <w:szCs w:val="24"/>
        </w:rPr>
        <w:t xml:space="preserve">he </w:t>
      </w:r>
      <w:r w:rsidR="00F96496" w:rsidRPr="00212DC9">
        <w:rPr>
          <w:rFonts w:cs="Times New Roman"/>
          <w:szCs w:val="24"/>
        </w:rPr>
        <w:t xml:space="preserve">density in the former approach takes the form of the product of a symmetric density function and </w:t>
      </w:r>
      <w:r w:rsidR="002D2B62" w:rsidRPr="00212DC9">
        <w:rPr>
          <w:rFonts w:cs="Times New Roman"/>
          <w:szCs w:val="24"/>
        </w:rPr>
        <w:t xml:space="preserve">a skewing component that typically is </w:t>
      </w:r>
      <w:r w:rsidR="00F96496" w:rsidRPr="00212DC9">
        <w:rPr>
          <w:rFonts w:cs="Times New Roman"/>
          <w:szCs w:val="24"/>
        </w:rPr>
        <w:t xml:space="preserve">the cumulative distribution </w:t>
      </w:r>
      <w:r w:rsidR="002D2B62" w:rsidRPr="00212DC9">
        <w:rPr>
          <w:rFonts w:cs="Times New Roman"/>
          <w:szCs w:val="24"/>
        </w:rPr>
        <w:t xml:space="preserve">of the symmetric density (see Lee and McLachlan, 2022). The </w:t>
      </w:r>
      <w:r w:rsidR="00440473" w:rsidRPr="00212DC9">
        <w:rPr>
          <w:rFonts w:cs="Times New Roman"/>
          <w:szCs w:val="24"/>
        </w:rPr>
        <w:t xml:space="preserve">latter transformation method essentially </w:t>
      </w:r>
      <w:r w:rsidR="009B6AF0" w:rsidRPr="00212DC9">
        <w:rPr>
          <w:rFonts w:cs="Times New Roman"/>
          <w:szCs w:val="24"/>
        </w:rPr>
        <w:t>tra</w:t>
      </w:r>
      <w:r w:rsidR="001E5441" w:rsidRPr="00212DC9">
        <w:rPr>
          <w:rFonts w:cs="Times New Roman"/>
          <w:szCs w:val="24"/>
        </w:rPr>
        <w:t>nslates</w:t>
      </w:r>
      <w:r w:rsidR="009B6AF0" w:rsidRPr="00212DC9">
        <w:rPr>
          <w:rFonts w:cs="Times New Roman"/>
          <w:szCs w:val="24"/>
        </w:rPr>
        <w:t xml:space="preserve"> each marginal distribution to a corresponding normal distribution</w:t>
      </w:r>
      <w:r w:rsidR="001E5441" w:rsidRPr="00212DC9">
        <w:rPr>
          <w:rFonts w:cs="Times New Roman"/>
          <w:szCs w:val="24"/>
        </w:rPr>
        <w:t xml:space="preserve"> through</w:t>
      </w:r>
      <w:r w:rsidR="009B6AF0" w:rsidRPr="00212DC9">
        <w:rPr>
          <w:rFonts w:cs="Times New Roman"/>
          <w:szCs w:val="24"/>
        </w:rPr>
        <w:t xml:space="preserve"> a</w:t>
      </w:r>
      <w:r w:rsidR="009C7CE7" w:rsidRPr="00212DC9">
        <w:rPr>
          <w:rFonts w:cs="Times New Roman"/>
          <w:szCs w:val="24"/>
        </w:rPr>
        <w:t>n implicit</w:t>
      </w:r>
      <w:r w:rsidR="009B6AF0" w:rsidRPr="00212DC9">
        <w:rPr>
          <w:rFonts w:cs="Times New Roman"/>
          <w:szCs w:val="24"/>
        </w:rPr>
        <w:t xml:space="preserve"> </w:t>
      </w:r>
      <w:r w:rsidR="00245EB1" w:rsidRPr="00212DC9">
        <w:rPr>
          <w:rFonts w:cs="Times New Roman"/>
          <w:szCs w:val="24"/>
        </w:rPr>
        <w:t xml:space="preserve">multivariate </w:t>
      </w:r>
      <w:r w:rsidR="009B6AF0" w:rsidRPr="00212DC9">
        <w:rPr>
          <w:rFonts w:cs="Times New Roman"/>
          <w:szCs w:val="24"/>
        </w:rPr>
        <w:t xml:space="preserve">Gaussian </w:t>
      </w:r>
      <w:r w:rsidR="009C7CE7" w:rsidRPr="00212DC9">
        <w:rPr>
          <w:rFonts w:cs="Times New Roman"/>
          <w:szCs w:val="24"/>
        </w:rPr>
        <w:t>copula</w:t>
      </w:r>
      <w:r w:rsidR="00245EB1" w:rsidRPr="00212DC9">
        <w:rPr>
          <w:rFonts w:cs="Times New Roman"/>
          <w:szCs w:val="24"/>
        </w:rPr>
        <w:t xml:space="preserve"> across the marginals</w:t>
      </w:r>
      <w:r w:rsidR="009C7CE7" w:rsidRPr="00212DC9">
        <w:rPr>
          <w:rFonts w:cs="Times New Roman"/>
          <w:szCs w:val="24"/>
        </w:rPr>
        <w:t>.</w:t>
      </w:r>
      <w:r w:rsidR="00466AEE" w:rsidRPr="008B25E6">
        <w:rPr>
          <w:rFonts w:cs="Times New Roman"/>
          <w:szCs w:val="24"/>
          <w:vertAlign w:val="superscript"/>
        </w:rPr>
        <w:footnoteReference w:id="1"/>
      </w:r>
      <w:r w:rsidR="009C7CE7" w:rsidRPr="00212DC9">
        <w:rPr>
          <w:rFonts w:cs="Times New Roman"/>
          <w:szCs w:val="24"/>
        </w:rPr>
        <w:t xml:space="preserve"> </w:t>
      </w:r>
      <w:r w:rsidR="005D60F5" w:rsidRPr="00212DC9">
        <w:rPr>
          <w:rFonts w:cs="Times New Roman"/>
          <w:szCs w:val="24"/>
        </w:rPr>
        <w:t xml:space="preserve">Of the two, the transformation method affords more flexibility as it is not tied to a specific density function, </w:t>
      </w:r>
      <w:r w:rsidR="001E5441" w:rsidRPr="00212DC9">
        <w:rPr>
          <w:rFonts w:cs="Times New Roman"/>
          <w:szCs w:val="24"/>
        </w:rPr>
        <w:t>and</w:t>
      </w:r>
      <w:r w:rsidR="005D60F5" w:rsidRPr="00212DC9">
        <w:rPr>
          <w:rFonts w:cs="Times New Roman"/>
          <w:szCs w:val="24"/>
        </w:rPr>
        <w:t xml:space="preserve"> can </w:t>
      </w:r>
      <w:r w:rsidR="001E5441" w:rsidRPr="00212DC9">
        <w:rPr>
          <w:rFonts w:cs="Times New Roman"/>
          <w:szCs w:val="24"/>
        </w:rPr>
        <w:t xml:space="preserve">also </w:t>
      </w:r>
      <w:r w:rsidR="005D60F5" w:rsidRPr="00212DC9">
        <w:rPr>
          <w:rFonts w:cs="Times New Roman"/>
          <w:szCs w:val="24"/>
        </w:rPr>
        <w:t xml:space="preserve">mimic a whole host of skewed and fat-tailed density functions. </w:t>
      </w:r>
      <w:r w:rsidR="0024479E" w:rsidRPr="0065493C">
        <w:rPr>
          <w:rFonts w:eastAsia="CMR12" w:cs="Times New Roman"/>
          <w:szCs w:val="24"/>
        </w:rPr>
        <w:t xml:space="preserve">As an illustration, </w:t>
      </w:r>
      <w:proofErr w:type="spellStart"/>
      <w:r w:rsidR="0024479E" w:rsidRPr="0065493C">
        <w:rPr>
          <w:rFonts w:eastAsia="CMR12" w:cs="Times New Roman"/>
          <w:szCs w:val="24"/>
        </w:rPr>
        <w:t>Gallaugher</w:t>
      </w:r>
      <w:proofErr w:type="spellEnd"/>
      <w:r w:rsidR="0024479E" w:rsidRPr="0065493C">
        <w:rPr>
          <w:rFonts w:eastAsia="CMR12" w:cs="Times New Roman"/>
          <w:szCs w:val="24"/>
        </w:rPr>
        <w:t xml:space="preserve"> et al. (2020) have compared, using </w:t>
      </w:r>
      <w:proofErr w:type="spellStart"/>
      <w:r w:rsidR="0024479E" w:rsidRPr="0065493C">
        <w:rPr>
          <w:rFonts w:eastAsia="CMR12" w:cs="Times New Roman"/>
          <w:szCs w:val="24"/>
        </w:rPr>
        <w:t>Mardia’s</w:t>
      </w:r>
      <w:proofErr w:type="spellEnd"/>
      <w:r w:rsidR="0024479E" w:rsidRPr="0065493C">
        <w:rPr>
          <w:rFonts w:eastAsia="CMR12" w:cs="Times New Roman"/>
          <w:szCs w:val="24"/>
        </w:rPr>
        <w:t xml:space="preserve"> multivariate skewness and kurtosis metrics (</w:t>
      </w:r>
      <w:proofErr w:type="spellStart"/>
      <w:r w:rsidR="0024479E" w:rsidRPr="0065493C">
        <w:rPr>
          <w:rFonts w:eastAsia="CMR12" w:cs="Times New Roman"/>
          <w:szCs w:val="24"/>
        </w:rPr>
        <w:t>Mardia</w:t>
      </w:r>
      <w:proofErr w:type="spellEnd"/>
      <w:r w:rsidR="0024479E" w:rsidRPr="0065493C">
        <w:rPr>
          <w:rFonts w:eastAsia="CMR12" w:cs="Times New Roman"/>
          <w:szCs w:val="24"/>
        </w:rPr>
        <w:t xml:space="preserve">, 1970) and multiple datasets for cluster analysis, the performance of </w:t>
      </w:r>
      <w:r w:rsidR="0024479E">
        <w:rPr>
          <w:rFonts w:eastAsia="CMR12" w:cs="Times New Roman"/>
          <w:szCs w:val="24"/>
        </w:rPr>
        <w:t xml:space="preserve">two types of mixtures of </w:t>
      </w:r>
      <w:r w:rsidR="0024479E" w:rsidRPr="0065493C">
        <w:rPr>
          <w:rFonts w:eastAsia="CMR12" w:cs="Times New Roman"/>
          <w:szCs w:val="24"/>
        </w:rPr>
        <w:t>skewed distributions</w:t>
      </w:r>
      <w:r w:rsidR="0024479E">
        <w:rPr>
          <w:rFonts w:eastAsia="CMR12" w:cs="Times New Roman"/>
          <w:szCs w:val="24"/>
        </w:rPr>
        <w:t xml:space="preserve"> </w:t>
      </w:r>
      <w:r w:rsidR="0024479E" w:rsidRPr="0065493C">
        <w:rPr>
          <w:rFonts w:eastAsia="CMR12" w:cs="Times New Roman"/>
          <w:szCs w:val="24"/>
        </w:rPr>
        <w:t xml:space="preserve">with two transformation approaches (see more on this below). </w:t>
      </w:r>
      <w:r w:rsidR="0024479E">
        <w:rPr>
          <w:rFonts w:eastAsia="CMR12" w:cs="Times New Roman"/>
          <w:szCs w:val="24"/>
        </w:rPr>
        <w:t xml:space="preserve">While they undertake their analysis at a multivariate level, their results apply to the univariate marginals that essentially get tied into a multivariate distribution. </w:t>
      </w:r>
      <w:r w:rsidR="0024479E" w:rsidRPr="0065493C">
        <w:rPr>
          <w:rFonts w:eastAsia="CMR12" w:cs="Times New Roman"/>
          <w:szCs w:val="24"/>
        </w:rPr>
        <w:t>They conclude that “From the analyses on a variety of datasets</w:t>
      </w:r>
      <w:r w:rsidR="0024479E">
        <w:rPr>
          <w:rFonts w:eastAsia="CMR12" w:cs="Times New Roman"/>
          <w:szCs w:val="24"/>
        </w:rPr>
        <w:t>…</w:t>
      </w:r>
      <w:r w:rsidR="0024479E" w:rsidRPr="0065493C">
        <w:rPr>
          <w:rFonts w:eastAsia="CMR12" w:cs="Times New Roman"/>
          <w:szCs w:val="24"/>
        </w:rPr>
        <w:t xml:space="preserve">, it appears that no one method consistently outperforms the others and usually the performance is very similar if not identical”.  </w:t>
      </w:r>
      <w:r w:rsidR="0024479E">
        <w:rPr>
          <w:rFonts w:eastAsia="CMR12" w:cs="Times New Roman"/>
          <w:szCs w:val="24"/>
        </w:rPr>
        <w:t xml:space="preserve">Further, as they state, the advantage of the transformation method is that it is much more parsimonious than </w:t>
      </w:r>
      <w:r w:rsidR="00081F12">
        <w:rPr>
          <w:rFonts w:eastAsia="CMR12" w:cs="Times New Roman"/>
          <w:szCs w:val="24"/>
        </w:rPr>
        <w:t xml:space="preserve">the skewed approach, because the simple transformation approaches they use </w:t>
      </w:r>
      <w:r w:rsidR="00595F4B">
        <w:rPr>
          <w:rFonts w:eastAsia="CMR12" w:cs="Times New Roman"/>
          <w:szCs w:val="24"/>
        </w:rPr>
        <w:t xml:space="preserve">perform </w:t>
      </w:r>
      <w:r w:rsidR="00081F12">
        <w:rPr>
          <w:rFonts w:eastAsia="CMR12" w:cs="Times New Roman"/>
          <w:szCs w:val="24"/>
        </w:rPr>
        <w:t xml:space="preserve">at least as well as complicated mixtures of skew distributions. </w:t>
      </w:r>
      <w:r w:rsidR="001E5441" w:rsidRPr="00212DC9">
        <w:rPr>
          <w:rFonts w:cs="Times New Roman"/>
          <w:szCs w:val="24"/>
        </w:rPr>
        <w:t>Th</w:t>
      </w:r>
      <w:r w:rsidR="00081F12">
        <w:rPr>
          <w:rFonts w:cs="Times New Roman"/>
          <w:szCs w:val="24"/>
        </w:rPr>
        <w:t xml:space="preserve">e potency of </w:t>
      </w:r>
      <w:r w:rsidR="00F03F01">
        <w:rPr>
          <w:rFonts w:cs="Times New Roman"/>
          <w:szCs w:val="24"/>
        </w:rPr>
        <w:t xml:space="preserve">the </w:t>
      </w:r>
      <w:r w:rsidR="00081F12">
        <w:rPr>
          <w:rFonts w:cs="Times New Roman"/>
          <w:szCs w:val="24"/>
        </w:rPr>
        <w:t xml:space="preserve">transformation method relative to </w:t>
      </w:r>
      <w:r w:rsidR="00F03F01">
        <w:rPr>
          <w:rFonts w:cs="Times New Roman"/>
          <w:szCs w:val="24"/>
        </w:rPr>
        <w:t xml:space="preserve">the use of the more profligate </w:t>
      </w:r>
      <w:r w:rsidR="00081F12">
        <w:rPr>
          <w:rFonts w:cs="Times New Roman"/>
          <w:szCs w:val="24"/>
        </w:rPr>
        <w:t>density m</w:t>
      </w:r>
      <w:r w:rsidR="001E5441" w:rsidRPr="00212DC9">
        <w:rPr>
          <w:rFonts w:cs="Times New Roman"/>
          <w:szCs w:val="24"/>
        </w:rPr>
        <w:t>i</w:t>
      </w:r>
      <w:r w:rsidR="00081F12">
        <w:rPr>
          <w:rFonts w:cs="Times New Roman"/>
          <w:szCs w:val="24"/>
        </w:rPr>
        <w:t xml:space="preserve">xture </w:t>
      </w:r>
      <w:r w:rsidR="00F03F01">
        <w:rPr>
          <w:rFonts w:cs="Times New Roman"/>
          <w:szCs w:val="24"/>
        </w:rPr>
        <w:t>approach</w:t>
      </w:r>
      <w:r w:rsidR="00081F12">
        <w:rPr>
          <w:rFonts w:cs="Times New Roman"/>
          <w:szCs w:val="24"/>
        </w:rPr>
        <w:t xml:space="preserve"> is</w:t>
      </w:r>
      <w:r w:rsidR="001E5441" w:rsidRPr="00212DC9">
        <w:rPr>
          <w:rFonts w:cs="Times New Roman"/>
          <w:szCs w:val="24"/>
        </w:rPr>
        <w:t xml:space="preserve"> also evident in the extensive use of </w:t>
      </w:r>
      <w:r w:rsidR="005D60F5" w:rsidRPr="00212DC9">
        <w:rPr>
          <w:rFonts w:cs="Times New Roman"/>
          <w:szCs w:val="24"/>
        </w:rPr>
        <w:t>transformatio</w:t>
      </w:r>
      <w:r w:rsidR="00F03F01">
        <w:rPr>
          <w:rFonts w:cs="Times New Roman"/>
          <w:szCs w:val="24"/>
        </w:rPr>
        <w:t xml:space="preserve">n </w:t>
      </w:r>
      <w:r w:rsidR="005D60F5" w:rsidRPr="00212DC9">
        <w:rPr>
          <w:rFonts w:cs="Times New Roman"/>
          <w:szCs w:val="24"/>
        </w:rPr>
        <w:t>method in the field of data science and analytics</w:t>
      </w:r>
      <w:r w:rsidR="00081F12">
        <w:rPr>
          <w:rFonts w:cs="Times New Roman"/>
          <w:szCs w:val="24"/>
        </w:rPr>
        <w:t xml:space="preserve"> </w:t>
      </w:r>
      <w:r w:rsidR="005D60F5" w:rsidRPr="00212DC9">
        <w:rPr>
          <w:rFonts w:cs="Times New Roman"/>
          <w:szCs w:val="24"/>
        </w:rPr>
        <w:t xml:space="preserve">as a preprocessing </w:t>
      </w:r>
      <w:r w:rsidR="003C2CA8" w:rsidRPr="00212DC9">
        <w:rPr>
          <w:rFonts w:cs="Times New Roman"/>
          <w:szCs w:val="24"/>
        </w:rPr>
        <w:t xml:space="preserve">step in classification/regression type models </w:t>
      </w:r>
      <w:r w:rsidR="005D60F5" w:rsidRPr="00212DC9">
        <w:rPr>
          <w:rFonts w:cs="Times New Roman"/>
          <w:szCs w:val="24"/>
        </w:rPr>
        <w:t xml:space="preserve">to turn general distributions </w:t>
      </w:r>
      <w:r w:rsidR="003C2CA8" w:rsidRPr="00212DC9">
        <w:rPr>
          <w:rFonts w:cs="Times New Roman"/>
          <w:szCs w:val="24"/>
        </w:rPr>
        <w:t xml:space="preserve">underlying the outcome variable </w:t>
      </w:r>
      <w:r w:rsidR="005D60F5" w:rsidRPr="00212DC9">
        <w:rPr>
          <w:rFonts w:cs="Times New Roman"/>
          <w:szCs w:val="24"/>
        </w:rPr>
        <w:t xml:space="preserve">into a near-normal distribution (see, for example, Jadhav et al., </w:t>
      </w:r>
      <w:r w:rsidR="00572DC1" w:rsidRPr="00212DC9">
        <w:rPr>
          <w:rFonts w:cs="Times New Roman"/>
          <w:szCs w:val="24"/>
        </w:rPr>
        <w:t>2023</w:t>
      </w:r>
      <w:r w:rsidR="003C2CA8" w:rsidRPr="00212DC9">
        <w:rPr>
          <w:rFonts w:cs="Times New Roman"/>
          <w:szCs w:val="24"/>
        </w:rPr>
        <w:t xml:space="preserve"> and Peterson, 2020</w:t>
      </w:r>
      <w:r w:rsidR="005D60F5" w:rsidRPr="00212DC9">
        <w:rPr>
          <w:rFonts w:cs="Times New Roman"/>
          <w:szCs w:val="24"/>
        </w:rPr>
        <w:t xml:space="preserve">). </w:t>
      </w:r>
      <w:r w:rsidR="00CA7111" w:rsidRPr="00212DC9">
        <w:rPr>
          <w:rFonts w:cs="Times New Roman"/>
          <w:szCs w:val="24"/>
        </w:rPr>
        <w:t>Doing so not only improves the specification, but also benefits the power</w:t>
      </w:r>
      <w:r w:rsidR="008665A2" w:rsidRPr="00212DC9">
        <w:rPr>
          <w:rFonts w:cs="Times New Roman"/>
          <w:szCs w:val="24"/>
        </w:rPr>
        <w:t xml:space="preserve"> </w:t>
      </w:r>
      <w:r w:rsidR="00CA7111" w:rsidRPr="00212DC9">
        <w:rPr>
          <w:rFonts w:cs="Times New Roman"/>
          <w:szCs w:val="24"/>
        </w:rPr>
        <w:t>of statistical tests used in data analysis</w:t>
      </w:r>
      <w:r w:rsidR="003C2CA8" w:rsidRPr="00212DC9">
        <w:rPr>
          <w:rFonts w:cs="Times New Roman"/>
          <w:szCs w:val="24"/>
        </w:rPr>
        <w:t xml:space="preserve">, decreasing the risk of committing Type 1 or Type </w:t>
      </w:r>
      <w:r w:rsidR="003C2CA8" w:rsidRPr="00212DC9">
        <w:rPr>
          <w:rFonts w:cs="Times New Roman"/>
          <w:szCs w:val="24"/>
        </w:rPr>
        <w:lastRenderedPageBreak/>
        <w:t>II errors</w:t>
      </w:r>
      <w:r w:rsidR="00CA7111" w:rsidRPr="00212DC9">
        <w:rPr>
          <w:rFonts w:cs="Times New Roman"/>
          <w:szCs w:val="24"/>
        </w:rPr>
        <w:t xml:space="preserve"> (</w:t>
      </w:r>
      <w:r w:rsidR="003C2CA8" w:rsidRPr="00212DC9">
        <w:rPr>
          <w:rFonts w:cs="Times New Roman"/>
          <w:szCs w:val="24"/>
        </w:rPr>
        <w:t xml:space="preserve">Zimmerman, 1998 and </w:t>
      </w:r>
      <w:r w:rsidR="00CA7111" w:rsidRPr="00212DC9">
        <w:rPr>
          <w:rFonts w:cs="Times New Roman"/>
          <w:szCs w:val="24"/>
        </w:rPr>
        <w:t>Osborne, 2010</w:t>
      </w:r>
      <w:r w:rsidR="003C2CA8" w:rsidRPr="00212DC9">
        <w:rPr>
          <w:rFonts w:cs="Times New Roman"/>
          <w:szCs w:val="24"/>
        </w:rPr>
        <w:t xml:space="preserve">). </w:t>
      </w:r>
      <w:r w:rsidR="00081F12">
        <w:rPr>
          <w:rFonts w:cs="Times New Roman"/>
          <w:szCs w:val="24"/>
        </w:rPr>
        <w:t xml:space="preserve">Thus, in this paper, we will focus </w:t>
      </w:r>
      <w:r w:rsidR="00F03F01">
        <w:rPr>
          <w:rFonts w:cs="Times New Roman"/>
          <w:szCs w:val="24"/>
        </w:rPr>
        <w:t xml:space="preserve">exclusively </w:t>
      </w:r>
      <w:r w:rsidR="00081F12">
        <w:rPr>
          <w:rFonts w:cs="Times New Roman"/>
          <w:szCs w:val="24"/>
        </w:rPr>
        <w:t>on the transformation method for generating flexible univariate marginal distributions.</w:t>
      </w:r>
    </w:p>
    <w:p w14:paraId="1E337EE2" w14:textId="37C2BC1C" w:rsidR="00896D2D" w:rsidRPr="00212DC9" w:rsidRDefault="003C2CA8" w:rsidP="00B4106B">
      <w:pPr>
        <w:spacing w:line="276" w:lineRule="auto"/>
        <w:ind w:firstLine="720"/>
        <w:jc w:val="both"/>
        <w:rPr>
          <w:rFonts w:cs="Times New Roman"/>
          <w:szCs w:val="24"/>
        </w:rPr>
      </w:pPr>
      <w:r w:rsidRPr="00212DC9">
        <w:rPr>
          <w:rFonts w:cs="Times New Roman"/>
          <w:szCs w:val="24"/>
        </w:rPr>
        <w:t xml:space="preserve">Of course, </w:t>
      </w:r>
      <w:r w:rsidR="003F63C9" w:rsidRPr="00212DC9">
        <w:rPr>
          <w:rFonts w:cs="Times New Roman"/>
          <w:szCs w:val="24"/>
        </w:rPr>
        <w:t xml:space="preserve">within the class of transformation methods, </w:t>
      </w:r>
      <w:r w:rsidRPr="00212DC9">
        <w:rPr>
          <w:rFonts w:cs="Times New Roman"/>
          <w:szCs w:val="24"/>
        </w:rPr>
        <w:t xml:space="preserve">there are a whole suite of possible transformations </w:t>
      </w:r>
      <w:r w:rsidR="008665A2" w:rsidRPr="00212DC9">
        <w:rPr>
          <w:rFonts w:cs="Times New Roman"/>
          <w:szCs w:val="24"/>
        </w:rPr>
        <w:t xml:space="preserve">to address skewness and fat tails, including square root transformation, inverse transformation, logarithmic transformation, arcsine transformation, Box-Cox (BC) transformation, and the Yeo-Johnson (YJ) transformation (see Box and Cox, 1964, Yeo and Johnson, 2000, Peterson, 2020, </w:t>
      </w:r>
      <w:proofErr w:type="spellStart"/>
      <w:r w:rsidR="008665A2" w:rsidRPr="00212DC9">
        <w:rPr>
          <w:rFonts w:cs="Times New Roman"/>
          <w:szCs w:val="24"/>
        </w:rPr>
        <w:t>Melnykov</w:t>
      </w:r>
      <w:proofErr w:type="spellEnd"/>
      <w:r w:rsidR="008665A2" w:rsidRPr="00212DC9">
        <w:rPr>
          <w:rFonts w:cs="Times New Roman"/>
          <w:szCs w:val="24"/>
        </w:rPr>
        <w:t xml:space="preserve"> et al., 2021). Of these, the BC and YJ transformations have been shown</w:t>
      </w:r>
      <w:r w:rsidR="00CB0DFE" w:rsidRPr="00212DC9">
        <w:rPr>
          <w:rFonts w:cs="Times New Roman"/>
          <w:szCs w:val="24"/>
        </w:rPr>
        <w:t xml:space="preserve">, in analysis with both simulation and real empirical data, </w:t>
      </w:r>
      <w:r w:rsidR="008665A2" w:rsidRPr="00212DC9">
        <w:rPr>
          <w:rFonts w:cs="Times New Roman"/>
          <w:szCs w:val="24"/>
        </w:rPr>
        <w:t xml:space="preserve">to be </w:t>
      </w:r>
      <w:r w:rsidR="009C4621" w:rsidRPr="00212DC9">
        <w:rPr>
          <w:rFonts w:cs="Times New Roman"/>
          <w:szCs w:val="24"/>
        </w:rPr>
        <w:t>the best transformations in a wide variety of situations (see Osborne, 2010</w:t>
      </w:r>
      <w:r w:rsidR="00CB0DFE" w:rsidRPr="00212DC9">
        <w:rPr>
          <w:rFonts w:cs="Times New Roman"/>
          <w:szCs w:val="24"/>
        </w:rPr>
        <w:t xml:space="preserve">, Jadhav et al., </w:t>
      </w:r>
      <w:r w:rsidR="00572DC1" w:rsidRPr="00212DC9">
        <w:rPr>
          <w:rFonts w:cs="Times New Roman"/>
          <w:szCs w:val="24"/>
        </w:rPr>
        <w:t>2023</w:t>
      </w:r>
      <w:r w:rsidR="00CB0DFE" w:rsidRPr="00212DC9">
        <w:rPr>
          <w:rFonts w:cs="Times New Roman"/>
          <w:szCs w:val="24"/>
        </w:rPr>
        <w:t>,</w:t>
      </w:r>
      <w:r w:rsidR="00F72D6A" w:rsidRPr="00212DC9">
        <w:rPr>
          <w:rFonts w:cs="Times New Roman"/>
          <w:szCs w:val="24"/>
        </w:rPr>
        <w:t xml:space="preserve"> </w:t>
      </w:r>
      <w:proofErr w:type="spellStart"/>
      <w:r w:rsidR="00F72D6A" w:rsidRPr="00212DC9">
        <w:rPr>
          <w:rFonts w:cs="Times New Roman"/>
          <w:szCs w:val="24"/>
        </w:rPr>
        <w:t>Watthanacheewakul</w:t>
      </w:r>
      <w:proofErr w:type="spellEnd"/>
      <w:r w:rsidR="00F72D6A" w:rsidRPr="00212DC9">
        <w:rPr>
          <w:rFonts w:cs="Times New Roman"/>
          <w:szCs w:val="24"/>
        </w:rPr>
        <w:t xml:space="preserve">, 2021, </w:t>
      </w:r>
      <w:r w:rsidR="009C4621" w:rsidRPr="00212DC9">
        <w:rPr>
          <w:rFonts w:cs="Times New Roman"/>
          <w:szCs w:val="24"/>
        </w:rPr>
        <w:t xml:space="preserve">and </w:t>
      </w:r>
      <w:proofErr w:type="spellStart"/>
      <w:r w:rsidR="009C4621" w:rsidRPr="00212DC9">
        <w:rPr>
          <w:rFonts w:cs="Times New Roman"/>
          <w:szCs w:val="24"/>
        </w:rPr>
        <w:t>Marimuthu</w:t>
      </w:r>
      <w:proofErr w:type="spellEnd"/>
      <w:r w:rsidR="009C4621" w:rsidRPr="00212DC9">
        <w:rPr>
          <w:rFonts w:cs="Times New Roman"/>
          <w:szCs w:val="24"/>
        </w:rPr>
        <w:t xml:space="preserve"> et al., 2022). In fact, most other transformations are special cases of the BC transformation</w:t>
      </w:r>
      <w:r w:rsidR="00CB0DFE" w:rsidRPr="00212DC9">
        <w:rPr>
          <w:rFonts w:cs="Times New Roman"/>
          <w:szCs w:val="24"/>
        </w:rPr>
        <w:t xml:space="preserve"> for data on the positive half of the real line</w:t>
      </w:r>
      <w:r w:rsidR="009C4621" w:rsidRPr="00212DC9">
        <w:rPr>
          <w:rFonts w:cs="Times New Roman"/>
          <w:szCs w:val="24"/>
        </w:rPr>
        <w:t xml:space="preserve">, depending on the value of the power </w:t>
      </w:r>
      <w:r w:rsidR="00CB0DFE" w:rsidRPr="00212DC9">
        <w:rPr>
          <w:rFonts w:cs="Times New Roman"/>
          <w:szCs w:val="24"/>
        </w:rPr>
        <w:t>parameter (for example, the square root transf</w:t>
      </w:r>
      <w:r w:rsidR="005E3A9D" w:rsidRPr="00212DC9">
        <w:rPr>
          <w:rFonts w:cs="Times New Roman"/>
          <w:szCs w:val="24"/>
        </w:rPr>
        <w:t>o</w:t>
      </w:r>
      <w:r w:rsidR="00CB0DFE" w:rsidRPr="00212DC9">
        <w:rPr>
          <w:rFonts w:cs="Times New Roman"/>
          <w:szCs w:val="24"/>
        </w:rPr>
        <w:t xml:space="preserve">rmation is the BC transformation with a power parameter of 0.5; the corresponding power parameters for the inverse and natural logarithm transformation are -1 and 0). </w:t>
      </w:r>
      <w:r w:rsidR="009C4621" w:rsidRPr="00212DC9">
        <w:rPr>
          <w:rFonts w:cs="Times New Roman"/>
          <w:szCs w:val="24"/>
        </w:rPr>
        <w:t>Further, the YJ transformation is a simple extension of the restrictive BC transformation (which is applicable only to the positive half of the real line) to the entire real line</w:t>
      </w:r>
      <w:r w:rsidR="001E5441" w:rsidRPr="00212DC9">
        <w:rPr>
          <w:rFonts w:cs="Times New Roman"/>
          <w:szCs w:val="24"/>
        </w:rPr>
        <w:t xml:space="preserve">, which makes it more appropriate for observable dependent outcomes that may take negative values too and to limited-dependent </w:t>
      </w:r>
      <w:r w:rsidR="00A45BDA" w:rsidRPr="00212DC9">
        <w:rPr>
          <w:rFonts w:cs="Times New Roman"/>
          <w:szCs w:val="24"/>
        </w:rPr>
        <w:t>outcome</w:t>
      </w:r>
      <w:r w:rsidR="001E5441" w:rsidRPr="00212DC9">
        <w:rPr>
          <w:rFonts w:cs="Times New Roman"/>
          <w:szCs w:val="24"/>
        </w:rPr>
        <w:t xml:space="preserve"> models </w:t>
      </w:r>
      <w:r w:rsidR="00A45BDA" w:rsidRPr="00212DC9">
        <w:rPr>
          <w:rFonts w:cs="Times New Roman"/>
          <w:szCs w:val="24"/>
        </w:rPr>
        <w:t xml:space="preserve">where </w:t>
      </w:r>
      <w:r w:rsidR="001E5441" w:rsidRPr="00212DC9">
        <w:rPr>
          <w:rFonts w:cs="Times New Roman"/>
          <w:szCs w:val="24"/>
        </w:rPr>
        <w:t xml:space="preserve">the </w:t>
      </w:r>
      <w:r w:rsidR="00A45BDA" w:rsidRPr="00212DC9">
        <w:rPr>
          <w:rFonts w:cs="Times New Roman"/>
          <w:szCs w:val="24"/>
        </w:rPr>
        <w:t xml:space="preserve">underlying </w:t>
      </w:r>
      <w:r w:rsidR="001E5441" w:rsidRPr="00212DC9">
        <w:rPr>
          <w:rFonts w:cs="Times New Roman"/>
          <w:szCs w:val="24"/>
        </w:rPr>
        <w:t>latent variable</w:t>
      </w:r>
      <w:r w:rsidR="00A45BDA" w:rsidRPr="00212DC9">
        <w:rPr>
          <w:rFonts w:cs="Times New Roman"/>
          <w:szCs w:val="24"/>
        </w:rPr>
        <w:t>s span the entire real line. Thus, in the current paper, which involves the estimation of a multivariate limited-dependent outcome model (specifically, a</w:t>
      </w:r>
      <w:r w:rsidR="00656990" w:rsidRPr="00212DC9">
        <w:rPr>
          <w:rFonts w:cs="Times New Roman"/>
          <w:szCs w:val="24"/>
        </w:rPr>
        <w:t>n ordered-response</w:t>
      </w:r>
      <w:r w:rsidR="00A45BDA" w:rsidRPr="00212DC9">
        <w:rPr>
          <w:rFonts w:cs="Times New Roman"/>
          <w:szCs w:val="24"/>
        </w:rPr>
        <w:t xml:space="preserve"> model with a</w:t>
      </w:r>
      <w:r w:rsidR="00656990" w:rsidRPr="00212DC9">
        <w:rPr>
          <w:rFonts w:cs="Times New Roman"/>
          <w:szCs w:val="24"/>
        </w:rPr>
        <w:t xml:space="preserve"> binary</w:t>
      </w:r>
      <w:r w:rsidR="00A45BDA" w:rsidRPr="00212DC9">
        <w:rPr>
          <w:rFonts w:cs="Times New Roman"/>
          <w:szCs w:val="24"/>
        </w:rPr>
        <w:t xml:space="preserve"> endogenous explanatory variable</w:t>
      </w:r>
      <w:r w:rsidR="000E7432" w:rsidRPr="00212DC9">
        <w:rPr>
          <w:rFonts w:cs="Times New Roman"/>
          <w:szCs w:val="24"/>
        </w:rPr>
        <w:t xml:space="preserve"> or EEV</w:t>
      </w:r>
      <w:r w:rsidR="00A45BDA" w:rsidRPr="00212DC9">
        <w:rPr>
          <w:rFonts w:cs="Times New Roman"/>
          <w:szCs w:val="24"/>
        </w:rPr>
        <w:t>), we consider YJ transformation</w:t>
      </w:r>
      <w:r w:rsidR="000E7432" w:rsidRPr="00212DC9">
        <w:rPr>
          <w:rFonts w:cs="Times New Roman"/>
          <w:szCs w:val="24"/>
        </w:rPr>
        <w:t>s</w:t>
      </w:r>
      <w:r w:rsidR="00A45BDA" w:rsidRPr="00212DC9">
        <w:rPr>
          <w:rFonts w:cs="Times New Roman"/>
          <w:szCs w:val="24"/>
        </w:rPr>
        <w:t xml:space="preserve"> for the latent variable</w:t>
      </w:r>
      <w:r w:rsidR="000E7432" w:rsidRPr="00212DC9">
        <w:rPr>
          <w:rFonts w:cs="Times New Roman"/>
          <w:szCs w:val="24"/>
        </w:rPr>
        <w:t>s</w:t>
      </w:r>
      <w:r w:rsidR="00A45BDA" w:rsidRPr="00212DC9">
        <w:rPr>
          <w:rFonts w:cs="Times New Roman"/>
          <w:szCs w:val="24"/>
        </w:rPr>
        <w:t xml:space="preserve"> underlying </w:t>
      </w:r>
      <w:r w:rsidR="000E7432" w:rsidRPr="00212DC9">
        <w:rPr>
          <w:rFonts w:cs="Times New Roman"/>
          <w:szCs w:val="24"/>
        </w:rPr>
        <w:t xml:space="preserve">the ordered </w:t>
      </w:r>
      <w:r w:rsidR="00A45BDA" w:rsidRPr="00212DC9">
        <w:rPr>
          <w:rFonts w:cs="Times New Roman"/>
          <w:szCs w:val="24"/>
        </w:rPr>
        <w:t>outcome</w:t>
      </w:r>
      <w:r w:rsidR="000E7432" w:rsidRPr="00212DC9">
        <w:rPr>
          <w:rFonts w:cs="Times New Roman"/>
          <w:szCs w:val="24"/>
        </w:rPr>
        <w:t xml:space="preserve"> as well as for the binary EEV. </w:t>
      </w:r>
    </w:p>
    <w:p w14:paraId="1DD1178F" w14:textId="0CD4B82D" w:rsidR="00A45BDA" w:rsidRPr="00212DC9" w:rsidRDefault="00A45BDA" w:rsidP="00B4106B">
      <w:pPr>
        <w:spacing w:line="276" w:lineRule="auto"/>
        <w:ind w:firstLine="720"/>
        <w:jc w:val="both"/>
        <w:rPr>
          <w:rFonts w:cs="Times New Roman"/>
          <w:szCs w:val="24"/>
        </w:rPr>
      </w:pPr>
      <w:r w:rsidRPr="00212DC9">
        <w:rPr>
          <w:rFonts w:cs="Times New Roman"/>
          <w:szCs w:val="24"/>
        </w:rPr>
        <w:t xml:space="preserve">The YJ transformation for each univariate outcome </w:t>
      </w:r>
      <w:r w:rsidR="0032577B" w:rsidRPr="00212DC9">
        <w:rPr>
          <w:rFonts w:cs="Times New Roman"/>
          <w:szCs w:val="24"/>
        </w:rPr>
        <w:t>is then coupled together using an implicit Gaussian copula to provide for a simple and flexible multivariate distribution for the latent variables underlying the multivariate dependent outcomes.</w:t>
      </w:r>
      <w:r w:rsidR="00B0311B" w:rsidRPr="00212DC9">
        <w:rPr>
          <w:rFonts w:cs="Times New Roman"/>
          <w:szCs w:val="24"/>
        </w:rPr>
        <w:t xml:space="preserve"> Smith et al. (2020) show that using such an approach</w:t>
      </w:r>
      <w:r w:rsidR="00896D2D" w:rsidRPr="00212DC9">
        <w:rPr>
          <w:rFonts w:cs="Times New Roman"/>
          <w:szCs w:val="24"/>
        </w:rPr>
        <w:t xml:space="preserve">, which </w:t>
      </w:r>
      <w:r w:rsidR="00B0311B" w:rsidRPr="00212DC9">
        <w:rPr>
          <w:rFonts w:cs="Times New Roman"/>
          <w:szCs w:val="24"/>
        </w:rPr>
        <w:t>entails an implicit copula using element-wise transformations</w:t>
      </w:r>
      <w:r w:rsidR="00896D2D" w:rsidRPr="00212DC9">
        <w:rPr>
          <w:rFonts w:cs="Times New Roman"/>
          <w:szCs w:val="24"/>
        </w:rPr>
        <w:t>,</w:t>
      </w:r>
      <w:r w:rsidR="00B0311B" w:rsidRPr="00212DC9">
        <w:rPr>
          <w:rFonts w:cs="Times New Roman"/>
          <w:szCs w:val="24"/>
        </w:rPr>
        <w:t xml:space="preserve"> considerably simplifies estimation and show</w:t>
      </w:r>
      <w:r w:rsidR="00896D2D" w:rsidRPr="00212DC9">
        <w:rPr>
          <w:rFonts w:cs="Times New Roman"/>
          <w:szCs w:val="24"/>
        </w:rPr>
        <w:t>s</w:t>
      </w:r>
      <w:r w:rsidR="00B0311B" w:rsidRPr="00212DC9">
        <w:rPr>
          <w:rFonts w:cs="Times New Roman"/>
          <w:szCs w:val="24"/>
        </w:rPr>
        <w:t xml:space="preserve"> </w:t>
      </w:r>
      <w:r w:rsidR="00896D2D" w:rsidRPr="00212DC9">
        <w:rPr>
          <w:rFonts w:cs="Times New Roman"/>
          <w:szCs w:val="24"/>
        </w:rPr>
        <w:t xml:space="preserve">more accurate </w:t>
      </w:r>
      <w:r w:rsidR="00B0311B" w:rsidRPr="00212DC9">
        <w:rPr>
          <w:rFonts w:cs="Times New Roman"/>
          <w:szCs w:val="24"/>
        </w:rPr>
        <w:t xml:space="preserve">results </w:t>
      </w:r>
      <w:r w:rsidR="00896D2D" w:rsidRPr="00212DC9">
        <w:rPr>
          <w:rFonts w:cs="Times New Roman"/>
          <w:szCs w:val="24"/>
        </w:rPr>
        <w:t xml:space="preserve">than multivariate skew distributions, once again reinforcing the efficacy of the YJ transformation coupled with an implicit Gaussian copula. </w:t>
      </w:r>
    </w:p>
    <w:p w14:paraId="57AA5AFB" w14:textId="77777777" w:rsidR="000A544B" w:rsidRPr="0065493C" w:rsidRDefault="000A544B" w:rsidP="00B4106B">
      <w:pPr>
        <w:spacing w:line="276" w:lineRule="auto"/>
        <w:ind w:firstLine="720"/>
        <w:jc w:val="both"/>
        <w:rPr>
          <w:rFonts w:cs="Times New Roman"/>
          <w:szCs w:val="24"/>
        </w:rPr>
      </w:pPr>
    </w:p>
    <w:p w14:paraId="08C0B856" w14:textId="28FB77B1" w:rsidR="0032577B" w:rsidRPr="00FE38B5" w:rsidRDefault="0032577B" w:rsidP="00B4106B">
      <w:pPr>
        <w:numPr>
          <w:ilvl w:val="1"/>
          <w:numId w:val="2"/>
        </w:numPr>
        <w:spacing w:line="276" w:lineRule="auto"/>
        <w:ind w:left="540" w:hanging="540"/>
        <w:jc w:val="both"/>
        <w:rPr>
          <w:b/>
          <w:bCs/>
        </w:rPr>
      </w:pPr>
      <w:r w:rsidRPr="00FE38B5">
        <w:rPr>
          <w:b/>
          <w:bCs/>
        </w:rPr>
        <w:t>The Current Study in Context</w:t>
      </w:r>
    </w:p>
    <w:p w14:paraId="57D0930E" w14:textId="3DF3D974" w:rsidR="00A05ABF" w:rsidRPr="0065493C" w:rsidRDefault="0032577B" w:rsidP="00B4106B">
      <w:pPr>
        <w:spacing w:line="276" w:lineRule="auto"/>
        <w:jc w:val="both"/>
        <w:rPr>
          <w:rFonts w:cs="Times New Roman"/>
          <w:szCs w:val="24"/>
        </w:rPr>
      </w:pPr>
      <w:r w:rsidRPr="0065493C">
        <w:rPr>
          <w:rFonts w:cs="Times New Roman"/>
          <w:szCs w:val="24"/>
        </w:rPr>
        <w:t xml:space="preserve">The </w:t>
      </w:r>
      <w:r w:rsidR="000136A7" w:rsidRPr="0065493C">
        <w:rPr>
          <w:rFonts w:cs="Times New Roman"/>
          <w:szCs w:val="24"/>
        </w:rPr>
        <w:t xml:space="preserve">use of the YJ transformation has only recently been introduced </w:t>
      </w:r>
      <w:r w:rsidR="00896D2D" w:rsidRPr="0065493C">
        <w:rPr>
          <w:rFonts w:cs="Times New Roman"/>
          <w:szCs w:val="24"/>
        </w:rPr>
        <w:t>by Bhat and Mo</w:t>
      </w:r>
      <w:r w:rsidR="0086560D" w:rsidRPr="0065493C">
        <w:rPr>
          <w:rFonts w:cs="Times New Roman"/>
          <w:szCs w:val="24"/>
        </w:rPr>
        <w:t>n</w:t>
      </w:r>
      <w:r w:rsidR="00896D2D" w:rsidRPr="0065493C">
        <w:rPr>
          <w:rFonts w:cs="Times New Roman"/>
          <w:szCs w:val="24"/>
        </w:rPr>
        <w:t>dal (</w:t>
      </w:r>
      <w:r w:rsidR="0024492B" w:rsidRPr="0065493C">
        <w:rPr>
          <w:rFonts w:cs="Times New Roman"/>
          <w:szCs w:val="24"/>
        </w:rPr>
        <w:t xml:space="preserve">BM; </w:t>
      </w:r>
      <w:r w:rsidR="00896D2D" w:rsidRPr="0065493C">
        <w:rPr>
          <w:rFonts w:cs="Times New Roman"/>
          <w:szCs w:val="24"/>
        </w:rPr>
        <w:t xml:space="preserve">2022) </w:t>
      </w:r>
      <w:r w:rsidR="000136A7" w:rsidRPr="0065493C">
        <w:rPr>
          <w:rFonts w:cs="Times New Roman"/>
          <w:szCs w:val="24"/>
        </w:rPr>
        <w:t>for the flexible specification of stochastic terms in multivariate mixed data models</w:t>
      </w:r>
      <w:r w:rsidR="00896D2D" w:rsidRPr="0065493C">
        <w:rPr>
          <w:rFonts w:cs="Times New Roman"/>
          <w:szCs w:val="24"/>
        </w:rPr>
        <w:t xml:space="preserve">. The application there relates to a joint model of neighborhood living type (a binary variable of high  density living versus low density living) and </w:t>
      </w:r>
      <w:r w:rsidR="0024492B" w:rsidRPr="0065493C">
        <w:rPr>
          <w:rFonts w:cs="Times New Roman"/>
          <w:szCs w:val="24"/>
        </w:rPr>
        <w:t xml:space="preserve">monthly </w:t>
      </w:r>
      <w:r w:rsidR="00896D2D" w:rsidRPr="0065493C">
        <w:rPr>
          <w:rFonts w:cs="Times New Roman"/>
          <w:szCs w:val="24"/>
        </w:rPr>
        <w:t xml:space="preserve">bicycling frequency </w:t>
      </w:r>
      <w:r w:rsidR="0024492B" w:rsidRPr="0065493C">
        <w:rPr>
          <w:rFonts w:cs="Times New Roman"/>
          <w:szCs w:val="24"/>
        </w:rPr>
        <w:t xml:space="preserve">(an ordinal variable with five categories). The formulation and application in the BM paper </w:t>
      </w:r>
      <w:proofErr w:type="gramStart"/>
      <w:r w:rsidR="0024492B" w:rsidRPr="0065493C">
        <w:rPr>
          <w:rFonts w:cs="Times New Roman"/>
          <w:szCs w:val="24"/>
        </w:rPr>
        <w:t>is</w:t>
      </w:r>
      <w:proofErr w:type="gramEnd"/>
      <w:r w:rsidR="0024492B" w:rsidRPr="0065493C">
        <w:rPr>
          <w:rFonts w:cs="Times New Roman"/>
          <w:szCs w:val="24"/>
        </w:rPr>
        <w:t xml:space="preserve"> based on an underlying latent construct (environmental consciousness) that is assumed to have a YJ-transformed normal distribution, </w:t>
      </w:r>
      <w:r w:rsidR="00766BAF" w:rsidRPr="0065493C">
        <w:rPr>
          <w:rFonts w:cs="Times New Roman"/>
          <w:szCs w:val="24"/>
        </w:rPr>
        <w:t>which affects, and is also correlated with</w:t>
      </w:r>
      <w:r w:rsidR="000E7432">
        <w:rPr>
          <w:rFonts w:cs="Times New Roman"/>
          <w:szCs w:val="24"/>
        </w:rPr>
        <w:t>,</w:t>
      </w:r>
      <w:r w:rsidR="00766BAF" w:rsidRPr="0065493C">
        <w:rPr>
          <w:rFonts w:cs="Times New Roman"/>
          <w:szCs w:val="24"/>
        </w:rPr>
        <w:t xml:space="preserve"> the assumed normally distributed kernel error terms of the latent variables underlying the neighborhood living type/bicycling frequency outcomes. Their model </w:t>
      </w:r>
      <w:r w:rsidR="0024492B" w:rsidRPr="0065493C">
        <w:rPr>
          <w:rFonts w:cs="Times New Roman"/>
          <w:szCs w:val="24"/>
        </w:rPr>
        <w:t>is akin to a</w:t>
      </w:r>
      <w:r w:rsidR="009013E6" w:rsidRPr="0065493C">
        <w:rPr>
          <w:rFonts w:cs="Times New Roman"/>
          <w:szCs w:val="24"/>
        </w:rPr>
        <w:t xml:space="preserve"> single</w:t>
      </w:r>
      <w:r w:rsidR="0024492B" w:rsidRPr="0065493C">
        <w:rPr>
          <w:rFonts w:cs="Times New Roman"/>
          <w:szCs w:val="24"/>
        </w:rPr>
        <w:t xml:space="preserve"> endogenous </w:t>
      </w:r>
      <w:r w:rsidR="00766BAF" w:rsidRPr="0065493C">
        <w:rPr>
          <w:rFonts w:cs="Times New Roman"/>
          <w:szCs w:val="24"/>
        </w:rPr>
        <w:t xml:space="preserve">non-normally distributed </w:t>
      </w:r>
      <w:r w:rsidR="0024492B" w:rsidRPr="0065493C">
        <w:rPr>
          <w:rFonts w:cs="Times New Roman"/>
          <w:szCs w:val="24"/>
        </w:rPr>
        <w:t xml:space="preserve">regressor </w:t>
      </w:r>
      <w:r w:rsidR="00766BAF" w:rsidRPr="0065493C">
        <w:rPr>
          <w:rFonts w:cs="Times New Roman"/>
          <w:szCs w:val="24"/>
        </w:rPr>
        <w:t xml:space="preserve">in a joint </w:t>
      </w:r>
      <w:proofErr w:type="spellStart"/>
      <w:r w:rsidR="00766BAF" w:rsidRPr="0065493C">
        <w:rPr>
          <w:rFonts w:cs="Times New Roman"/>
          <w:szCs w:val="24"/>
        </w:rPr>
        <w:t>probit</w:t>
      </w:r>
      <w:proofErr w:type="spellEnd"/>
      <w:r w:rsidR="00766BAF" w:rsidRPr="0065493C">
        <w:rPr>
          <w:rFonts w:cs="Times New Roman"/>
          <w:szCs w:val="24"/>
        </w:rPr>
        <w:t>-based binary-ordered response mode</w:t>
      </w:r>
      <w:r w:rsidR="00112BFB" w:rsidRPr="0065493C">
        <w:rPr>
          <w:rFonts w:cs="Times New Roman"/>
          <w:szCs w:val="24"/>
        </w:rPr>
        <w:t>l system</w:t>
      </w:r>
      <w:r w:rsidR="00445EE5" w:rsidRPr="0065493C">
        <w:rPr>
          <w:rFonts w:cs="Times New Roman"/>
          <w:szCs w:val="24"/>
        </w:rPr>
        <w:t xml:space="preserve"> with the binary outcome serving as a treatment </w:t>
      </w:r>
      <w:r w:rsidR="00445EE5" w:rsidRPr="0065493C">
        <w:rPr>
          <w:rFonts w:cs="Times New Roman"/>
          <w:szCs w:val="24"/>
        </w:rPr>
        <w:lastRenderedPageBreak/>
        <w:t>variable</w:t>
      </w:r>
      <w:r w:rsidR="0024492B" w:rsidRPr="0065493C">
        <w:rPr>
          <w:rFonts w:cs="Times New Roman"/>
          <w:szCs w:val="24"/>
        </w:rPr>
        <w:t>. Unlike BM, in this paper, we</w:t>
      </w:r>
      <w:r w:rsidR="00112BFB" w:rsidRPr="0065493C">
        <w:rPr>
          <w:rFonts w:cs="Times New Roman"/>
          <w:szCs w:val="24"/>
        </w:rPr>
        <w:t xml:space="preserve"> </w:t>
      </w:r>
      <w:r w:rsidR="009013E6" w:rsidRPr="0065493C">
        <w:rPr>
          <w:rFonts w:cs="Times New Roman"/>
          <w:szCs w:val="24"/>
        </w:rPr>
        <w:t xml:space="preserve">specify </w:t>
      </w:r>
      <w:r w:rsidR="00766BAF" w:rsidRPr="0065493C">
        <w:rPr>
          <w:rFonts w:cs="Times New Roman"/>
          <w:szCs w:val="24"/>
        </w:rPr>
        <w:t xml:space="preserve">the error terms of the outcome variables themselves </w:t>
      </w:r>
      <w:r w:rsidR="009013E6" w:rsidRPr="0065493C">
        <w:rPr>
          <w:rFonts w:cs="Times New Roman"/>
          <w:szCs w:val="24"/>
        </w:rPr>
        <w:t>to be</w:t>
      </w:r>
      <w:r w:rsidR="00766BAF" w:rsidRPr="0065493C">
        <w:rPr>
          <w:rFonts w:cs="Times New Roman"/>
          <w:szCs w:val="24"/>
        </w:rPr>
        <w:t xml:space="preserve"> YJ-transformed </w:t>
      </w:r>
      <w:r w:rsidR="009013E6" w:rsidRPr="0065493C">
        <w:rPr>
          <w:rFonts w:cs="Times New Roman"/>
          <w:szCs w:val="24"/>
        </w:rPr>
        <w:t xml:space="preserve">normal </w:t>
      </w:r>
      <w:r w:rsidR="00766BAF" w:rsidRPr="0065493C">
        <w:rPr>
          <w:rFonts w:cs="Times New Roman"/>
          <w:szCs w:val="24"/>
        </w:rPr>
        <w:t xml:space="preserve">variables, </w:t>
      </w:r>
      <w:r w:rsidR="009013E6" w:rsidRPr="0065493C">
        <w:rPr>
          <w:rFonts w:cs="Times New Roman"/>
          <w:szCs w:val="24"/>
        </w:rPr>
        <w:t>resulting in a more flexible (non-</w:t>
      </w:r>
      <w:proofErr w:type="spellStart"/>
      <w:r w:rsidR="009013E6" w:rsidRPr="0065493C">
        <w:rPr>
          <w:rFonts w:cs="Times New Roman"/>
          <w:szCs w:val="24"/>
        </w:rPr>
        <w:t>probit</w:t>
      </w:r>
      <w:proofErr w:type="spellEnd"/>
      <w:r w:rsidR="009013E6" w:rsidRPr="0065493C">
        <w:rPr>
          <w:rFonts w:cs="Times New Roman"/>
          <w:szCs w:val="24"/>
        </w:rPr>
        <w:t>)</w:t>
      </w:r>
      <w:r w:rsidR="00112BFB" w:rsidRPr="0065493C">
        <w:rPr>
          <w:rFonts w:cs="Times New Roman"/>
          <w:szCs w:val="24"/>
        </w:rPr>
        <w:t xml:space="preserve"> binary</w:t>
      </w:r>
      <w:r w:rsidR="009013E6" w:rsidRPr="0065493C">
        <w:rPr>
          <w:rFonts w:cs="Times New Roman"/>
          <w:szCs w:val="24"/>
        </w:rPr>
        <w:t>-ordered response model system</w:t>
      </w:r>
      <w:r w:rsidR="003F63C9" w:rsidRPr="0065493C">
        <w:rPr>
          <w:rFonts w:cs="Times New Roman"/>
          <w:szCs w:val="24"/>
        </w:rPr>
        <w:t xml:space="preserve"> (our model can equivalently be viewed as an ordered-response model with an endogenous binary variable)</w:t>
      </w:r>
      <w:r w:rsidR="00112BFB" w:rsidRPr="0065493C">
        <w:rPr>
          <w:rFonts w:cs="Times New Roman"/>
          <w:szCs w:val="24"/>
        </w:rPr>
        <w:t xml:space="preserve">. </w:t>
      </w:r>
      <w:r w:rsidR="00A05ABF" w:rsidRPr="0065493C">
        <w:rPr>
          <w:rFonts w:cs="Times New Roman"/>
          <w:szCs w:val="24"/>
        </w:rPr>
        <w:t xml:space="preserve">In this regard, the current paper constitutes the first formulation and application of a </w:t>
      </w:r>
      <w:r w:rsidR="00593544" w:rsidRPr="0065493C">
        <w:rPr>
          <w:rFonts w:cs="Times New Roman"/>
          <w:szCs w:val="24"/>
        </w:rPr>
        <w:t xml:space="preserve">flexible </w:t>
      </w:r>
      <w:r w:rsidR="00A05ABF" w:rsidRPr="0065493C">
        <w:rPr>
          <w:rFonts w:cs="Times New Roman"/>
          <w:szCs w:val="24"/>
        </w:rPr>
        <w:t>multivariate non-normal limited-dependent variable model system with element-wise YJ transformation</w:t>
      </w:r>
      <w:r w:rsidR="00385552" w:rsidRPr="0065493C">
        <w:rPr>
          <w:rFonts w:cs="Times New Roman"/>
          <w:szCs w:val="24"/>
        </w:rPr>
        <w:t xml:space="preserve">, which can be applied well beyond the specific </w:t>
      </w:r>
      <w:r w:rsidR="003F63C9" w:rsidRPr="0065493C">
        <w:rPr>
          <w:rFonts w:cs="Times New Roman"/>
          <w:szCs w:val="24"/>
        </w:rPr>
        <w:t xml:space="preserve">case of the </w:t>
      </w:r>
      <w:r w:rsidR="000E7432">
        <w:rPr>
          <w:rFonts w:cs="Times New Roman"/>
          <w:szCs w:val="24"/>
        </w:rPr>
        <w:t xml:space="preserve">model </w:t>
      </w:r>
      <w:r w:rsidR="00385552" w:rsidRPr="0065493C">
        <w:rPr>
          <w:rFonts w:cs="Times New Roman"/>
          <w:szCs w:val="24"/>
        </w:rPr>
        <w:t xml:space="preserve">system </w:t>
      </w:r>
      <w:r w:rsidR="003F63C9" w:rsidRPr="0065493C">
        <w:rPr>
          <w:rFonts w:cs="Times New Roman"/>
          <w:szCs w:val="24"/>
        </w:rPr>
        <w:t>used here for illustration purposes</w:t>
      </w:r>
      <w:r w:rsidR="00A05ABF" w:rsidRPr="0065493C">
        <w:rPr>
          <w:rFonts w:cs="Times New Roman"/>
          <w:szCs w:val="24"/>
        </w:rPr>
        <w:t xml:space="preserve">. We </w:t>
      </w:r>
      <w:r w:rsidR="00385552" w:rsidRPr="0065493C">
        <w:rPr>
          <w:rFonts w:cs="Times New Roman"/>
          <w:szCs w:val="24"/>
        </w:rPr>
        <w:t xml:space="preserve">then </w:t>
      </w:r>
      <w:r w:rsidR="00A05ABF" w:rsidRPr="0065493C">
        <w:rPr>
          <w:rFonts w:cs="Times New Roman"/>
          <w:szCs w:val="24"/>
        </w:rPr>
        <w:t xml:space="preserve">apply our proposed model to an empirical context of </w:t>
      </w:r>
      <w:r w:rsidR="0088541F">
        <w:rPr>
          <w:rFonts w:cs="Times New Roman"/>
          <w:szCs w:val="24"/>
        </w:rPr>
        <w:t>residential choice and walking frequency.</w:t>
      </w:r>
    </w:p>
    <w:p w14:paraId="49867E57" w14:textId="77777777" w:rsidR="00A05ABF" w:rsidRPr="0065493C" w:rsidRDefault="00A05ABF" w:rsidP="00B4106B">
      <w:pPr>
        <w:spacing w:line="276" w:lineRule="auto"/>
        <w:jc w:val="both"/>
        <w:rPr>
          <w:rFonts w:cs="Times New Roman"/>
          <w:szCs w:val="24"/>
        </w:rPr>
      </w:pPr>
    </w:p>
    <w:p w14:paraId="7AF957C7" w14:textId="4FC9EC80" w:rsidR="006F6727" w:rsidRPr="00FE38B5" w:rsidRDefault="006F6727" w:rsidP="006E1AE0">
      <w:pPr>
        <w:numPr>
          <w:ilvl w:val="0"/>
          <w:numId w:val="2"/>
        </w:numPr>
        <w:spacing w:after="60" w:line="276" w:lineRule="auto"/>
        <w:ind w:left="540" w:hanging="540"/>
        <w:jc w:val="both"/>
        <w:rPr>
          <w:b/>
          <w:bCs/>
        </w:rPr>
      </w:pPr>
      <w:r w:rsidRPr="00FE38B5">
        <w:rPr>
          <w:b/>
          <w:bCs/>
        </w:rPr>
        <w:t>METHODOLOGY</w:t>
      </w:r>
    </w:p>
    <w:p w14:paraId="189E3590" w14:textId="2C0F16DB" w:rsidR="00112BFB" w:rsidRPr="0045451B" w:rsidRDefault="00A05ABF" w:rsidP="0045451B">
      <w:pPr>
        <w:pStyle w:val="ListParagraph"/>
        <w:numPr>
          <w:ilvl w:val="1"/>
          <w:numId w:val="2"/>
        </w:numPr>
        <w:spacing w:line="276" w:lineRule="auto"/>
        <w:ind w:left="540" w:hanging="540"/>
        <w:jc w:val="both"/>
        <w:rPr>
          <w:b/>
          <w:bCs/>
        </w:rPr>
      </w:pPr>
      <w:r w:rsidRPr="0045451B">
        <w:rPr>
          <w:b/>
          <w:bCs/>
        </w:rPr>
        <w:t>YJ Transformation</w:t>
      </w:r>
      <w:r w:rsidR="009013E6" w:rsidRPr="0045451B">
        <w:rPr>
          <w:b/>
          <w:bCs/>
        </w:rPr>
        <w:t xml:space="preserve"> </w:t>
      </w:r>
      <w:r w:rsidR="00E046E0" w:rsidRPr="0045451B">
        <w:rPr>
          <w:b/>
          <w:bCs/>
        </w:rPr>
        <w:t>for a Univariate Random Variable</w:t>
      </w:r>
    </w:p>
    <w:p w14:paraId="0EF8C1C1" w14:textId="64540456" w:rsidR="006F6727" w:rsidRPr="00F72D6A" w:rsidRDefault="006F6727" w:rsidP="00B4106B">
      <w:pPr>
        <w:spacing w:line="276" w:lineRule="auto"/>
        <w:jc w:val="both"/>
        <w:rPr>
          <w:rFonts w:cs="Times New Roman"/>
          <w:color w:val="000000" w:themeColor="text1"/>
          <w:szCs w:val="24"/>
        </w:rPr>
      </w:pPr>
      <w:r w:rsidRPr="00F72D6A">
        <w:rPr>
          <w:rFonts w:cs="Times New Roman"/>
          <w:color w:val="000000" w:themeColor="text1"/>
          <w:szCs w:val="24"/>
        </w:rPr>
        <w:t xml:space="preserve">The Yeo and Johnson (2000) or YJ transformation is a widely used approach </w:t>
      </w:r>
      <w:r w:rsidR="00CF2B4D">
        <w:rPr>
          <w:rFonts w:cs="Times New Roman"/>
          <w:color w:val="000000" w:themeColor="text1"/>
          <w:szCs w:val="24"/>
        </w:rPr>
        <w:t xml:space="preserve">that enables the transformation of potentially non-normal </w:t>
      </w:r>
      <w:r w:rsidRPr="00F72D6A">
        <w:rPr>
          <w:rFonts w:cs="Times New Roman"/>
          <w:color w:val="000000" w:themeColor="text1"/>
          <w:szCs w:val="24"/>
        </w:rPr>
        <w:t xml:space="preserve">data to near normality and symmetry. It </w:t>
      </w:r>
      <w:r w:rsidR="00CF2B4D">
        <w:rPr>
          <w:rFonts w:cs="Times New Roman"/>
          <w:color w:val="000000" w:themeColor="text1"/>
          <w:szCs w:val="24"/>
        </w:rPr>
        <w:t>involves</w:t>
      </w:r>
      <w:r w:rsidRPr="00F72D6A">
        <w:rPr>
          <w:rFonts w:cs="Times New Roman"/>
          <w:color w:val="000000" w:themeColor="text1"/>
          <w:szCs w:val="24"/>
        </w:rPr>
        <w:t xml:space="preserve"> </w:t>
      </w:r>
      <w:r w:rsidR="00CF2B4D">
        <w:rPr>
          <w:rFonts w:cs="Times New Roman"/>
          <w:color w:val="000000" w:themeColor="text1"/>
          <w:szCs w:val="24"/>
        </w:rPr>
        <w:t xml:space="preserve">but </w:t>
      </w:r>
      <w:r w:rsidRPr="00F72D6A">
        <w:rPr>
          <w:rFonts w:cs="Times New Roman"/>
          <w:color w:val="000000" w:themeColor="text1"/>
          <w:szCs w:val="24"/>
        </w:rPr>
        <w:t>a single</w:t>
      </w:r>
      <w:r w:rsidR="00CF2B4D">
        <w:rPr>
          <w:rFonts w:cs="Times New Roman"/>
          <w:color w:val="000000" w:themeColor="text1"/>
          <w:szCs w:val="24"/>
        </w:rPr>
        <w:t xml:space="preserve"> additional transformation </w:t>
      </w:r>
      <w:r w:rsidRPr="00F72D6A">
        <w:rPr>
          <w:rFonts w:cs="Times New Roman"/>
          <w:color w:val="000000" w:themeColor="text1"/>
          <w:szCs w:val="24"/>
        </w:rPr>
        <w:t>parameter</w:t>
      </w:r>
      <w:r w:rsidR="00CF2B4D">
        <w:rPr>
          <w:rFonts w:cs="Times New Roman"/>
          <w:color w:val="000000" w:themeColor="text1"/>
          <w:szCs w:val="24"/>
        </w:rPr>
        <w:t xml:space="preserve">, making it an efficient vehicle to achieve </w:t>
      </w:r>
      <w:r w:rsidRPr="00F72D6A">
        <w:rPr>
          <w:rFonts w:cs="Times New Roman"/>
          <w:color w:val="000000" w:themeColor="text1"/>
          <w:szCs w:val="24"/>
        </w:rPr>
        <w:t xml:space="preserve">parsimony in mixed data modeling. When back-transformed, it has been shown to mimic a host of asymmetric, non-normal, and fat-tailed distributions. </w:t>
      </w:r>
    </w:p>
    <w:p w14:paraId="28E52FC8" w14:textId="0D218E8C" w:rsidR="00E046E0" w:rsidRPr="00F72D6A" w:rsidRDefault="006F6727" w:rsidP="00B4106B">
      <w:pPr>
        <w:spacing w:line="276" w:lineRule="auto"/>
        <w:ind w:firstLine="720"/>
        <w:jc w:val="both"/>
        <w:rPr>
          <w:rFonts w:cs="Times New Roman"/>
          <w:szCs w:val="24"/>
        </w:rPr>
      </w:pPr>
      <w:r w:rsidRPr="00F72D6A">
        <w:rPr>
          <w:rFonts w:cs="Times New Roman"/>
          <w:caps/>
          <w:noProof/>
          <w:szCs w:val="24"/>
        </w:rPr>
        <w:t>T</w:t>
      </w:r>
      <w:r w:rsidRPr="00F72D6A">
        <w:rPr>
          <w:rFonts w:cs="Times New Roman"/>
          <w:noProof/>
          <w:szCs w:val="24"/>
        </w:rPr>
        <w:t>he YJ transformation considers a random variable</w:t>
      </w:r>
      <w:r w:rsidR="005757B9" w:rsidRPr="00F72D6A">
        <w:rPr>
          <w:rFonts w:cs="Times New Roman"/>
          <w:noProof/>
          <w:szCs w:val="24"/>
        </w:rPr>
        <w:t xml:space="preserve"> </w:t>
      </w:r>
      <w:r w:rsidR="006E1AE0" w:rsidRPr="00F72D6A">
        <w:rPr>
          <w:rFonts w:eastAsia="Times New Roman" w:cs="Times New Roman"/>
          <w:position w:val="-12"/>
          <w:szCs w:val="24"/>
        </w:rPr>
        <w:object w:dxaOrig="240" w:dyaOrig="360" w14:anchorId="0A2DA7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5pt;height:18pt" o:ole="" o:preferrelative="f">
            <v:imagedata r:id="rId11" o:title=""/>
            <o:lock v:ext="edit" aspectratio="f"/>
          </v:shape>
          <o:OLEObject Type="Embed" ProgID="Equation.DSMT4" ShapeID="_x0000_i1025" DrawAspect="Content" ObjectID="_1768995500" r:id="rId12"/>
        </w:object>
      </w:r>
      <w:r w:rsidRPr="00F72D6A">
        <w:rPr>
          <w:rFonts w:cs="Times New Roman"/>
          <w:szCs w:val="24"/>
        </w:rPr>
        <w:t xml:space="preserve"> and transforms it </w:t>
      </w:r>
      <w:r w:rsidRPr="00F72D6A">
        <w:rPr>
          <w:rFonts w:cs="Times New Roman"/>
          <w:noProof/>
          <w:szCs w:val="24"/>
        </w:rPr>
        <w:t>to an assumed normal random variabl</w:t>
      </w:r>
      <w:r w:rsidR="005757B9" w:rsidRPr="00F72D6A">
        <w:rPr>
          <w:rFonts w:cs="Times New Roman"/>
          <w:noProof/>
          <w:szCs w:val="24"/>
        </w:rPr>
        <w:t>e</w:t>
      </w:r>
      <w:r w:rsidRPr="00F72D6A">
        <w:rPr>
          <w:rFonts w:cs="Times New Roman"/>
          <w:noProof/>
          <w:szCs w:val="24"/>
        </w:rPr>
        <w:t xml:space="preserve"> </w:t>
      </w:r>
      <w:r w:rsidR="006E1AE0" w:rsidRPr="00F72D6A">
        <w:rPr>
          <w:rFonts w:eastAsia="Times New Roman" w:cs="Times New Roman"/>
          <w:position w:val="-12"/>
          <w:szCs w:val="24"/>
        </w:rPr>
        <w:object w:dxaOrig="320" w:dyaOrig="380" w14:anchorId="0D206A4A">
          <v:shape id="_x0000_i1026" type="#_x0000_t75" style="width:16.3pt;height:18.85pt" o:ole="" o:preferrelative="f">
            <v:imagedata r:id="rId13" o:title=""/>
            <o:lock v:ext="edit" aspectratio="f"/>
          </v:shape>
          <o:OLEObject Type="Embed" ProgID="Equation.DSMT4" ShapeID="_x0000_i1026" DrawAspect="Content" ObjectID="_1768995501" r:id="rId14"/>
        </w:object>
      </w:r>
      <w:r w:rsidR="00E046E0" w:rsidRPr="00F72D6A">
        <w:rPr>
          <w:rFonts w:cs="Times New Roman"/>
          <w:szCs w:val="24"/>
        </w:rPr>
        <w:t xml:space="preserve"> (with a mean parameter of </w:t>
      </w:r>
      <w:r w:rsidR="00E046E0" w:rsidRPr="00F72D6A">
        <w:rPr>
          <w:rFonts w:eastAsia="Times New Roman" w:cs="Times New Roman"/>
          <w:position w:val="-12"/>
          <w:szCs w:val="24"/>
        </w:rPr>
        <w:object w:dxaOrig="276" w:dyaOrig="360" w14:anchorId="2F9A5CB2">
          <v:shape id="_x0000_i1027" type="#_x0000_t75" style="width:13.3pt;height:18pt" o:ole="" o:preferrelative="f">
            <v:imagedata r:id="rId15" o:title=""/>
            <o:lock v:ext="edit" aspectratio="f"/>
          </v:shape>
          <o:OLEObject Type="Embed" ProgID="Equation.DSMT4" ShapeID="_x0000_i1027" DrawAspect="Content" ObjectID="_1768995502" r:id="rId16"/>
        </w:object>
      </w:r>
      <w:r w:rsidR="00E046E0" w:rsidRPr="00F72D6A">
        <w:rPr>
          <w:rFonts w:cs="Times New Roman"/>
          <w:szCs w:val="24"/>
        </w:rPr>
        <w:t xml:space="preserve"> and variance of </w:t>
      </w:r>
      <w:r w:rsidR="00E046E0" w:rsidRPr="00F72D6A">
        <w:rPr>
          <w:rFonts w:eastAsia="Times New Roman" w:cs="Times New Roman"/>
          <w:position w:val="-12"/>
          <w:szCs w:val="24"/>
        </w:rPr>
        <w:object w:dxaOrig="336" w:dyaOrig="372" w14:anchorId="4FE2DAE6">
          <v:shape id="_x0000_i1028" type="#_x0000_t75" style="width:16.3pt;height:18.85pt" o:ole="" o:preferrelative="f">
            <v:imagedata r:id="rId17" o:title=""/>
            <o:lock v:ext="edit" aspectratio="f"/>
          </v:shape>
          <o:OLEObject Type="Embed" ProgID="Equation.DSMT4" ShapeID="_x0000_i1028" DrawAspect="Content" ObjectID="_1768995503" r:id="rId18"/>
        </w:object>
      </w:r>
      <w:r w:rsidR="00E046E0" w:rsidRPr="00F72D6A">
        <w:rPr>
          <w:rFonts w:cs="Times New Roman"/>
          <w:szCs w:val="24"/>
        </w:rPr>
        <w:t xml:space="preserve">) on </w:t>
      </w:r>
      <w:r w:rsidR="00E046E0" w:rsidRPr="00F72D6A">
        <w:rPr>
          <w:rFonts w:cs="Times New Roman"/>
          <w:noProof/>
          <w:szCs w:val="24"/>
        </w:rPr>
        <w:t xml:space="preserve">the real line as follows, with an additional parameter </w:t>
      </w:r>
      <w:r w:rsidR="00E046E0" w:rsidRPr="00F72D6A">
        <w:rPr>
          <w:rFonts w:eastAsia="Times New Roman" w:cs="Times New Roman"/>
          <w:position w:val="-12"/>
          <w:szCs w:val="24"/>
        </w:rPr>
        <w:object w:dxaOrig="1068" w:dyaOrig="360" w14:anchorId="4CF49946">
          <v:shape id="_x0000_i1029" type="#_x0000_t75" style="width:53.15pt;height:18pt" o:ole="" o:preferrelative="f">
            <v:imagedata r:id="rId19" o:title=""/>
            <o:lock v:ext="edit" aspectratio="f"/>
          </v:shape>
          <o:OLEObject Type="Embed" ProgID="Equation.DSMT4" ShapeID="_x0000_i1029" DrawAspect="Content" ObjectID="_1768995504" r:id="rId20"/>
        </w:object>
      </w:r>
    </w:p>
    <w:p w14:paraId="7B66DEE6" w14:textId="0ADF5B07" w:rsidR="00E046E0" w:rsidRPr="00F72D6A" w:rsidRDefault="004537FF" w:rsidP="00D40E00">
      <w:pPr>
        <w:spacing w:before="60" w:after="60" w:line="276" w:lineRule="auto"/>
        <w:jc w:val="both"/>
        <w:rPr>
          <w:rFonts w:cs="Times New Roman"/>
          <w:caps/>
          <w:noProof/>
          <w:szCs w:val="24"/>
        </w:rPr>
      </w:pPr>
      <w:r w:rsidRPr="00F72D6A">
        <w:rPr>
          <w:rFonts w:eastAsia="Times New Roman" w:cs="Times New Roman"/>
          <w:position w:val="-68"/>
          <w:szCs w:val="24"/>
        </w:rPr>
        <w:object w:dxaOrig="5179" w:dyaOrig="1480" w14:anchorId="5EA8E599">
          <v:shape id="_x0000_i1030" type="#_x0000_t75" style="width:259.3pt;height:73.3pt" o:ole="">
            <v:imagedata r:id="rId21" o:title=""/>
          </v:shape>
          <o:OLEObject Type="Embed" ProgID="Equation.DSMT4" ShapeID="_x0000_i1030" DrawAspect="Content" ObjectID="_1768995505" r:id="rId22"/>
        </w:object>
      </w:r>
      <w:r w:rsidR="00E046E0" w:rsidRPr="00F72D6A">
        <w:rPr>
          <w:rFonts w:cs="Times New Roman"/>
          <w:szCs w:val="24"/>
        </w:rPr>
        <w:t xml:space="preserve">                                                                (1)               </w:t>
      </w:r>
    </w:p>
    <w:p w14:paraId="4EF55B3F" w14:textId="62D68C23" w:rsidR="004537FF" w:rsidRDefault="004537FF" w:rsidP="00B4106B">
      <w:pPr>
        <w:spacing w:line="276" w:lineRule="auto"/>
        <w:jc w:val="both"/>
        <w:rPr>
          <w:rFonts w:eastAsia="Times New Roman" w:cs="Times New Roman"/>
          <w:szCs w:val="24"/>
        </w:rPr>
      </w:pPr>
      <w:r>
        <w:rPr>
          <w:rFonts w:eastAsia="Times New Roman" w:cs="Times New Roman"/>
          <w:szCs w:val="24"/>
        </w:rPr>
        <w:t xml:space="preserve">The inverse transformation back from </w:t>
      </w:r>
      <w:r w:rsidR="006E1AE0" w:rsidRPr="00B67721">
        <w:rPr>
          <w:position w:val="-12"/>
        </w:rPr>
        <w:object w:dxaOrig="279" w:dyaOrig="360" w14:anchorId="3A4DCA61">
          <v:shape id="_x0000_i1031" type="#_x0000_t75" style="width:14.15pt;height:18pt" o:ole="">
            <v:imagedata r:id="rId23" o:title=""/>
          </v:shape>
          <o:OLEObject Type="Embed" ProgID="Equation.DSMT4" ShapeID="_x0000_i1031" DrawAspect="Content" ObjectID="_1768995506" r:id="rId24"/>
        </w:object>
      </w:r>
      <w:r>
        <w:t xml:space="preserve"> to </w:t>
      </w:r>
      <w:r w:rsidR="006E1AE0" w:rsidRPr="00B67721">
        <w:rPr>
          <w:position w:val="-12"/>
        </w:rPr>
        <w:object w:dxaOrig="240" w:dyaOrig="360" w14:anchorId="7C381F91">
          <v:shape id="_x0000_i1032" type="#_x0000_t75" style="width:12.85pt;height:18.85pt" o:ole="">
            <v:imagedata r:id="rId25" o:title=""/>
          </v:shape>
          <o:OLEObject Type="Embed" ProgID="Equation.DSMT4" ShapeID="_x0000_i1032" DrawAspect="Content" ObjectID="_1768995507" r:id="rId26"/>
        </w:object>
      </w:r>
      <w:r>
        <w:t xml:space="preserve"> is:</w:t>
      </w:r>
    </w:p>
    <w:p w14:paraId="05D1DAC6" w14:textId="4754D3B8" w:rsidR="00E046E0" w:rsidRPr="00F72D6A" w:rsidRDefault="004537FF" w:rsidP="00D40E00">
      <w:pPr>
        <w:spacing w:before="60" w:after="60" w:line="276" w:lineRule="auto"/>
        <w:jc w:val="both"/>
        <w:rPr>
          <w:rFonts w:cs="Times New Roman"/>
          <w:caps/>
          <w:noProof/>
          <w:szCs w:val="24"/>
        </w:rPr>
      </w:pPr>
      <w:r w:rsidRPr="00347A30">
        <w:rPr>
          <w:rFonts w:eastAsia="Times New Roman" w:cs="Times New Roman"/>
          <w:position w:val="-66"/>
          <w:szCs w:val="24"/>
        </w:rPr>
        <w:object w:dxaOrig="4760" w:dyaOrig="1440" w14:anchorId="107D1040">
          <v:shape id="_x0000_i1033" type="#_x0000_t75" style="width:238.3pt;height:1in" o:ole="">
            <v:imagedata r:id="rId27" o:title=""/>
          </v:shape>
          <o:OLEObject Type="Embed" ProgID="Equation.DSMT4" ShapeID="_x0000_i1033" DrawAspect="Content" ObjectID="_1768995508" r:id="rId28"/>
        </w:object>
      </w:r>
      <w:r w:rsidR="00E046E0" w:rsidRPr="00F72D6A">
        <w:rPr>
          <w:rFonts w:cs="Times New Roman"/>
          <w:szCs w:val="24"/>
        </w:rPr>
        <w:t xml:space="preserve">                                                             </w:t>
      </w:r>
      <w:r w:rsidR="00595F4B">
        <w:rPr>
          <w:rFonts w:cs="Times New Roman"/>
          <w:szCs w:val="24"/>
        </w:rPr>
        <w:t xml:space="preserve">          (2)</w:t>
      </w:r>
      <w:r w:rsidR="00E046E0" w:rsidRPr="00F72D6A">
        <w:rPr>
          <w:rFonts w:cs="Times New Roman"/>
          <w:szCs w:val="24"/>
        </w:rPr>
        <w:t xml:space="preserve">           </w:t>
      </w:r>
    </w:p>
    <w:p w14:paraId="28DC5731" w14:textId="2DDA4FEE" w:rsidR="006F6727" w:rsidRDefault="00347A30" w:rsidP="00B4106B">
      <w:pPr>
        <w:spacing w:line="276" w:lineRule="auto"/>
        <w:jc w:val="both"/>
        <w:rPr>
          <w:rFonts w:cs="Times New Roman"/>
          <w:szCs w:val="24"/>
        </w:rPr>
      </w:pPr>
      <w:r>
        <w:rPr>
          <w:rFonts w:cs="Times New Roman"/>
          <w:szCs w:val="24"/>
        </w:rPr>
        <w:t xml:space="preserve">The notation above of </w:t>
      </w:r>
      <w:r w:rsidR="004537FF" w:rsidRPr="00F72D6A">
        <w:rPr>
          <w:rFonts w:eastAsia="Times New Roman" w:cs="Times New Roman"/>
          <w:position w:val="-12"/>
          <w:szCs w:val="24"/>
        </w:rPr>
        <w:object w:dxaOrig="240" w:dyaOrig="360" w14:anchorId="6CF9DD75">
          <v:shape id="_x0000_i1034" type="#_x0000_t75" style="width:12pt;height:18pt" o:ole="" o:preferrelative="f">
            <v:imagedata r:id="rId29" o:title=""/>
            <o:lock v:ext="edit" aspectratio="f"/>
          </v:shape>
          <o:OLEObject Type="Embed" ProgID="Equation.DSMT4" ShapeID="_x0000_i1034" DrawAspect="Content" ObjectID="_1768995509" r:id="rId30"/>
        </w:object>
      </w:r>
      <w:r>
        <w:rPr>
          <w:rFonts w:eastAsia="Times New Roman" w:cs="Times New Roman"/>
          <w:szCs w:val="24"/>
        </w:rPr>
        <w:t xml:space="preserve"> and </w:t>
      </w:r>
      <w:r w:rsidR="004537FF" w:rsidRPr="00F72D6A">
        <w:rPr>
          <w:rFonts w:eastAsia="Times New Roman" w:cs="Times New Roman"/>
          <w:position w:val="-12"/>
          <w:szCs w:val="24"/>
        </w:rPr>
        <w:object w:dxaOrig="320" w:dyaOrig="380" w14:anchorId="43A96218">
          <v:shape id="_x0000_i1035" type="#_x0000_t75" style="width:16.3pt;height:19.3pt" o:ole="" o:preferrelative="f">
            <v:imagedata r:id="rId31" o:title=""/>
            <o:lock v:ext="edit" aspectratio="f"/>
          </v:shape>
          <o:OLEObject Type="Embed" ProgID="Equation.DSMT4" ShapeID="_x0000_i1035" DrawAspect="Content" ObjectID="_1768995510" r:id="rId32"/>
        </w:object>
      </w:r>
      <w:r>
        <w:rPr>
          <w:rFonts w:eastAsia="Times New Roman" w:cs="Times New Roman"/>
          <w:szCs w:val="24"/>
        </w:rPr>
        <w:t xml:space="preserve">is used to make the association easier later on in the modeling system. </w:t>
      </w:r>
      <w:r w:rsidR="00E046E0" w:rsidRPr="00F72D6A">
        <w:rPr>
          <w:rFonts w:cs="Times New Roman"/>
          <w:szCs w:val="24"/>
        </w:rPr>
        <w:t xml:space="preserve">When </w:t>
      </w:r>
      <w:r w:rsidR="006F6727" w:rsidRPr="00F72D6A">
        <w:rPr>
          <w:rFonts w:cs="Times New Roman"/>
          <w:szCs w:val="24"/>
        </w:rPr>
        <w:t>0&lt;</w:t>
      </w:r>
      <w:r w:rsidR="00E046E0" w:rsidRPr="00F72D6A">
        <w:rPr>
          <w:rFonts w:eastAsia="Times New Roman" w:cs="Times New Roman"/>
          <w:position w:val="-12"/>
          <w:szCs w:val="24"/>
        </w:rPr>
        <w:object w:dxaOrig="240" w:dyaOrig="360" w14:anchorId="084C6ECD">
          <v:shape id="_x0000_i1036" type="#_x0000_t75" style="width:12pt;height:18pt" o:ole="" o:preferrelative="f">
            <v:imagedata r:id="rId33" o:title=""/>
            <o:lock v:ext="edit" aspectratio="f"/>
          </v:shape>
          <o:OLEObject Type="Embed" ProgID="Equation.DSMT4" ShapeID="_x0000_i1036" DrawAspect="Content" ObjectID="_1768995511" r:id="rId34"/>
        </w:object>
      </w:r>
      <w:r w:rsidR="006F6727" w:rsidRPr="00F72D6A">
        <w:rPr>
          <w:rFonts w:cs="Times New Roman"/>
          <w:szCs w:val="24"/>
        </w:rPr>
        <w:t xml:space="preserve">&lt;1, </w:t>
      </w:r>
      <w:r w:rsidR="004537FF" w:rsidRPr="00B67721">
        <w:rPr>
          <w:position w:val="-12"/>
        </w:rPr>
        <w:object w:dxaOrig="240" w:dyaOrig="360" w14:anchorId="1E5DD121">
          <v:shape id="_x0000_i1037" type="#_x0000_t75" style="width:12pt;height:18pt" o:ole="">
            <v:imagedata r:id="rId35" o:title=""/>
          </v:shape>
          <o:OLEObject Type="Embed" ProgID="Equation.DSMT4" ShapeID="_x0000_i1037" DrawAspect="Content" ObjectID="_1768995512" r:id="rId36"/>
        </w:object>
      </w:r>
      <w:r w:rsidR="004537FF">
        <w:t xml:space="preserve"> </w:t>
      </w:r>
      <w:r w:rsidR="006F6727" w:rsidRPr="00F72D6A">
        <w:rPr>
          <w:rFonts w:cs="Times New Roman"/>
          <w:noProof/>
          <w:szCs w:val="24"/>
        </w:rPr>
        <w:t xml:space="preserve">is skewed to the right with a thick right tail, while if  </w:t>
      </w:r>
      <w:r w:rsidR="006F6727" w:rsidRPr="00F72D6A">
        <w:rPr>
          <w:rFonts w:cs="Times New Roman"/>
          <w:szCs w:val="24"/>
        </w:rPr>
        <w:t>1&lt;</w:t>
      </w:r>
      <w:r w:rsidR="00E046E0" w:rsidRPr="00F72D6A">
        <w:rPr>
          <w:rFonts w:eastAsia="Times New Roman" w:cs="Times New Roman"/>
          <w:position w:val="-12"/>
          <w:szCs w:val="24"/>
        </w:rPr>
        <w:object w:dxaOrig="240" w:dyaOrig="360" w14:anchorId="6F25980B">
          <v:shape id="_x0000_i1038" type="#_x0000_t75" style="width:12pt;height:18pt" o:ole="">
            <v:imagedata r:id="rId33" o:title=""/>
          </v:shape>
          <o:OLEObject Type="Embed" ProgID="Equation.DSMT4" ShapeID="_x0000_i1038" DrawAspect="Content" ObjectID="_1768995513" r:id="rId37"/>
        </w:object>
      </w:r>
      <w:r w:rsidR="006F6727" w:rsidRPr="00F72D6A">
        <w:rPr>
          <w:rFonts w:cs="Times New Roman"/>
          <w:szCs w:val="24"/>
        </w:rPr>
        <w:t>&lt;2,</w:t>
      </w:r>
      <w:r>
        <w:rPr>
          <w:rFonts w:cs="Times New Roman"/>
          <w:szCs w:val="24"/>
        </w:rPr>
        <w:t xml:space="preserve"> </w:t>
      </w:r>
      <w:r w:rsidR="00506566" w:rsidRPr="00B67721">
        <w:rPr>
          <w:position w:val="-12"/>
        </w:rPr>
        <w:object w:dxaOrig="240" w:dyaOrig="360" w14:anchorId="338975C4">
          <v:shape id="_x0000_i1039" type="#_x0000_t75" style="width:12pt;height:18pt" o:ole="">
            <v:imagedata r:id="rId35" o:title=""/>
          </v:shape>
          <o:OLEObject Type="Embed" ProgID="Equation.DSMT4" ShapeID="_x0000_i1039" DrawAspect="Content" ObjectID="_1768995514" r:id="rId38"/>
        </w:object>
      </w:r>
      <w:r w:rsidR="00506566">
        <w:t xml:space="preserve"> </w:t>
      </w:r>
      <w:r w:rsidR="006F6727" w:rsidRPr="00F72D6A">
        <w:rPr>
          <w:rFonts w:cs="Times New Roman"/>
          <w:noProof/>
          <w:szCs w:val="24"/>
        </w:rPr>
        <w:t xml:space="preserve">is skewed to the left with a thick left tail. </w:t>
      </w:r>
      <w:r w:rsidR="00CF2B4D">
        <w:rPr>
          <w:rFonts w:cs="Times New Roman"/>
          <w:szCs w:val="24"/>
        </w:rPr>
        <w:t>T</w:t>
      </w:r>
      <w:r w:rsidR="006F6727" w:rsidRPr="00F72D6A">
        <w:rPr>
          <w:rFonts w:cs="Times New Roman"/>
          <w:szCs w:val="24"/>
        </w:rPr>
        <w:t>he normal distribution is returned for</w:t>
      </w:r>
      <w:r w:rsidR="00506566">
        <w:t xml:space="preserve"> </w:t>
      </w:r>
      <w:r w:rsidR="00506566" w:rsidRPr="00B67721">
        <w:rPr>
          <w:position w:val="-12"/>
        </w:rPr>
        <w:object w:dxaOrig="240" w:dyaOrig="360" w14:anchorId="224AE9E7">
          <v:shape id="_x0000_i1040" type="#_x0000_t75" style="width:12pt;height:18pt" o:ole="">
            <v:imagedata r:id="rId39" o:title=""/>
          </v:shape>
          <o:OLEObject Type="Embed" ProgID="Equation.DSMT4" ShapeID="_x0000_i1040" DrawAspect="Content" ObjectID="_1768995515" r:id="rId40"/>
        </w:object>
      </w:r>
      <w:r w:rsidR="00CF2B4D">
        <w:rPr>
          <w:rFonts w:cs="Times New Roman"/>
          <w:szCs w:val="24"/>
        </w:rPr>
        <w:t xml:space="preserve"> if </w:t>
      </w:r>
      <w:r w:rsidR="00CF2B4D" w:rsidRPr="00F72D6A">
        <w:rPr>
          <w:rFonts w:eastAsia="Times New Roman" w:cs="Times New Roman"/>
          <w:position w:val="-12"/>
          <w:szCs w:val="24"/>
        </w:rPr>
        <w:object w:dxaOrig="240" w:dyaOrig="360" w14:anchorId="55E2A269">
          <v:shape id="_x0000_i1041" type="#_x0000_t75" style="width:12pt;height:18pt" o:ole="" o:preferrelative="f">
            <v:imagedata r:id="rId41" o:title=""/>
            <o:lock v:ext="edit" aspectratio="f"/>
          </v:shape>
          <o:OLEObject Type="Embed" ProgID="Equation.DSMT4" ShapeID="_x0000_i1041" DrawAspect="Content" ObjectID="_1768995516" r:id="rId42"/>
        </w:object>
      </w:r>
      <w:r w:rsidR="00CF2B4D" w:rsidRPr="00F72D6A">
        <w:rPr>
          <w:rFonts w:cs="Times New Roman"/>
          <w:szCs w:val="24"/>
        </w:rPr>
        <w:t>=1</w:t>
      </w:r>
      <w:r w:rsidR="00CF2B4D">
        <w:rPr>
          <w:rFonts w:cs="Times New Roman"/>
          <w:szCs w:val="24"/>
        </w:rPr>
        <w:t>.</w:t>
      </w:r>
      <w:r w:rsidR="00CF2B4D" w:rsidRPr="00F72D6A">
        <w:rPr>
          <w:rFonts w:cs="Times New Roman"/>
          <w:szCs w:val="24"/>
        </w:rPr>
        <w:t xml:space="preserve"> </w:t>
      </w:r>
      <w:r w:rsidR="009D67A4" w:rsidRPr="00F72D6A">
        <w:rPr>
          <w:rFonts w:cs="Times New Roman"/>
          <w:noProof/>
          <w:szCs w:val="24"/>
        </w:rPr>
        <w:t xml:space="preserve">Figure 1 plots </w:t>
      </w:r>
      <w:r w:rsidR="009D67A4" w:rsidRPr="00B67721">
        <w:rPr>
          <w:position w:val="-12"/>
        </w:rPr>
        <w:object w:dxaOrig="240" w:dyaOrig="360" w14:anchorId="1A5EAF3B">
          <v:shape id="_x0000_i1042" type="#_x0000_t75" style="width:12pt;height:18pt" o:ole="">
            <v:imagedata r:id="rId39" o:title=""/>
          </v:shape>
          <o:OLEObject Type="Embed" ProgID="Equation.DSMT4" ShapeID="_x0000_i1042" DrawAspect="Content" ObjectID="_1768995517" r:id="rId43"/>
        </w:object>
      </w:r>
      <w:r w:rsidR="009D67A4">
        <w:t xml:space="preserve"> </w:t>
      </w:r>
      <w:r w:rsidR="009D67A4" w:rsidRPr="00F72D6A">
        <w:rPr>
          <w:rFonts w:cs="Times New Roman"/>
          <w:szCs w:val="24"/>
        </w:rPr>
        <w:t xml:space="preserve">for </w:t>
      </w:r>
      <w:r w:rsidR="009D67A4" w:rsidRPr="00F72D6A">
        <w:rPr>
          <w:rFonts w:eastAsia="Times New Roman" w:cs="Times New Roman"/>
          <w:position w:val="-12"/>
          <w:szCs w:val="24"/>
        </w:rPr>
        <w:object w:dxaOrig="276" w:dyaOrig="360" w14:anchorId="3D7527E0">
          <v:shape id="_x0000_i1043" type="#_x0000_t75" style="width:13.3pt;height:18pt" o:ole="" o:preferrelative="f">
            <v:imagedata r:id="rId44" o:title=""/>
            <o:lock v:ext="edit" aspectratio="f"/>
          </v:shape>
          <o:OLEObject Type="Embed" ProgID="Equation.DSMT4" ShapeID="_x0000_i1043" DrawAspect="Content" ObjectID="_1768995518" r:id="rId45"/>
        </w:object>
      </w:r>
      <w:r w:rsidR="009D67A4" w:rsidRPr="00F72D6A">
        <w:rPr>
          <w:rFonts w:cs="Times New Roman"/>
          <w:szCs w:val="24"/>
        </w:rPr>
        <w:t xml:space="preserve">=0 and </w:t>
      </w:r>
      <w:r w:rsidR="009D67A4" w:rsidRPr="00F72D6A">
        <w:rPr>
          <w:rFonts w:eastAsia="Times New Roman" w:cs="Times New Roman"/>
          <w:position w:val="-12"/>
          <w:szCs w:val="24"/>
        </w:rPr>
        <w:object w:dxaOrig="336" w:dyaOrig="372" w14:anchorId="5287941D">
          <v:shape id="_x0000_i1044" type="#_x0000_t75" style="width:16.3pt;height:18.85pt" o:ole="" o:preferrelative="f">
            <v:imagedata r:id="rId46" o:title=""/>
            <o:lock v:ext="edit" aspectratio="f"/>
          </v:shape>
          <o:OLEObject Type="Embed" ProgID="Equation.DSMT4" ShapeID="_x0000_i1044" DrawAspect="Content" ObjectID="_1768995519" r:id="rId47"/>
        </w:object>
      </w:r>
      <w:r w:rsidR="009D67A4" w:rsidRPr="00F72D6A">
        <w:rPr>
          <w:rFonts w:cs="Times New Roman"/>
          <w:szCs w:val="24"/>
        </w:rPr>
        <w:t xml:space="preserve">=1, and for different values of </w:t>
      </w:r>
      <w:r w:rsidR="009D67A4" w:rsidRPr="00F72D6A">
        <w:rPr>
          <w:rFonts w:eastAsia="Times New Roman" w:cs="Times New Roman"/>
          <w:position w:val="-12"/>
          <w:szCs w:val="24"/>
        </w:rPr>
        <w:object w:dxaOrig="252" w:dyaOrig="360" w14:anchorId="364A1146">
          <v:shape id="_x0000_i1045" type="#_x0000_t75" style="width:12.85pt;height:18pt" o:ole="" o:preferrelative="f">
            <v:imagedata r:id="rId48" o:title=""/>
            <o:lock v:ext="edit" aspectratio="f"/>
          </v:shape>
          <o:OLEObject Type="Embed" ProgID="Equation.DSMT4" ShapeID="_x0000_i1045" DrawAspect="Content" ObjectID="_1768995520" r:id="rId49"/>
        </w:object>
      </w:r>
      <w:r w:rsidR="009D67A4" w:rsidRPr="00F72D6A">
        <w:rPr>
          <w:rFonts w:cs="Times New Roman"/>
          <w:szCs w:val="24"/>
        </w:rPr>
        <w:t xml:space="preserve"> (</w:t>
      </w:r>
      <w:r w:rsidR="009D67A4" w:rsidRPr="00F72D6A">
        <w:rPr>
          <w:rFonts w:eastAsia="Times New Roman" w:cs="Times New Roman"/>
          <w:position w:val="-12"/>
          <w:szCs w:val="24"/>
        </w:rPr>
        <w:object w:dxaOrig="940" w:dyaOrig="360" w14:anchorId="5285841E">
          <v:shape id="_x0000_i1046" type="#_x0000_t75" style="width:46.3pt;height:18pt" o:ole="" o:preferrelative="f">
            <v:imagedata r:id="rId50" o:title=""/>
            <o:lock v:ext="edit" aspectratio="f"/>
          </v:shape>
          <o:OLEObject Type="Embed" ProgID="Equation.DSMT4" ShapeID="_x0000_i1046" DrawAspect="Content" ObjectID="_1768995521" r:id="rId51"/>
        </w:object>
      </w:r>
      <w:r w:rsidR="009D67A4" w:rsidRPr="00F72D6A">
        <w:rPr>
          <w:rFonts w:cs="Times New Roman"/>
          <w:szCs w:val="24"/>
        </w:rPr>
        <w:t>)</w:t>
      </w:r>
      <w:r w:rsidR="009D67A4">
        <w:rPr>
          <w:rFonts w:cs="Times New Roman"/>
          <w:szCs w:val="24"/>
        </w:rPr>
        <w:t xml:space="preserve">. The plots are restricted to the </w:t>
      </w:r>
      <w:r w:rsidR="00976B07" w:rsidRPr="00F72D6A">
        <w:rPr>
          <w:rFonts w:eastAsia="Times New Roman" w:cs="Times New Roman"/>
          <w:position w:val="-12"/>
          <w:szCs w:val="24"/>
        </w:rPr>
        <w:object w:dxaOrig="940" w:dyaOrig="360" w14:anchorId="672A5CFF">
          <v:shape id="_x0000_i1047" type="#_x0000_t75" style="width:46.3pt;height:18pt" o:ole="" o:preferrelative="f">
            <v:imagedata r:id="rId52" o:title=""/>
            <o:lock v:ext="edit" aspectratio="f"/>
          </v:shape>
          <o:OLEObject Type="Embed" ProgID="Equation.DSMT4" ShapeID="_x0000_i1047" DrawAspect="Content" ObjectID="_1768995522" r:id="rId53"/>
        </w:object>
      </w:r>
      <w:r w:rsidR="009D67A4">
        <w:rPr>
          <w:rFonts w:cs="Times New Roman"/>
          <w:szCs w:val="24"/>
        </w:rPr>
        <w:t xml:space="preserve"> range, because the corresponding plots for </w:t>
      </w:r>
      <w:r w:rsidR="009D67A4" w:rsidRPr="00F72D6A">
        <w:rPr>
          <w:rFonts w:eastAsia="Times New Roman" w:cs="Times New Roman"/>
          <w:position w:val="-12"/>
          <w:szCs w:val="24"/>
        </w:rPr>
        <w:object w:dxaOrig="940" w:dyaOrig="360" w14:anchorId="5F3E8444">
          <v:shape id="_x0000_i1048" type="#_x0000_t75" style="width:46.3pt;height:18pt" o:ole="" o:preferrelative="f">
            <v:imagedata r:id="rId54" o:title=""/>
            <o:lock v:ext="edit" aspectratio="f"/>
          </v:shape>
          <o:OLEObject Type="Embed" ProgID="Equation.DSMT4" ShapeID="_x0000_i1048" DrawAspect="Content" ObjectID="_1768995523" r:id="rId55"/>
        </w:object>
      </w:r>
      <w:r w:rsidR="009D67A4">
        <w:rPr>
          <w:rFonts w:eastAsia="Times New Roman" w:cs="Times New Roman"/>
          <w:szCs w:val="24"/>
        </w:rPr>
        <w:t xml:space="preserve"> are mirror images of the plots shown, except with the skew toward the left. </w:t>
      </w:r>
      <w:r w:rsidR="009D67A4" w:rsidRPr="00EE190B">
        <w:rPr>
          <w:rFonts w:cs="Times New Roman"/>
          <w:szCs w:val="24"/>
        </w:rPr>
        <w:t xml:space="preserve">For easy comparison, we have centered </w:t>
      </w:r>
      <w:r w:rsidR="00F76E97">
        <w:rPr>
          <w:rFonts w:cs="Times New Roman"/>
          <w:szCs w:val="24"/>
        </w:rPr>
        <w:t xml:space="preserve">the mode for </w:t>
      </w:r>
      <w:r w:rsidR="009D67A4" w:rsidRPr="00EE190B">
        <w:rPr>
          <w:rFonts w:cs="Times New Roman"/>
          <w:szCs w:val="24"/>
        </w:rPr>
        <w:t xml:space="preserve">all the resulting plots for </w:t>
      </w:r>
      <w:r w:rsidR="009D67A4" w:rsidRPr="00EE190B">
        <w:rPr>
          <w:rFonts w:cs="Times New Roman"/>
          <w:position w:val="-12"/>
          <w:szCs w:val="24"/>
        </w:rPr>
        <w:object w:dxaOrig="240" w:dyaOrig="360" w14:anchorId="7C65188A">
          <v:shape id="_x0000_i1049" type="#_x0000_t75" style="width:12pt;height:18pt" o:ole="">
            <v:imagedata r:id="rId39" o:title=""/>
          </v:shape>
          <o:OLEObject Type="Embed" ProgID="Equation.DSMT4" ShapeID="_x0000_i1049" DrawAspect="Content" ObjectID="_1768995524" r:id="rId56"/>
        </w:object>
      </w:r>
      <w:r w:rsidR="009D67A4" w:rsidRPr="00EE190B">
        <w:rPr>
          <w:rFonts w:cs="Times New Roman"/>
          <w:szCs w:val="24"/>
        </w:rPr>
        <w:t xml:space="preserve"> at zero. The plots show the</w:t>
      </w:r>
      <w:r w:rsidR="009D67A4" w:rsidRPr="00F72D6A">
        <w:rPr>
          <w:rFonts w:cs="Times New Roman"/>
          <w:szCs w:val="24"/>
        </w:rPr>
        <w:t xml:space="preserve"> flexibility of the YJ </w:t>
      </w:r>
      <w:r w:rsidR="009D67A4" w:rsidRPr="00F72D6A">
        <w:rPr>
          <w:rFonts w:cs="Times New Roman"/>
          <w:szCs w:val="24"/>
        </w:rPr>
        <w:lastRenderedPageBreak/>
        <w:t>transformation</w:t>
      </w:r>
      <w:r w:rsidR="009D67A4">
        <w:rPr>
          <w:rFonts w:cs="Times New Roman"/>
          <w:szCs w:val="24"/>
        </w:rPr>
        <w:t xml:space="preserve"> to accommodate different levels of skew and tail thickness</w:t>
      </w:r>
      <w:r w:rsidR="00A062E8">
        <w:rPr>
          <w:rFonts w:cs="Times New Roman"/>
          <w:szCs w:val="24"/>
        </w:rPr>
        <w:t>, especially given that the skew can be toward the right too (not shown in Figure 1)</w:t>
      </w:r>
      <w:r w:rsidR="009D67A4" w:rsidRPr="00F72D6A">
        <w:rPr>
          <w:rFonts w:cs="Times New Roman"/>
          <w:szCs w:val="24"/>
        </w:rPr>
        <w:t xml:space="preserve">. </w:t>
      </w:r>
      <w:r w:rsidR="00A062E8">
        <w:rPr>
          <w:rFonts w:cs="Times New Roman"/>
          <w:szCs w:val="24"/>
        </w:rPr>
        <w:t>Also, a</w:t>
      </w:r>
      <w:r w:rsidR="006F6727" w:rsidRPr="00F72D6A">
        <w:rPr>
          <w:rFonts w:cs="Times New Roman"/>
          <w:szCs w:val="24"/>
        </w:rPr>
        <w:t xml:space="preserve">cross different </w:t>
      </w:r>
      <w:r w:rsidR="000E7432">
        <w:rPr>
          <w:rFonts w:cs="Times New Roman"/>
          <w:szCs w:val="24"/>
        </w:rPr>
        <w:t xml:space="preserve">random </w:t>
      </w:r>
      <w:r w:rsidR="006F6727" w:rsidRPr="00F72D6A">
        <w:rPr>
          <w:rFonts w:cs="Times New Roman"/>
          <w:szCs w:val="24"/>
        </w:rPr>
        <w:t xml:space="preserve">variables </w:t>
      </w:r>
      <w:r w:rsidR="00AC6517" w:rsidRPr="00F72D6A">
        <w:rPr>
          <w:rFonts w:eastAsia="Times New Roman" w:cs="Times New Roman"/>
          <w:position w:val="-12"/>
          <w:szCs w:val="24"/>
        </w:rPr>
        <w:object w:dxaOrig="1100" w:dyaOrig="360" w14:anchorId="7534A568">
          <v:shape id="_x0000_i1050" type="#_x0000_t75" style="width:54.85pt;height:18pt" o:ole="" o:preferrelative="f">
            <v:imagedata r:id="rId57" o:title=""/>
            <o:lock v:ext="edit" aspectratio="f"/>
          </v:shape>
          <o:OLEObject Type="Embed" ProgID="Equation.DSMT4" ShapeID="_x0000_i1050" DrawAspect="Content" ObjectID="_1768995525" r:id="rId58"/>
        </w:object>
      </w:r>
      <w:r w:rsidR="006F6727" w:rsidRPr="00F72D6A">
        <w:rPr>
          <w:rFonts w:cs="Times New Roman"/>
          <w:szCs w:val="24"/>
        </w:rPr>
        <w:t xml:space="preserve">, the direction and intensity of skew/tail can vary. </w:t>
      </w:r>
      <w:r w:rsidR="005E0E39" w:rsidRPr="00F72D6A">
        <w:rPr>
          <w:rFonts w:cs="Times New Roman"/>
          <w:szCs w:val="24"/>
        </w:rPr>
        <w:t xml:space="preserve">Then, the different variables </w:t>
      </w:r>
      <w:r w:rsidR="00AC6517" w:rsidRPr="00B67721">
        <w:rPr>
          <w:position w:val="-12"/>
        </w:rPr>
        <w:object w:dxaOrig="1620" w:dyaOrig="360" w14:anchorId="120406F9">
          <v:shape id="_x0000_i1051" type="#_x0000_t75" style="width:81pt;height:18pt" o:ole="" o:preferrelative="f">
            <v:imagedata r:id="rId59" o:title=""/>
            <o:lock v:ext="edit" aspectratio="f"/>
          </v:shape>
          <o:OLEObject Type="Embed" ProgID="Equation.DSMT4" ShapeID="_x0000_i1051" DrawAspect="Content" ObjectID="_1768995526" r:id="rId60"/>
        </w:object>
      </w:r>
      <w:r w:rsidR="000E7432">
        <w:t xml:space="preserve"> </w:t>
      </w:r>
      <w:r w:rsidR="005E0E39" w:rsidRPr="00F72D6A">
        <w:rPr>
          <w:rFonts w:cs="Times New Roman"/>
          <w:szCs w:val="24"/>
        </w:rPr>
        <w:t>can be brought together into a multivariate distribution using an implicit Gaussian copula, as discussed next. For convenience, d</w:t>
      </w:r>
      <w:r w:rsidR="006F6727" w:rsidRPr="00F72D6A">
        <w:rPr>
          <w:rFonts w:cs="Times New Roman"/>
          <w:szCs w:val="24"/>
        </w:rPr>
        <w:t xml:space="preserve">efine </w:t>
      </w:r>
      <w:r w:rsidR="00AC6517" w:rsidRPr="00506566">
        <w:rPr>
          <w:rFonts w:eastAsia="Times New Roman" w:cs="Times New Roman"/>
          <w:position w:val="-14"/>
          <w:szCs w:val="24"/>
        </w:rPr>
        <w:object w:dxaOrig="3060" w:dyaOrig="499" w14:anchorId="7FBA71A0">
          <v:shape id="_x0000_i1052" type="#_x0000_t75" style="width:153pt;height:25.3pt" o:ole="" o:preferrelative="f">
            <v:imagedata r:id="rId61" o:title=""/>
            <o:lock v:ext="edit" aspectratio="f"/>
          </v:shape>
          <o:OLEObject Type="Embed" ProgID="Equation.DSMT4" ShapeID="_x0000_i1052" DrawAspect="Content" ObjectID="_1768995527" r:id="rId62"/>
        </w:object>
      </w:r>
      <w:r w:rsidR="006F6727" w:rsidRPr="00F72D6A">
        <w:rPr>
          <w:rFonts w:cs="Times New Roman"/>
          <w:szCs w:val="24"/>
        </w:rPr>
        <w:t xml:space="preserve">, </w:t>
      </w:r>
      <w:r w:rsidR="00AC6517" w:rsidRPr="00347A30">
        <w:rPr>
          <w:rFonts w:eastAsia="Times New Roman" w:cs="Times New Roman"/>
          <w:position w:val="-16"/>
          <w:szCs w:val="24"/>
        </w:rPr>
        <w:object w:dxaOrig="3420" w:dyaOrig="540" w14:anchorId="2EA6083A">
          <v:shape id="_x0000_i1053" type="#_x0000_t75" style="width:171pt;height:27pt" o:ole="" o:preferrelative="f">
            <v:imagedata r:id="rId63" o:title=""/>
            <o:lock v:ext="edit" aspectratio="f"/>
          </v:shape>
          <o:OLEObject Type="Embed" ProgID="Equation.DSMT4" ShapeID="_x0000_i1053" DrawAspect="Content" ObjectID="_1768995528" r:id="rId64"/>
        </w:object>
      </w:r>
      <w:r>
        <w:rPr>
          <w:rFonts w:cs="Times New Roman"/>
          <w:szCs w:val="24"/>
        </w:rPr>
        <w:t xml:space="preserve">, </w:t>
      </w:r>
      <w:r w:rsidR="006F6727" w:rsidRPr="00F72D6A">
        <w:rPr>
          <w:rFonts w:cs="Times New Roman"/>
          <w:szCs w:val="24"/>
        </w:rPr>
        <w:t xml:space="preserve">and </w:t>
      </w:r>
      <w:r w:rsidR="006E1AE0" w:rsidRPr="00F72D6A">
        <w:rPr>
          <w:rFonts w:eastAsia="Times New Roman" w:cs="Times New Roman"/>
          <w:position w:val="-16"/>
          <w:szCs w:val="24"/>
        </w:rPr>
        <w:object w:dxaOrig="3540" w:dyaOrig="440" w14:anchorId="329671B6">
          <v:shape id="_x0000_i1054" type="#_x0000_t75" style="width:177.85pt;height:22.7pt" o:ole="" o:preferrelative="f">
            <v:imagedata r:id="rId65" o:title=""/>
            <o:lock v:ext="edit" aspectratio="f"/>
          </v:shape>
          <o:OLEObject Type="Embed" ProgID="Equation.DSMT4" ShapeID="_x0000_i1054" DrawAspect="Content" ObjectID="_1768995529" r:id="rId66"/>
        </w:object>
      </w:r>
      <w:r w:rsidR="006F6727" w:rsidRPr="00F72D6A">
        <w:rPr>
          <w:rFonts w:cs="Times New Roman"/>
          <w:szCs w:val="24"/>
        </w:rPr>
        <w:t xml:space="preserve"> </w:t>
      </w:r>
      <w:r w:rsidR="00AC6517" w:rsidRPr="00F72D6A">
        <w:rPr>
          <w:rFonts w:eastAsia="Times New Roman" w:cs="Times New Roman"/>
          <w:position w:val="-10"/>
          <w:szCs w:val="24"/>
        </w:rPr>
        <w:object w:dxaOrig="1344" w:dyaOrig="336" w14:anchorId="50952863">
          <v:shape id="_x0000_i1055" type="#_x0000_t75" style="width:66.85pt;height:15.85pt" o:ole="" o:preferrelative="f">
            <v:imagedata r:id="rId67" o:title=""/>
            <o:lock v:ext="edit" aspectratio="f"/>
          </v:shape>
          <o:OLEObject Type="Embed" ProgID="Equation.DSMT4" ShapeID="_x0000_i1055" DrawAspect="Content" ObjectID="_1768995530" r:id="rId68"/>
        </w:object>
      </w:r>
      <w:r w:rsidR="006F6727" w:rsidRPr="00F72D6A">
        <w:rPr>
          <w:rFonts w:cs="Times New Roman"/>
          <w:szCs w:val="24"/>
        </w:rPr>
        <w:t xml:space="preserve">. </w:t>
      </w:r>
    </w:p>
    <w:p w14:paraId="62754E91" w14:textId="77777777" w:rsidR="00A908C4" w:rsidRDefault="00A908C4" w:rsidP="00B4106B">
      <w:pPr>
        <w:spacing w:line="276" w:lineRule="auto"/>
        <w:jc w:val="both"/>
        <w:rPr>
          <w:rFonts w:cs="Times New Roman"/>
          <w:szCs w:val="24"/>
        </w:rPr>
      </w:pPr>
    </w:p>
    <w:p w14:paraId="4C985BD1" w14:textId="095103CB" w:rsidR="00AC6517" w:rsidRDefault="00AC6517" w:rsidP="00B4106B">
      <w:pPr>
        <w:spacing w:line="276" w:lineRule="auto"/>
        <w:jc w:val="both"/>
        <w:rPr>
          <w:rFonts w:cs="Times New Roman"/>
          <w:szCs w:val="24"/>
        </w:rPr>
      </w:pPr>
      <w:r>
        <w:rPr>
          <w:rFonts w:cs="Times New Roman"/>
          <w:noProof/>
          <w:szCs w:val="24"/>
        </w:rPr>
        <w:drawing>
          <wp:inline distT="0" distB="0" distL="0" distR="0" wp14:anchorId="040B3421" wp14:editId="69195A8B">
            <wp:extent cx="5957325" cy="30384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69" cstate="print">
                      <a:extLst>
                        <a:ext uri="{28A0092B-C50C-407E-A947-70E740481C1C}">
                          <a14:useLocalDpi xmlns:a14="http://schemas.microsoft.com/office/drawing/2010/main" val="0"/>
                        </a:ext>
                      </a:extLst>
                    </a:blip>
                    <a:srcRect l="5449" r="1442"/>
                    <a:stretch/>
                  </pic:blipFill>
                  <pic:spPr bwMode="auto">
                    <a:xfrm>
                      <a:off x="0" y="0"/>
                      <a:ext cx="5957325" cy="3038475"/>
                    </a:xfrm>
                    <a:prstGeom prst="rect">
                      <a:avLst/>
                    </a:prstGeom>
                    <a:ln>
                      <a:noFill/>
                    </a:ln>
                    <a:extLst>
                      <a:ext uri="{53640926-AAD7-44D8-BBD7-CCE9431645EC}">
                        <a14:shadowObscured xmlns:a14="http://schemas.microsoft.com/office/drawing/2010/main"/>
                      </a:ext>
                    </a:extLst>
                  </pic:spPr>
                </pic:pic>
              </a:graphicData>
            </a:graphic>
          </wp:inline>
        </w:drawing>
      </w:r>
    </w:p>
    <w:p w14:paraId="702C3BAF" w14:textId="06EDD14A" w:rsidR="00D40E00" w:rsidRDefault="00AC6517" w:rsidP="00D40E00">
      <w:pPr>
        <w:jc w:val="center"/>
        <w:rPr>
          <w:b/>
          <w:bCs/>
        </w:rPr>
      </w:pPr>
      <w:r w:rsidRPr="000916EF">
        <w:rPr>
          <w:b/>
          <w:bCs/>
        </w:rPr>
        <w:t xml:space="preserve">Figure </w:t>
      </w:r>
      <w:r>
        <w:rPr>
          <w:b/>
          <w:bCs/>
        </w:rPr>
        <w:t>1</w:t>
      </w:r>
      <w:r w:rsidRPr="000916EF">
        <w:rPr>
          <w:b/>
          <w:bCs/>
        </w:rPr>
        <w:t>: Density of transformed variable for different lambda values</w:t>
      </w:r>
    </w:p>
    <w:p w14:paraId="6C82BB8D" w14:textId="6E620ED9" w:rsidR="00D40E00" w:rsidRDefault="00D40E00" w:rsidP="00D40E00">
      <w:pPr>
        <w:jc w:val="center"/>
        <w:rPr>
          <w:b/>
          <w:bCs/>
        </w:rPr>
      </w:pPr>
    </w:p>
    <w:p w14:paraId="42E09A23" w14:textId="77777777" w:rsidR="00D40E00" w:rsidRDefault="00D40E00" w:rsidP="00D40E00">
      <w:pPr>
        <w:rPr>
          <w:b/>
          <w:bCs/>
        </w:rPr>
      </w:pPr>
    </w:p>
    <w:p w14:paraId="2809C7D9" w14:textId="77777777" w:rsidR="006F6727" w:rsidRPr="00FE38B5" w:rsidRDefault="006F6727" w:rsidP="00AC6517">
      <w:pPr>
        <w:numPr>
          <w:ilvl w:val="1"/>
          <w:numId w:val="2"/>
        </w:numPr>
        <w:spacing w:line="276" w:lineRule="auto"/>
        <w:ind w:left="540" w:hanging="540"/>
        <w:jc w:val="both"/>
        <w:rPr>
          <w:b/>
          <w:bCs/>
          <w:noProof/>
        </w:rPr>
      </w:pPr>
      <w:r w:rsidRPr="00FE38B5">
        <w:rPr>
          <w:b/>
          <w:bCs/>
          <w:noProof/>
        </w:rPr>
        <w:t xml:space="preserve">Construction of a Multivariate </w:t>
      </w:r>
      <w:r w:rsidR="00B77680" w:rsidRPr="00FE38B5">
        <w:rPr>
          <w:b/>
          <w:bCs/>
          <w:noProof/>
        </w:rPr>
        <w:t>Distribution</w:t>
      </w:r>
    </w:p>
    <w:p w14:paraId="69166145" w14:textId="2F733972" w:rsidR="00C347A3" w:rsidRPr="00F72D6A" w:rsidRDefault="00F836DC" w:rsidP="00AC6517">
      <w:pPr>
        <w:spacing w:line="276" w:lineRule="auto"/>
        <w:jc w:val="both"/>
        <w:rPr>
          <w:rFonts w:cs="Times New Roman"/>
          <w:szCs w:val="24"/>
        </w:rPr>
      </w:pPr>
      <w:r w:rsidRPr="00F72D6A">
        <w:rPr>
          <w:rFonts w:cs="Times New Roman"/>
          <w:noProof/>
          <w:szCs w:val="24"/>
        </w:rPr>
        <w:t xml:space="preserve">The most direct way </w:t>
      </w:r>
      <w:r w:rsidR="00CF2B4D">
        <w:rPr>
          <w:rFonts w:cs="Times New Roman"/>
          <w:noProof/>
          <w:szCs w:val="24"/>
        </w:rPr>
        <w:t xml:space="preserve">to construct a multivariate distribution with the transformed normal univariate marginals </w:t>
      </w:r>
      <w:r w:rsidRPr="00F72D6A">
        <w:rPr>
          <w:rFonts w:cs="Times New Roman"/>
          <w:noProof/>
          <w:szCs w:val="24"/>
        </w:rPr>
        <w:t xml:space="preserve">is to </w:t>
      </w:r>
      <w:r w:rsidR="00CF2B4D">
        <w:rPr>
          <w:rFonts w:cs="Times New Roman"/>
          <w:noProof/>
          <w:szCs w:val="24"/>
        </w:rPr>
        <w:t xml:space="preserve">assume a </w:t>
      </w:r>
      <w:r w:rsidR="00C347A3" w:rsidRPr="00F72D6A">
        <w:rPr>
          <w:rFonts w:cs="Times New Roman"/>
          <w:noProof/>
          <w:szCs w:val="24"/>
        </w:rPr>
        <w:t>multivariate normal distribut</w:t>
      </w:r>
      <w:r w:rsidR="00CF2B4D">
        <w:rPr>
          <w:rFonts w:cs="Times New Roman"/>
          <w:noProof/>
          <w:szCs w:val="24"/>
        </w:rPr>
        <w:t>ion for the</w:t>
      </w:r>
      <w:r w:rsidR="00C347A3" w:rsidRPr="00F72D6A">
        <w:rPr>
          <w:rFonts w:cs="Times New Roman"/>
          <w:noProof/>
          <w:szCs w:val="24"/>
        </w:rPr>
        <w:t xml:space="preserve"> </w:t>
      </w:r>
      <w:r w:rsidR="00CF2B4D">
        <w:rPr>
          <w:rFonts w:cs="Times New Roman"/>
          <w:noProof/>
          <w:szCs w:val="24"/>
        </w:rPr>
        <w:t xml:space="preserve">transformed </w:t>
      </w:r>
      <w:r w:rsidR="00C347A3" w:rsidRPr="00F72D6A">
        <w:rPr>
          <w:rFonts w:eastAsia="Times New Roman" w:cs="Times New Roman"/>
          <w:szCs w:val="24"/>
        </w:rPr>
        <w:t xml:space="preserve">vector </w:t>
      </w:r>
      <w:r w:rsidR="0045451B" w:rsidRPr="00F72D6A">
        <w:rPr>
          <w:rFonts w:eastAsia="Times New Roman" w:cs="Times New Roman"/>
          <w:position w:val="-6"/>
          <w:szCs w:val="24"/>
        </w:rPr>
        <w:object w:dxaOrig="260" w:dyaOrig="279" w14:anchorId="62293158">
          <v:shape id="_x0000_i1056" type="#_x0000_t75" style="width:13.3pt;height:13.7pt" o:ole="" o:preferrelative="f">
            <v:imagedata r:id="rId70" o:title=""/>
            <o:lock v:ext="edit" aspectratio="f"/>
          </v:shape>
          <o:OLEObject Type="Embed" ProgID="Equation.DSMT4" ShapeID="_x0000_i1056" DrawAspect="Content" ObjectID="_1768995531" r:id="rId71"/>
        </w:object>
      </w:r>
      <w:r w:rsidR="00C347A3" w:rsidRPr="00F72D6A">
        <w:rPr>
          <w:rFonts w:cs="Times New Roman"/>
          <w:szCs w:val="24"/>
        </w:rPr>
        <w:t xml:space="preserve"> (that such an approach is equivalent to an implicit Gaussian copula approach is discussed in</w:t>
      </w:r>
      <w:r w:rsidR="00F90100" w:rsidRPr="0065493C">
        <w:rPr>
          <w:rFonts w:eastAsia="CMR12" w:cs="Times New Roman"/>
          <w:szCs w:val="24"/>
        </w:rPr>
        <w:t xml:space="preserve"> Smith et al. (2020)</w:t>
      </w:r>
      <w:r w:rsidR="00F90100">
        <w:rPr>
          <w:rFonts w:eastAsia="CMR12" w:cs="Times New Roman"/>
          <w:szCs w:val="24"/>
        </w:rPr>
        <w:t xml:space="preserve">, </w:t>
      </w:r>
      <w:r w:rsidR="00F90100" w:rsidRPr="0065493C">
        <w:rPr>
          <w:rFonts w:eastAsia="CMR12" w:cs="Times New Roman"/>
          <w:szCs w:val="24"/>
        </w:rPr>
        <w:t xml:space="preserve">Loaiza-Maya et al. (2022), </w:t>
      </w:r>
      <w:r w:rsidR="00D126CD" w:rsidRPr="00F72D6A">
        <w:rPr>
          <w:rFonts w:cs="Times New Roman"/>
          <w:szCs w:val="24"/>
        </w:rPr>
        <w:t>and Bhat and Mondal</w:t>
      </w:r>
      <w:r w:rsidR="00F90100">
        <w:rPr>
          <w:rFonts w:cs="Times New Roman"/>
          <w:szCs w:val="24"/>
        </w:rPr>
        <w:t xml:space="preserve"> (</w:t>
      </w:r>
      <w:r w:rsidR="00D126CD" w:rsidRPr="00F72D6A">
        <w:rPr>
          <w:rFonts w:cs="Times New Roman"/>
          <w:szCs w:val="24"/>
        </w:rPr>
        <w:t>2022</w:t>
      </w:r>
      <w:r w:rsidR="00C347A3" w:rsidRPr="00F72D6A">
        <w:rPr>
          <w:rFonts w:cs="Times New Roman"/>
          <w:szCs w:val="24"/>
        </w:rPr>
        <w:t>)</w:t>
      </w:r>
      <w:r w:rsidRPr="00F72D6A">
        <w:rPr>
          <w:rFonts w:cs="Times New Roman"/>
          <w:szCs w:val="24"/>
        </w:rPr>
        <w:t xml:space="preserve">. </w:t>
      </w:r>
      <w:r w:rsidR="00C347A3" w:rsidRPr="00F72D6A">
        <w:rPr>
          <w:rFonts w:cs="Times New Roman"/>
          <w:szCs w:val="24"/>
        </w:rPr>
        <w:t xml:space="preserve">Specifically, we may write the cumulative distribution function for the vector </w:t>
      </w:r>
      <w:r w:rsidR="00506566" w:rsidRPr="00506566">
        <w:rPr>
          <w:rFonts w:eastAsia="Times New Roman" w:cs="Times New Roman"/>
          <w:position w:val="-6"/>
          <w:szCs w:val="24"/>
        </w:rPr>
        <w:object w:dxaOrig="180" w:dyaOrig="220" w14:anchorId="03744AC2">
          <v:shape id="_x0000_i1057" type="#_x0000_t75" style="width:9pt;height:10.7pt" o:ole="" o:preferrelative="f">
            <v:imagedata r:id="rId72" o:title=""/>
            <o:lock v:ext="edit" aspectratio="f"/>
          </v:shape>
          <o:OLEObject Type="Embed" ProgID="Equation.DSMT4" ShapeID="_x0000_i1057" DrawAspect="Content" ObjectID="_1768995532" r:id="rId73"/>
        </w:object>
      </w:r>
      <w:r w:rsidR="00C347A3" w:rsidRPr="00F72D6A">
        <w:rPr>
          <w:rFonts w:eastAsia="Times New Roman" w:cs="Times New Roman"/>
          <w:szCs w:val="24"/>
        </w:rPr>
        <w:t>as follows:</w:t>
      </w:r>
    </w:p>
    <w:p w14:paraId="525CD4A3" w14:textId="16C62B99" w:rsidR="006F6727" w:rsidRPr="00F72D6A" w:rsidRDefault="00AC6517" w:rsidP="00D40E00">
      <w:pPr>
        <w:tabs>
          <w:tab w:val="right" w:pos="9360"/>
        </w:tabs>
        <w:spacing w:before="60" w:after="60" w:line="276" w:lineRule="auto"/>
        <w:jc w:val="both"/>
        <w:rPr>
          <w:rFonts w:cs="Times New Roman"/>
          <w:noProof/>
          <w:szCs w:val="24"/>
        </w:rPr>
      </w:pPr>
      <w:r w:rsidRPr="00347A30">
        <w:rPr>
          <w:rFonts w:eastAsia="Times New Roman" w:cs="Times New Roman"/>
          <w:position w:val="-212"/>
          <w:szCs w:val="24"/>
        </w:rPr>
        <w:object w:dxaOrig="6759" w:dyaOrig="3340" w14:anchorId="0ACE649F">
          <v:shape id="_x0000_i1058" type="#_x0000_t75" style="width:337.7pt;height:167.15pt" o:ole="" o:preferrelative="f">
            <v:imagedata r:id="rId74" o:title=""/>
            <o:lock v:ext="edit" aspectratio="f"/>
          </v:shape>
          <o:OLEObject Type="Embed" ProgID="Equation.DSMT4" ShapeID="_x0000_i1058" DrawAspect="Content" ObjectID="_1768995533" r:id="rId75"/>
        </w:object>
      </w:r>
      <w:r w:rsidR="006F6727" w:rsidRPr="00F72D6A">
        <w:rPr>
          <w:rFonts w:cs="Times New Roman"/>
          <w:szCs w:val="24"/>
        </w:rPr>
        <w:t xml:space="preserve">          </w:t>
      </w:r>
      <w:r w:rsidR="008B25E6">
        <w:rPr>
          <w:rFonts w:cs="Times New Roman"/>
          <w:szCs w:val="24"/>
        </w:rPr>
        <w:tab/>
      </w:r>
      <w:r w:rsidR="006F6727" w:rsidRPr="00F72D6A">
        <w:rPr>
          <w:rFonts w:cs="Times New Roman"/>
          <w:szCs w:val="24"/>
        </w:rPr>
        <w:t>(3)</w:t>
      </w:r>
    </w:p>
    <w:p w14:paraId="2FAB08EC" w14:textId="637ED260" w:rsidR="00F74AFB" w:rsidRPr="00F72D6A" w:rsidRDefault="00B52C13" w:rsidP="00B4106B">
      <w:pPr>
        <w:spacing w:line="276" w:lineRule="auto"/>
        <w:jc w:val="both"/>
        <w:rPr>
          <w:rFonts w:eastAsia="Times New Roman" w:cs="Times New Roman"/>
          <w:szCs w:val="24"/>
        </w:rPr>
      </w:pPr>
      <w:r w:rsidRPr="00F72D6A">
        <w:rPr>
          <w:rFonts w:eastAsia="Times New Roman" w:cs="Times New Roman"/>
          <w:position w:val="-14"/>
          <w:szCs w:val="24"/>
        </w:rPr>
        <w:object w:dxaOrig="1060" w:dyaOrig="400" w14:anchorId="59B316F0">
          <v:shape id="_x0000_i1059" type="#_x0000_t75" style="width:52.7pt;height:19.7pt" o:ole="" o:preferrelative="f">
            <v:imagedata r:id="rId76" o:title=""/>
            <o:lock v:ext="edit" aspectratio="f"/>
          </v:shape>
          <o:OLEObject Type="Embed" ProgID="Equation.DSMT4" ShapeID="_x0000_i1059" DrawAspect="Content" ObjectID="_1768995534" r:id="rId77"/>
        </w:object>
      </w:r>
      <w:r w:rsidR="006F6727" w:rsidRPr="00F72D6A">
        <w:rPr>
          <w:rFonts w:cs="Times New Roman"/>
          <w:szCs w:val="24"/>
        </w:rPr>
        <w:t xml:space="preserve"> in the equation above is the multivariate normal distribution function of dimension </w:t>
      </w:r>
      <w:r w:rsidRPr="00F72D6A">
        <w:rPr>
          <w:rFonts w:eastAsia="Times New Roman" w:cs="Times New Roman"/>
          <w:position w:val="-4"/>
          <w:szCs w:val="24"/>
        </w:rPr>
        <w:object w:dxaOrig="220" w:dyaOrig="260" w14:anchorId="4683D013">
          <v:shape id="_x0000_i1060" type="#_x0000_t75" style="width:10.7pt;height:13.3pt" o:ole="">
            <v:imagedata r:id="rId78" o:title=""/>
          </v:shape>
          <o:OLEObject Type="Embed" ProgID="Equation.DSMT4" ShapeID="_x0000_i1060" DrawAspect="Content" ObjectID="_1768995535" r:id="rId79"/>
        </w:object>
      </w:r>
      <w:r w:rsidR="006F6727" w:rsidRPr="00F72D6A">
        <w:rPr>
          <w:rFonts w:cs="Times New Roman"/>
          <w:szCs w:val="24"/>
        </w:rPr>
        <w:t xml:space="preserve"> with mean </w:t>
      </w:r>
      <w:r w:rsidR="006F6727" w:rsidRPr="00F72D6A">
        <w:rPr>
          <w:rFonts w:eastAsia="Times New Roman" w:cs="Times New Roman"/>
          <w:position w:val="-10"/>
          <w:szCs w:val="24"/>
        </w:rPr>
        <w:object w:dxaOrig="204" w:dyaOrig="264" w14:anchorId="49D24F67">
          <v:shape id="_x0000_i1061" type="#_x0000_t75" style="width:10.3pt;height:13.7pt" o:ole="">
            <v:imagedata r:id="rId80" o:title=""/>
          </v:shape>
          <o:OLEObject Type="Embed" ProgID="Equation.DSMT4" ShapeID="_x0000_i1061" DrawAspect="Content" ObjectID="_1768995536" r:id="rId81"/>
        </w:object>
      </w:r>
      <w:r w:rsidR="006F6727" w:rsidRPr="00F72D6A">
        <w:rPr>
          <w:rFonts w:cs="Times New Roman"/>
          <w:szCs w:val="24"/>
        </w:rPr>
        <w:t xml:space="preserve"> and covariance matrix </w:t>
      </w:r>
      <w:r w:rsidR="006F6727" w:rsidRPr="00F72D6A">
        <w:rPr>
          <w:rFonts w:eastAsia="Times New Roman" w:cs="Times New Roman"/>
          <w:position w:val="-4"/>
          <w:szCs w:val="24"/>
        </w:rPr>
        <w:object w:dxaOrig="264" w:dyaOrig="264" w14:anchorId="243D0ED7">
          <v:shape id="_x0000_i1062" type="#_x0000_t75" style="width:13.7pt;height:13.7pt" o:ole="" o:preferrelative="f">
            <v:imagedata r:id="rId82" o:title=""/>
            <o:lock v:ext="edit" aspectratio="f"/>
          </v:shape>
          <o:OLEObject Type="Embed" ProgID="Equation.DSMT4" ShapeID="_x0000_i1062" DrawAspect="Content" ObjectID="_1768995537" r:id="rId83"/>
        </w:object>
      </w:r>
      <w:r w:rsidRPr="00F72D6A">
        <w:rPr>
          <w:rFonts w:eastAsia="Times New Roman" w:cs="Times New Roman"/>
          <w:szCs w:val="24"/>
        </w:rPr>
        <w:t>.</w:t>
      </w:r>
      <w:r w:rsidR="006F6727" w:rsidRPr="00F72D6A">
        <w:rPr>
          <w:rFonts w:cs="Times New Roman"/>
          <w:szCs w:val="24"/>
        </w:rPr>
        <w:t xml:space="preserve"> </w:t>
      </w:r>
      <w:r w:rsidR="00CF2B4D">
        <w:rPr>
          <w:rFonts w:cs="Times New Roman"/>
          <w:szCs w:val="24"/>
        </w:rPr>
        <w:t xml:space="preserve">The net result is that we have now transformed </w:t>
      </w:r>
      <w:r w:rsidR="006F6727" w:rsidRPr="00F72D6A">
        <w:rPr>
          <w:rFonts w:cs="Times New Roman"/>
          <w:szCs w:val="24"/>
        </w:rPr>
        <w:t xml:space="preserve">the multivariate distribution of </w:t>
      </w:r>
      <w:r w:rsidR="00506566" w:rsidRPr="00506566">
        <w:rPr>
          <w:rFonts w:eastAsia="Times New Roman" w:cs="Times New Roman"/>
          <w:position w:val="-6"/>
          <w:szCs w:val="24"/>
        </w:rPr>
        <w:object w:dxaOrig="180" w:dyaOrig="220" w14:anchorId="556F2193">
          <v:shape id="_x0000_i1063" type="#_x0000_t75" style="width:9pt;height:10.7pt" o:ole="" o:preferrelative="f">
            <v:imagedata r:id="rId84" o:title=""/>
            <o:lock v:ext="edit" aspectratio="f"/>
          </v:shape>
          <o:OLEObject Type="Embed" ProgID="Equation.DSMT4" ShapeID="_x0000_i1063" DrawAspect="Content" ObjectID="_1768995538" r:id="rId85"/>
        </w:object>
      </w:r>
      <w:r w:rsidR="006F6727" w:rsidRPr="00F72D6A">
        <w:rPr>
          <w:rFonts w:cs="Times New Roman"/>
          <w:szCs w:val="24"/>
        </w:rPr>
        <w:t xml:space="preserve"> to the multivariate normal distribution of </w:t>
      </w:r>
      <w:r w:rsidR="006C37DE" w:rsidRPr="000713A2">
        <w:rPr>
          <w:rFonts w:eastAsia="Times New Roman" w:cs="Times New Roman"/>
          <w:position w:val="-6"/>
          <w:szCs w:val="24"/>
        </w:rPr>
        <w:object w:dxaOrig="260" w:dyaOrig="279" w14:anchorId="2367EB95">
          <v:shape id="_x0000_i1064" type="#_x0000_t75" style="width:13.3pt;height:14.15pt" o:ole="" o:preferrelative="f">
            <v:imagedata r:id="rId86" o:title=""/>
            <o:lock v:ext="edit" aspectratio="f"/>
          </v:shape>
          <o:OLEObject Type="Embed" ProgID="Equation.DSMT4" ShapeID="_x0000_i1064" DrawAspect="Content" ObjectID="_1768995539" r:id="rId87"/>
        </w:object>
      </w:r>
      <w:r w:rsidR="00CF2B4D">
        <w:rPr>
          <w:rFonts w:eastAsia="Times New Roman" w:cs="Times New Roman"/>
          <w:szCs w:val="24"/>
        </w:rPr>
        <w:t xml:space="preserve"> through the use of </w:t>
      </w:r>
      <w:r w:rsidRPr="00F72D6A">
        <w:rPr>
          <w:rFonts w:eastAsia="Times New Roman" w:cs="Times New Roman"/>
          <w:szCs w:val="24"/>
        </w:rPr>
        <w:t>the element wise YJ-transformation parameters</w:t>
      </w:r>
      <w:r w:rsidR="004E6F42" w:rsidRPr="00F72D6A">
        <w:rPr>
          <w:rFonts w:eastAsia="Times New Roman" w:cs="Times New Roman"/>
          <w:szCs w:val="24"/>
        </w:rPr>
        <w:t xml:space="preserve"> </w:t>
      </w:r>
      <w:r w:rsidR="004E6F42" w:rsidRPr="00F72D6A">
        <w:rPr>
          <w:rFonts w:cs="Times New Roman"/>
          <w:position w:val="-12"/>
          <w:szCs w:val="24"/>
        </w:rPr>
        <w:object w:dxaOrig="240" w:dyaOrig="360" w14:anchorId="62B6C337">
          <v:shape id="_x0000_i1065" type="#_x0000_t75" style="width:12pt;height:18pt" o:ole="">
            <v:imagedata r:id="rId88" o:title=""/>
          </v:shape>
          <o:OLEObject Type="Embed" ProgID="Equation.DSMT4" ShapeID="_x0000_i1065" DrawAspect="Content" ObjectID="_1768995540" r:id="rId89"/>
        </w:object>
      </w:r>
      <w:r w:rsidR="004E6F42" w:rsidRPr="00F72D6A">
        <w:rPr>
          <w:rFonts w:cs="Times New Roman"/>
          <w:szCs w:val="24"/>
        </w:rPr>
        <w:t xml:space="preserve">. </w:t>
      </w:r>
      <w:r w:rsidR="00525FE8" w:rsidRPr="00F72D6A">
        <w:rPr>
          <w:rFonts w:cs="Times New Roman"/>
          <w:szCs w:val="24"/>
        </w:rPr>
        <w:t xml:space="preserve">To be noted also is that the elements of the mean vector </w:t>
      </w:r>
      <w:r w:rsidR="00525FE8" w:rsidRPr="00F72D6A">
        <w:rPr>
          <w:rFonts w:eastAsia="Times New Roman" w:cs="Times New Roman"/>
          <w:position w:val="-10"/>
          <w:szCs w:val="24"/>
        </w:rPr>
        <w:object w:dxaOrig="204" w:dyaOrig="264" w14:anchorId="0B7F4F93">
          <v:shape id="_x0000_i1066" type="#_x0000_t75" style="width:10.3pt;height:13.7pt" o:ole="">
            <v:imagedata r:id="rId80" o:title=""/>
          </v:shape>
          <o:OLEObject Type="Embed" ProgID="Equation.DSMT4" ShapeID="_x0000_i1066" DrawAspect="Content" ObjectID="_1768995541" r:id="rId90"/>
        </w:object>
      </w:r>
      <w:r w:rsidR="0045451B">
        <w:rPr>
          <w:rFonts w:eastAsia="Times New Roman" w:cs="Times New Roman"/>
          <w:szCs w:val="24"/>
        </w:rPr>
        <w:t xml:space="preserve"> </w:t>
      </w:r>
      <w:r w:rsidR="00525FE8" w:rsidRPr="00F72D6A">
        <w:rPr>
          <w:rFonts w:cs="Times New Roman"/>
          <w:szCs w:val="24"/>
        </w:rPr>
        <w:t xml:space="preserve">and the diagonal elements of </w:t>
      </w:r>
      <w:r w:rsidR="006F6727" w:rsidRPr="00F72D6A">
        <w:rPr>
          <w:rFonts w:cs="Times New Roman"/>
          <w:szCs w:val="24"/>
        </w:rPr>
        <w:t xml:space="preserve">the covariance matrix </w:t>
      </w:r>
      <w:r w:rsidR="006F6727" w:rsidRPr="00F72D6A">
        <w:rPr>
          <w:rFonts w:eastAsia="Times New Roman" w:cs="Times New Roman"/>
          <w:position w:val="-4"/>
          <w:szCs w:val="24"/>
        </w:rPr>
        <w:object w:dxaOrig="264" w:dyaOrig="264" w14:anchorId="64C56B2C">
          <v:shape id="_x0000_i1067" type="#_x0000_t75" style="width:13.7pt;height:13.7pt" o:ole="" o:preferrelative="f">
            <v:imagedata r:id="rId82" o:title=""/>
            <o:lock v:ext="edit" aspectratio="f"/>
          </v:shape>
          <o:OLEObject Type="Embed" ProgID="Equation.DSMT4" ShapeID="_x0000_i1067" DrawAspect="Content" ObjectID="_1768995542" r:id="rId91"/>
        </w:object>
      </w:r>
      <w:r w:rsidR="006F6727" w:rsidRPr="00F72D6A">
        <w:rPr>
          <w:rFonts w:cs="Times New Roman"/>
          <w:szCs w:val="24"/>
        </w:rPr>
        <w:t xml:space="preserve"> </w:t>
      </w:r>
      <w:r w:rsidR="00525FE8" w:rsidRPr="00F72D6A">
        <w:rPr>
          <w:rFonts w:cs="Times New Roman"/>
          <w:szCs w:val="24"/>
        </w:rPr>
        <w:t xml:space="preserve">are simply the parameters of the normalized marginal components, so that the only remaining elements in the multivariate dependence structure </w:t>
      </w:r>
      <w:r w:rsidR="00F74AFB" w:rsidRPr="00F72D6A">
        <w:rPr>
          <w:rFonts w:cs="Times New Roman"/>
          <w:szCs w:val="24"/>
        </w:rPr>
        <w:t xml:space="preserve">characterizing the dependence structure of </w:t>
      </w:r>
      <w:r w:rsidR="006C37DE" w:rsidRPr="006C37DE">
        <w:rPr>
          <w:position w:val="-6"/>
        </w:rPr>
        <w:object w:dxaOrig="180" w:dyaOrig="220" w14:anchorId="43A26812">
          <v:shape id="_x0000_i1068" type="#_x0000_t75" style="width:9pt;height:10.7pt" o:ole="">
            <v:imagedata r:id="rId72" o:title=""/>
          </v:shape>
          <o:OLEObject Type="Embed" ProgID="Equation.DSMT4" ShapeID="_x0000_i1068" DrawAspect="Content" ObjectID="_1768995543" r:id="rId92"/>
        </w:object>
      </w:r>
      <w:r w:rsidR="006C37DE">
        <w:t xml:space="preserve"> </w:t>
      </w:r>
      <w:r w:rsidR="00525FE8" w:rsidRPr="00F72D6A">
        <w:rPr>
          <w:rFonts w:cs="Times New Roman"/>
          <w:szCs w:val="24"/>
        </w:rPr>
        <w:t xml:space="preserve">correspond to the off-diagonal covariance  elements of </w:t>
      </w:r>
      <w:r w:rsidR="00525FE8" w:rsidRPr="00F72D6A">
        <w:rPr>
          <w:rFonts w:eastAsia="Times New Roman" w:cs="Times New Roman"/>
          <w:position w:val="-4"/>
          <w:szCs w:val="24"/>
        </w:rPr>
        <w:object w:dxaOrig="264" w:dyaOrig="264" w14:anchorId="6DE03423">
          <v:shape id="_x0000_i1069" type="#_x0000_t75" style="width:13.7pt;height:13.7pt" o:ole="" o:preferrelative="f">
            <v:imagedata r:id="rId82" o:title=""/>
            <o:lock v:ext="edit" aspectratio="f"/>
          </v:shape>
          <o:OLEObject Type="Embed" ProgID="Equation.DSMT4" ShapeID="_x0000_i1069" DrawAspect="Content" ObjectID="_1768995544" r:id="rId93"/>
        </w:object>
      </w:r>
      <w:r w:rsidR="00525FE8" w:rsidRPr="00F72D6A">
        <w:rPr>
          <w:rFonts w:eastAsia="Times New Roman" w:cs="Times New Roman"/>
          <w:szCs w:val="24"/>
        </w:rPr>
        <w:t xml:space="preserve">. </w:t>
      </w:r>
      <w:r w:rsidR="00F74AFB" w:rsidRPr="00F72D6A">
        <w:rPr>
          <w:rFonts w:eastAsia="Times New Roman" w:cs="Times New Roman"/>
          <w:szCs w:val="24"/>
        </w:rPr>
        <w:t>Of course, using the properties of the multivariate normal distribution, we can finally write:</w:t>
      </w:r>
    </w:p>
    <w:p w14:paraId="4E654311" w14:textId="6E4B952E" w:rsidR="00F74AFB" w:rsidRPr="00F72D6A" w:rsidRDefault="00D52E77" w:rsidP="00D40E00">
      <w:pPr>
        <w:tabs>
          <w:tab w:val="right" w:pos="9360"/>
        </w:tabs>
        <w:spacing w:before="60" w:after="60" w:line="276" w:lineRule="auto"/>
        <w:jc w:val="both"/>
        <w:rPr>
          <w:rFonts w:cs="Times New Roman"/>
          <w:szCs w:val="24"/>
        </w:rPr>
      </w:pPr>
      <w:r w:rsidRPr="00D52E77">
        <w:rPr>
          <w:rFonts w:cs="Times New Roman"/>
          <w:position w:val="-12"/>
          <w:szCs w:val="24"/>
        </w:rPr>
        <w:object w:dxaOrig="639" w:dyaOrig="360" w14:anchorId="3FEE4663">
          <v:shape id="_x0000_i1070" type="#_x0000_t75" style="width:31.7pt;height:18pt" o:ole="">
            <v:imagedata r:id="rId94" o:title=""/>
          </v:shape>
          <o:OLEObject Type="Embed" ProgID="Equation.DSMT4" ShapeID="_x0000_i1070" DrawAspect="Content" ObjectID="_1768995545" r:id="rId95"/>
        </w:object>
      </w:r>
      <w:r w:rsidR="00F74AFB" w:rsidRPr="00F72D6A">
        <w:rPr>
          <w:rFonts w:cs="Times New Roman"/>
          <w:szCs w:val="24"/>
        </w:rPr>
        <w:t>=</w:t>
      </w:r>
      <w:r w:rsidRPr="00F72D6A">
        <w:rPr>
          <w:rFonts w:cs="Times New Roman"/>
          <w:position w:val="-16"/>
          <w:szCs w:val="24"/>
        </w:rPr>
        <w:object w:dxaOrig="5260" w:dyaOrig="440" w14:anchorId="302B15A8">
          <v:shape id="_x0000_i1071" type="#_x0000_t75" style="width:262.3pt;height:22.7pt" o:ole="">
            <v:imagedata r:id="rId96" o:title=""/>
          </v:shape>
          <o:OLEObject Type="Embed" ProgID="Equation.DSMT4" ShapeID="_x0000_i1071" DrawAspect="Content" ObjectID="_1768995546" r:id="rId97"/>
        </w:object>
      </w:r>
      <w:r w:rsidR="00595F4B">
        <w:rPr>
          <w:rFonts w:cs="Times New Roman"/>
          <w:szCs w:val="24"/>
        </w:rPr>
        <w:tab/>
        <w:t>(4)</w:t>
      </w:r>
    </w:p>
    <w:p w14:paraId="240110BF" w14:textId="22941D6F" w:rsidR="00F74AFB" w:rsidRPr="00F72D6A" w:rsidRDefault="00F74AFB" w:rsidP="00B4106B">
      <w:pPr>
        <w:spacing w:line="276" w:lineRule="auto"/>
        <w:jc w:val="both"/>
        <w:rPr>
          <w:rFonts w:cs="Times New Roman"/>
          <w:szCs w:val="24"/>
        </w:rPr>
      </w:pPr>
      <w:r w:rsidRPr="00F72D6A">
        <w:rPr>
          <w:rFonts w:cs="Times New Roman"/>
          <w:szCs w:val="24"/>
        </w:rPr>
        <w:t xml:space="preserve">where </w:t>
      </w:r>
      <w:r w:rsidR="00A26E22" w:rsidRPr="00F72D6A">
        <w:rPr>
          <w:rFonts w:cs="Times New Roman"/>
          <w:position w:val="-6"/>
          <w:szCs w:val="24"/>
        </w:rPr>
        <w:object w:dxaOrig="240" w:dyaOrig="220" w14:anchorId="0EAA9301">
          <v:shape id="_x0000_i1072" type="#_x0000_t75" style="width:12pt;height:10.7pt" o:ole="">
            <v:imagedata r:id="rId98" o:title=""/>
          </v:shape>
          <o:OLEObject Type="Embed" ProgID="Equation.DSMT4" ShapeID="_x0000_i1072" DrawAspect="Content" ObjectID="_1768995547" r:id="rId99"/>
        </w:object>
      </w:r>
      <w:r w:rsidR="00A26E22" w:rsidRPr="00F72D6A">
        <w:rPr>
          <w:rFonts w:cs="Times New Roman"/>
          <w:szCs w:val="24"/>
        </w:rPr>
        <w:t xml:space="preserve"> </w:t>
      </w:r>
      <w:r w:rsidR="00D52E77">
        <w:rPr>
          <w:rFonts w:cs="Times New Roman"/>
          <w:szCs w:val="24"/>
        </w:rPr>
        <w:t xml:space="preserve">is </w:t>
      </w:r>
      <w:r w:rsidR="00A26E22" w:rsidRPr="00F72D6A">
        <w:rPr>
          <w:rFonts w:cs="Times New Roman"/>
          <w:szCs w:val="24"/>
        </w:rPr>
        <w:t xml:space="preserve">the diagonal matrix containing the square root of the variance elements of </w:t>
      </w:r>
      <w:r w:rsidR="00A26E22" w:rsidRPr="00F72D6A">
        <w:rPr>
          <w:rFonts w:cs="Times New Roman"/>
          <w:position w:val="-4"/>
          <w:szCs w:val="24"/>
        </w:rPr>
        <w:object w:dxaOrig="260" w:dyaOrig="260" w14:anchorId="37BBB77F">
          <v:shape id="_x0000_i1073" type="#_x0000_t75" style="width:13.3pt;height:13.3pt" o:ole="">
            <v:imagedata r:id="rId100" o:title=""/>
          </v:shape>
          <o:OLEObject Type="Embed" ProgID="Equation.DSMT4" ShapeID="_x0000_i1073" DrawAspect="Content" ObjectID="_1768995548" r:id="rId101"/>
        </w:object>
      </w:r>
      <w:r w:rsidR="00A26E22" w:rsidRPr="00F72D6A">
        <w:rPr>
          <w:rFonts w:cs="Times New Roman"/>
          <w:szCs w:val="24"/>
        </w:rPr>
        <w:t>.</w:t>
      </w:r>
      <w:r w:rsidR="00C120D1" w:rsidRPr="00F72D6A">
        <w:rPr>
          <w:rFonts w:cs="Times New Roman"/>
          <w:szCs w:val="24"/>
        </w:rPr>
        <w:t xml:space="preserve"> For completeness, we also write the corresponding density function as follows:</w:t>
      </w:r>
    </w:p>
    <w:p w14:paraId="359987AD" w14:textId="27162458" w:rsidR="00C120D1" w:rsidRPr="00F72D6A" w:rsidRDefault="00D52E77" w:rsidP="00D40E00">
      <w:pPr>
        <w:tabs>
          <w:tab w:val="right" w:pos="9360"/>
        </w:tabs>
        <w:spacing w:before="60" w:after="60" w:line="276" w:lineRule="auto"/>
        <w:jc w:val="both"/>
        <w:rPr>
          <w:rFonts w:eastAsia="Times New Roman" w:cs="Times New Roman"/>
          <w:szCs w:val="24"/>
        </w:rPr>
      </w:pPr>
      <w:r w:rsidRPr="00D52E77">
        <w:rPr>
          <w:rFonts w:cs="Times New Roman"/>
          <w:position w:val="-24"/>
          <w:szCs w:val="24"/>
        </w:rPr>
        <w:object w:dxaOrig="1700" w:dyaOrig="620" w14:anchorId="0016BB14">
          <v:shape id="_x0000_i1074" type="#_x0000_t75" style="width:84.85pt;height:31.3pt" o:ole="">
            <v:imagedata r:id="rId102" o:title=""/>
          </v:shape>
          <o:OLEObject Type="Embed" ProgID="Equation.DSMT4" ShapeID="_x0000_i1074" DrawAspect="Content" ObjectID="_1768995549" r:id="rId103"/>
        </w:object>
      </w:r>
      <w:r w:rsidRPr="00F72D6A">
        <w:rPr>
          <w:rFonts w:cs="Times New Roman"/>
          <w:position w:val="-62"/>
          <w:szCs w:val="24"/>
        </w:rPr>
        <w:object w:dxaOrig="7100" w:dyaOrig="1359" w14:anchorId="06ECD93D">
          <v:shape id="_x0000_i1075" type="#_x0000_t75" style="width:355.3pt;height:67.3pt" o:ole="">
            <v:imagedata r:id="rId104" o:title=""/>
          </v:shape>
          <o:OLEObject Type="Embed" ProgID="Equation.DSMT4" ShapeID="_x0000_i1075" DrawAspect="Content" ObjectID="_1768995550" r:id="rId105"/>
        </w:object>
      </w:r>
      <w:r w:rsidR="000D632E" w:rsidRPr="00F72D6A">
        <w:rPr>
          <w:rFonts w:cs="Times New Roman"/>
          <w:szCs w:val="24"/>
        </w:rPr>
        <w:t>,</w:t>
      </w:r>
      <w:r w:rsidR="00595F4B">
        <w:rPr>
          <w:rFonts w:cs="Times New Roman"/>
          <w:szCs w:val="24"/>
        </w:rPr>
        <w:t xml:space="preserve"> </w:t>
      </w:r>
      <w:r w:rsidR="00B00F0B">
        <w:rPr>
          <w:rFonts w:cs="Times New Roman"/>
          <w:szCs w:val="24"/>
        </w:rPr>
        <w:tab/>
      </w:r>
      <w:r w:rsidR="00595F4B">
        <w:rPr>
          <w:rFonts w:cs="Times New Roman"/>
          <w:szCs w:val="24"/>
        </w:rPr>
        <w:t>(5)</w:t>
      </w:r>
    </w:p>
    <w:p w14:paraId="4EBA13CC" w14:textId="3DAE617E" w:rsidR="00F74AFB" w:rsidRPr="00F72D6A" w:rsidRDefault="000D632E" w:rsidP="00B4106B">
      <w:pPr>
        <w:spacing w:line="276" w:lineRule="auto"/>
        <w:jc w:val="both"/>
        <w:rPr>
          <w:rFonts w:eastAsia="Times New Roman" w:cs="Times New Roman"/>
          <w:szCs w:val="24"/>
        </w:rPr>
      </w:pPr>
      <w:r w:rsidRPr="00F72D6A">
        <w:rPr>
          <w:rFonts w:eastAsia="Times New Roman" w:cs="Times New Roman"/>
          <w:szCs w:val="24"/>
        </w:rPr>
        <w:t xml:space="preserve">where </w:t>
      </w:r>
      <w:r w:rsidRPr="00F72D6A">
        <w:rPr>
          <w:rFonts w:cs="Times New Roman"/>
          <w:position w:val="-12"/>
          <w:szCs w:val="24"/>
        </w:rPr>
        <w:object w:dxaOrig="279" w:dyaOrig="360" w14:anchorId="1737343F">
          <v:shape id="_x0000_i1076" type="#_x0000_t75" style="width:13.7pt;height:18pt" o:ole="">
            <v:imagedata r:id="rId106" o:title=""/>
          </v:shape>
          <o:OLEObject Type="Embed" ProgID="Equation.DSMT4" ShapeID="_x0000_i1076" DrawAspect="Content" ObjectID="_1768995551" r:id="rId107"/>
        </w:object>
      </w:r>
      <w:r w:rsidRPr="00F72D6A">
        <w:rPr>
          <w:rFonts w:cs="Times New Roman"/>
          <w:szCs w:val="24"/>
        </w:rPr>
        <w:t xml:space="preserve"> refers to the </w:t>
      </w:r>
      <w:r w:rsidRPr="006A4C98">
        <w:rPr>
          <w:rFonts w:cs="Times New Roman"/>
          <w:i/>
          <w:iCs/>
          <w:szCs w:val="24"/>
        </w:rPr>
        <w:t>l</w:t>
      </w:r>
      <w:r w:rsidRPr="00F72D6A">
        <w:rPr>
          <w:rFonts w:cs="Times New Roman"/>
          <w:szCs w:val="24"/>
        </w:rPr>
        <w:t xml:space="preserve">th diagonal element of </w:t>
      </w:r>
      <w:r w:rsidRPr="00F72D6A">
        <w:rPr>
          <w:rFonts w:cs="Times New Roman"/>
          <w:position w:val="-6"/>
          <w:szCs w:val="24"/>
        </w:rPr>
        <w:object w:dxaOrig="240" w:dyaOrig="220" w14:anchorId="486F0FE3">
          <v:shape id="_x0000_i1077" type="#_x0000_t75" style="width:12pt;height:10.7pt" o:ole="">
            <v:imagedata r:id="rId98" o:title=""/>
          </v:shape>
          <o:OLEObject Type="Embed" ProgID="Equation.DSMT4" ShapeID="_x0000_i1077" DrawAspect="Content" ObjectID="_1768995552" r:id="rId108"/>
        </w:object>
      </w:r>
      <w:r w:rsidRPr="00F72D6A">
        <w:rPr>
          <w:rFonts w:cs="Times New Roman"/>
          <w:szCs w:val="24"/>
        </w:rPr>
        <w:t xml:space="preserve">. </w:t>
      </w:r>
      <w:r w:rsidR="006A4C98" w:rsidRPr="00F72D6A">
        <w:rPr>
          <w:rFonts w:cs="Times New Roman"/>
          <w:position w:val="-12"/>
          <w:szCs w:val="24"/>
        </w:rPr>
        <w:object w:dxaOrig="740" w:dyaOrig="360" w14:anchorId="23428BD8">
          <v:shape id="_x0000_i1078" type="#_x0000_t75" style="width:37.7pt;height:18pt" o:ole="">
            <v:imagedata r:id="rId109" o:title=""/>
          </v:shape>
          <o:OLEObject Type="Embed" ProgID="Equation.DSMT4" ShapeID="_x0000_i1078" DrawAspect="Content" ObjectID="_1768995553" r:id="rId110"/>
        </w:object>
      </w:r>
      <w:r w:rsidRPr="00F72D6A">
        <w:rPr>
          <w:rFonts w:cs="Times New Roman"/>
          <w:szCs w:val="24"/>
        </w:rPr>
        <w:t>take the value of 1 if</w:t>
      </w:r>
      <w:r w:rsidR="006A4C98">
        <w:rPr>
          <w:rFonts w:cs="Times New Roman"/>
          <w:szCs w:val="24"/>
        </w:rPr>
        <w:t xml:space="preserve"> </w:t>
      </w:r>
      <w:r w:rsidR="006A4C98" w:rsidRPr="00B67721">
        <w:rPr>
          <w:position w:val="-12"/>
        </w:rPr>
        <w:object w:dxaOrig="240" w:dyaOrig="360" w14:anchorId="31CCC68F">
          <v:shape id="_x0000_i1079" type="#_x0000_t75" style="width:12pt;height:18pt" o:ole="">
            <v:imagedata r:id="rId111" o:title=""/>
          </v:shape>
          <o:OLEObject Type="Embed" ProgID="Equation.DSMT4" ShapeID="_x0000_i1079" DrawAspect="Content" ObjectID="_1768995554" r:id="rId112"/>
        </w:object>
      </w:r>
      <w:r w:rsidR="000713A2">
        <w:t xml:space="preserve"> </w:t>
      </w:r>
      <w:r w:rsidRPr="00F72D6A">
        <w:rPr>
          <w:rFonts w:cs="Times New Roman"/>
          <w:szCs w:val="24"/>
        </w:rPr>
        <w:t>is positive, the value of -1 if</w:t>
      </w:r>
      <w:r w:rsidR="000713A2">
        <w:rPr>
          <w:rFonts w:cs="Times New Roman"/>
          <w:szCs w:val="24"/>
        </w:rPr>
        <w:t xml:space="preserve"> </w:t>
      </w:r>
      <w:r w:rsidR="006A4C98" w:rsidRPr="00B67721">
        <w:rPr>
          <w:position w:val="-12"/>
        </w:rPr>
        <w:object w:dxaOrig="240" w:dyaOrig="360" w14:anchorId="0E7C9589">
          <v:shape id="_x0000_i1080" type="#_x0000_t75" style="width:12pt;height:18pt" o:ole="">
            <v:imagedata r:id="rId113" o:title=""/>
          </v:shape>
          <o:OLEObject Type="Embed" ProgID="Equation.DSMT4" ShapeID="_x0000_i1080" DrawAspect="Content" ObjectID="_1768995555" r:id="rId114"/>
        </w:object>
      </w:r>
      <w:r w:rsidR="006A4C98">
        <w:t xml:space="preserve"> </w:t>
      </w:r>
      <w:r w:rsidRPr="00F72D6A">
        <w:rPr>
          <w:rFonts w:cs="Times New Roman"/>
          <w:szCs w:val="24"/>
        </w:rPr>
        <w:t xml:space="preserve">is negative, and the value of 0 if </w:t>
      </w:r>
      <w:r w:rsidR="006A4C98" w:rsidRPr="00B67721">
        <w:rPr>
          <w:position w:val="-12"/>
        </w:rPr>
        <w:object w:dxaOrig="240" w:dyaOrig="360" w14:anchorId="4DF7FCE9">
          <v:shape id="_x0000_i1081" type="#_x0000_t75" style="width:12pt;height:18pt" o:ole="">
            <v:imagedata r:id="rId115" o:title=""/>
          </v:shape>
          <o:OLEObject Type="Embed" ProgID="Equation.DSMT4" ShapeID="_x0000_i1081" DrawAspect="Content" ObjectID="_1768995556" r:id="rId116"/>
        </w:object>
      </w:r>
      <w:r w:rsidRPr="00F72D6A">
        <w:rPr>
          <w:rFonts w:cs="Times New Roman"/>
          <w:szCs w:val="24"/>
        </w:rPr>
        <w:t xml:space="preserve"> is zero. </w:t>
      </w:r>
    </w:p>
    <w:p w14:paraId="38C98755" w14:textId="77777777" w:rsidR="00112BFB" w:rsidRPr="00F72D6A" w:rsidRDefault="00112BFB" w:rsidP="00B4106B">
      <w:pPr>
        <w:spacing w:line="276" w:lineRule="auto"/>
        <w:jc w:val="both"/>
        <w:rPr>
          <w:rFonts w:cs="Times New Roman"/>
          <w:szCs w:val="24"/>
        </w:rPr>
      </w:pPr>
    </w:p>
    <w:p w14:paraId="6FE11480" w14:textId="4EE21C00" w:rsidR="00C32CE3" w:rsidRPr="00FE38B5" w:rsidRDefault="00C32CE3" w:rsidP="0045451B">
      <w:pPr>
        <w:numPr>
          <w:ilvl w:val="1"/>
          <w:numId w:val="2"/>
        </w:numPr>
        <w:autoSpaceDE w:val="0"/>
        <w:autoSpaceDN w:val="0"/>
        <w:adjustRightInd w:val="0"/>
        <w:spacing w:line="276" w:lineRule="auto"/>
        <w:ind w:left="540" w:hanging="540"/>
        <w:jc w:val="both"/>
        <w:rPr>
          <w:b/>
          <w:bCs/>
        </w:rPr>
      </w:pPr>
      <w:r w:rsidRPr="00FE38B5">
        <w:rPr>
          <w:b/>
          <w:bCs/>
        </w:rPr>
        <w:t>Estimation of Limited-Dependent Variable Models with EEVs</w:t>
      </w:r>
    </w:p>
    <w:p w14:paraId="03C1A323" w14:textId="7C0D80B3" w:rsidR="00C32CE3" w:rsidRPr="0065493C" w:rsidRDefault="003365C6" w:rsidP="00B4106B">
      <w:pPr>
        <w:autoSpaceDE w:val="0"/>
        <w:autoSpaceDN w:val="0"/>
        <w:adjustRightInd w:val="0"/>
        <w:spacing w:line="276" w:lineRule="auto"/>
        <w:jc w:val="both"/>
        <w:rPr>
          <w:rFonts w:cs="Times New Roman"/>
          <w:szCs w:val="24"/>
        </w:rPr>
      </w:pPr>
      <w:bookmarkStart w:id="0" w:name="_Hlk155431966"/>
      <w:r w:rsidRPr="0065493C">
        <w:rPr>
          <w:rFonts w:cs="Times New Roman"/>
          <w:szCs w:val="24"/>
        </w:rPr>
        <w:t>T</w:t>
      </w:r>
      <w:r w:rsidR="00FF4E43" w:rsidRPr="0065493C">
        <w:rPr>
          <w:rFonts w:cs="Times New Roman"/>
          <w:szCs w:val="24"/>
        </w:rPr>
        <w:t xml:space="preserve">wo primary approaches </w:t>
      </w:r>
      <w:r w:rsidRPr="0065493C">
        <w:rPr>
          <w:rFonts w:cs="Times New Roman"/>
          <w:szCs w:val="24"/>
        </w:rPr>
        <w:t xml:space="preserve">have been used in the literature </w:t>
      </w:r>
      <w:r w:rsidR="00FF4E43" w:rsidRPr="0065493C">
        <w:rPr>
          <w:rFonts w:cs="Times New Roman"/>
          <w:szCs w:val="24"/>
        </w:rPr>
        <w:t xml:space="preserve">to estimate limited dependent variable models (including ordered-response models) with </w:t>
      </w:r>
      <w:r w:rsidR="003F5590" w:rsidRPr="0065493C">
        <w:rPr>
          <w:rFonts w:cs="Times New Roman"/>
          <w:szCs w:val="24"/>
        </w:rPr>
        <w:t>one or more</w:t>
      </w:r>
      <w:r w:rsidR="00FF4E43" w:rsidRPr="0065493C">
        <w:rPr>
          <w:rFonts w:cs="Times New Roman"/>
          <w:szCs w:val="24"/>
        </w:rPr>
        <w:t xml:space="preserve"> endogenous regressor</w:t>
      </w:r>
      <w:r w:rsidR="003F5590" w:rsidRPr="0065493C">
        <w:rPr>
          <w:rFonts w:cs="Times New Roman"/>
          <w:szCs w:val="24"/>
        </w:rPr>
        <w:t>s</w:t>
      </w:r>
      <w:r w:rsidRPr="0065493C">
        <w:rPr>
          <w:rFonts w:cs="Times New Roman"/>
          <w:szCs w:val="24"/>
        </w:rPr>
        <w:t xml:space="preserve">. The first is the </w:t>
      </w:r>
      <w:r w:rsidR="00FF4E43" w:rsidRPr="0065493C">
        <w:rPr>
          <w:rFonts w:cs="Times New Roman"/>
          <w:szCs w:val="24"/>
        </w:rPr>
        <w:t xml:space="preserve"> control function (or two stage residual inclusion) method (see </w:t>
      </w:r>
      <w:r w:rsidR="00FF4E43" w:rsidRPr="00FE38B5">
        <w:rPr>
          <w:rFonts w:cs="Times New Roman"/>
          <w:szCs w:val="24"/>
        </w:rPr>
        <w:t xml:space="preserve">Rivers and Vuong 1988, Blundell and Powell 2004, </w:t>
      </w:r>
      <w:r w:rsidR="00A13C2A" w:rsidRPr="00FE38B5">
        <w:rPr>
          <w:rFonts w:cs="Times New Roman"/>
          <w:szCs w:val="24"/>
        </w:rPr>
        <w:t xml:space="preserve">Terza et al., 2008, </w:t>
      </w:r>
      <w:r w:rsidR="00FF4E43" w:rsidRPr="00FE38B5">
        <w:rPr>
          <w:rFonts w:cs="Times New Roman"/>
          <w:szCs w:val="24"/>
        </w:rPr>
        <w:t>Petrin and Train, 20</w:t>
      </w:r>
      <w:r w:rsidR="00A13C2A" w:rsidRPr="00FE38B5">
        <w:rPr>
          <w:rFonts w:cs="Times New Roman"/>
          <w:szCs w:val="24"/>
        </w:rPr>
        <w:t xml:space="preserve">10, Wooldridge, 2015, and </w:t>
      </w:r>
      <w:r w:rsidRPr="00FE38B5">
        <w:rPr>
          <w:rFonts w:cs="Times New Roman"/>
          <w:szCs w:val="24"/>
        </w:rPr>
        <w:t xml:space="preserve">Terza, 2018), and the second is the </w:t>
      </w:r>
      <w:r w:rsidR="00FF4E43" w:rsidRPr="00FE38B5">
        <w:rPr>
          <w:rFonts w:cs="Times New Roman"/>
          <w:szCs w:val="24"/>
        </w:rPr>
        <w:t xml:space="preserve">maximum likelihood </w:t>
      </w:r>
      <w:r w:rsidR="003F5590" w:rsidRPr="00FE38B5">
        <w:rPr>
          <w:rFonts w:cs="Times New Roman"/>
          <w:szCs w:val="24"/>
        </w:rPr>
        <w:t xml:space="preserve">(ML) </w:t>
      </w:r>
      <w:r w:rsidR="00FF4E43" w:rsidRPr="00FE38B5">
        <w:rPr>
          <w:rFonts w:cs="Times New Roman"/>
          <w:szCs w:val="24"/>
        </w:rPr>
        <w:t>approach</w:t>
      </w:r>
      <w:r w:rsidRPr="00FE38B5">
        <w:rPr>
          <w:rFonts w:cs="Times New Roman"/>
          <w:szCs w:val="24"/>
        </w:rPr>
        <w:t xml:space="preserve"> (</w:t>
      </w:r>
      <w:r w:rsidR="00B80FA1" w:rsidRPr="00FE38B5">
        <w:rPr>
          <w:rFonts w:cs="Times New Roman"/>
          <w:szCs w:val="24"/>
        </w:rPr>
        <w:t xml:space="preserve">see </w:t>
      </w:r>
      <w:r w:rsidRPr="00FE38B5">
        <w:rPr>
          <w:rFonts w:cs="Times New Roman"/>
          <w:szCs w:val="24"/>
        </w:rPr>
        <w:t xml:space="preserve">Heckman, 1978, Amemiya, 1978, </w:t>
      </w:r>
      <w:r w:rsidR="009C4A42" w:rsidRPr="00FE38B5">
        <w:rPr>
          <w:rFonts w:cs="Times New Roman"/>
          <w:szCs w:val="24"/>
        </w:rPr>
        <w:t xml:space="preserve">Bhat and Sardesai, 2006, </w:t>
      </w:r>
      <w:r w:rsidR="00B76B80" w:rsidRPr="00FE38B5">
        <w:rPr>
          <w:rFonts w:cs="Times New Roman"/>
          <w:szCs w:val="24"/>
        </w:rPr>
        <w:t>Brownstone and Fan</w:t>
      </w:r>
      <w:r w:rsidR="003C6EE0" w:rsidRPr="00FE38B5">
        <w:rPr>
          <w:rFonts w:cs="Times New Roman"/>
          <w:szCs w:val="24"/>
        </w:rPr>
        <w:t>g</w:t>
      </w:r>
      <w:r w:rsidR="00B76B80" w:rsidRPr="00FE38B5">
        <w:rPr>
          <w:rFonts w:cs="Times New Roman"/>
          <w:szCs w:val="24"/>
        </w:rPr>
        <w:t>, 201</w:t>
      </w:r>
      <w:r w:rsidR="003C6EE0" w:rsidRPr="00FE38B5">
        <w:rPr>
          <w:rFonts w:cs="Times New Roman"/>
          <w:szCs w:val="24"/>
        </w:rPr>
        <w:t>4</w:t>
      </w:r>
      <w:r w:rsidR="00B76B80" w:rsidRPr="00FE38B5">
        <w:rPr>
          <w:rFonts w:cs="Times New Roman"/>
          <w:szCs w:val="24"/>
        </w:rPr>
        <w:t xml:space="preserve">, </w:t>
      </w:r>
      <w:r w:rsidR="00931436" w:rsidRPr="00FE38B5">
        <w:rPr>
          <w:rFonts w:cs="Times New Roman"/>
          <w:szCs w:val="24"/>
        </w:rPr>
        <w:t xml:space="preserve">Kang and Lee, 2014, </w:t>
      </w:r>
      <w:r w:rsidR="00B80FA1" w:rsidRPr="00FE38B5">
        <w:rPr>
          <w:rFonts w:cs="Times New Roman"/>
          <w:szCs w:val="24"/>
        </w:rPr>
        <w:t xml:space="preserve">Bhat et al., </w:t>
      </w:r>
      <w:r w:rsidR="00B80FA1" w:rsidRPr="00FE38B5">
        <w:rPr>
          <w:rFonts w:cs="Times New Roman"/>
          <w:szCs w:val="24"/>
        </w:rPr>
        <w:lastRenderedPageBreak/>
        <w:t>2014</w:t>
      </w:r>
      <w:r w:rsidR="000E55EA" w:rsidRPr="00FE38B5">
        <w:rPr>
          <w:rFonts w:cs="Times New Roman"/>
          <w:szCs w:val="24"/>
        </w:rPr>
        <w:t>,</w:t>
      </w:r>
      <w:r w:rsidR="00B80FA1" w:rsidRPr="00FE38B5">
        <w:rPr>
          <w:rFonts w:cs="Times New Roman"/>
          <w:szCs w:val="24"/>
        </w:rPr>
        <w:t xml:space="preserve"> </w:t>
      </w:r>
      <w:r w:rsidR="000E55EA" w:rsidRPr="00FE38B5">
        <w:rPr>
          <w:rFonts w:cs="Times New Roman"/>
          <w:szCs w:val="24"/>
        </w:rPr>
        <w:t xml:space="preserve">and </w:t>
      </w:r>
      <w:r w:rsidR="00B80FA1" w:rsidRPr="00FE38B5">
        <w:rPr>
          <w:rFonts w:cs="Times New Roman"/>
          <w:szCs w:val="24"/>
        </w:rPr>
        <w:t>Haddad et al., 2023</w:t>
      </w:r>
      <w:r w:rsidRPr="00FE38B5">
        <w:rPr>
          <w:rFonts w:cs="Times New Roman"/>
          <w:szCs w:val="24"/>
        </w:rPr>
        <w:t>).</w:t>
      </w:r>
      <w:r w:rsidR="00FF4E43" w:rsidRPr="00FE38B5">
        <w:rPr>
          <w:rFonts w:cs="Times New Roman"/>
          <w:szCs w:val="24"/>
        </w:rPr>
        <w:t xml:space="preserve"> </w:t>
      </w:r>
      <w:r w:rsidR="00F6622E" w:rsidRPr="00FE38B5">
        <w:rPr>
          <w:rFonts w:cs="Times New Roman"/>
          <w:szCs w:val="24"/>
        </w:rPr>
        <w:t xml:space="preserve">The first </w:t>
      </w:r>
      <w:r w:rsidR="00F6622E" w:rsidRPr="0065493C">
        <w:rPr>
          <w:rFonts w:cs="Times New Roman"/>
          <w:szCs w:val="24"/>
        </w:rPr>
        <w:t xml:space="preserve">method is, however, applicable only for continuous EEVs, and not for EEVs that have a limited range (including discrete EEVs). </w:t>
      </w:r>
      <w:r w:rsidR="003F4D6F" w:rsidRPr="0065493C">
        <w:rPr>
          <w:rFonts w:cs="Times New Roman"/>
          <w:szCs w:val="24"/>
        </w:rPr>
        <w:t xml:space="preserve">The control function approach, as suggested by Terza et al. (2008), may work reasonably okay </w:t>
      </w:r>
      <w:r w:rsidR="00AF5762">
        <w:rPr>
          <w:rFonts w:cs="Times New Roman"/>
          <w:szCs w:val="24"/>
        </w:rPr>
        <w:t xml:space="preserve">with limited-dependent EEVs </w:t>
      </w:r>
      <w:r w:rsidR="003F4D6F" w:rsidRPr="0065493C">
        <w:rPr>
          <w:rFonts w:cs="Times New Roman"/>
          <w:szCs w:val="24"/>
        </w:rPr>
        <w:t xml:space="preserve">when the </w:t>
      </w:r>
      <w:r w:rsidR="00CF7C9A" w:rsidRPr="0065493C">
        <w:rPr>
          <w:rFonts w:cs="Times New Roman"/>
          <w:szCs w:val="24"/>
        </w:rPr>
        <w:t>endogeneity intensity is small (see Woolridge, 2015). But, as indicated by Wan et al. (2018)</w:t>
      </w:r>
      <w:r w:rsidR="00107764" w:rsidRPr="0065493C">
        <w:rPr>
          <w:rFonts w:cs="Times New Roman"/>
          <w:szCs w:val="24"/>
        </w:rPr>
        <w:t>, Mu and</w:t>
      </w:r>
      <w:r w:rsidR="0088541F">
        <w:rPr>
          <w:rFonts w:cs="Times New Roman"/>
          <w:szCs w:val="24"/>
        </w:rPr>
        <w:t xml:space="preserve"> Zhang</w:t>
      </w:r>
      <w:r w:rsidR="00107764" w:rsidRPr="0065493C">
        <w:rPr>
          <w:rFonts w:cs="Times New Roman"/>
          <w:szCs w:val="24"/>
        </w:rPr>
        <w:t xml:space="preserve"> (2018) and </w:t>
      </w:r>
      <w:r w:rsidR="00CF7C9A" w:rsidRPr="0065493C">
        <w:rPr>
          <w:rFonts w:cs="Times New Roman"/>
          <w:szCs w:val="24"/>
        </w:rPr>
        <w:t>Denzer (2019)</w:t>
      </w:r>
      <w:r w:rsidR="00AB2C68" w:rsidRPr="0065493C">
        <w:rPr>
          <w:rFonts w:cs="Times New Roman"/>
          <w:szCs w:val="24"/>
        </w:rPr>
        <w:t xml:space="preserve">, </w:t>
      </w:r>
      <w:bookmarkEnd w:id="0"/>
      <w:r w:rsidR="00AF5762">
        <w:rPr>
          <w:rFonts w:cs="Times New Roman"/>
          <w:szCs w:val="24"/>
        </w:rPr>
        <w:t xml:space="preserve">such a </w:t>
      </w:r>
      <w:r w:rsidR="00107764" w:rsidRPr="0065493C">
        <w:rPr>
          <w:rFonts w:cs="Times New Roman"/>
          <w:szCs w:val="24"/>
        </w:rPr>
        <w:t xml:space="preserve">control function approach requires the </w:t>
      </w:r>
      <w:r w:rsidR="00AF5762">
        <w:rPr>
          <w:rFonts w:cs="Times New Roman"/>
          <w:szCs w:val="24"/>
        </w:rPr>
        <w:t xml:space="preserve">limited-dependent </w:t>
      </w:r>
      <w:r w:rsidR="00107764" w:rsidRPr="0065493C">
        <w:rPr>
          <w:rFonts w:cs="Times New Roman"/>
          <w:szCs w:val="24"/>
        </w:rPr>
        <w:t xml:space="preserve">EEV to be a strictly increasing function of the first stage error. In other words, </w:t>
      </w:r>
      <w:r w:rsidR="00AB2C68" w:rsidRPr="0065493C">
        <w:rPr>
          <w:rFonts w:cs="Times New Roman"/>
          <w:szCs w:val="24"/>
        </w:rPr>
        <w:t xml:space="preserve">the </w:t>
      </w:r>
      <w:r w:rsidR="00107764" w:rsidRPr="0065493C">
        <w:rPr>
          <w:rFonts w:cs="Times New Roman"/>
          <w:szCs w:val="24"/>
        </w:rPr>
        <w:t xml:space="preserve">first stage </w:t>
      </w:r>
      <w:r w:rsidR="00AB2C68" w:rsidRPr="0065493C">
        <w:rPr>
          <w:rFonts w:cs="Times New Roman"/>
          <w:szCs w:val="24"/>
        </w:rPr>
        <w:t xml:space="preserve">error </w:t>
      </w:r>
      <w:r w:rsidR="00797296" w:rsidRPr="0065493C">
        <w:rPr>
          <w:rFonts w:cs="Times New Roman"/>
          <w:szCs w:val="24"/>
        </w:rPr>
        <w:t xml:space="preserve">(obtained as the difference between the limited-dependent EEV and its expected value in the population) is not independent of the exogenous variables in the EEV model, </w:t>
      </w:r>
      <w:r w:rsidR="00107764" w:rsidRPr="0065493C">
        <w:rPr>
          <w:rFonts w:cs="Times New Roman"/>
          <w:szCs w:val="24"/>
        </w:rPr>
        <w:t xml:space="preserve">a necessary condition for the control function to be a consistent estimator. </w:t>
      </w:r>
      <w:r w:rsidR="007F5850" w:rsidRPr="0065493C">
        <w:rPr>
          <w:rFonts w:cs="Times New Roman"/>
          <w:szCs w:val="24"/>
        </w:rPr>
        <w:t xml:space="preserve">Thus, the control function is not, in general, appropriate </w:t>
      </w:r>
      <w:r w:rsidR="000E7432">
        <w:rPr>
          <w:rFonts w:cs="Times New Roman"/>
          <w:szCs w:val="24"/>
        </w:rPr>
        <w:t xml:space="preserve">for </w:t>
      </w:r>
      <w:r w:rsidR="007F5850" w:rsidRPr="0065493C">
        <w:rPr>
          <w:rFonts w:cs="Times New Roman"/>
          <w:szCs w:val="24"/>
        </w:rPr>
        <w:t>models with limited dependent EEVs</w:t>
      </w:r>
      <w:r w:rsidR="003F5590" w:rsidRPr="0065493C">
        <w:rPr>
          <w:rFonts w:cs="Times New Roman"/>
          <w:szCs w:val="24"/>
        </w:rPr>
        <w:t xml:space="preserve">. </w:t>
      </w:r>
    </w:p>
    <w:p w14:paraId="1D68C674" w14:textId="65179EE1" w:rsidR="00B13D04" w:rsidRPr="0065493C" w:rsidRDefault="003F5590" w:rsidP="00B4106B">
      <w:pPr>
        <w:autoSpaceDE w:val="0"/>
        <w:autoSpaceDN w:val="0"/>
        <w:adjustRightInd w:val="0"/>
        <w:spacing w:line="276" w:lineRule="auto"/>
        <w:ind w:firstLine="720"/>
        <w:jc w:val="both"/>
        <w:rPr>
          <w:rFonts w:cs="Times New Roman"/>
          <w:szCs w:val="24"/>
        </w:rPr>
      </w:pPr>
      <w:r w:rsidRPr="0065493C">
        <w:rPr>
          <w:rFonts w:cs="Times New Roman"/>
          <w:szCs w:val="24"/>
        </w:rPr>
        <w:t>The second ML method is predicated on the correct specification of the multivariate error structure underlying the overall limited dependent variable system (including the main outcome and the limited-dependent EEVs). It is typical to consider a multivariate normal distribution in ML applications, though deviations from such a distribution can lead to inconsistent estimation</w:t>
      </w:r>
      <w:r w:rsidR="00FC2B2B" w:rsidRPr="0065493C">
        <w:rPr>
          <w:rFonts w:cs="Times New Roman"/>
          <w:szCs w:val="24"/>
        </w:rPr>
        <w:t>, especially in the effect of the limited-dependent EEV (sometimes referred to as the treatment effect when this happens to be a discrete EEV)</w:t>
      </w:r>
      <w:r w:rsidRPr="0065493C">
        <w:rPr>
          <w:rFonts w:cs="Times New Roman"/>
          <w:szCs w:val="24"/>
        </w:rPr>
        <w:t>. This is where flexible parametric multivariate distributions</w:t>
      </w:r>
      <w:r w:rsidR="00B13D04" w:rsidRPr="0065493C">
        <w:rPr>
          <w:rFonts w:cs="Times New Roman"/>
          <w:szCs w:val="24"/>
        </w:rPr>
        <w:t>,</w:t>
      </w:r>
      <w:r w:rsidR="00C66A2C" w:rsidRPr="0065493C">
        <w:rPr>
          <w:rFonts w:cs="Times New Roman"/>
          <w:szCs w:val="24"/>
        </w:rPr>
        <w:t xml:space="preserve"> particularly the marginal distributions </w:t>
      </w:r>
      <w:r w:rsidR="00B13D04" w:rsidRPr="0065493C">
        <w:rPr>
          <w:rFonts w:cs="Times New Roman"/>
          <w:szCs w:val="24"/>
        </w:rPr>
        <w:t xml:space="preserve">as discussed earlier, can be substantially beneficial, while also being parsimonious in parameters and efficient in estimation. </w:t>
      </w:r>
      <w:r w:rsidR="00FC2B2B" w:rsidRPr="0065493C">
        <w:rPr>
          <w:rFonts w:cs="Times New Roman"/>
          <w:szCs w:val="24"/>
        </w:rPr>
        <w:t>At the same time, because the ML estimator is a single-step estimator, standard errors are immediately available for all parameters. Further, the ML approach provides information on the joint (and marginal) distribution of the error terms</w:t>
      </w:r>
      <w:r w:rsidR="00C66A2C" w:rsidRPr="0065493C">
        <w:rPr>
          <w:rFonts w:cs="Times New Roman"/>
          <w:szCs w:val="24"/>
        </w:rPr>
        <w:t>.</w:t>
      </w:r>
      <w:r w:rsidR="00C66A2C" w:rsidRPr="00FE38B5">
        <w:rPr>
          <w:rFonts w:cs="Times New Roman"/>
          <w:szCs w:val="24"/>
          <w:vertAlign w:val="superscript"/>
        </w:rPr>
        <w:footnoteReference w:id="2"/>
      </w:r>
      <w:r w:rsidR="00463811" w:rsidRPr="00463811">
        <w:rPr>
          <w:rFonts w:cs="Times New Roman"/>
          <w:szCs w:val="24"/>
          <w:vertAlign w:val="superscript"/>
        </w:rPr>
        <w:t>,</w:t>
      </w:r>
      <w:r w:rsidR="00463811" w:rsidRPr="00FE38B5">
        <w:rPr>
          <w:rFonts w:cs="Times New Roman"/>
          <w:szCs w:val="24"/>
          <w:vertAlign w:val="superscript"/>
        </w:rPr>
        <w:footnoteReference w:id="3"/>
      </w:r>
    </w:p>
    <w:p w14:paraId="1B254D98" w14:textId="45DE6A0A" w:rsidR="00B13D04" w:rsidRPr="0065493C" w:rsidRDefault="00C32CE3" w:rsidP="00B4106B">
      <w:pPr>
        <w:autoSpaceDE w:val="0"/>
        <w:autoSpaceDN w:val="0"/>
        <w:adjustRightInd w:val="0"/>
        <w:spacing w:line="276" w:lineRule="auto"/>
        <w:jc w:val="both"/>
        <w:rPr>
          <w:rFonts w:cs="Times New Roman"/>
          <w:szCs w:val="24"/>
        </w:rPr>
      </w:pPr>
      <w:r w:rsidRPr="0065493C">
        <w:rPr>
          <w:rFonts w:cs="Times New Roman"/>
          <w:szCs w:val="24"/>
        </w:rPr>
        <w:tab/>
        <w:t>In this paper, we focus on the case of limited dependent variable models with limited-dependent EEVs, and thus use the ML method for estimation, bu</w:t>
      </w:r>
      <w:r w:rsidR="006F6827">
        <w:rPr>
          <w:rFonts w:cs="Times New Roman"/>
          <w:szCs w:val="24"/>
        </w:rPr>
        <w:t>t</w:t>
      </w:r>
      <w:r w:rsidRPr="0065493C">
        <w:rPr>
          <w:rFonts w:cs="Times New Roman"/>
          <w:szCs w:val="24"/>
        </w:rPr>
        <w:t xml:space="preserve"> with flexible parametric error distributions based on the YJ transformation, as discussed next in the specific context of an ordered-response model with a discrete EEV. </w:t>
      </w:r>
    </w:p>
    <w:p w14:paraId="7AA16C01" w14:textId="1DB95DC6" w:rsidR="00C32CE3" w:rsidRPr="0065493C" w:rsidRDefault="00C32CE3" w:rsidP="00B4106B">
      <w:pPr>
        <w:autoSpaceDE w:val="0"/>
        <w:autoSpaceDN w:val="0"/>
        <w:adjustRightInd w:val="0"/>
        <w:spacing w:line="276" w:lineRule="auto"/>
        <w:jc w:val="both"/>
        <w:rPr>
          <w:rFonts w:cs="Times New Roman"/>
          <w:szCs w:val="24"/>
        </w:rPr>
      </w:pPr>
    </w:p>
    <w:p w14:paraId="57BF6497" w14:textId="0A715F92" w:rsidR="00C32CE3" w:rsidRPr="00FE38B5" w:rsidRDefault="00C32CE3" w:rsidP="00AC6517">
      <w:pPr>
        <w:keepNext/>
        <w:keepLines/>
        <w:numPr>
          <w:ilvl w:val="1"/>
          <w:numId w:val="2"/>
        </w:numPr>
        <w:spacing w:line="276" w:lineRule="auto"/>
        <w:ind w:left="540" w:hanging="540"/>
        <w:jc w:val="both"/>
        <w:rPr>
          <w:b/>
          <w:bCs/>
        </w:rPr>
      </w:pPr>
      <w:r w:rsidRPr="00FE38B5">
        <w:rPr>
          <w:b/>
          <w:bCs/>
        </w:rPr>
        <w:lastRenderedPageBreak/>
        <w:t xml:space="preserve">Ordered Response Model </w:t>
      </w:r>
      <w:r w:rsidR="005502E3" w:rsidRPr="00FE38B5">
        <w:rPr>
          <w:b/>
          <w:bCs/>
        </w:rPr>
        <w:t xml:space="preserve">Structure </w:t>
      </w:r>
      <w:r w:rsidRPr="00FE38B5">
        <w:rPr>
          <w:b/>
          <w:bCs/>
        </w:rPr>
        <w:t>with Discrete EEV</w:t>
      </w:r>
    </w:p>
    <w:p w14:paraId="3ECCCE21" w14:textId="5D2053FA" w:rsidR="00EC5D13" w:rsidRPr="008674F2" w:rsidRDefault="00EC5D13" w:rsidP="00AC6517">
      <w:pPr>
        <w:keepNext/>
        <w:keepLines/>
        <w:spacing w:line="276" w:lineRule="auto"/>
        <w:jc w:val="both"/>
        <w:rPr>
          <w:rFonts w:cs="Times New Roman"/>
          <w:szCs w:val="24"/>
        </w:rPr>
      </w:pPr>
      <w:r w:rsidRPr="008674F2">
        <w:rPr>
          <w:rFonts w:cs="Times New Roman"/>
          <w:szCs w:val="24"/>
        </w:rPr>
        <w:t xml:space="preserve">Ordered response model systems are appropriate when analyzing ordinal discrete outcome data. Examples include ratings data or </w:t>
      </w:r>
      <w:r w:rsidR="000D762B">
        <w:rPr>
          <w:rFonts w:cs="Times New Roman"/>
          <w:szCs w:val="24"/>
        </w:rPr>
        <w:t>L</w:t>
      </w:r>
      <w:r w:rsidRPr="008674F2">
        <w:rPr>
          <w:rFonts w:cs="Times New Roman"/>
          <w:szCs w:val="24"/>
        </w:rPr>
        <w:t xml:space="preserve">ikert-scale type attitudinal/opinion data. The typical modeling approach considers the observed ordinal outcome as censored (or course) partitioning or thresholding of an underlying continuous random variable that is endowed with a natural ordering (see </w:t>
      </w:r>
      <w:bookmarkStart w:id="3" w:name="_Hlk155432236"/>
      <w:r w:rsidRPr="008674F2">
        <w:rPr>
          <w:rFonts w:cs="Times New Roman"/>
          <w:szCs w:val="24"/>
        </w:rPr>
        <w:t>McKelvey and Zavoina, 1971</w:t>
      </w:r>
      <w:r w:rsidR="00B239A1">
        <w:rPr>
          <w:rFonts w:cs="Times New Roman"/>
          <w:szCs w:val="24"/>
        </w:rPr>
        <w:t xml:space="preserve"> and </w:t>
      </w:r>
      <w:r w:rsidRPr="008674F2">
        <w:rPr>
          <w:rFonts w:cs="Times New Roman"/>
          <w:szCs w:val="24"/>
        </w:rPr>
        <w:t xml:space="preserve">Bhat, 1997). Greene and Hensher, 2010 </w:t>
      </w:r>
      <w:bookmarkEnd w:id="3"/>
      <w:r w:rsidRPr="008674F2">
        <w:rPr>
          <w:rFonts w:cs="Times New Roman"/>
          <w:szCs w:val="24"/>
        </w:rPr>
        <w:t>provide a comprehensive history and treatment of the ordered-response model structure</w:t>
      </w:r>
      <w:r w:rsidR="00193C9C" w:rsidRPr="008674F2">
        <w:rPr>
          <w:rFonts w:cs="Times New Roman"/>
          <w:szCs w:val="24"/>
        </w:rPr>
        <w:t xml:space="preserve">, which has been applied in a variety of fields, including (but not limited to) </w:t>
      </w:r>
      <w:r w:rsidRPr="008674F2">
        <w:rPr>
          <w:rFonts w:cs="Times New Roman"/>
          <w:szCs w:val="24"/>
        </w:rPr>
        <w:t>sociolog</w:t>
      </w:r>
      <w:r w:rsidR="00193C9C" w:rsidRPr="008674F2">
        <w:rPr>
          <w:rFonts w:cs="Times New Roman"/>
          <w:szCs w:val="24"/>
        </w:rPr>
        <w:t>y,</w:t>
      </w:r>
      <w:r w:rsidRPr="008674F2">
        <w:rPr>
          <w:rFonts w:cs="Times New Roman"/>
          <w:szCs w:val="24"/>
        </w:rPr>
        <w:t xml:space="preserve"> biolog</w:t>
      </w:r>
      <w:r w:rsidR="00193C9C" w:rsidRPr="008674F2">
        <w:rPr>
          <w:rFonts w:cs="Times New Roman"/>
          <w:szCs w:val="24"/>
        </w:rPr>
        <w:t>y</w:t>
      </w:r>
      <w:r w:rsidRPr="008674F2">
        <w:rPr>
          <w:rFonts w:cs="Times New Roman"/>
          <w:szCs w:val="24"/>
        </w:rPr>
        <w:t xml:space="preserve">, marketing, and transportation </w:t>
      </w:r>
      <w:r w:rsidR="00193C9C" w:rsidRPr="008674F2">
        <w:rPr>
          <w:rFonts w:cs="Times New Roman"/>
          <w:szCs w:val="24"/>
        </w:rPr>
        <w:t xml:space="preserve">fields. </w:t>
      </w:r>
    </w:p>
    <w:p w14:paraId="3A4558D3" w14:textId="7383A459" w:rsidR="006627CB" w:rsidRDefault="00193C9C" w:rsidP="00B4106B">
      <w:pPr>
        <w:spacing w:line="276" w:lineRule="auto"/>
        <w:jc w:val="both"/>
        <w:rPr>
          <w:rFonts w:cs="Times New Roman"/>
          <w:szCs w:val="24"/>
        </w:rPr>
      </w:pPr>
      <w:r w:rsidRPr="008674F2">
        <w:rPr>
          <w:rFonts w:cs="Times New Roman"/>
          <w:szCs w:val="24"/>
        </w:rPr>
        <w:tab/>
      </w:r>
      <w:r w:rsidR="006627CB">
        <w:rPr>
          <w:rFonts w:cs="Times New Roman"/>
          <w:szCs w:val="24"/>
        </w:rPr>
        <w:t xml:space="preserve">In the usual </w:t>
      </w:r>
      <w:r w:rsidR="004537FF">
        <w:rPr>
          <w:rFonts w:cs="Times New Roman"/>
          <w:szCs w:val="24"/>
        </w:rPr>
        <w:t>form</w:t>
      </w:r>
      <w:r w:rsidR="006627CB">
        <w:rPr>
          <w:rFonts w:cs="Times New Roman"/>
          <w:szCs w:val="24"/>
        </w:rPr>
        <w:t xml:space="preserve"> of the ordered-response model structure with an EEV, we write two equations, one for the EEV and the other for the ordered-response model:</w:t>
      </w:r>
    </w:p>
    <w:p w14:paraId="630F217D" w14:textId="3BAC3CC2" w:rsidR="006627CB" w:rsidRDefault="006627CB" w:rsidP="00D40E00">
      <w:pPr>
        <w:spacing w:before="60" w:after="60" w:line="276" w:lineRule="auto"/>
        <w:jc w:val="both"/>
        <w:rPr>
          <w:szCs w:val="24"/>
        </w:rPr>
      </w:pPr>
      <w:r w:rsidRPr="00870C03">
        <w:rPr>
          <w:szCs w:val="24"/>
        </w:rPr>
        <w:t xml:space="preserve">  </w:t>
      </w:r>
      <w:r w:rsidR="00AC6517" w:rsidRPr="0079127F">
        <w:rPr>
          <w:position w:val="-32"/>
          <w:szCs w:val="24"/>
        </w:rPr>
        <w:object w:dxaOrig="7420" w:dyaOrig="760" w14:anchorId="02EC31F6">
          <v:shape id="_x0000_i1082" type="#_x0000_t75" style="width:370.7pt;height:38.15pt" o:ole="" o:preferrelative="f">
            <v:imagedata r:id="rId117" o:title=""/>
            <o:lock v:ext="edit" aspectratio="f"/>
          </v:shape>
          <o:OLEObject Type="Embed" ProgID="Equation.DSMT4" ShapeID="_x0000_i1082" DrawAspect="Content" ObjectID="_1768995557" r:id="rId118"/>
        </w:object>
      </w:r>
      <w:r w:rsidR="00595F4B">
        <w:rPr>
          <w:szCs w:val="24"/>
        </w:rPr>
        <w:tab/>
      </w:r>
      <w:r w:rsidR="00595F4B">
        <w:rPr>
          <w:szCs w:val="24"/>
        </w:rPr>
        <w:tab/>
        <w:t xml:space="preserve">       (6)</w:t>
      </w:r>
    </w:p>
    <w:p w14:paraId="605132BB" w14:textId="7D4A6F89" w:rsidR="0090385E" w:rsidRDefault="00DC3A7B" w:rsidP="00B4106B">
      <w:pPr>
        <w:spacing w:line="276" w:lineRule="auto"/>
        <w:jc w:val="both"/>
        <w:rPr>
          <w:rFonts w:cs="Times New Roman"/>
          <w:szCs w:val="24"/>
        </w:rPr>
      </w:pPr>
      <w:r w:rsidRPr="008674F2">
        <w:rPr>
          <w:rFonts w:cs="Times New Roman"/>
          <w:szCs w:val="24"/>
        </w:rPr>
        <w:t xml:space="preserve">The latent propensity </w:t>
      </w:r>
      <w:r w:rsidRPr="008674F2">
        <w:rPr>
          <w:rFonts w:cs="Times New Roman"/>
          <w:position w:val="-12"/>
          <w:szCs w:val="24"/>
        </w:rPr>
        <w:object w:dxaOrig="279" w:dyaOrig="380" w14:anchorId="38A44974">
          <v:shape id="_x0000_i1083" type="#_x0000_t75" style="width:14.15pt;height:18.85pt" o:ole="">
            <v:imagedata r:id="rId119" o:title=""/>
          </v:shape>
          <o:OLEObject Type="Embed" ProgID="Equation.DSMT4" ShapeID="_x0000_i1083" DrawAspect="Content" ObjectID="_1768995558" r:id="rId120"/>
        </w:object>
      </w:r>
      <w:r w:rsidRPr="008674F2">
        <w:rPr>
          <w:rFonts w:cs="Times New Roman"/>
          <w:szCs w:val="24"/>
        </w:rPr>
        <w:t xml:space="preserve"> determines the EEV outcome </w:t>
      </w:r>
      <w:r w:rsidR="006E1AE0" w:rsidRPr="008674F2">
        <w:rPr>
          <w:rFonts w:cs="Times New Roman"/>
          <w:position w:val="-12"/>
          <w:szCs w:val="24"/>
        </w:rPr>
        <w:object w:dxaOrig="260" w:dyaOrig="360" w14:anchorId="11A2BE5C">
          <v:shape id="_x0000_i1084" type="#_x0000_t75" style="width:13.3pt;height:18pt" o:ole="" o:preferrelative="f">
            <v:imagedata r:id="rId121" o:title=""/>
            <o:lock v:ext="edit" aspectratio="f"/>
          </v:shape>
          <o:OLEObject Type="Embed" ProgID="Equation.DSMT4" ShapeID="_x0000_i1084" DrawAspect="Content" ObjectID="_1768995559" r:id="rId122"/>
        </w:object>
      </w:r>
      <w:r w:rsidRPr="008674F2">
        <w:rPr>
          <w:rFonts w:cs="Times New Roman"/>
          <w:szCs w:val="24"/>
        </w:rPr>
        <w:t xml:space="preserve">, while the partitioning of the latent propensity </w:t>
      </w:r>
      <w:r w:rsidRPr="008674F2">
        <w:rPr>
          <w:rFonts w:cs="Times New Roman"/>
          <w:position w:val="-12"/>
          <w:szCs w:val="24"/>
        </w:rPr>
        <w:object w:dxaOrig="279" w:dyaOrig="380" w14:anchorId="2B6D9362">
          <v:shape id="_x0000_i1085" type="#_x0000_t75" style="width:14.15pt;height:18.85pt" o:ole="">
            <v:imagedata r:id="rId123" o:title=""/>
          </v:shape>
          <o:OLEObject Type="Embed" ProgID="Equation.DSMT4" ShapeID="_x0000_i1085" DrawAspect="Content" ObjectID="_1768995560" r:id="rId124"/>
        </w:object>
      </w:r>
      <w:r w:rsidRPr="008674F2">
        <w:rPr>
          <w:rFonts w:cs="Times New Roman"/>
          <w:szCs w:val="24"/>
        </w:rPr>
        <w:t xml:space="preserve"> determines the main ordered-response outcome</w:t>
      </w:r>
      <w:r w:rsidR="006E1AE0">
        <w:rPr>
          <w:rFonts w:cs="Times New Roman"/>
          <w:szCs w:val="24"/>
        </w:rPr>
        <w:t xml:space="preserve"> </w:t>
      </w:r>
      <w:r w:rsidR="004E47FA" w:rsidRPr="008674F2">
        <w:rPr>
          <w:rFonts w:cs="Times New Roman"/>
          <w:position w:val="-12"/>
          <w:szCs w:val="24"/>
        </w:rPr>
        <w:object w:dxaOrig="279" w:dyaOrig="360" w14:anchorId="04E87364">
          <v:shape id="_x0000_i1086" type="#_x0000_t75" style="width:13.7pt;height:18pt" o:ole="" o:preferrelative="f">
            <v:imagedata r:id="rId125" o:title=""/>
            <o:lock v:ext="edit" aspectratio="f"/>
          </v:shape>
          <o:OLEObject Type="Embed" ProgID="Equation.DSMT4" ShapeID="_x0000_i1086" DrawAspect="Content" ObjectID="_1768995561" r:id="rId126"/>
        </w:object>
      </w:r>
      <w:r w:rsidR="004E47FA">
        <w:rPr>
          <w:rFonts w:cs="Times New Roman"/>
          <w:szCs w:val="24"/>
        </w:rPr>
        <w:t xml:space="preserve">. </w:t>
      </w:r>
      <w:r w:rsidRPr="008674F2">
        <w:rPr>
          <w:rFonts w:cs="Times New Roman"/>
          <w:szCs w:val="24"/>
        </w:rPr>
        <w:fldChar w:fldCharType="begin"/>
      </w:r>
      <w:r w:rsidRPr="008674F2">
        <w:rPr>
          <w:rFonts w:cs="Times New Roman"/>
          <w:szCs w:val="24"/>
        </w:rPr>
        <w:instrText xml:space="preserve"> QUOTE </w:instrText>
      </w:r>
      <m:oMath>
        <m:sSub>
          <m:sSubPr>
            <m:ctrlPr>
              <w:rPr>
                <w:rFonts w:ascii="Cambria Math" w:hAnsi="Cambria Math" w:cs="Times New Roman"/>
                <w:i/>
                <w:szCs w:val="24"/>
              </w:rPr>
            </m:ctrlPr>
          </m:sSubPr>
          <m:e>
            <m:r>
              <m:rPr>
                <m:sty m:val="p"/>
              </m:rPr>
              <w:rPr>
                <w:rFonts w:ascii="Cambria Math" w:hAnsi="Cambria Math" w:cs="Times New Roman"/>
                <w:szCs w:val="24"/>
              </w:rPr>
              <m:t>β</m:t>
            </m:r>
          </m:e>
          <m:sub>
            <m:r>
              <m:rPr>
                <m:sty m:val="p"/>
              </m:rPr>
              <w:rPr>
                <w:rFonts w:ascii="Cambria Math" w:hAnsi="Cambria Math" w:cs="Times New Roman"/>
                <w:szCs w:val="24"/>
              </w:rPr>
              <m:t>i</m:t>
            </m:r>
          </m:sub>
        </m:sSub>
      </m:oMath>
      <w:r w:rsidRPr="008674F2">
        <w:rPr>
          <w:rFonts w:cs="Times New Roman"/>
          <w:szCs w:val="24"/>
        </w:rPr>
        <w:instrText xml:space="preserve"> </w:instrText>
      </w:r>
      <w:r w:rsidR="000C230E">
        <w:rPr>
          <w:rFonts w:cs="Times New Roman"/>
          <w:szCs w:val="24"/>
        </w:rPr>
        <w:fldChar w:fldCharType="separate"/>
      </w:r>
      <w:r w:rsidRPr="008674F2">
        <w:rPr>
          <w:rFonts w:cs="Times New Roman"/>
          <w:szCs w:val="24"/>
        </w:rPr>
        <w:fldChar w:fldCharType="end"/>
      </w:r>
      <w:r w:rsidR="00504DC0" w:rsidRPr="008674F2">
        <w:rPr>
          <w:rFonts w:cs="Times New Roman"/>
          <w:position w:val="-12"/>
          <w:szCs w:val="24"/>
        </w:rPr>
        <w:object w:dxaOrig="260" w:dyaOrig="360" w14:anchorId="6AD9A72C">
          <v:shape id="_x0000_i1087" type="#_x0000_t75" style="width:13.3pt;height:18pt" o:ole="" o:preferrelative="f">
            <v:imagedata r:id="rId127" o:title=""/>
            <o:lock v:ext="edit" aspectratio="f"/>
          </v:shape>
          <o:OLEObject Type="Embed" ProgID="Equation.DSMT4" ShapeID="_x0000_i1087" DrawAspect="Content" ObjectID="_1768995562" r:id="rId128"/>
        </w:object>
      </w:r>
      <w:r w:rsidR="00F467AD" w:rsidRPr="008674F2">
        <w:rPr>
          <w:rFonts w:cs="Times New Roman"/>
          <w:szCs w:val="24"/>
        </w:rPr>
        <w:t xml:space="preserve"> and </w:t>
      </w:r>
      <w:r w:rsidR="00504DC0" w:rsidRPr="008674F2">
        <w:rPr>
          <w:rFonts w:cs="Times New Roman"/>
          <w:position w:val="-12"/>
          <w:szCs w:val="24"/>
        </w:rPr>
        <w:object w:dxaOrig="300" w:dyaOrig="360" w14:anchorId="3AEF2FA2">
          <v:shape id="_x0000_i1088" type="#_x0000_t75" style="width:15pt;height:18pt" o:ole="" o:preferrelative="f">
            <v:imagedata r:id="rId129" o:title=""/>
            <o:lock v:ext="edit" aspectratio="f"/>
          </v:shape>
          <o:OLEObject Type="Embed" ProgID="Equation.DSMT4" ShapeID="_x0000_i1088" DrawAspect="Content" ObjectID="_1768995563" r:id="rId130"/>
        </w:object>
      </w:r>
      <w:r w:rsidR="00F467AD" w:rsidRPr="008674F2">
        <w:rPr>
          <w:rFonts w:cs="Times New Roman"/>
          <w:szCs w:val="24"/>
        </w:rPr>
        <w:t xml:space="preserve"> are vectors of exogenous variables (</w:t>
      </w:r>
      <w:r w:rsidR="00197AD8">
        <w:rPr>
          <w:rFonts w:cs="Times New Roman"/>
          <w:szCs w:val="24"/>
        </w:rPr>
        <w:t>including</w:t>
      </w:r>
      <w:r w:rsidR="00F467AD" w:rsidRPr="008674F2">
        <w:rPr>
          <w:rFonts w:cs="Times New Roman"/>
          <w:szCs w:val="24"/>
        </w:rPr>
        <w:t xml:space="preserve"> </w:t>
      </w:r>
      <w:r w:rsidR="00EA13CF">
        <w:rPr>
          <w:rFonts w:cs="Times New Roman"/>
          <w:szCs w:val="24"/>
        </w:rPr>
        <w:t xml:space="preserve">a </w:t>
      </w:r>
      <w:r w:rsidR="00F467AD" w:rsidRPr="008674F2">
        <w:rPr>
          <w:rFonts w:cs="Times New Roman"/>
          <w:szCs w:val="24"/>
        </w:rPr>
        <w:t>constant</w:t>
      </w:r>
      <w:r w:rsidR="00EA13CF">
        <w:rPr>
          <w:rFonts w:cs="Times New Roman"/>
          <w:szCs w:val="24"/>
        </w:rPr>
        <w:t xml:space="preserve"> in each</w:t>
      </w:r>
      <w:r w:rsidR="00F467AD" w:rsidRPr="008674F2">
        <w:rPr>
          <w:rFonts w:cs="Times New Roman"/>
          <w:szCs w:val="24"/>
        </w:rPr>
        <w:t xml:space="preserve">). </w:t>
      </w:r>
      <w:r w:rsidR="00F467AD" w:rsidRPr="008674F2">
        <w:rPr>
          <w:rFonts w:cs="Times New Roman"/>
          <w:position w:val="-10"/>
          <w:szCs w:val="24"/>
        </w:rPr>
        <w:object w:dxaOrig="200" w:dyaOrig="320" w14:anchorId="05031C04">
          <v:shape id="_x0000_i1089" type="#_x0000_t75" style="width:10.7pt;height:16.3pt" o:ole="">
            <v:imagedata r:id="rId131" o:title=""/>
          </v:shape>
          <o:OLEObject Type="Embed" ProgID="Equation.DSMT4" ShapeID="_x0000_i1089" DrawAspect="Content" ObjectID="_1768995564" r:id="rId132"/>
        </w:object>
      </w:r>
      <w:r w:rsidR="00F467AD" w:rsidRPr="008674F2">
        <w:rPr>
          <w:rFonts w:cs="Times New Roman"/>
          <w:szCs w:val="24"/>
        </w:rPr>
        <w:t xml:space="preserve"> and </w:t>
      </w:r>
      <w:r w:rsidR="00F467AD" w:rsidRPr="008674F2">
        <w:rPr>
          <w:rFonts w:cs="Times New Roman"/>
          <w:position w:val="-10"/>
          <w:szCs w:val="24"/>
        </w:rPr>
        <w:object w:dxaOrig="200" w:dyaOrig="260" w14:anchorId="635687D6">
          <v:shape id="_x0000_i1090" type="#_x0000_t75" style="width:10.7pt;height:13.3pt" o:ole="">
            <v:imagedata r:id="rId133" o:title=""/>
          </v:shape>
          <o:OLEObject Type="Embed" ProgID="Equation.DSMT4" ShapeID="_x0000_i1090" DrawAspect="Content" ObjectID="_1768995565" r:id="rId134"/>
        </w:object>
      </w:r>
      <w:r w:rsidR="00F467AD" w:rsidRPr="008674F2">
        <w:rPr>
          <w:rFonts w:cs="Times New Roman"/>
          <w:szCs w:val="24"/>
        </w:rPr>
        <w:t xml:space="preserve"> are coefficients to be estimated, as is the treatment effect parameter </w:t>
      </w:r>
      <w:r w:rsidR="00504DC0" w:rsidRPr="008674F2">
        <w:rPr>
          <w:rFonts w:cs="Times New Roman"/>
          <w:position w:val="-6"/>
          <w:szCs w:val="24"/>
        </w:rPr>
        <w:object w:dxaOrig="220" w:dyaOrig="279" w14:anchorId="09A61A67">
          <v:shape id="_x0000_i1091" type="#_x0000_t75" style="width:10.7pt;height:13.7pt" o:ole="" o:preferrelative="f">
            <v:imagedata r:id="rId135" o:title=""/>
            <o:lock v:ext="edit" aspectratio="f"/>
          </v:shape>
          <o:OLEObject Type="Embed" ProgID="Equation.DSMT4" ShapeID="_x0000_i1091" DrawAspect="Content" ObjectID="_1768995566" r:id="rId136"/>
        </w:object>
      </w:r>
      <w:r w:rsidR="00F467AD" w:rsidRPr="008674F2">
        <w:rPr>
          <w:rFonts w:cs="Times New Roman"/>
          <w:szCs w:val="24"/>
        </w:rPr>
        <w:t>.</w:t>
      </w:r>
      <w:r w:rsidR="00B02E20" w:rsidRPr="00FE38B5">
        <w:rPr>
          <w:rFonts w:cs="Times New Roman"/>
          <w:szCs w:val="24"/>
          <w:vertAlign w:val="superscript"/>
        </w:rPr>
        <w:footnoteReference w:id="4"/>
      </w:r>
      <w:r w:rsidR="00F467AD" w:rsidRPr="008674F2">
        <w:rPr>
          <w:rFonts w:cs="Times New Roman"/>
          <w:szCs w:val="24"/>
        </w:rPr>
        <w:t xml:space="preserve"> </w:t>
      </w:r>
      <w:r w:rsidR="00E063BE" w:rsidRPr="008674F2">
        <w:rPr>
          <w:rFonts w:cs="Times New Roman"/>
          <w:szCs w:val="24"/>
        </w:rPr>
        <w:t xml:space="preserve">The elements of the vectors </w:t>
      </w:r>
      <w:r w:rsidR="00E063BE" w:rsidRPr="008674F2">
        <w:rPr>
          <w:rFonts w:cs="Times New Roman"/>
          <w:position w:val="-12"/>
          <w:szCs w:val="24"/>
        </w:rPr>
        <w:object w:dxaOrig="260" w:dyaOrig="360" w14:anchorId="6BAABBA6">
          <v:shape id="_x0000_i1092" type="#_x0000_t75" style="width:13.3pt;height:18pt" o:ole="">
            <v:imagedata r:id="rId127" o:title=""/>
          </v:shape>
          <o:OLEObject Type="Embed" ProgID="Equation.DSMT4" ShapeID="_x0000_i1092" DrawAspect="Content" ObjectID="_1768995567" r:id="rId137"/>
        </w:object>
      </w:r>
      <w:r w:rsidR="00E063BE" w:rsidRPr="008674F2">
        <w:rPr>
          <w:rFonts w:cs="Times New Roman"/>
          <w:szCs w:val="24"/>
        </w:rPr>
        <w:t xml:space="preserve"> and </w:t>
      </w:r>
      <w:r w:rsidR="00E063BE" w:rsidRPr="008674F2">
        <w:rPr>
          <w:rFonts w:cs="Times New Roman"/>
          <w:position w:val="-12"/>
          <w:szCs w:val="24"/>
        </w:rPr>
        <w:object w:dxaOrig="300" w:dyaOrig="360" w14:anchorId="0FEDADA5">
          <v:shape id="_x0000_i1093" type="#_x0000_t75" style="width:15pt;height:18pt" o:ole="">
            <v:imagedata r:id="rId129" o:title=""/>
          </v:shape>
          <o:OLEObject Type="Embed" ProgID="Equation.DSMT4" ShapeID="_x0000_i1093" DrawAspect="Content" ObjectID="_1768995568" r:id="rId138"/>
        </w:object>
      </w:r>
      <w:r w:rsidR="00E063BE" w:rsidRPr="008674F2">
        <w:rPr>
          <w:rFonts w:cs="Times New Roman"/>
          <w:szCs w:val="24"/>
        </w:rPr>
        <w:t xml:space="preserve"> are assumed independent of the stochastic elements </w:t>
      </w:r>
      <w:r w:rsidRPr="008674F2">
        <w:rPr>
          <w:rFonts w:eastAsia="Times New Roman" w:cs="Times New Roman"/>
          <w:noProof/>
          <w:position w:val="-12"/>
          <w:szCs w:val="24"/>
        </w:rPr>
        <w:object w:dxaOrig="240" w:dyaOrig="360" w14:anchorId="2C2B3A6E">
          <v:shape id="_x0000_i1094" type="#_x0000_t75" style="width:12pt;height:18pt" o:ole="" o:preferrelative="f">
            <v:imagedata r:id="rId139" o:title=""/>
            <o:lock v:ext="edit" aspectratio="f"/>
          </v:shape>
          <o:OLEObject Type="Embed" ProgID="Equation.DSMT4" ShapeID="_x0000_i1094" DrawAspect="Content" ObjectID="_1768995569" r:id="rId140"/>
        </w:object>
      </w:r>
      <w:r w:rsidR="00E063BE" w:rsidRPr="008674F2">
        <w:rPr>
          <w:rFonts w:eastAsia="Times New Roman" w:cs="Times New Roman"/>
          <w:noProof/>
          <w:szCs w:val="24"/>
        </w:rPr>
        <w:t xml:space="preserve"> and </w:t>
      </w:r>
      <w:r w:rsidRPr="008674F2">
        <w:rPr>
          <w:rFonts w:eastAsia="Times New Roman" w:cs="Times New Roman"/>
          <w:noProof/>
          <w:position w:val="-12"/>
          <w:szCs w:val="24"/>
        </w:rPr>
        <w:object w:dxaOrig="260" w:dyaOrig="360" w14:anchorId="116D5D3D">
          <v:shape id="_x0000_i1095" type="#_x0000_t75" style="width:13.3pt;height:18pt" o:ole="" o:preferrelative="f">
            <v:imagedata r:id="rId141" o:title=""/>
            <o:lock v:ext="edit" aspectratio="f"/>
          </v:shape>
          <o:OLEObject Type="Embed" ProgID="Equation.DSMT4" ShapeID="_x0000_i1095" DrawAspect="Content" ObjectID="_1768995570" r:id="rId142"/>
        </w:object>
      </w:r>
      <w:r w:rsidR="00D048A5">
        <w:rPr>
          <w:rFonts w:cs="Times New Roman"/>
          <w:szCs w:val="24"/>
        </w:rPr>
        <w:t xml:space="preserve">, but </w:t>
      </w:r>
      <w:r w:rsidRPr="008674F2">
        <w:rPr>
          <w:rFonts w:eastAsia="Times New Roman" w:cs="Times New Roman"/>
          <w:noProof/>
          <w:position w:val="-12"/>
          <w:szCs w:val="24"/>
        </w:rPr>
        <w:object w:dxaOrig="240" w:dyaOrig="360" w14:anchorId="2E396ABC">
          <v:shape id="_x0000_i1096" type="#_x0000_t75" style="width:12pt;height:18pt" o:ole="" o:preferrelative="f">
            <v:imagedata r:id="rId139" o:title=""/>
            <o:lock v:ext="edit" aspectratio="f"/>
          </v:shape>
          <o:OLEObject Type="Embed" ProgID="Equation.DSMT4" ShapeID="_x0000_i1096" DrawAspect="Content" ObjectID="_1768995571" r:id="rId143"/>
        </w:object>
      </w:r>
      <w:r w:rsidRPr="008674F2">
        <w:rPr>
          <w:rFonts w:eastAsia="Times New Roman" w:cs="Times New Roman"/>
          <w:noProof/>
          <w:szCs w:val="24"/>
        </w:rPr>
        <w:t xml:space="preserve"> and </w:t>
      </w:r>
      <w:r w:rsidRPr="008674F2">
        <w:rPr>
          <w:rFonts w:eastAsia="Times New Roman" w:cs="Times New Roman"/>
          <w:noProof/>
          <w:position w:val="-12"/>
          <w:szCs w:val="24"/>
        </w:rPr>
        <w:object w:dxaOrig="260" w:dyaOrig="360" w14:anchorId="6BC08570">
          <v:shape id="_x0000_i1097" type="#_x0000_t75" style="width:13.3pt;height:18pt" o:ole="" o:preferrelative="f">
            <v:imagedata r:id="rId141" o:title=""/>
            <o:lock v:ext="edit" aspectratio="f"/>
          </v:shape>
          <o:OLEObject Type="Embed" ProgID="Equation.DSMT4" ShapeID="_x0000_i1097" DrawAspect="Content" ObjectID="_1768995572" r:id="rId144"/>
        </w:object>
      </w:r>
      <w:r>
        <w:rPr>
          <w:rFonts w:eastAsia="Times New Roman" w:cs="Times New Roman"/>
          <w:noProof/>
          <w:szCs w:val="24"/>
        </w:rPr>
        <w:t xml:space="preserve"> </w:t>
      </w:r>
      <w:r w:rsidR="00F467AD" w:rsidRPr="008674F2">
        <w:rPr>
          <w:rFonts w:cs="Times New Roman"/>
          <w:szCs w:val="24"/>
        </w:rPr>
        <w:t>are correlated</w:t>
      </w:r>
      <w:r w:rsidR="00D048A5">
        <w:rPr>
          <w:rFonts w:cs="Times New Roman"/>
          <w:szCs w:val="24"/>
        </w:rPr>
        <w:t>.</w:t>
      </w:r>
      <w:r w:rsidR="00F467AD" w:rsidRPr="008674F2">
        <w:rPr>
          <w:rFonts w:cs="Times New Roman"/>
          <w:szCs w:val="24"/>
        </w:rPr>
        <w:t xml:space="preserve"> </w:t>
      </w:r>
      <w:bookmarkStart w:id="4" w:name="_Hlk148457487"/>
      <w:r w:rsidR="00E063BE" w:rsidRPr="008674F2">
        <w:rPr>
          <w:rFonts w:cs="Times New Roman"/>
          <w:position w:val="-12"/>
          <w:szCs w:val="24"/>
        </w:rPr>
        <w:object w:dxaOrig="320" w:dyaOrig="360" w14:anchorId="1AB1C778">
          <v:shape id="_x0000_i1098" type="#_x0000_t75" style="width:16.3pt;height:18pt" o:ole="">
            <v:imagedata r:id="rId145" o:title=""/>
          </v:shape>
          <o:OLEObject Type="Embed" ProgID="Equation.DSMT4" ShapeID="_x0000_i1098" DrawAspect="Content" ObjectID="_1768995573" r:id="rId146"/>
        </w:object>
      </w:r>
      <w:r w:rsidR="00E063BE" w:rsidRPr="008674F2">
        <w:rPr>
          <w:rFonts w:cs="Times New Roman"/>
          <w:szCs w:val="24"/>
        </w:rPr>
        <w:t xml:space="preserve"> </w:t>
      </w:r>
      <w:r w:rsidR="00E063BE" w:rsidRPr="008674F2">
        <w:rPr>
          <w:rFonts w:cs="Times New Roman"/>
          <w:szCs w:val="24"/>
        </w:rPr>
        <w:fldChar w:fldCharType="begin"/>
      </w:r>
      <w:r w:rsidR="00E063BE" w:rsidRPr="008674F2">
        <w:rPr>
          <w:rFonts w:cs="Times New Roman"/>
          <w:szCs w:val="24"/>
        </w:rPr>
        <w:instrText xml:space="preserve"> QUOTE </w:instrText>
      </w:r>
      <m:oMath>
        <m:sSubSup>
          <m:sSubSupPr>
            <m:ctrlPr>
              <w:rPr>
                <w:rFonts w:ascii="Cambria Math" w:hAnsi="Cambria Math" w:cs="Times New Roman"/>
                <w:i/>
                <w:szCs w:val="24"/>
              </w:rPr>
            </m:ctrlPr>
          </m:sSubSupPr>
          <m:e>
            <m:r>
              <m:rPr>
                <m:sty m:val="p"/>
              </m:rPr>
              <w:rPr>
                <w:rFonts w:ascii="Cambria Math" w:hAnsi="Cambria Math" w:cs="Times New Roman"/>
                <w:szCs w:val="24"/>
              </w:rPr>
              <m:t>ϴ</m:t>
            </m:r>
          </m:e>
          <m:sub>
            <m:r>
              <m:rPr>
                <m:sty m:val="p"/>
              </m:rPr>
              <w:rPr>
                <w:rFonts w:ascii="Cambria Math" w:hAnsi="Cambria Math" w:cs="Times New Roman"/>
                <w:szCs w:val="24"/>
              </w:rPr>
              <m:t>i</m:t>
            </m:r>
          </m:sub>
          <m:sup>
            <m:r>
              <m:rPr>
                <m:sty m:val="p"/>
              </m:rPr>
              <w:rPr>
                <w:rFonts w:ascii="Cambria Math" w:hAnsi="Cambria Math" w:cs="Times New Roman"/>
                <w:szCs w:val="24"/>
              </w:rPr>
              <m:t>k</m:t>
            </m:r>
          </m:sup>
        </m:sSubSup>
      </m:oMath>
      <w:r w:rsidR="00E063BE" w:rsidRPr="008674F2">
        <w:rPr>
          <w:rFonts w:cs="Times New Roman"/>
          <w:szCs w:val="24"/>
        </w:rPr>
        <w:instrText xml:space="preserve"> </w:instrText>
      </w:r>
      <w:r w:rsidR="000C230E">
        <w:rPr>
          <w:rFonts w:cs="Times New Roman"/>
          <w:szCs w:val="24"/>
        </w:rPr>
        <w:fldChar w:fldCharType="separate"/>
      </w:r>
      <w:r w:rsidR="00E063BE" w:rsidRPr="008674F2">
        <w:rPr>
          <w:rFonts w:cs="Times New Roman"/>
          <w:szCs w:val="24"/>
        </w:rPr>
        <w:fldChar w:fldCharType="end"/>
      </w:r>
      <w:r w:rsidR="00E063BE" w:rsidRPr="008674F2">
        <w:rPr>
          <w:rFonts w:cs="Times New Roman"/>
          <w:szCs w:val="24"/>
        </w:rPr>
        <w:t xml:space="preserve">is the upper bound threshold for ordinal level </w:t>
      </w:r>
      <w:r w:rsidR="00E063BE" w:rsidRPr="008674F2">
        <w:rPr>
          <w:rFonts w:cs="Times New Roman"/>
          <w:i/>
          <w:iCs/>
          <w:szCs w:val="24"/>
        </w:rPr>
        <w:t>k</w:t>
      </w:r>
      <w:r w:rsidR="00E063BE" w:rsidRPr="008674F2">
        <w:rPr>
          <w:rFonts w:cs="Times New Roman"/>
          <w:szCs w:val="24"/>
        </w:rPr>
        <w:t xml:space="preserve"> for the outcome </w:t>
      </w:r>
      <w:r w:rsidR="00D048A5" w:rsidRPr="008674F2">
        <w:rPr>
          <w:rFonts w:cs="Times New Roman"/>
          <w:position w:val="-12"/>
          <w:szCs w:val="24"/>
        </w:rPr>
        <w:object w:dxaOrig="279" w:dyaOrig="380" w14:anchorId="313E0011">
          <v:shape id="_x0000_i1099" type="#_x0000_t75" style="width:14.15pt;height:18.85pt" o:ole="">
            <v:imagedata r:id="rId147" o:title=""/>
          </v:shape>
          <o:OLEObject Type="Embed" ProgID="Equation.DSMT4" ShapeID="_x0000_i1099" DrawAspect="Content" ObjectID="_1768995574" r:id="rId148"/>
        </w:object>
      </w:r>
      <w:r w:rsidR="00197AD8" w:rsidRPr="008674F2">
        <w:rPr>
          <w:rFonts w:cs="Times New Roman"/>
          <w:position w:val="-12"/>
          <w:szCs w:val="24"/>
        </w:rPr>
        <w:object w:dxaOrig="5539" w:dyaOrig="360" w14:anchorId="32954BDE">
          <v:shape id="_x0000_i1100" type="#_x0000_t75" style="width:277.7pt;height:18pt" o:ole="">
            <v:imagedata r:id="rId149" o:title=""/>
          </v:shape>
          <o:OLEObject Type="Embed" ProgID="Equation.DSMT4" ShapeID="_x0000_i1100" DrawAspect="Content" ObjectID="_1768995575" r:id="rId150"/>
        </w:object>
      </w:r>
      <w:r w:rsidR="00E063BE" w:rsidRPr="008674F2" w:rsidDel="008E3AA7">
        <w:rPr>
          <w:rFonts w:cs="Times New Roman"/>
          <w:szCs w:val="24"/>
        </w:rPr>
        <w:t xml:space="preserve"> </w:t>
      </w:r>
      <w:r w:rsidR="006F6827">
        <w:rPr>
          <w:rFonts w:cs="Times New Roman"/>
          <w:szCs w:val="24"/>
        </w:rPr>
        <w:t xml:space="preserve">For future use, define </w:t>
      </w:r>
      <w:r w:rsidR="006F6827" w:rsidRPr="00B67721">
        <w:rPr>
          <w:position w:val="-12"/>
        </w:rPr>
        <w:object w:dxaOrig="2120" w:dyaOrig="360" w14:anchorId="2E2BB0E5">
          <v:shape id="_x0000_i1101" type="#_x0000_t75" style="width:106.7pt;height:18pt" o:ole="">
            <v:imagedata r:id="rId151" o:title=""/>
          </v:shape>
          <o:OLEObject Type="Embed" ProgID="Equation.DSMT4" ShapeID="_x0000_i1101" DrawAspect="Content" ObjectID="_1768995576" r:id="rId152"/>
        </w:object>
      </w:r>
      <w:r w:rsidR="005502E3" w:rsidRPr="008674F2">
        <w:rPr>
          <w:rFonts w:cs="Times New Roman"/>
          <w:szCs w:val="24"/>
        </w:rPr>
        <w:t xml:space="preserve">For identification, we also maintain the usual exclusion restriction that there is at least one variable (“instrument”) that is contained in the vector </w:t>
      </w:r>
      <w:r w:rsidR="005502E3" w:rsidRPr="008674F2">
        <w:rPr>
          <w:rFonts w:cs="Times New Roman"/>
          <w:position w:val="-12"/>
          <w:szCs w:val="24"/>
        </w:rPr>
        <w:object w:dxaOrig="260" w:dyaOrig="360" w14:anchorId="025B3A1B">
          <v:shape id="_x0000_i1102" type="#_x0000_t75" style="width:13.3pt;height:18pt" o:ole="">
            <v:imagedata r:id="rId127" o:title=""/>
          </v:shape>
          <o:OLEObject Type="Embed" ProgID="Equation.DSMT4" ShapeID="_x0000_i1102" DrawAspect="Content" ObjectID="_1768995577" r:id="rId153"/>
        </w:object>
      </w:r>
      <w:r w:rsidR="005502E3" w:rsidRPr="008674F2">
        <w:rPr>
          <w:rFonts w:cs="Times New Roman"/>
          <w:szCs w:val="24"/>
        </w:rPr>
        <w:t xml:space="preserve"> but does not appear in the vector </w:t>
      </w:r>
      <w:r w:rsidR="005502E3" w:rsidRPr="008674F2">
        <w:rPr>
          <w:rFonts w:cs="Times New Roman"/>
          <w:position w:val="-12"/>
          <w:szCs w:val="24"/>
        </w:rPr>
        <w:object w:dxaOrig="360" w:dyaOrig="360" w14:anchorId="00D0BFFB">
          <v:shape id="_x0000_i1103" type="#_x0000_t75" style="width:18pt;height:18pt" o:ole="">
            <v:imagedata r:id="rId154" o:title=""/>
          </v:shape>
          <o:OLEObject Type="Embed" ProgID="Equation.DSMT4" ShapeID="_x0000_i1103" DrawAspect="Content" ObjectID="_1768995578" r:id="rId155"/>
        </w:object>
      </w:r>
      <w:r w:rsidR="005502E3" w:rsidRPr="008674F2">
        <w:rPr>
          <w:rFonts w:cs="Times New Roman"/>
          <w:szCs w:val="24"/>
        </w:rPr>
        <w:t xml:space="preserve">While there has been some confusion in the literature on whether such an exclusion restriction is necessary in multivariate limited-dependent variable models of the type in Equation (1) (see, for example, </w:t>
      </w:r>
      <w:bookmarkStart w:id="5" w:name="_Hlk155432395"/>
      <w:r w:rsidR="005502E3" w:rsidRPr="008674F2">
        <w:rPr>
          <w:rFonts w:cs="Times New Roman"/>
          <w:szCs w:val="24"/>
        </w:rPr>
        <w:t>Wilde, 2000 and Rhine et al., 2006</w:t>
      </w:r>
      <w:bookmarkEnd w:id="5"/>
      <w:r w:rsidR="005502E3" w:rsidRPr="008674F2">
        <w:rPr>
          <w:rFonts w:cs="Times New Roman"/>
          <w:szCs w:val="24"/>
        </w:rPr>
        <w:t xml:space="preserve">), Han and Lee (2019) show that such an exclusion restriction will, in general, be necessary and sufficient for identification of the model parameters. While the parameters </w:t>
      </w:r>
      <w:r w:rsidR="005502E3" w:rsidRPr="008674F2">
        <w:rPr>
          <w:rFonts w:cs="Times New Roman"/>
          <w:szCs w:val="24"/>
          <w:u w:val="single"/>
        </w:rPr>
        <w:t>may</w:t>
      </w:r>
      <w:r w:rsidR="005502E3" w:rsidRPr="008674F2">
        <w:rPr>
          <w:rFonts w:cs="Times New Roman"/>
          <w:szCs w:val="24"/>
        </w:rPr>
        <w:t xml:space="preserve"> be identified even without the exclusion restriction in the specific case of the presence of a common continuous exogenous variable (but not a binary variable) in both </w:t>
      </w:r>
      <w:r w:rsidR="005502E3" w:rsidRPr="008674F2">
        <w:rPr>
          <w:rFonts w:cs="Times New Roman"/>
          <w:position w:val="-12"/>
          <w:szCs w:val="24"/>
        </w:rPr>
        <w:object w:dxaOrig="260" w:dyaOrig="360" w14:anchorId="6361AD11">
          <v:shape id="_x0000_i1104" type="#_x0000_t75" style="width:13.3pt;height:18pt" o:ole="">
            <v:imagedata r:id="rId127" o:title=""/>
          </v:shape>
          <o:OLEObject Type="Embed" ProgID="Equation.DSMT4" ShapeID="_x0000_i1104" DrawAspect="Content" ObjectID="_1768995579" r:id="rId156"/>
        </w:object>
      </w:r>
      <w:r w:rsidR="005502E3" w:rsidRPr="008674F2">
        <w:rPr>
          <w:rFonts w:cs="Times New Roman"/>
          <w:szCs w:val="24"/>
        </w:rPr>
        <w:t xml:space="preserve"> and </w:t>
      </w:r>
      <w:r w:rsidR="005502E3" w:rsidRPr="008674F2">
        <w:rPr>
          <w:rFonts w:cs="Times New Roman"/>
          <w:position w:val="-12"/>
          <w:szCs w:val="24"/>
        </w:rPr>
        <w:object w:dxaOrig="300" w:dyaOrig="360" w14:anchorId="35394E72">
          <v:shape id="_x0000_i1105" type="#_x0000_t75" style="width:15pt;height:18pt" o:ole="">
            <v:imagedata r:id="rId129" o:title=""/>
          </v:shape>
          <o:OLEObject Type="Embed" ProgID="Equation.DSMT4" ShapeID="_x0000_i1105" DrawAspect="Content" ObjectID="_1768995580" r:id="rId157"/>
        </w:object>
      </w:r>
      <w:r w:rsidR="005502E3" w:rsidRPr="008674F2">
        <w:rPr>
          <w:rFonts w:cs="Times New Roman"/>
          <w:szCs w:val="24"/>
        </w:rPr>
        <w:t xml:space="preserve"> for a bivariate normal distribution of </w:t>
      </w:r>
      <w:r w:rsidR="008B25E6" w:rsidRPr="008674F2">
        <w:rPr>
          <w:rFonts w:cs="Times New Roman"/>
          <w:position w:val="-12"/>
          <w:szCs w:val="24"/>
        </w:rPr>
        <w:object w:dxaOrig="940" w:dyaOrig="380" w14:anchorId="72833A03">
          <v:shape id="_x0000_i1106" type="#_x0000_t75" style="width:46.3pt;height:18.85pt" o:ole="" o:preferrelative="f">
            <v:imagedata r:id="rId158" o:title=""/>
            <o:lock v:ext="edit" aspectratio="f"/>
          </v:shape>
          <o:OLEObject Type="Embed" ProgID="Equation.DSMT4" ShapeID="_x0000_i1106" DrawAspect="Content" ObjectID="_1768995581" r:id="rId159"/>
        </w:object>
      </w:r>
      <w:r w:rsidR="005502E3" w:rsidRPr="008674F2">
        <w:rPr>
          <w:rFonts w:cs="Times New Roman"/>
          <w:szCs w:val="24"/>
        </w:rPr>
        <w:t xml:space="preserve">, only weak identification is suggested (at the very best) even in this case. And for more flexible marginal distributions for </w:t>
      </w:r>
      <w:r w:rsidR="008B25E6" w:rsidRPr="008674F2">
        <w:rPr>
          <w:rFonts w:cs="Times New Roman"/>
          <w:position w:val="-12"/>
          <w:szCs w:val="24"/>
        </w:rPr>
        <w:object w:dxaOrig="940" w:dyaOrig="380" w14:anchorId="39DFDFB5">
          <v:shape id="_x0000_i1107" type="#_x0000_t75" style="width:46.3pt;height:18.85pt" o:ole="" o:preferrelative="f">
            <v:imagedata r:id="rId158" o:title=""/>
            <o:lock v:ext="edit" aspectratio="f"/>
          </v:shape>
          <o:OLEObject Type="Embed" ProgID="Equation.DSMT4" ShapeID="_x0000_i1107" DrawAspect="Content" ObjectID="_1768995582" r:id="rId160"/>
        </w:object>
      </w:r>
      <w:r w:rsidR="00D048A5" w:rsidRPr="008674F2">
        <w:rPr>
          <w:rFonts w:cs="Times New Roman"/>
          <w:szCs w:val="24"/>
        </w:rPr>
        <w:t>,</w:t>
      </w:r>
      <w:r w:rsidR="005502E3" w:rsidRPr="008674F2">
        <w:rPr>
          <w:rFonts w:cs="Times New Roman"/>
          <w:szCs w:val="24"/>
        </w:rPr>
        <w:t xml:space="preserve"> as in the current paper, the exclusion condition is necessary. Also, in </w:t>
      </w:r>
      <w:r w:rsidR="005502E3" w:rsidRPr="008674F2">
        <w:rPr>
          <w:rFonts w:cs="Times New Roman"/>
          <w:szCs w:val="24"/>
        </w:rPr>
        <w:lastRenderedPageBreak/>
        <w:t xml:space="preserve">the case when flexible marginal distributions </w:t>
      </w:r>
      <w:r w:rsidR="00D048A5">
        <w:rPr>
          <w:rFonts w:cs="Times New Roman"/>
          <w:szCs w:val="24"/>
        </w:rPr>
        <w:t xml:space="preserve"> for </w:t>
      </w:r>
      <w:r w:rsidR="008B25E6" w:rsidRPr="008674F2">
        <w:rPr>
          <w:rFonts w:cs="Times New Roman"/>
          <w:position w:val="-12"/>
          <w:szCs w:val="24"/>
        </w:rPr>
        <w:object w:dxaOrig="940" w:dyaOrig="380" w14:anchorId="13C4D3AA">
          <v:shape id="_x0000_i1108" type="#_x0000_t75" style="width:46.3pt;height:18.85pt" o:ole="" o:preferrelative="f">
            <v:imagedata r:id="rId158" o:title=""/>
            <o:lock v:ext="edit" aspectratio="f"/>
          </v:shape>
          <o:OLEObject Type="Embed" ProgID="Equation.DSMT4" ShapeID="_x0000_i1108" DrawAspect="Content" ObjectID="_1768995583" r:id="rId161"/>
        </w:object>
      </w:r>
      <w:r w:rsidR="00D048A5">
        <w:rPr>
          <w:rFonts w:cs="Times New Roman"/>
          <w:szCs w:val="24"/>
        </w:rPr>
        <w:t xml:space="preserve"> </w:t>
      </w:r>
      <w:r w:rsidR="005502E3" w:rsidRPr="008674F2">
        <w:rPr>
          <w:rFonts w:cs="Times New Roman"/>
          <w:szCs w:val="24"/>
        </w:rPr>
        <w:t>are used (either in parametric or non-parametric form), the findings from Han and Lee (2019) hold that, for point identification of the parameters, a restrictive dependence structure has to be specified for the joint distribution of</w:t>
      </w:r>
      <w:r w:rsidR="002B5473">
        <w:rPr>
          <w:rFonts w:cs="Times New Roman"/>
          <w:szCs w:val="24"/>
        </w:rPr>
        <w:t xml:space="preserve"> </w:t>
      </w:r>
      <w:r w:rsidR="002B5473" w:rsidRPr="008674F2">
        <w:rPr>
          <w:rFonts w:cs="Times New Roman"/>
          <w:position w:val="-12"/>
          <w:szCs w:val="24"/>
        </w:rPr>
        <w:object w:dxaOrig="940" w:dyaOrig="380" w14:anchorId="7E07686C">
          <v:shape id="_x0000_i1109" type="#_x0000_t75" style="width:47.15pt;height:19.3pt" o:ole="">
            <v:imagedata r:id="rId158" o:title=""/>
          </v:shape>
          <o:OLEObject Type="Embed" ProgID="Equation.DSMT4" ShapeID="_x0000_i1109" DrawAspect="Content" ObjectID="_1768995584" r:id="rId162"/>
        </w:object>
      </w:r>
      <w:r w:rsidR="005502E3" w:rsidRPr="008674F2">
        <w:rPr>
          <w:rFonts w:cs="Times New Roman"/>
          <w:szCs w:val="24"/>
        </w:rPr>
        <w:t>, even after allowing for an exclusion restriction. This restrictive dependence structure is satisfied by our use of the Gaussian copula with flexible parametric marginals.</w:t>
      </w:r>
      <w:r w:rsidR="005502E3" w:rsidRPr="00FE38B5">
        <w:rPr>
          <w:rFonts w:cs="Times New Roman"/>
          <w:szCs w:val="24"/>
          <w:vertAlign w:val="superscript"/>
        </w:rPr>
        <w:footnoteReference w:id="5"/>
      </w:r>
      <w:r w:rsidR="005502E3" w:rsidRPr="008674F2">
        <w:rPr>
          <w:rFonts w:cs="Times New Roman"/>
          <w:szCs w:val="24"/>
        </w:rPr>
        <w:t xml:space="preserve"> </w:t>
      </w:r>
    </w:p>
    <w:p w14:paraId="7A456CFD" w14:textId="2C626D4B" w:rsidR="0090385E" w:rsidRPr="008674F2" w:rsidRDefault="0090385E" w:rsidP="00B4106B">
      <w:pPr>
        <w:spacing w:line="276" w:lineRule="auto"/>
        <w:ind w:firstLine="720"/>
        <w:jc w:val="both"/>
        <w:rPr>
          <w:rFonts w:cs="Times New Roman"/>
          <w:noProof/>
          <w:szCs w:val="24"/>
        </w:rPr>
      </w:pPr>
      <w:r w:rsidRPr="008674F2">
        <w:rPr>
          <w:rFonts w:cs="Times New Roman"/>
          <w:szCs w:val="24"/>
        </w:rPr>
        <w:t xml:space="preserve">Next, </w:t>
      </w:r>
      <w:r w:rsidRPr="008674F2">
        <w:rPr>
          <w:rFonts w:cs="Times New Roman"/>
          <w:noProof/>
          <w:szCs w:val="24"/>
        </w:rPr>
        <w:t xml:space="preserve">write </w:t>
      </w:r>
      <w:r w:rsidR="008B25E6" w:rsidRPr="008674F2">
        <w:rPr>
          <w:rFonts w:cs="Times New Roman"/>
          <w:position w:val="-12"/>
          <w:szCs w:val="24"/>
        </w:rPr>
        <w:object w:dxaOrig="940" w:dyaOrig="380" w14:anchorId="413EDE0F">
          <v:shape id="_x0000_i1110" type="#_x0000_t75" style="width:46.3pt;height:18.85pt" o:ole="" o:preferrelative="f">
            <v:imagedata r:id="rId158" o:title=""/>
            <o:lock v:ext="edit" aspectratio="f"/>
          </v:shape>
          <o:OLEObject Type="Embed" ProgID="Equation.DSMT4" ShapeID="_x0000_i1110" DrawAspect="Content" ObjectID="_1768995585" r:id="rId163"/>
        </w:object>
      </w:r>
      <w:r w:rsidR="002B5473">
        <w:rPr>
          <w:rFonts w:cs="Times New Roman"/>
          <w:szCs w:val="24"/>
        </w:rPr>
        <w:t xml:space="preserve"> </w:t>
      </w:r>
      <w:r w:rsidRPr="008674F2">
        <w:rPr>
          <w:rFonts w:cs="Times New Roman"/>
          <w:noProof/>
          <w:szCs w:val="24"/>
        </w:rPr>
        <w:t>in terms of their YJ-transformed normall</w:t>
      </w:r>
      <w:r w:rsidR="002B5473">
        <w:rPr>
          <w:rFonts w:cs="Times New Roman"/>
          <w:noProof/>
          <w:szCs w:val="24"/>
        </w:rPr>
        <w:t>y</w:t>
      </w:r>
      <w:r w:rsidRPr="008674F2">
        <w:rPr>
          <w:rFonts w:cs="Times New Roman"/>
          <w:noProof/>
          <w:szCs w:val="24"/>
        </w:rPr>
        <w:t xml:space="preserve"> distrtibuted counterparts </w:t>
      </w:r>
      <w:r w:rsidR="002B5473" w:rsidRPr="008674F2">
        <w:rPr>
          <w:rFonts w:eastAsia="Times New Roman" w:cs="Times New Roman"/>
          <w:noProof/>
          <w:position w:val="-12"/>
          <w:szCs w:val="24"/>
        </w:rPr>
        <w:object w:dxaOrig="1160" w:dyaOrig="380" w14:anchorId="2B3ADB10">
          <v:shape id="_x0000_i1111" type="#_x0000_t75" style="width:58.7pt;height:19.3pt" o:ole="" o:preferrelative="f">
            <v:imagedata r:id="rId164" o:title=""/>
            <o:lock v:ext="edit" aspectratio="f"/>
          </v:shape>
          <o:OLEObject Type="Embed" ProgID="Equation.DSMT4" ShapeID="_x0000_i1111" DrawAspect="Content" ObjectID="_1768995586" r:id="rId165"/>
        </w:object>
      </w:r>
      <w:r w:rsidRPr="008674F2">
        <w:rPr>
          <w:rFonts w:eastAsia="Times New Roman" w:cs="Times New Roman"/>
          <w:noProof/>
          <w:szCs w:val="24"/>
        </w:rPr>
        <w:t>as</w:t>
      </w:r>
      <w:r w:rsidRPr="008674F2">
        <w:rPr>
          <w:rFonts w:cs="Times New Roman"/>
          <w:noProof/>
          <w:szCs w:val="24"/>
        </w:rPr>
        <w:t xml:space="preserve"> </w:t>
      </w:r>
      <w:r w:rsidR="002B5473">
        <w:rPr>
          <w:rFonts w:cs="Times New Roman"/>
          <w:noProof/>
          <w:szCs w:val="24"/>
        </w:rPr>
        <w:t xml:space="preserve">in </w:t>
      </w:r>
      <w:r w:rsidRPr="008674F2">
        <w:rPr>
          <w:rFonts w:cs="Times New Roman"/>
          <w:noProof/>
          <w:szCs w:val="24"/>
        </w:rPr>
        <w:t>Equation (1)</w:t>
      </w:r>
      <w:r w:rsidR="00FB63BA">
        <w:rPr>
          <w:rFonts w:cs="Times New Roman"/>
          <w:noProof/>
          <w:szCs w:val="24"/>
        </w:rPr>
        <w:t xml:space="preserve">, and then construct a bivariate normal distribution for </w:t>
      </w:r>
      <w:r w:rsidR="00FB63BA" w:rsidRPr="008674F2">
        <w:rPr>
          <w:rFonts w:eastAsia="Times New Roman" w:cs="Times New Roman"/>
          <w:noProof/>
          <w:position w:val="-12"/>
          <w:szCs w:val="24"/>
        </w:rPr>
        <w:object w:dxaOrig="1160" w:dyaOrig="380" w14:anchorId="4FFB3CB1">
          <v:shape id="_x0000_i1112" type="#_x0000_t75" style="width:58.7pt;height:19.3pt" o:ole="" o:preferrelative="f">
            <v:imagedata r:id="rId164" o:title=""/>
            <o:lock v:ext="edit" aspectratio="f"/>
          </v:shape>
          <o:OLEObject Type="Embed" ProgID="Equation.DSMT4" ShapeID="_x0000_i1112" DrawAspect="Content" ObjectID="_1768995587" r:id="rId166"/>
        </w:object>
      </w:r>
      <w:r w:rsidR="005B6EB1">
        <w:rPr>
          <w:rFonts w:eastAsia="Times New Roman" w:cs="Times New Roman"/>
          <w:noProof/>
          <w:szCs w:val="24"/>
        </w:rPr>
        <w:t>as a special case of Equation (3)</w:t>
      </w:r>
      <w:r w:rsidR="00FB63BA">
        <w:rPr>
          <w:rFonts w:eastAsia="Times New Roman" w:cs="Times New Roman"/>
          <w:noProof/>
          <w:szCs w:val="24"/>
        </w:rPr>
        <w:t>:</w:t>
      </w:r>
    </w:p>
    <w:p w14:paraId="32078AAB" w14:textId="271ADEFF" w:rsidR="00B476AA" w:rsidRDefault="007A57BC" w:rsidP="00D40E00">
      <w:pPr>
        <w:spacing w:before="60" w:after="60" w:line="276" w:lineRule="auto"/>
        <w:jc w:val="both"/>
        <w:rPr>
          <w:rFonts w:eastAsia="Times New Roman" w:cs="Times New Roman"/>
          <w:noProof/>
          <w:szCs w:val="24"/>
        </w:rPr>
      </w:pPr>
      <w:r w:rsidRPr="008B25E6">
        <w:rPr>
          <w:rFonts w:eastAsia="Times New Roman" w:cs="Times New Roman"/>
          <w:noProof/>
          <w:position w:val="-56"/>
          <w:szCs w:val="24"/>
        </w:rPr>
        <w:object w:dxaOrig="6160" w:dyaOrig="1240" w14:anchorId="0BF2BCE6">
          <v:shape id="_x0000_i1113" type="#_x0000_t75" style="width:307.3pt;height:61.7pt" o:ole="" o:preferrelative="f">
            <v:imagedata r:id="rId167" o:title=""/>
            <o:lock v:ext="edit" aspectratio="f"/>
          </v:shape>
          <o:OLEObject Type="Embed" ProgID="Equation.DSMT4" ShapeID="_x0000_i1113" DrawAspect="Content" ObjectID="_1768995588" r:id="rId168"/>
        </w:object>
      </w:r>
      <w:r w:rsidR="00595F4B">
        <w:rPr>
          <w:rFonts w:eastAsia="Times New Roman" w:cs="Times New Roman"/>
          <w:noProof/>
          <w:szCs w:val="24"/>
        </w:rPr>
        <w:tab/>
      </w:r>
      <w:r w:rsidR="00595F4B">
        <w:rPr>
          <w:rFonts w:eastAsia="Times New Roman" w:cs="Times New Roman"/>
          <w:noProof/>
          <w:szCs w:val="24"/>
        </w:rPr>
        <w:tab/>
      </w:r>
      <w:r w:rsidR="00595F4B">
        <w:rPr>
          <w:rFonts w:eastAsia="Times New Roman" w:cs="Times New Roman"/>
          <w:noProof/>
          <w:szCs w:val="24"/>
        </w:rPr>
        <w:tab/>
      </w:r>
      <w:r w:rsidR="00595F4B">
        <w:rPr>
          <w:rFonts w:eastAsia="Times New Roman" w:cs="Times New Roman"/>
          <w:noProof/>
          <w:szCs w:val="24"/>
        </w:rPr>
        <w:tab/>
        <w:t xml:space="preserve">     (7)</w:t>
      </w:r>
    </w:p>
    <w:p w14:paraId="42D0A411" w14:textId="56553715" w:rsidR="00981DC8" w:rsidRDefault="00981DC8" w:rsidP="00987C11">
      <w:pPr>
        <w:autoSpaceDE w:val="0"/>
        <w:autoSpaceDN w:val="0"/>
        <w:adjustRightInd w:val="0"/>
        <w:spacing w:line="276" w:lineRule="auto"/>
        <w:jc w:val="both"/>
        <w:rPr>
          <w:rFonts w:eastAsia="Times New Roman" w:cs="Times New Roman"/>
          <w:noProof/>
          <w:szCs w:val="24"/>
        </w:rPr>
      </w:pPr>
      <w:r>
        <w:rPr>
          <w:rFonts w:eastAsia="Times New Roman" w:cs="Times New Roman"/>
          <w:noProof/>
          <w:szCs w:val="24"/>
        </w:rPr>
        <w:t xml:space="preserve">As can be noted from above, </w:t>
      </w:r>
      <w:r w:rsidR="009251CF">
        <w:rPr>
          <w:rFonts w:eastAsia="Times New Roman" w:cs="Times New Roman"/>
          <w:noProof/>
          <w:szCs w:val="24"/>
        </w:rPr>
        <w:t xml:space="preserve">the YJ transformation in our model is applied </w:t>
      </w:r>
      <w:r>
        <w:rPr>
          <w:rFonts w:eastAsia="Times New Roman" w:cs="Times New Roman"/>
          <w:noProof/>
          <w:szCs w:val="24"/>
        </w:rPr>
        <w:t>to</w:t>
      </w:r>
      <w:r w:rsidR="009251CF">
        <w:rPr>
          <w:rFonts w:eastAsia="Times New Roman" w:cs="Times New Roman"/>
          <w:noProof/>
          <w:szCs w:val="24"/>
        </w:rPr>
        <w:t xml:space="preserve"> the error terms. In the context of Equation (6), the transformations are </w:t>
      </w:r>
      <w:r w:rsidR="00164564">
        <w:rPr>
          <w:rFonts w:eastAsia="Times New Roman" w:cs="Times New Roman"/>
          <w:noProof/>
          <w:szCs w:val="24"/>
        </w:rPr>
        <w:t xml:space="preserve">thus </w:t>
      </w:r>
      <w:r w:rsidR="009251CF">
        <w:rPr>
          <w:rFonts w:eastAsia="Times New Roman" w:cs="Times New Roman"/>
          <w:noProof/>
          <w:szCs w:val="24"/>
        </w:rPr>
        <w:t xml:space="preserve">applied to the conditional distributions </w:t>
      </w:r>
      <w:r w:rsidR="00AC6517" w:rsidRPr="009251CF">
        <w:rPr>
          <w:position w:val="-14"/>
        </w:rPr>
        <w:object w:dxaOrig="2299" w:dyaOrig="400" w14:anchorId="66D2FF93">
          <v:shape id="_x0000_i1114" type="#_x0000_t75" style="width:115.7pt;height:20.15pt" o:ole="" o:preferrelative="f">
            <v:imagedata r:id="rId169" o:title=""/>
            <o:lock v:ext="edit" aspectratio="f"/>
          </v:shape>
          <o:OLEObject Type="Embed" ProgID="Equation.DSMT4" ShapeID="_x0000_i1114" DrawAspect="Content" ObjectID="_1768995589" r:id="rId170"/>
        </w:object>
      </w:r>
      <w:r w:rsidR="009251CF">
        <w:rPr>
          <w:rFonts w:eastAsia="Times New Roman" w:cs="Times New Roman"/>
          <w:noProof/>
          <w:szCs w:val="24"/>
        </w:rPr>
        <w:t xml:space="preserve"> The emphasis is on allowing the error distribution to potentially have a non-normal distribution</w:t>
      </w:r>
      <w:r w:rsidR="00164564">
        <w:rPr>
          <w:rFonts w:eastAsia="Times New Roman" w:cs="Times New Roman"/>
          <w:noProof/>
          <w:szCs w:val="24"/>
        </w:rPr>
        <w:t>.</w:t>
      </w:r>
      <w:r w:rsidR="009251CF">
        <w:rPr>
          <w:rFonts w:eastAsia="Times New Roman" w:cs="Times New Roman"/>
          <w:noProof/>
          <w:szCs w:val="24"/>
        </w:rPr>
        <w:t xml:space="preserve"> In contrast, in earlier transformation applications used with continuous observed dependent outcome variables</w:t>
      </w:r>
      <w:r w:rsidR="008410A0">
        <w:rPr>
          <w:rFonts w:eastAsia="Times New Roman" w:cs="Times New Roman"/>
          <w:noProof/>
          <w:szCs w:val="24"/>
        </w:rPr>
        <w:t xml:space="preserve"> (as discussed in Section 2.1</w:t>
      </w:r>
      <w:r w:rsidR="006355B9">
        <w:rPr>
          <w:rFonts w:eastAsia="Times New Roman" w:cs="Times New Roman"/>
          <w:noProof/>
          <w:szCs w:val="24"/>
        </w:rPr>
        <w:t>; see also Atkinson et al., 2021</w:t>
      </w:r>
      <w:r w:rsidR="008410A0">
        <w:rPr>
          <w:rFonts w:eastAsia="Times New Roman" w:cs="Times New Roman"/>
          <w:noProof/>
          <w:szCs w:val="24"/>
        </w:rPr>
        <w:t>)</w:t>
      </w:r>
      <w:r w:rsidR="009251CF">
        <w:rPr>
          <w:rFonts w:eastAsia="Times New Roman" w:cs="Times New Roman"/>
          <w:noProof/>
          <w:szCs w:val="24"/>
        </w:rPr>
        <w:t xml:space="preserve">, the transformations have been applied directly to the </w:t>
      </w:r>
      <w:r w:rsidR="008410A0">
        <w:rPr>
          <w:rFonts w:eastAsia="Times New Roman" w:cs="Times New Roman"/>
          <w:noProof/>
          <w:szCs w:val="24"/>
        </w:rPr>
        <w:t xml:space="preserve">observed outcome </w:t>
      </w:r>
      <w:r w:rsidR="009251CF">
        <w:rPr>
          <w:rFonts w:eastAsia="Times New Roman" w:cs="Times New Roman"/>
          <w:noProof/>
          <w:szCs w:val="24"/>
        </w:rPr>
        <w:t>variables</w:t>
      </w:r>
      <w:r w:rsidR="006355B9">
        <w:rPr>
          <w:rFonts w:eastAsia="Times New Roman" w:cs="Times New Roman"/>
          <w:noProof/>
          <w:szCs w:val="24"/>
        </w:rPr>
        <w:t xml:space="preserve"> t</w:t>
      </w:r>
      <w:r>
        <w:rPr>
          <w:rFonts w:eastAsia="Times New Roman" w:cs="Times New Roman"/>
          <w:noProof/>
          <w:szCs w:val="24"/>
        </w:rPr>
        <w:t xml:space="preserve">o </w:t>
      </w:r>
      <w:r w:rsidR="006355B9">
        <w:rPr>
          <w:rFonts w:eastAsia="Times New Roman" w:cs="Times New Roman"/>
          <w:noProof/>
          <w:szCs w:val="24"/>
        </w:rPr>
        <w:t xml:space="preserve">account for </w:t>
      </w:r>
      <w:r>
        <w:rPr>
          <w:rFonts w:eastAsia="Times New Roman" w:cs="Times New Roman"/>
          <w:noProof/>
          <w:szCs w:val="24"/>
        </w:rPr>
        <w:t xml:space="preserve">non-normality and </w:t>
      </w:r>
      <w:r w:rsidR="006355B9">
        <w:rPr>
          <w:rFonts w:eastAsia="Times New Roman" w:cs="Times New Roman"/>
          <w:noProof/>
          <w:szCs w:val="24"/>
        </w:rPr>
        <w:t>heteroskedasticity in the observed dependent outcome</w:t>
      </w:r>
      <w:r w:rsidR="008410A0">
        <w:rPr>
          <w:rFonts w:eastAsia="Times New Roman" w:cs="Times New Roman"/>
          <w:noProof/>
          <w:szCs w:val="24"/>
        </w:rPr>
        <w:t xml:space="preserve">. </w:t>
      </w:r>
      <w:r w:rsidR="00902FAA" w:rsidRPr="00902FAA">
        <w:rPr>
          <w:rFonts w:eastAsia="Times New Roman" w:cs="Times New Roman"/>
          <w:noProof/>
          <w:szCs w:val="24"/>
        </w:rPr>
        <w:t xml:space="preserve">Similarly, </w:t>
      </w:r>
      <w:r w:rsidR="00902FAA" w:rsidRPr="00902FAA">
        <w:rPr>
          <w:rFonts w:cs="Times New Roman"/>
          <w:szCs w:val="24"/>
        </w:rPr>
        <w:t xml:space="preserve">Guerrero </w:t>
      </w:r>
      <w:r w:rsidR="00902FAA">
        <w:rPr>
          <w:rFonts w:cs="Times New Roman"/>
          <w:szCs w:val="24"/>
        </w:rPr>
        <w:t xml:space="preserve">and Johnson </w:t>
      </w:r>
      <w:r w:rsidR="00902FAA" w:rsidRPr="00902FAA">
        <w:rPr>
          <w:rFonts w:cs="Times New Roman"/>
          <w:szCs w:val="24"/>
        </w:rPr>
        <w:t xml:space="preserve">(1982) applies a Box-Cox transformation to </w:t>
      </w:r>
      <w:r w:rsidR="00164564">
        <w:rPr>
          <w:rFonts w:cs="Times New Roman"/>
          <w:szCs w:val="24"/>
        </w:rPr>
        <w:t xml:space="preserve">the odds ratio (computed from </w:t>
      </w:r>
      <w:r w:rsidR="00902FAA">
        <w:rPr>
          <w:rFonts w:cs="Times New Roman"/>
          <w:szCs w:val="24"/>
        </w:rPr>
        <w:t xml:space="preserve">observed </w:t>
      </w:r>
      <w:r w:rsidR="00902FAA" w:rsidRPr="00902FAA">
        <w:rPr>
          <w:rFonts w:cs="Times New Roman"/>
          <w:szCs w:val="24"/>
        </w:rPr>
        <w:t>proportion data</w:t>
      </w:r>
      <w:r w:rsidR="00164564">
        <w:rPr>
          <w:rFonts w:cs="Times New Roman"/>
          <w:szCs w:val="24"/>
        </w:rPr>
        <w:t>)</w:t>
      </w:r>
      <w:r w:rsidR="00902FAA" w:rsidRPr="00902FAA">
        <w:rPr>
          <w:rFonts w:cs="Times New Roman"/>
          <w:szCs w:val="24"/>
        </w:rPr>
        <w:t xml:space="preserve"> </w:t>
      </w:r>
      <w:r w:rsidR="00164564">
        <w:rPr>
          <w:rFonts w:cs="Times New Roman"/>
          <w:szCs w:val="24"/>
        </w:rPr>
        <w:t>for each group of individuals</w:t>
      </w:r>
      <w:r w:rsidR="00902FAA" w:rsidRPr="00902FAA">
        <w:rPr>
          <w:rFonts w:cs="Times New Roman"/>
          <w:szCs w:val="24"/>
        </w:rPr>
        <w:t>.</w:t>
      </w:r>
      <w:r w:rsidR="00902FAA" w:rsidRPr="00902FAA">
        <w:rPr>
          <w:rFonts w:ascii="SourceSansPro-Regular" w:hAnsi="SourceSansPro-Regular" w:cs="SourceSansPro-Regular"/>
          <w:sz w:val="13"/>
          <w:szCs w:val="13"/>
        </w:rPr>
        <w:t xml:space="preserve"> </w:t>
      </w:r>
      <w:r w:rsidR="00164564">
        <w:rPr>
          <w:rFonts w:ascii="SourceSansPro-Regular" w:hAnsi="SourceSansPro-Regular" w:cs="SourceSansPro-Regular"/>
          <w:sz w:val="13"/>
          <w:szCs w:val="13"/>
        </w:rPr>
        <w:t xml:space="preserve"> </w:t>
      </w:r>
      <w:r w:rsidR="006355B9">
        <w:rPr>
          <w:rFonts w:eastAsia="Times New Roman" w:cs="Times New Roman"/>
          <w:noProof/>
          <w:szCs w:val="24"/>
        </w:rPr>
        <w:t xml:space="preserve">In our case, </w:t>
      </w:r>
      <w:r w:rsidR="00164564">
        <w:rPr>
          <w:rFonts w:eastAsia="Times New Roman" w:cs="Times New Roman"/>
          <w:noProof/>
          <w:szCs w:val="24"/>
        </w:rPr>
        <w:t xml:space="preserve">however, the underlying continuous random variables </w:t>
      </w:r>
      <w:r w:rsidR="00AC6517" w:rsidRPr="008410A0">
        <w:rPr>
          <w:position w:val="-12"/>
        </w:rPr>
        <w:object w:dxaOrig="1020" w:dyaOrig="380" w14:anchorId="47E9797C">
          <v:shape id="_x0000_i1115" type="#_x0000_t75" style="width:51pt;height:18.85pt" o:ole="" o:preferrelative="f">
            <v:imagedata r:id="rId171" o:title=""/>
            <o:lock v:ext="edit" aspectratio="f"/>
          </v:shape>
          <o:OLEObject Type="Embed" ProgID="Equation.DSMT4" ShapeID="_x0000_i1115" DrawAspect="Content" ObjectID="_1768995590" r:id="rId172"/>
        </w:object>
      </w:r>
      <w:r w:rsidR="00164564">
        <w:t xml:space="preserve"> are not observed, and so we proceed by </w:t>
      </w:r>
      <w:r w:rsidR="006355B9">
        <w:rPr>
          <w:rFonts w:eastAsia="Times New Roman" w:cs="Times New Roman"/>
          <w:noProof/>
          <w:szCs w:val="24"/>
        </w:rPr>
        <w:t xml:space="preserve">placing </w:t>
      </w:r>
      <w:r>
        <w:rPr>
          <w:rFonts w:eastAsia="Times New Roman" w:cs="Times New Roman"/>
          <w:noProof/>
          <w:szCs w:val="24"/>
        </w:rPr>
        <w:t>an identical</w:t>
      </w:r>
      <w:r w:rsidR="006355B9">
        <w:rPr>
          <w:rFonts w:eastAsia="Times New Roman" w:cs="Times New Roman"/>
          <w:noProof/>
          <w:szCs w:val="24"/>
        </w:rPr>
        <w:t xml:space="preserve"> transformation</w:t>
      </w:r>
      <w:r w:rsidR="00927E39">
        <w:rPr>
          <w:rFonts w:eastAsia="Times New Roman" w:cs="Times New Roman"/>
          <w:noProof/>
          <w:szCs w:val="24"/>
        </w:rPr>
        <w:t xml:space="preserve"> (across </w:t>
      </w:r>
      <w:r w:rsidR="00164564">
        <w:rPr>
          <w:rFonts w:eastAsia="Times New Roman" w:cs="Times New Roman"/>
          <w:noProof/>
          <w:szCs w:val="24"/>
        </w:rPr>
        <w:t>individuals</w:t>
      </w:r>
      <w:r w:rsidR="00927E39">
        <w:rPr>
          <w:rFonts w:eastAsia="Times New Roman" w:cs="Times New Roman"/>
          <w:noProof/>
          <w:szCs w:val="24"/>
        </w:rPr>
        <w:t>)</w:t>
      </w:r>
      <w:r w:rsidR="006355B9">
        <w:rPr>
          <w:rFonts w:eastAsia="Times New Roman" w:cs="Times New Roman"/>
          <w:noProof/>
          <w:szCs w:val="24"/>
        </w:rPr>
        <w:t xml:space="preserve"> on the </w:t>
      </w:r>
      <w:r>
        <w:rPr>
          <w:rFonts w:eastAsia="Times New Roman" w:cs="Times New Roman"/>
          <w:noProof/>
          <w:szCs w:val="24"/>
        </w:rPr>
        <w:t xml:space="preserve">conditional (on </w:t>
      </w:r>
      <w:r w:rsidRPr="00981DC8">
        <w:rPr>
          <w:position w:val="-12"/>
        </w:rPr>
        <w:object w:dxaOrig="999" w:dyaOrig="360" w14:anchorId="1CF2C34A">
          <v:shape id="_x0000_i1116" type="#_x0000_t75" style="width:49.7pt;height:18pt" o:ole="">
            <v:imagedata r:id="rId173" o:title=""/>
          </v:shape>
          <o:OLEObject Type="Embed" ProgID="Equation.DSMT4" ShapeID="_x0000_i1116" DrawAspect="Content" ObjectID="_1768995591" r:id="rId174"/>
        </w:object>
      </w:r>
      <w:r>
        <w:t xml:space="preserve">) underlying latent variables (that is, the </w:t>
      </w:r>
      <w:r w:rsidR="006355B9">
        <w:rPr>
          <w:rFonts w:eastAsia="Times New Roman" w:cs="Times New Roman"/>
          <w:noProof/>
          <w:szCs w:val="24"/>
        </w:rPr>
        <w:t xml:space="preserve">error terms </w:t>
      </w:r>
      <w:r>
        <w:rPr>
          <w:rFonts w:eastAsia="Times New Roman" w:cs="Times New Roman"/>
          <w:noProof/>
          <w:szCs w:val="24"/>
        </w:rPr>
        <w:t>in Equation (6))</w:t>
      </w:r>
      <w:r w:rsidR="00164564">
        <w:rPr>
          <w:rFonts w:eastAsia="Times New Roman" w:cs="Times New Roman"/>
          <w:noProof/>
          <w:szCs w:val="24"/>
        </w:rPr>
        <w:t xml:space="preserve">. </w:t>
      </w:r>
    </w:p>
    <w:p w14:paraId="31A8E378" w14:textId="0D60EBB2" w:rsidR="00895A3C" w:rsidRDefault="00981DC8" w:rsidP="00987C11">
      <w:pPr>
        <w:autoSpaceDE w:val="0"/>
        <w:autoSpaceDN w:val="0"/>
        <w:adjustRightInd w:val="0"/>
        <w:spacing w:line="276" w:lineRule="auto"/>
        <w:ind w:firstLine="720"/>
        <w:jc w:val="both"/>
        <w:rPr>
          <w:rFonts w:cs="Times New Roman"/>
          <w:szCs w:val="24"/>
        </w:rPr>
      </w:pPr>
      <w:r>
        <w:rPr>
          <w:rFonts w:eastAsia="Times New Roman" w:cs="Times New Roman"/>
          <w:noProof/>
          <w:szCs w:val="24"/>
        </w:rPr>
        <w:t>An</w:t>
      </w:r>
      <w:r w:rsidR="0059137C">
        <w:rPr>
          <w:rFonts w:eastAsia="Times New Roman" w:cs="Times New Roman"/>
          <w:noProof/>
          <w:szCs w:val="24"/>
        </w:rPr>
        <w:t>other</w:t>
      </w:r>
      <w:r>
        <w:rPr>
          <w:rFonts w:eastAsia="Times New Roman" w:cs="Times New Roman"/>
          <w:noProof/>
          <w:szCs w:val="24"/>
        </w:rPr>
        <w:t xml:space="preserve"> important point </w:t>
      </w:r>
      <w:r w:rsidR="0059137C">
        <w:rPr>
          <w:rFonts w:eastAsia="Times New Roman" w:cs="Times New Roman"/>
          <w:noProof/>
          <w:szCs w:val="24"/>
        </w:rPr>
        <w:t xml:space="preserve">of </w:t>
      </w:r>
      <w:r w:rsidR="00987C11">
        <w:rPr>
          <w:rFonts w:eastAsia="Times New Roman" w:cs="Times New Roman"/>
          <w:noProof/>
          <w:szCs w:val="24"/>
        </w:rPr>
        <w:t xml:space="preserve">note </w:t>
      </w:r>
      <w:r>
        <w:rPr>
          <w:rFonts w:eastAsia="Times New Roman" w:cs="Times New Roman"/>
          <w:noProof/>
          <w:szCs w:val="24"/>
        </w:rPr>
        <w:t xml:space="preserve">is our normalization of the transformed variables </w:t>
      </w:r>
      <w:r w:rsidR="00AC6517" w:rsidRPr="006841AB">
        <w:rPr>
          <w:position w:val="-12"/>
        </w:rPr>
        <w:object w:dxaOrig="320" w:dyaOrig="380" w14:anchorId="1B39A511">
          <v:shape id="_x0000_i1117" type="#_x0000_t75" style="width:15.85pt;height:18.85pt" o:ole="" o:preferrelative="f">
            <v:imagedata r:id="rId175" o:title=""/>
            <o:lock v:ext="edit" aspectratio="f"/>
          </v:shape>
          <o:OLEObject Type="Embed" ProgID="Equation.DSMT4" ShapeID="_x0000_i1117" DrawAspect="Content" ObjectID="_1768995592" r:id="rId176"/>
        </w:object>
      </w:r>
      <w:r w:rsidR="00476C31">
        <w:t xml:space="preserve">and </w:t>
      </w:r>
      <w:r w:rsidR="00AC6517" w:rsidRPr="006841AB">
        <w:rPr>
          <w:position w:val="-12"/>
        </w:rPr>
        <w:object w:dxaOrig="320" w:dyaOrig="380" w14:anchorId="48F1B304">
          <v:shape id="_x0000_i1118" type="#_x0000_t75" style="width:15.85pt;height:18.85pt" o:ole="" o:preferrelative="f">
            <v:imagedata r:id="rId177" o:title=""/>
            <o:lock v:ext="edit" aspectratio="f"/>
          </v:shape>
          <o:OLEObject Type="Embed" ProgID="Equation.DSMT4" ShapeID="_x0000_i1118" DrawAspect="Content" ObjectID="_1768995593" r:id="rId178"/>
        </w:object>
      </w:r>
      <w:r w:rsidR="00A908C4">
        <w:t xml:space="preserve"> </w:t>
      </w:r>
      <w:r w:rsidR="00476C31">
        <w:rPr>
          <w:rFonts w:eastAsia="Times New Roman" w:cs="Times New Roman"/>
          <w:noProof/>
          <w:szCs w:val="24"/>
        </w:rPr>
        <w:t xml:space="preserve">to be standard univariate normally distributed. Of course, this does not imply that the mean and standard deviation of the original </w:t>
      </w:r>
      <w:r w:rsidR="00895A3C">
        <w:rPr>
          <w:rFonts w:eastAsia="Times New Roman" w:cs="Times New Roman"/>
          <w:noProof/>
          <w:szCs w:val="24"/>
        </w:rPr>
        <w:t xml:space="preserve">(untransformed) </w:t>
      </w:r>
      <w:r w:rsidR="00476C31">
        <w:rPr>
          <w:rFonts w:eastAsia="Times New Roman" w:cs="Times New Roman"/>
          <w:noProof/>
          <w:szCs w:val="24"/>
        </w:rPr>
        <w:t xml:space="preserve">error terms </w:t>
      </w:r>
      <w:r w:rsidR="00476C31" w:rsidRPr="008674F2">
        <w:rPr>
          <w:rFonts w:cs="Times New Roman"/>
          <w:position w:val="-12"/>
          <w:szCs w:val="24"/>
        </w:rPr>
        <w:object w:dxaOrig="940" w:dyaOrig="380" w14:anchorId="38D2F18D">
          <v:shape id="_x0000_i1119" type="#_x0000_t75" style="width:46.3pt;height:18.85pt" o:ole="" o:preferrelative="f">
            <v:imagedata r:id="rId158" o:title=""/>
            <o:lock v:ext="edit" aspectratio="f"/>
          </v:shape>
          <o:OLEObject Type="Embed" ProgID="Equation.DSMT4" ShapeID="_x0000_i1119" DrawAspect="Content" ObjectID="_1768995594" r:id="rId179"/>
        </w:object>
      </w:r>
      <w:r w:rsidR="00476C31">
        <w:rPr>
          <w:rFonts w:cs="Times New Roman"/>
          <w:szCs w:val="24"/>
        </w:rPr>
        <w:t xml:space="preserve">will be normalized to a mean of zero and standard deviation of 1. The mean and standard deviation of these error terms will be determined by the </w:t>
      </w:r>
      <w:r w:rsidR="00476C31">
        <w:rPr>
          <w:rFonts w:eastAsia="Times New Roman" w:cs="Times New Roman"/>
          <w:noProof/>
          <w:szCs w:val="24"/>
        </w:rPr>
        <w:t xml:space="preserve"> YJ parameters </w:t>
      </w:r>
      <w:r w:rsidR="00476C31" w:rsidRPr="00F72D6A">
        <w:rPr>
          <w:rFonts w:eastAsia="Times New Roman" w:cs="Times New Roman"/>
          <w:position w:val="-12"/>
          <w:szCs w:val="24"/>
        </w:rPr>
        <w:object w:dxaOrig="240" w:dyaOrig="360" w14:anchorId="41A6AA9E">
          <v:shape id="_x0000_i1120" type="#_x0000_t75" style="width:12pt;height:18pt" o:ole="" o:preferrelative="f">
            <v:imagedata r:id="rId180" o:title=""/>
            <o:lock v:ext="edit" aspectratio="f"/>
          </v:shape>
          <o:OLEObject Type="Embed" ProgID="Equation.DSMT4" ShapeID="_x0000_i1120" DrawAspect="Content" ObjectID="_1768995595" r:id="rId181"/>
        </w:object>
      </w:r>
      <w:r w:rsidR="00476C31">
        <w:rPr>
          <w:rFonts w:eastAsia="Times New Roman" w:cs="Times New Roman"/>
          <w:szCs w:val="24"/>
        </w:rPr>
        <w:t xml:space="preserve"> and </w:t>
      </w:r>
      <w:r w:rsidR="00476C31" w:rsidRPr="00F72D6A">
        <w:rPr>
          <w:rFonts w:eastAsia="Times New Roman" w:cs="Times New Roman"/>
          <w:position w:val="-12"/>
          <w:szCs w:val="24"/>
        </w:rPr>
        <w:object w:dxaOrig="279" w:dyaOrig="360" w14:anchorId="021B9C87">
          <v:shape id="_x0000_i1121" type="#_x0000_t75" style="width:13.7pt;height:18pt" o:ole="" o:preferrelative="f">
            <v:imagedata r:id="rId182" o:title=""/>
            <o:lock v:ext="edit" aspectratio="f"/>
          </v:shape>
          <o:OLEObject Type="Embed" ProgID="Equation.DSMT4" ShapeID="_x0000_i1121" DrawAspect="Content" ObjectID="_1768995596" r:id="rId183"/>
        </w:object>
      </w:r>
      <w:r w:rsidR="00476C31">
        <w:rPr>
          <w:rFonts w:eastAsia="Times New Roman" w:cs="Times New Roman"/>
          <w:szCs w:val="24"/>
        </w:rPr>
        <w:t xml:space="preserve">. </w:t>
      </w:r>
      <w:r w:rsidR="00895A3C">
        <w:rPr>
          <w:rFonts w:eastAsia="Times New Roman" w:cs="Times New Roman"/>
          <w:szCs w:val="24"/>
        </w:rPr>
        <w:t xml:space="preserve">In effect, </w:t>
      </w:r>
      <w:r w:rsidR="00895A3C" w:rsidRPr="00F72D6A">
        <w:rPr>
          <w:rFonts w:eastAsia="Times New Roman" w:cs="Times New Roman"/>
          <w:position w:val="-12"/>
          <w:szCs w:val="24"/>
        </w:rPr>
        <w:object w:dxaOrig="240" w:dyaOrig="360" w14:anchorId="1A93771A">
          <v:shape id="_x0000_i1122" type="#_x0000_t75" style="width:12pt;height:18pt" o:ole="" o:preferrelative="f">
            <v:imagedata r:id="rId180" o:title=""/>
            <o:lock v:ext="edit" aspectratio="f"/>
          </v:shape>
          <o:OLEObject Type="Embed" ProgID="Equation.DSMT4" ShapeID="_x0000_i1122" DrawAspect="Content" ObjectID="_1768995597" r:id="rId184"/>
        </w:object>
      </w:r>
      <w:r w:rsidR="00895A3C">
        <w:rPr>
          <w:rFonts w:eastAsia="Times New Roman" w:cs="Times New Roman"/>
          <w:szCs w:val="24"/>
        </w:rPr>
        <w:t xml:space="preserve"> and </w:t>
      </w:r>
      <w:r w:rsidR="00895A3C" w:rsidRPr="00F72D6A">
        <w:rPr>
          <w:rFonts w:eastAsia="Times New Roman" w:cs="Times New Roman"/>
          <w:position w:val="-12"/>
          <w:szCs w:val="24"/>
        </w:rPr>
        <w:object w:dxaOrig="279" w:dyaOrig="360" w14:anchorId="264CD08D">
          <v:shape id="_x0000_i1123" type="#_x0000_t75" style="width:13.7pt;height:18pt" o:ole="" o:preferrelative="f">
            <v:imagedata r:id="rId182" o:title=""/>
            <o:lock v:ext="edit" aspectratio="f"/>
          </v:shape>
          <o:OLEObject Type="Embed" ProgID="Equation.DSMT4" ShapeID="_x0000_i1123" DrawAspect="Content" ObjectID="_1768995598" r:id="rId185"/>
        </w:object>
      </w:r>
      <w:r w:rsidR="00895A3C">
        <w:rPr>
          <w:rFonts w:eastAsia="Times New Roman" w:cs="Times New Roman"/>
          <w:szCs w:val="24"/>
        </w:rPr>
        <w:t xml:space="preserve"> are estimated so as to characterize the distribution of the error terms (including the mean, the standard deviation, the skew, and tail thickness) that provide the best data fit to the observed discrete outcomes. </w:t>
      </w:r>
      <w:r w:rsidR="00987C11">
        <w:rPr>
          <w:rFonts w:eastAsia="Times New Roman" w:cs="Times New Roman"/>
          <w:szCs w:val="24"/>
        </w:rPr>
        <w:t>T</w:t>
      </w:r>
      <w:r w:rsidR="00987C11">
        <w:t xml:space="preserve">his approach of normalizing the transformed variables </w:t>
      </w:r>
      <w:r w:rsidR="00987C11" w:rsidRPr="006841AB">
        <w:rPr>
          <w:position w:val="-12"/>
        </w:rPr>
        <w:object w:dxaOrig="320" w:dyaOrig="380" w14:anchorId="0DFF6AD6">
          <v:shape id="_x0000_i1124" type="#_x0000_t75" style="width:16.3pt;height:19.3pt" o:ole="">
            <v:imagedata r:id="rId175" o:title=""/>
          </v:shape>
          <o:OLEObject Type="Embed" ProgID="Equation.DSMT4" ShapeID="_x0000_i1124" DrawAspect="Content" ObjectID="_1768995599" r:id="rId186"/>
        </w:object>
      </w:r>
      <w:r w:rsidR="00987C11">
        <w:t xml:space="preserve">and </w:t>
      </w:r>
      <w:r w:rsidR="00987C11" w:rsidRPr="006841AB">
        <w:rPr>
          <w:position w:val="-12"/>
        </w:rPr>
        <w:object w:dxaOrig="320" w:dyaOrig="380" w14:anchorId="1AB23CCE">
          <v:shape id="_x0000_i1125" type="#_x0000_t75" style="width:16.3pt;height:19.3pt" o:ole="">
            <v:imagedata r:id="rId177" o:title=""/>
          </v:shape>
          <o:OLEObject Type="Embed" ProgID="Equation.DSMT4" ShapeID="_x0000_i1125" DrawAspect="Content" ObjectID="_1768995600" r:id="rId187"/>
        </w:object>
      </w:r>
      <w:r w:rsidR="00987C11">
        <w:t xml:space="preserve">to standard normal distributions and allowing </w:t>
      </w:r>
      <w:r w:rsidR="00987C11" w:rsidRPr="00F72D6A">
        <w:rPr>
          <w:rFonts w:eastAsia="Times New Roman" w:cs="Times New Roman"/>
          <w:position w:val="-12"/>
          <w:szCs w:val="24"/>
        </w:rPr>
        <w:object w:dxaOrig="240" w:dyaOrig="360" w14:anchorId="4D733A6A">
          <v:shape id="_x0000_i1126" type="#_x0000_t75" style="width:12pt;height:18pt" o:ole="" o:preferrelative="f">
            <v:imagedata r:id="rId180" o:title=""/>
            <o:lock v:ext="edit" aspectratio="f"/>
          </v:shape>
          <o:OLEObject Type="Embed" ProgID="Equation.DSMT4" ShapeID="_x0000_i1126" DrawAspect="Content" ObjectID="_1768995601" r:id="rId188"/>
        </w:object>
      </w:r>
      <w:r w:rsidR="00987C11">
        <w:rPr>
          <w:rFonts w:eastAsia="Times New Roman" w:cs="Times New Roman"/>
          <w:szCs w:val="24"/>
        </w:rPr>
        <w:t xml:space="preserve"> and </w:t>
      </w:r>
      <w:r w:rsidR="00987C11" w:rsidRPr="00F72D6A">
        <w:rPr>
          <w:rFonts w:eastAsia="Times New Roman" w:cs="Times New Roman"/>
          <w:position w:val="-12"/>
          <w:szCs w:val="24"/>
        </w:rPr>
        <w:object w:dxaOrig="279" w:dyaOrig="360" w14:anchorId="5894D23E">
          <v:shape id="_x0000_i1127" type="#_x0000_t75" style="width:13.7pt;height:18pt" o:ole="" o:preferrelative="f">
            <v:imagedata r:id="rId182" o:title=""/>
            <o:lock v:ext="edit" aspectratio="f"/>
          </v:shape>
          <o:OLEObject Type="Embed" ProgID="Equation.DSMT4" ShapeID="_x0000_i1127" DrawAspect="Content" ObjectID="_1768995602" r:id="rId189"/>
        </w:object>
      </w:r>
      <w:r w:rsidR="00C735DA">
        <w:rPr>
          <w:rFonts w:eastAsia="Times New Roman" w:cs="Times New Roman"/>
          <w:szCs w:val="24"/>
        </w:rPr>
        <w:t xml:space="preserve"> </w:t>
      </w:r>
      <w:r w:rsidR="00987C11">
        <w:rPr>
          <w:rFonts w:eastAsia="Times New Roman" w:cs="Times New Roman"/>
          <w:szCs w:val="24"/>
        </w:rPr>
        <w:t xml:space="preserve">to dictate the distribution of the untransformed error terms </w:t>
      </w:r>
      <w:r w:rsidR="00987C11" w:rsidRPr="008674F2">
        <w:rPr>
          <w:rFonts w:cs="Times New Roman"/>
          <w:position w:val="-12"/>
          <w:szCs w:val="24"/>
        </w:rPr>
        <w:object w:dxaOrig="940" w:dyaOrig="380" w14:anchorId="3ABAF8DF">
          <v:shape id="_x0000_i1128" type="#_x0000_t75" style="width:46.3pt;height:18.85pt" o:ole="" o:preferrelative="f">
            <v:imagedata r:id="rId158" o:title=""/>
            <o:lock v:ext="edit" aspectratio="f"/>
          </v:shape>
          <o:OLEObject Type="Embed" ProgID="Equation.DSMT4" ShapeID="_x0000_i1128" DrawAspect="Content" ObjectID="_1768995603" r:id="rId190"/>
        </w:object>
      </w:r>
      <w:r w:rsidR="00987C11">
        <w:rPr>
          <w:rFonts w:cs="Times New Roman"/>
          <w:szCs w:val="24"/>
        </w:rPr>
        <w:t xml:space="preserve"> is </w:t>
      </w:r>
      <w:r w:rsidR="00987C11">
        <w:rPr>
          <w:rFonts w:cs="Times New Roman"/>
          <w:szCs w:val="24"/>
        </w:rPr>
        <w:lastRenderedPageBreak/>
        <w:t>co</w:t>
      </w:r>
      <w:r w:rsidR="007B2A67">
        <w:rPr>
          <w:rFonts w:cs="Times New Roman"/>
          <w:szCs w:val="24"/>
        </w:rPr>
        <w:t>mpatible</w:t>
      </w:r>
      <w:r w:rsidR="00987C11">
        <w:rPr>
          <w:rFonts w:cs="Times New Roman"/>
          <w:szCs w:val="24"/>
        </w:rPr>
        <w:t xml:space="preserve"> with the </w:t>
      </w:r>
      <w:r w:rsidR="00987C11">
        <w:rPr>
          <w:rFonts w:eastAsia="Times New Roman" w:cs="Times New Roman"/>
          <w:szCs w:val="24"/>
        </w:rPr>
        <w:t xml:space="preserve">location and scale invariance of the latent variables </w:t>
      </w:r>
      <w:r w:rsidR="00A908C4" w:rsidRPr="008410A0">
        <w:rPr>
          <w:position w:val="-12"/>
        </w:rPr>
        <w:object w:dxaOrig="999" w:dyaOrig="380" w14:anchorId="700CFDD4">
          <v:shape id="_x0000_i1129" type="#_x0000_t75" style="width:50.15pt;height:19.3pt" o:ole="">
            <v:imagedata r:id="rId191" o:title=""/>
          </v:shape>
          <o:OLEObject Type="Embed" ProgID="Equation.DSMT4" ShapeID="_x0000_i1129" DrawAspect="Content" ObjectID="_1768995604" r:id="rId192"/>
        </w:object>
      </w:r>
      <w:r w:rsidR="00A908C4">
        <w:t xml:space="preserve">. </w:t>
      </w:r>
      <w:r w:rsidR="00987C11">
        <w:t xml:space="preserve">Besides doing so also nests the bivariate probit model </w:t>
      </w:r>
      <w:r w:rsidR="007B2A67">
        <w:t xml:space="preserve">(with the usual standard normalization on the error terms) </w:t>
      </w:r>
      <w:r w:rsidR="00987C11">
        <w:t xml:space="preserve">as a special case of the proposed model when </w:t>
      </w:r>
      <w:r w:rsidR="00987C11" w:rsidRPr="00F72D6A">
        <w:rPr>
          <w:rFonts w:eastAsia="Times New Roman" w:cs="Times New Roman"/>
          <w:position w:val="-12"/>
          <w:szCs w:val="24"/>
        </w:rPr>
        <w:object w:dxaOrig="240" w:dyaOrig="360" w14:anchorId="21029F8F">
          <v:shape id="_x0000_i1130" type="#_x0000_t75" style="width:12pt;height:18pt" o:ole="" o:preferrelative="f">
            <v:imagedata r:id="rId180" o:title=""/>
            <o:lock v:ext="edit" aspectratio="f"/>
          </v:shape>
          <o:OLEObject Type="Embed" ProgID="Equation.DSMT4" ShapeID="_x0000_i1130" DrawAspect="Content" ObjectID="_1768995605" r:id="rId193"/>
        </w:object>
      </w:r>
      <w:r w:rsidR="00987C11">
        <w:rPr>
          <w:rFonts w:eastAsia="Times New Roman" w:cs="Times New Roman"/>
          <w:szCs w:val="24"/>
        </w:rPr>
        <w:t xml:space="preserve"> =</w:t>
      </w:r>
      <w:r w:rsidR="00987C11" w:rsidRPr="00F72D6A">
        <w:rPr>
          <w:rFonts w:eastAsia="Times New Roman" w:cs="Times New Roman"/>
          <w:position w:val="-12"/>
          <w:szCs w:val="24"/>
        </w:rPr>
        <w:object w:dxaOrig="279" w:dyaOrig="360" w14:anchorId="7CAFF402">
          <v:shape id="_x0000_i1131" type="#_x0000_t75" style="width:13.7pt;height:18pt" o:ole="" o:preferrelative="f">
            <v:imagedata r:id="rId182" o:title=""/>
            <o:lock v:ext="edit" aspectratio="f"/>
          </v:shape>
          <o:OLEObject Type="Embed" ProgID="Equation.DSMT4" ShapeID="_x0000_i1131" DrawAspect="Content" ObjectID="_1768995606" r:id="rId194"/>
        </w:object>
      </w:r>
      <w:r w:rsidR="00987C11">
        <w:rPr>
          <w:rFonts w:eastAsia="Times New Roman" w:cs="Times New Roman"/>
          <w:szCs w:val="24"/>
        </w:rPr>
        <w:t>=1.</w:t>
      </w:r>
      <w:r w:rsidR="007B15B9">
        <w:rPr>
          <w:rStyle w:val="FootnoteReference"/>
          <w:rFonts w:eastAsia="Times New Roman" w:cs="Times New Roman"/>
          <w:szCs w:val="24"/>
        </w:rPr>
        <w:footnoteReference w:id="6"/>
      </w:r>
      <w:r w:rsidR="00987C11">
        <w:t xml:space="preserve"> </w:t>
      </w:r>
    </w:p>
    <w:p w14:paraId="4A212970" w14:textId="52B45F74" w:rsidR="00F467AD" w:rsidRPr="008674F2" w:rsidRDefault="00F467AD" w:rsidP="00B4106B">
      <w:pPr>
        <w:spacing w:line="276" w:lineRule="auto"/>
        <w:jc w:val="both"/>
        <w:rPr>
          <w:rFonts w:cs="Times New Roman"/>
          <w:szCs w:val="24"/>
        </w:rPr>
      </w:pPr>
    </w:p>
    <w:p w14:paraId="16DAA658" w14:textId="3B4A5325" w:rsidR="00987C11" w:rsidRPr="00987C11" w:rsidRDefault="005502E3" w:rsidP="00B4106B">
      <w:pPr>
        <w:numPr>
          <w:ilvl w:val="1"/>
          <w:numId w:val="2"/>
        </w:numPr>
        <w:spacing w:line="276" w:lineRule="auto"/>
        <w:ind w:left="540" w:hanging="540"/>
        <w:jc w:val="both"/>
        <w:rPr>
          <w:b/>
          <w:bCs/>
        </w:rPr>
      </w:pPr>
      <w:r w:rsidRPr="00FE38B5">
        <w:rPr>
          <w:b/>
          <w:bCs/>
        </w:rPr>
        <w:t>Model Estimation</w:t>
      </w:r>
    </w:p>
    <w:p w14:paraId="442BDD88" w14:textId="77777777" w:rsidR="00987C11" w:rsidRDefault="00987C11" w:rsidP="00987C11">
      <w:pPr>
        <w:spacing w:line="276" w:lineRule="auto"/>
        <w:jc w:val="both"/>
        <w:rPr>
          <w:rFonts w:cs="Times New Roman"/>
          <w:szCs w:val="24"/>
        </w:rPr>
      </w:pPr>
      <w:r>
        <w:rPr>
          <w:rFonts w:cs="Times New Roman"/>
          <w:szCs w:val="24"/>
        </w:rPr>
        <w:t xml:space="preserve">From Equation (4), we may write the cumulative distribution of </w:t>
      </w:r>
      <w:r w:rsidRPr="008674F2">
        <w:rPr>
          <w:rFonts w:cs="Times New Roman"/>
          <w:position w:val="-12"/>
          <w:szCs w:val="24"/>
        </w:rPr>
        <w:object w:dxaOrig="940" w:dyaOrig="380" w14:anchorId="5B013ED4">
          <v:shape id="_x0000_i1132" type="#_x0000_t75" style="width:46.3pt;height:18.85pt" o:ole="" o:preferrelative="f">
            <v:imagedata r:id="rId158" o:title=""/>
            <o:lock v:ext="edit" aspectratio="f"/>
          </v:shape>
          <o:OLEObject Type="Embed" ProgID="Equation.DSMT4" ShapeID="_x0000_i1132" DrawAspect="Content" ObjectID="_1768995607" r:id="rId195"/>
        </w:object>
      </w:r>
      <w:r>
        <w:rPr>
          <w:rFonts w:cs="Times New Roman"/>
          <w:szCs w:val="24"/>
        </w:rPr>
        <w:t xml:space="preserve"> as follows:</w:t>
      </w:r>
    </w:p>
    <w:p w14:paraId="61DE951A" w14:textId="14021E35" w:rsidR="00987C11" w:rsidRPr="00B02E20" w:rsidRDefault="00987C11" w:rsidP="00D40E00">
      <w:pPr>
        <w:tabs>
          <w:tab w:val="right" w:pos="9360"/>
        </w:tabs>
        <w:spacing w:before="60" w:after="60" w:line="276" w:lineRule="auto"/>
        <w:jc w:val="both"/>
        <w:rPr>
          <w:rFonts w:cs="Times New Roman"/>
          <w:szCs w:val="24"/>
        </w:rPr>
      </w:pPr>
      <w:r w:rsidRPr="00E10B41">
        <w:rPr>
          <w:rFonts w:cs="Times New Roman"/>
          <w:position w:val="-14"/>
          <w:szCs w:val="24"/>
        </w:rPr>
        <w:object w:dxaOrig="1240" w:dyaOrig="380" w14:anchorId="59D442E6">
          <v:shape id="_x0000_i1133" type="#_x0000_t75" style="width:61.7pt;height:18.85pt" o:ole="">
            <v:imagedata r:id="rId196" o:title=""/>
          </v:shape>
          <o:OLEObject Type="Embed" ProgID="Equation.DSMT4" ShapeID="_x0000_i1133" DrawAspect="Content" ObjectID="_1768995608" r:id="rId197"/>
        </w:object>
      </w:r>
      <w:r w:rsidRPr="00F72D6A">
        <w:rPr>
          <w:rFonts w:cs="Times New Roman"/>
          <w:szCs w:val="24"/>
        </w:rPr>
        <w:t>=</w:t>
      </w:r>
      <w:r w:rsidRPr="00F72D6A">
        <w:rPr>
          <w:rFonts w:cs="Times New Roman"/>
          <w:position w:val="-16"/>
          <w:szCs w:val="24"/>
        </w:rPr>
        <w:object w:dxaOrig="7500" w:dyaOrig="440" w14:anchorId="3F17635F">
          <v:shape id="_x0000_i1134" type="#_x0000_t75" style="width:375pt;height:22.7pt" o:ole="" o:preferrelative="f">
            <v:imagedata r:id="rId198" o:title=""/>
            <o:lock v:ext="edit" aspectratio="f"/>
          </v:shape>
          <o:OLEObject Type="Embed" ProgID="Equation.DSMT4" ShapeID="_x0000_i1134" DrawAspect="Content" ObjectID="_1768995609" r:id="rId199"/>
        </w:object>
      </w:r>
      <w:r w:rsidR="00AC6517">
        <w:rPr>
          <w:rFonts w:cs="Times New Roman"/>
          <w:szCs w:val="24"/>
        </w:rPr>
        <w:tab/>
      </w:r>
      <w:r>
        <w:rPr>
          <w:rFonts w:cs="Times New Roman"/>
          <w:szCs w:val="24"/>
        </w:rPr>
        <w:t>(8)</w:t>
      </w:r>
    </w:p>
    <w:p w14:paraId="1041DA4E" w14:textId="248737A4" w:rsidR="005502E3" w:rsidRPr="008674F2" w:rsidRDefault="00987C11" w:rsidP="00B4106B">
      <w:pPr>
        <w:spacing w:line="276" w:lineRule="auto"/>
        <w:jc w:val="both"/>
        <w:rPr>
          <w:rFonts w:cs="Times New Roman"/>
          <w:szCs w:val="24"/>
        </w:rPr>
      </w:pPr>
      <w:r w:rsidRPr="00EA13CF">
        <w:rPr>
          <w:rFonts w:eastAsia="Times New Roman" w:cs="Times New Roman"/>
          <w:noProof/>
          <w:szCs w:val="24"/>
        </w:rPr>
        <w:t xml:space="preserve">where </w:t>
      </w:r>
      <w:r w:rsidRPr="00B67721">
        <w:rPr>
          <w:position w:val="-12"/>
        </w:rPr>
        <w:object w:dxaOrig="999" w:dyaOrig="360" w14:anchorId="7F4C09FA">
          <v:shape id="_x0000_i1135" type="#_x0000_t75" style="width:49.7pt;height:18pt" o:ole="">
            <v:imagedata r:id="rId200" o:title=""/>
          </v:shape>
          <o:OLEObject Type="Embed" ProgID="Equation.DSMT4" ShapeID="_x0000_i1135" DrawAspect="Content" ObjectID="_1768995610" r:id="rId201"/>
        </w:object>
      </w:r>
      <w:r>
        <w:t xml:space="preserve"> </w:t>
      </w:r>
      <w:r w:rsidRPr="00EA13CF">
        <w:rPr>
          <w:rFonts w:cs="Times New Roman"/>
          <w:szCs w:val="24"/>
        </w:rPr>
        <w:t xml:space="preserve">refers to the standardized bivariate normal distribution with correlation </w:t>
      </w:r>
      <w:r w:rsidRPr="00EA13CF">
        <w:rPr>
          <w:rFonts w:cs="Times New Roman"/>
          <w:position w:val="-10"/>
          <w:szCs w:val="24"/>
        </w:rPr>
        <w:object w:dxaOrig="279" w:dyaOrig="260" w14:anchorId="2327AD30">
          <v:shape id="_x0000_i1136" type="#_x0000_t75" style="width:13.7pt;height:13.3pt" o:ole="">
            <v:imagedata r:id="rId202" o:title=""/>
          </v:shape>
          <o:OLEObject Type="Embed" ProgID="Equation.DSMT4" ShapeID="_x0000_i1136" DrawAspect="Content" ObjectID="_1768995611" r:id="rId203"/>
        </w:object>
      </w:r>
      <w:r>
        <w:rPr>
          <w:rFonts w:eastAsia="Times New Roman" w:cs="Times New Roman"/>
          <w:noProof/>
          <w:szCs w:val="24"/>
        </w:rPr>
        <w:t xml:space="preserve"> </w:t>
      </w:r>
      <w:r>
        <w:rPr>
          <w:rFonts w:cs="Times New Roman"/>
          <w:szCs w:val="24"/>
        </w:rPr>
        <w:t xml:space="preserve"> Next, d</w:t>
      </w:r>
      <w:r w:rsidR="00197AD8">
        <w:rPr>
          <w:rFonts w:cs="Times New Roman"/>
          <w:szCs w:val="24"/>
        </w:rPr>
        <w:t xml:space="preserve">efine </w:t>
      </w:r>
      <w:r w:rsidR="008B25E6" w:rsidRPr="00B94402">
        <w:rPr>
          <w:position w:val="-14"/>
        </w:rPr>
        <w:object w:dxaOrig="4920" w:dyaOrig="380" w14:anchorId="617EAD57">
          <v:shape id="_x0000_i1137" type="#_x0000_t75" style="width:246.85pt;height:18.85pt" o:ole="" o:preferrelative="f">
            <v:imagedata r:id="rId204" o:title=""/>
            <o:lock v:ext="edit" aspectratio="f"/>
          </v:shape>
          <o:OLEObject Type="Embed" ProgID="Equation.DSMT4" ShapeID="_x0000_i1137" DrawAspect="Content" ObjectID="_1768995612" r:id="rId205"/>
        </w:object>
      </w:r>
      <w:r w:rsidR="003B7E3A">
        <w:rPr>
          <w:rFonts w:cs="Times New Roman"/>
          <w:szCs w:val="24"/>
        </w:rPr>
        <w:t xml:space="preserve"> </w:t>
      </w:r>
      <w:r w:rsidR="005502E3" w:rsidRPr="008674F2">
        <w:rPr>
          <w:rFonts w:cs="Times New Roman"/>
          <w:szCs w:val="24"/>
        </w:rPr>
        <w:t xml:space="preserve">The joint probabilities for the two regimes of </w:t>
      </w:r>
      <w:r w:rsidR="00197AD8" w:rsidRPr="008674F2">
        <w:rPr>
          <w:rFonts w:cs="Times New Roman"/>
          <w:position w:val="-12"/>
          <w:szCs w:val="24"/>
        </w:rPr>
        <w:object w:dxaOrig="639" w:dyaOrig="360" w14:anchorId="4C90FADB">
          <v:shape id="_x0000_i1138" type="#_x0000_t75" style="width:31.7pt;height:18pt" o:ole="">
            <v:imagedata r:id="rId206" o:title=""/>
          </v:shape>
          <o:OLEObject Type="Embed" ProgID="Equation.DSMT4" ShapeID="_x0000_i1138" DrawAspect="Content" ObjectID="_1768995613" r:id="rId207"/>
        </w:object>
      </w:r>
      <w:r w:rsidR="005502E3" w:rsidRPr="008674F2">
        <w:rPr>
          <w:rFonts w:cs="Times New Roman"/>
          <w:szCs w:val="24"/>
        </w:rPr>
        <w:t xml:space="preserve"> and </w:t>
      </w:r>
      <w:r w:rsidR="00197AD8" w:rsidRPr="008674F2">
        <w:rPr>
          <w:rFonts w:cs="Times New Roman"/>
          <w:position w:val="-12"/>
          <w:szCs w:val="24"/>
        </w:rPr>
        <w:object w:dxaOrig="600" w:dyaOrig="360" w14:anchorId="37389B18">
          <v:shape id="_x0000_i1139" type="#_x0000_t75" style="width:30pt;height:18pt" o:ole="">
            <v:imagedata r:id="rId208" o:title=""/>
          </v:shape>
          <o:OLEObject Type="Embed" ProgID="Equation.DSMT4" ShapeID="_x0000_i1139" DrawAspect="Content" ObjectID="_1768995614" r:id="rId209"/>
        </w:object>
      </w:r>
      <w:r w:rsidR="00197AD8">
        <w:rPr>
          <w:rFonts w:cs="Times New Roman"/>
          <w:szCs w:val="24"/>
        </w:rPr>
        <w:t xml:space="preserve"> are:</w:t>
      </w:r>
    </w:p>
    <w:p w14:paraId="338D9DA2" w14:textId="3FF4D96E" w:rsidR="00977F07" w:rsidRPr="008674F2" w:rsidRDefault="00595F4B" w:rsidP="00D40E00">
      <w:pPr>
        <w:tabs>
          <w:tab w:val="right" w:pos="9360"/>
        </w:tabs>
        <w:spacing w:before="60" w:after="60" w:line="276" w:lineRule="auto"/>
        <w:jc w:val="both"/>
        <w:rPr>
          <w:rFonts w:cs="Times New Roman"/>
          <w:szCs w:val="24"/>
        </w:rPr>
      </w:pPr>
      <w:r w:rsidRPr="00726671">
        <w:rPr>
          <w:rFonts w:cs="Times New Roman"/>
          <w:position w:val="-62"/>
          <w:szCs w:val="24"/>
        </w:rPr>
        <w:object w:dxaOrig="7000" w:dyaOrig="1280" w14:anchorId="154B778B">
          <v:shape id="_x0000_i1140" type="#_x0000_t75" style="width:321.85pt;height:56.15pt" o:ole="" o:preferrelative="f">
            <v:imagedata r:id="rId210" o:title=""/>
            <o:lock v:ext="edit" aspectratio="f"/>
          </v:shape>
          <o:OLEObject Type="Embed" ProgID="Equation.DSMT4" ShapeID="_x0000_i1140" DrawAspect="Content" ObjectID="_1768995615" r:id="rId211"/>
        </w:object>
      </w:r>
      <w:r>
        <w:rPr>
          <w:rFonts w:cs="Times New Roman"/>
          <w:szCs w:val="24"/>
        </w:rPr>
        <w:t xml:space="preserve"> </w:t>
      </w:r>
      <w:r w:rsidR="00AC6517">
        <w:rPr>
          <w:rFonts w:cs="Times New Roman"/>
          <w:szCs w:val="24"/>
        </w:rPr>
        <w:tab/>
      </w:r>
      <w:r>
        <w:rPr>
          <w:rFonts w:cs="Times New Roman"/>
          <w:szCs w:val="24"/>
        </w:rPr>
        <w:t>(9)</w:t>
      </w:r>
    </w:p>
    <w:p w14:paraId="0A04D2EF" w14:textId="7833B595" w:rsidR="005502E3" w:rsidRPr="008674F2" w:rsidRDefault="00595F4B" w:rsidP="00D40E00">
      <w:pPr>
        <w:tabs>
          <w:tab w:val="right" w:pos="9360"/>
        </w:tabs>
        <w:spacing w:before="60" w:after="60" w:line="276" w:lineRule="auto"/>
        <w:jc w:val="both"/>
        <w:rPr>
          <w:rFonts w:cs="Times New Roman"/>
          <w:szCs w:val="24"/>
        </w:rPr>
      </w:pPr>
      <w:r w:rsidRPr="00B94402">
        <w:rPr>
          <w:rFonts w:cs="Times New Roman"/>
          <w:position w:val="-88"/>
          <w:szCs w:val="24"/>
        </w:rPr>
        <w:object w:dxaOrig="9600" w:dyaOrig="1880" w14:anchorId="77338E56">
          <v:shape id="_x0000_i1141" type="#_x0000_t75" style="width:443.15pt;height:83.15pt" o:ole="" o:preferrelative="f">
            <v:imagedata r:id="rId212" o:title=""/>
            <o:lock v:ext="edit" aspectratio="f"/>
          </v:shape>
          <o:OLEObject Type="Embed" ProgID="Equation.DSMT4" ShapeID="_x0000_i1141" DrawAspect="Content" ObjectID="_1768995616" r:id="rId213"/>
        </w:object>
      </w:r>
      <w:r w:rsidR="00AC6517">
        <w:rPr>
          <w:rFonts w:cs="Times New Roman"/>
          <w:szCs w:val="24"/>
        </w:rPr>
        <w:tab/>
      </w:r>
      <w:r>
        <w:rPr>
          <w:rFonts w:cs="Times New Roman"/>
          <w:szCs w:val="24"/>
        </w:rPr>
        <w:t>(10)</w:t>
      </w:r>
    </w:p>
    <w:p w14:paraId="7789B0BF" w14:textId="15AEA421" w:rsidR="005502E3" w:rsidRPr="008674F2" w:rsidRDefault="001A0CE7" w:rsidP="00504DC0">
      <w:pPr>
        <w:pStyle w:val="ListParagraph"/>
        <w:spacing w:line="276" w:lineRule="auto"/>
        <w:ind w:left="0"/>
        <w:jc w:val="both"/>
      </w:pPr>
      <w:r w:rsidRPr="008674F2">
        <w:t xml:space="preserve">Now introduce the index </w:t>
      </w:r>
      <w:r w:rsidRPr="008674F2">
        <w:rPr>
          <w:i/>
          <w:iCs/>
        </w:rPr>
        <w:t>q</w:t>
      </w:r>
      <w:r w:rsidRPr="008674F2">
        <w:t xml:space="preserve"> for individuals</w:t>
      </w:r>
      <w:r w:rsidR="008674F2" w:rsidRPr="008674F2">
        <w:t>.</w:t>
      </w:r>
      <w:r w:rsidR="00852247">
        <w:t xml:space="preserve"> </w:t>
      </w:r>
      <w:r w:rsidR="005502E3" w:rsidRPr="008674F2">
        <w:t>Define a set of dummy variables</w:t>
      </w:r>
      <w:r w:rsidR="004E47FA">
        <w:t xml:space="preserve"> </w:t>
      </w:r>
      <w:r w:rsidR="004E47FA" w:rsidRPr="008674F2">
        <w:rPr>
          <w:position w:val="-14"/>
        </w:rPr>
        <w:object w:dxaOrig="460" w:dyaOrig="380" w14:anchorId="046AF386">
          <v:shape id="_x0000_i1142" type="#_x0000_t75" style="width:22.3pt;height:18.85pt" o:ole="" o:preferrelative="f" fillcolor="window">
            <v:imagedata r:id="rId214" o:title=""/>
            <o:lock v:ext="edit" aspectratio="f"/>
          </v:shape>
          <o:OLEObject Type="Embed" ProgID="Equation.DSMT4" ShapeID="_x0000_i1142" DrawAspect="Content" ObjectID="_1768995617" r:id="rId215"/>
        </w:object>
      </w:r>
      <w:r w:rsidR="005502E3" w:rsidRPr="008674F2">
        <w:t xml:space="preserve"> </w:t>
      </w:r>
      <w:r w:rsidRPr="008674F2">
        <w:t>(</w:t>
      </w:r>
      <w:r w:rsidRPr="008674F2">
        <w:rPr>
          <w:i/>
          <w:iCs/>
        </w:rPr>
        <w:t>k</w:t>
      </w:r>
      <w:r w:rsidRPr="008674F2">
        <w:t>=1,2,…,</w:t>
      </w:r>
      <w:r w:rsidRPr="008674F2">
        <w:rPr>
          <w:i/>
          <w:iCs/>
        </w:rPr>
        <w:t>K</w:t>
      </w:r>
      <w:r w:rsidRPr="008674F2">
        <w:t>)</w:t>
      </w:r>
      <w:r w:rsidR="005502E3" w:rsidRPr="008674F2">
        <w:t>:</w:t>
      </w:r>
      <w:r w:rsidRPr="008674F2">
        <w:t xml:space="preserve"> </w:t>
      </w:r>
      <w:r w:rsidR="004E47FA" w:rsidRPr="008674F2">
        <w:rPr>
          <w:position w:val="-14"/>
        </w:rPr>
        <w:object w:dxaOrig="780" w:dyaOrig="380" w14:anchorId="27A2AE7B">
          <v:shape id="_x0000_i1143" type="#_x0000_t75" style="width:39pt;height:18.85pt" o:ole="" o:preferrelative="f" fillcolor="window">
            <v:imagedata r:id="rId216" o:title=""/>
            <o:lock v:ext="edit" aspectratio="f"/>
          </v:shape>
          <o:OLEObject Type="Embed" ProgID="Equation.DSMT4" ShapeID="_x0000_i1143" DrawAspect="Content" ObjectID="_1768995618" r:id="rId217"/>
        </w:object>
      </w:r>
      <w:r w:rsidRPr="008674F2">
        <w:t xml:space="preserve"> </w:t>
      </w:r>
      <w:r w:rsidR="005502E3" w:rsidRPr="008674F2">
        <w:t xml:space="preserve">if </w:t>
      </w:r>
      <w:r w:rsidR="004E47FA" w:rsidRPr="008674F2">
        <w:rPr>
          <w:position w:val="-12"/>
        </w:rPr>
        <w:object w:dxaOrig="660" w:dyaOrig="360" w14:anchorId="270C699F">
          <v:shape id="_x0000_i1144" type="#_x0000_t75" style="width:33pt;height:18pt" o:ole="" fillcolor="window">
            <v:imagedata r:id="rId218" o:title=""/>
          </v:shape>
          <o:OLEObject Type="Embed" ProgID="Equation.DSMT4" ShapeID="_x0000_i1144" DrawAspect="Content" ObjectID="_1768995619" r:id="rId219"/>
        </w:object>
      </w:r>
      <w:r w:rsidR="005502E3" w:rsidRPr="008674F2">
        <w:t xml:space="preserve">, and </w:t>
      </w:r>
      <w:r w:rsidR="004E47FA" w:rsidRPr="008674F2">
        <w:rPr>
          <w:position w:val="-14"/>
        </w:rPr>
        <w:object w:dxaOrig="820" w:dyaOrig="380" w14:anchorId="0D496A98">
          <v:shape id="_x0000_i1145" type="#_x0000_t75" style="width:41.15pt;height:18.85pt" o:ole="" o:preferrelative="f" fillcolor="window">
            <v:imagedata r:id="rId220" o:title=""/>
            <o:lock v:ext="edit" aspectratio="f"/>
          </v:shape>
          <o:OLEObject Type="Embed" ProgID="Equation.DSMT4" ShapeID="_x0000_i1145" DrawAspect="Content" ObjectID="_1768995620" r:id="rId221"/>
        </w:object>
      </w:r>
      <w:r w:rsidRPr="008674F2">
        <w:t xml:space="preserve"> </w:t>
      </w:r>
      <w:r w:rsidR="005502E3" w:rsidRPr="008674F2">
        <w:t>otherwise.</w:t>
      </w:r>
      <w:r w:rsidRPr="008674F2">
        <w:t xml:space="preserve"> Assuming independence across indivi</w:t>
      </w:r>
      <w:r w:rsidR="008674F2" w:rsidRPr="008674F2">
        <w:t>d</w:t>
      </w:r>
      <w:r w:rsidRPr="008674F2">
        <w:t>uals</w:t>
      </w:r>
      <w:r w:rsidR="008674F2" w:rsidRPr="008674F2">
        <w:t xml:space="preserve">, the </w:t>
      </w:r>
      <w:r w:rsidR="005502E3" w:rsidRPr="008674F2">
        <w:t>likelihood function for estimation of the parameters in the model system is:</w:t>
      </w:r>
    </w:p>
    <w:p w14:paraId="4BE39D78" w14:textId="2AFAE9A3" w:rsidR="005502E3" w:rsidRPr="008674F2" w:rsidRDefault="006F6827" w:rsidP="00D40E00">
      <w:pPr>
        <w:tabs>
          <w:tab w:val="right" w:pos="9360"/>
        </w:tabs>
        <w:spacing w:before="60" w:after="60" w:line="276" w:lineRule="auto"/>
        <w:jc w:val="both"/>
        <w:rPr>
          <w:rFonts w:cs="Times New Roman"/>
          <w:szCs w:val="24"/>
        </w:rPr>
      </w:pPr>
      <w:r w:rsidRPr="008674F2">
        <w:rPr>
          <w:rFonts w:cs="Times New Roman"/>
          <w:position w:val="-32"/>
          <w:szCs w:val="24"/>
        </w:rPr>
        <w:object w:dxaOrig="7580" w:dyaOrig="740" w14:anchorId="548AFBA5">
          <v:shape id="_x0000_i1146" type="#_x0000_t75" style="width:379.3pt;height:37.7pt" o:ole="" fillcolor="window">
            <v:imagedata r:id="rId222" o:title=""/>
          </v:shape>
          <o:OLEObject Type="Embed" ProgID="Equation.DSMT4" ShapeID="_x0000_i1146" DrawAspect="Content" ObjectID="_1768995621" r:id="rId223"/>
        </w:object>
      </w:r>
      <w:r w:rsidR="00943BEE">
        <w:rPr>
          <w:rFonts w:cs="Times New Roman"/>
          <w:szCs w:val="24"/>
        </w:rPr>
        <w:t>.</w:t>
      </w:r>
      <w:r w:rsidR="005502E3" w:rsidRPr="008674F2">
        <w:rPr>
          <w:rFonts w:cs="Times New Roman"/>
          <w:szCs w:val="24"/>
        </w:rPr>
        <w:t xml:space="preserve">     </w:t>
      </w:r>
      <w:r w:rsidR="00595F4B">
        <w:rPr>
          <w:rFonts w:cs="Times New Roman"/>
          <w:szCs w:val="24"/>
        </w:rPr>
        <w:tab/>
        <w:t xml:space="preserve">    (11)</w:t>
      </w:r>
    </w:p>
    <w:bookmarkEnd w:id="4"/>
    <w:p w14:paraId="3B730381" w14:textId="77777777" w:rsidR="000A544B" w:rsidRPr="008674F2" w:rsidRDefault="000A544B" w:rsidP="00B4106B">
      <w:pPr>
        <w:autoSpaceDE w:val="0"/>
        <w:autoSpaceDN w:val="0"/>
        <w:adjustRightInd w:val="0"/>
        <w:spacing w:line="276" w:lineRule="auto"/>
        <w:jc w:val="both"/>
        <w:rPr>
          <w:rFonts w:cs="Times New Roman"/>
          <w:szCs w:val="24"/>
        </w:rPr>
      </w:pPr>
    </w:p>
    <w:p w14:paraId="260FF3D4" w14:textId="781C7897" w:rsidR="003F4D6F" w:rsidRPr="00504DC0" w:rsidRDefault="001C3C10" w:rsidP="00504DC0">
      <w:pPr>
        <w:numPr>
          <w:ilvl w:val="0"/>
          <w:numId w:val="2"/>
        </w:numPr>
        <w:spacing w:line="276" w:lineRule="auto"/>
        <w:ind w:left="540" w:hanging="540"/>
        <w:rPr>
          <w:b/>
          <w:bCs/>
          <w:caps/>
        </w:rPr>
      </w:pPr>
      <w:r w:rsidRPr="00504DC0">
        <w:rPr>
          <w:b/>
          <w:bCs/>
          <w:caps/>
        </w:rPr>
        <w:t>Application</w:t>
      </w:r>
      <w:r w:rsidR="008E5C31" w:rsidRPr="00504DC0">
        <w:rPr>
          <w:b/>
          <w:bCs/>
          <w:caps/>
        </w:rPr>
        <w:t xml:space="preserve"> to urban residence choice and walking</w:t>
      </w:r>
      <w:r w:rsidR="00F03F01">
        <w:rPr>
          <w:b/>
          <w:bCs/>
          <w:caps/>
        </w:rPr>
        <w:t xml:space="preserve"> </w:t>
      </w:r>
      <w:r w:rsidR="008E5C31" w:rsidRPr="00504DC0">
        <w:rPr>
          <w:b/>
          <w:bCs/>
          <w:caps/>
        </w:rPr>
        <w:t>frequency</w:t>
      </w:r>
    </w:p>
    <w:p w14:paraId="51E0E499" w14:textId="7AA968B7" w:rsidR="007A28A2" w:rsidRPr="00FE38B5" w:rsidRDefault="007A28A2" w:rsidP="00504DC0">
      <w:pPr>
        <w:numPr>
          <w:ilvl w:val="1"/>
          <w:numId w:val="2"/>
        </w:numPr>
        <w:spacing w:line="276" w:lineRule="auto"/>
        <w:ind w:left="540" w:hanging="540"/>
        <w:jc w:val="both"/>
        <w:rPr>
          <w:b/>
          <w:bCs/>
        </w:rPr>
      </w:pPr>
      <w:r w:rsidRPr="00FE38B5">
        <w:rPr>
          <w:b/>
          <w:bCs/>
        </w:rPr>
        <w:t>Background</w:t>
      </w:r>
    </w:p>
    <w:p w14:paraId="24C72C98" w14:textId="27173AD1" w:rsidR="006F68BC" w:rsidRDefault="00B153E8" w:rsidP="00B4106B">
      <w:pPr>
        <w:spacing w:line="276" w:lineRule="auto"/>
        <w:jc w:val="both"/>
        <w:rPr>
          <w:rFonts w:cs="Times New Roman"/>
          <w:szCs w:val="24"/>
        </w:rPr>
      </w:pPr>
      <w:r w:rsidRPr="00340ECC">
        <w:rPr>
          <w:rFonts w:cs="Times New Roman"/>
          <w:szCs w:val="24"/>
        </w:rPr>
        <w:t xml:space="preserve">Walking is a travel mode that requires no motorization, is a natural human-learned skill from childhood for most individuals, </w:t>
      </w:r>
      <w:r w:rsidR="00D37A2F" w:rsidRPr="00340ECC">
        <w:rPr>
          <w:rFonts w:cs="Times New Roman"/>
          <w:szCs w:val="24"/>
        </w:rPr>
        <w:t xml:space="preserve">entails zero monetary cost, </w:t>
      </w:r>
      <w:r w:rsidRPr="00340ECC">
        <w:rPr>
          <w:rFonts w:cs="Times New Roman"/>
          <w:szCs w:val="24"/>
        </w:rPr>
        <w:t>can ease traffic congestion on our roadways, and contributes to a reduction of the transportation sector’s carbon footprint</w:t>
      </w:r>
      <w:r w:rsidR="008E5C31">
        <w:rPr>
          <w:rFonts w:cs="Times New Roman"/>
          <w:szCs w:val="24"/>
        </w:rPr>
        <w:t xml:space="preserve"> </w:t>
      </w:r>
      <w:r w:rsidR="008E5C31" w:rsidRPr="0051631C">
        <w:rPr>
          <w:rFonts w:cs="Times New Roman"/>
          <w:szCs w:val="24"/>
        </w:rPr>
        <w:t xml:space="preserve">(see </w:t>
      </w:r>
      <w:r w:rsidR="00C90BC5">
        <w:rPr>
          <w:rFonts w:cs="Times New Roman"/>
          <w:szCs w:val="24"/>
        </w:rPr>
        <w:t>Xia et al., 2013; Longo et al., 2015</w:t>
      </w:r>
      <w:r w:rsidR="008E5C31">
        <w:rPr>
          <w:rFonts w:cs="Times New Roman"/>
          <w:szCs w:val="24"/>
        </w:rPr>
        <w:t>)</w:t>
      </w:r>
      <w:r w:rsidRPr="00340ECC">
        <w:rPr>
          <w:rFonts w:cs="Times New Roman"/>
          <w:szCs w:val="24"/>
        </w:rPr>
        <w:t xml:space="preserve">. </w:t>
      </w:r>
      <w:r w:rsidR="00A92086" w:rsidRPr="00340ECC">
        <w:rPr>
          <w:rFonts w:cs="Times New Roman"/>
          <w:szCs w:val="24"/>
        </w:rPr>
        <w:t>At the individual level, walking</w:t>
      </w:r>
      <w:r w:rsidR="007A1514">
        <w:rPr>
          <w:rFonts w:cs="Times New Roman"/>
          <w:szCs w:val="24"/>
        </w:rPr>
        <w:t>, as a contributor to physical activity,</w:t>
      </w:r>
      <w:r w:rsidR="00A92086" w:rsidRPr="00340ECC">
        <w:rPr>
          <w:rFonts w:cs="Times New Roman"/>
          <w:szCs w:val="24"/>
        </w:rPr>
        <w:t xml:space="preserve"> </w:t>
      </w:r>
      <w:r w:rsidR="00A92086" w:rsidRPr="00340ECC">
        <w:rPr>
          <w:rFonts w:cs="Times New Roman"/>
          <w:szCs w:val="24"/>
        </w:rPr>
        <w:lastRenderedPageBreak/>
        <w:t>can provide substantial health benefits</w:t>
      </w:r>
      <w:r w:rsidR="00DE310F" w:rsidRPr="00340ECC">
        <w:rPr>
          <w:rFonts w:cs="Times New Roman"/>
          <w:szCs w:val="24"/>
        </w:rPr>
        <w:t xml:space="preserve">, including both mental and physical. </w:t>
      </w:r>
      <w:r w:rsidR="00B83B99" w:rsidRPr="00340ECC">
        <w:rPr>
          <w:rFonts w:cs="Times New Roman"/>
          <w:szCs w:val="24"/>
        </w:rPr>
        <w:t xml:space="preserve">From a </w:t>
      </w:r>
      <w:r w:rsidR="00DE310F" w:rsidRPr="00340ECC">
        <w:rPr>
          <w:rFonts w:cs="Times New Roman"/>
          <w:szCs w:val="24"/>
        </w:rPr>
        <w:t xml:space="preserve">mental </w:t>
      </w:r>
      <w:r w:rsidR="00B83B99" w:rsidRPr="00340ECC">
        <w:rPr>
          <w:rFonts w:cs="Times New Roman"/>
          <w:szCs w:val="24"/>
        </w:rPr>
        <w:t xml:space="preserve">wellness standpoint, </w:t>
      </w:r>
      <w:r w:rsidR="00DE310F" w:rsidRPr="00340ECC">
        <w:rPr>
          <w:rFonts w:cs="Times New Roman"/>
          <w:szCs w:val="24"/>
        </w:rPr>
        <w:t xml:space="preserve">walking has known to be a calming technique </w:t>
      </w:r>
      <w:r w:rsidR="00B83B99" w:rsidRPr="00340ECC">
        <w:rPr>
          <w:rFonts w:cs="Times New Roman"/>
          <w:szCs w:val="24"/>
        </w:rPr>
        <w:t>that releases stress</w:t>
      </w:r>
      <w:r w:rsidR="00C9570B">
        <w:rPr>
          <w:rFonts w:cs="Times New Roman"/>
          <w:szCs w:val="24"/>
        </w:rPr>
        <w:t xml:space="preserve">, </w:t>
      </w:r>
      <w:r w:rsidR="00B83B99" w:rsidRPr="00340ECC">
        <w:rPr>
          <w:rFonts w:cs="Times New Roman"/>
          <w:szCs w:val="24"/>
        </w:rPr>
        <w:t>relieves anxiety</w:t>
      </w:r>
      <w:r w:rsidR="00C9570B">
        <w:rPr>
          <w:rFonts w:cs="Times New Roman"/>
          <w:szCs w:val="24"/>
        </w:rPr>
        <w:t xml:space="preserve">, and reduces depression </w:t>
      </w:r>
      <w:bookmarkStart w:id="6" w:name="_Hlk155432468"/>
      <w:r w:rsidR="00C9570B">
        <w:rPr>
          <w:rFonts w:cs="Times New Roman"/>
          <w:szCs w:val="24"/>
        </w:rPr>
        <w:t>(Pearce et al., 2022</w:t>
      </w:r>
      <w:r w:rsidR="0031001F">
        <w:rPr>
          <w:rFonts w:cs="Times New Roman"/>
          <w:szCs w:val="24"/>
        </w:rPr>
        <w:t>; Vetrovsky et al., 2017</w:t>
      </w:r>
      <w:r w:rsidR="00C90BC5">
        <w:rPr>
          <w:rFonts w:cs="Times New Roman"/>
          <w:szCs w:val="24"/>
        </w:rPr>
        <w:t xml:space="preserve">; </w:t>
      </w:r>
      <w:r w:rsidR="00C90BC5" w:rsidRPr="00C90BC5">
        <w:rPr>
          <w:rFonts w:cs="Times New Roman"/>
          <w:szCs w:val="24"/>
        </w:rPr>
        <w:t>Makela and Aktas</w:t>
      </w:r>
      <w:r w:rsidR="00C90BC5">
        <w:rPr>
          <w:rFonts w:cs="Times New Roman"/>
          <w:szCs w:val="24"/>
        </w:rPr>
        <w:t xml:space="preserve"> </w:t>
      </w:r>
      <w:r w:rsidR="00C90BC5" w:rsidRPr="00C90BC5">
        <w:rPr>
          <w:rFonts w:cs="Times New Roman"/>
          <w:szCs w:val="24"/>
        </w:rPr>
        <w:t>(2023</w:t>
      </w:r>
      <w:r w:rsidR="00C9570B">
        <w:rPr>
          <w:rFonts w:cs="Times New Roman"/>
          <w:szCs w:val="24"/>
        </w:rPr>
        <w:t>)</w:t>
      </w:r>
      <w:r w:rsidR="00B83B99" w:rsidRPr="00340ECC">
        <w:rPr>
          <w:rFonts w:cs="Times New Roman"/>
          <w:szCs w:val="24"/>
        </w:rPr>
        <w:t xml:space="preserve">. The very act of being outdoors and </w:t>
      </w:r>
      <w:r w:rsidR="00B27C80" w:rsidRPr="00340ECC">
        <w:rPr>
          <w:rFonts w:cs="Times New Roman"/>
          <w:szCs w:val="24"/>
        </w:rPr>
        <w:t xml:space="preserve">feeling </w:t>
      </w:r>
      <w:r w:rsidR="00B83B99" w:rsidRPr="00340ECC">
        <w:rPr>
          <w:rFonts w:cs="Times New Roman"/>
          <w:szCs w:val="24"/>
        </w:rPr>
        <w:t xml:space="preserve">the </w:t>
      </w:r>
      <w:r w:rsidR="00B27C80" w:rsidRPr="00340ECC">
        <w:rPr>
          <w:rFonts w:cs="Times New Roman"/>
          <w:szCs w:val="24"/>
        </w:rPr>
        <w:t xml:space="preserve">associated </w:t>
      </w:r>
      <w:r w:rsidR="00B83B99" w:rsidRPr="00340ECC">
        <w:rPr>
          <w:rFonts w:cs="Times New Roman"/>
          <w:szCs w:val="24"/>
        </w:rPr>
        <w:t>social vibrancy has been noted to buoy spirits</w:t>
      </w:r>
      <w:r w:rsidR="00C9570B">
        <w:rPr>
          <w:rFonts w:cs="Times New Roman"/>
          <w:szCs w:val="24"/>
        </w:rPr>
        <w:t xml:space="preserve"> and </w:t>
      </w:r>
      <w:r w:rsidR="00A365CA" w:rsidRPr="00340ECC">
        <w:rPr>
          <w:rFonts w:cs="Times New Roman"/>
          <w:szCs w:val="24"/>
        </w:rPr>
        <w:t xml:space="preserve">generate a positive mindset </w:t>
      </w:r>
      <w:r w:rsidR="00B83B99" w:rsidRPr="00340ECC">
        <w:rPr>
          <w:rFonts w:cs="Times New Roman"/>
          <w:szCs w:val="24"/>
        </w:rPr>
        <w:t>(</w:t>
      </w:r>
      <w:r w:rsidR="00C9570B">
        <w:rPr>
          <w:rFonts w:cs="Times New Roman"/>
          <w:szCs w:val="24"/>
        </w:rPr>
        <w:t>Pearson and Craig, 2014</w:t>
      </w:r>
      <w:r w:rsidR="00AF6E97">
        <w:rPr>
          <w:rFonts w:cs="Times New Roman"/>
          <w:szCs w:val="24"/>
        </w:rPr>
        <w:t>; Jimenez et al., 2021</w:t>
      </w:r>
      <w:r w:rsidR="00B83B99" w:rsidRPr="00340ECC">
        <w:rPr>
          <w:rFonts w:cs="Times New Roman"/>
          <w:szCs w:val="24"/>
        </w:rPr>
        <w:t>)</w:t>
      </w:r>
      <w:r w:rsidR="00A365CA" w:rsidRPr="00340ECC">
        <w:rPr>
          <w:rFonts w:cs="Times New Roman"/>
          <w:szCs w:val="24"/>
        </w:rPr>
        <w:t xml:space="preserve">. </w:t>
      </w:r>
      <w:bookmarkEnd w:id="6"/>
      <w:r w:rsidR="005640BE" w:rsidRPr="00340ECC">
        <w:rPr>
          <w:rFonts w:cs="Times New Roman"/>
          <w:szCs w:val="24"/>
        </w:rPr>
        <w:t>From a physical wellness standpoint, walking, as part of a broader regimen of regular moderate-intensity physical activity</w:t>
      </w:r>
      <w:r w:rsidR="00B27C80" w:rsidRPr="00340ECC">
        <w:rPr>
          <w:rFonts w:cs="Times New Roman"/>
          <w:szCs w:val="24"/>
        </w:rPr>
        <w:t>,</w:t>
      </w:r>
      <w:r w:rsidR="005640BE" w:rsidRPr="00340ECC">
        <w:rPr>
          <w:rFonts w:cs="Times New Roman"/>
          <w:szCs w:val="24"/>
        </w:rPr>
        <w:t xml:space="preserve"> can help reduce the risk of </w:t>
      </w:r>
      <w:r w:rsidR="005640BE" w:rsidRPr="00340ECC">
        <w:rPr>
          <w:rFonts w:cs="Times New Roman"/>
          <w:szCs w:val="24"/>
          <w:bdr w:val="none" w:sz="0" w:space="0" w:color="auto" w:frame="1"/>
          <w:shd w:val="clear" w:color="auto" w:fill="FFFFFF"/>
        </w:rPr>
        <w:t>type 2 diabetes, chronic heart disease, hypertension, cardio-vascular diseases,</w:t>
      </w:r>
      <w:r w:rsidR="00B27C80" w:rsidRPr="00340ECC">
        <w:rPr>
          <w:rFonts w:cs="Times New Roman"/>
          <w:szCs w:val="24"/>
          <w:bdr w:val="none" w:sz="0" w:space="0" w:color="auto" w:frame="1"/>
          <w:shd w:val="clear" w:color="auto" w:fill="FFFFFF"/>
        </w:rPr>
        <w:t xml:space="preserve"> various forms of cancer, </w:t>
      </w:r>
      <w:r w:rsidR="005640BE" w:rsidRPr="00340ECC">
        <w:rPr>
          <w:rFonts w:cs="Times New Roman"/>
          <w:szCs w:val="24"/>
          <w:bdr w:val="none" w:sz="0" w:space="0" w:color="auto" w:frame="1"/>
          <w:shd w:val="clear" w:color="auto" w:fill="FFFFFF"/>
        </w:rPr>
        <w:t xml:space="preserve">and </w:t>
      </w:r>
      <w:r w:rsidR="00B27C80" w:rsidRPr="00340ECC">
        <w:rPr>
          <w:rFonts w:cs="Times New Roman"/>
          <w:szCs w:val="24"/>
          <w:bdr w:val="none" w:sz="0" w:space="0" w:color="auto" w:frame="1"/>
          <w:shd w:val="clear" w:color="auto" w:fill="FFFFFF"/>
        </w:rPr>
        <w:t>also other chronic diseases and disorders (</w:t>
      </w:r>
      <w:bookmarkStart w:id="7" w:name="_Hlk155432542"/>
      <w:r w:rsidR="007A1514">
        <w:rPr>
          <w:rFonts w:cs="Times New Roman"/>
          <w:szCs w:val="24"/>
          <w:bdr w:val="none" w:sz="0" w:space="0" w:color="auto" w:frame="1"/>
          <w:shd w:val="clear" w:color="auto" w:fill="FFFFFF"/>
        </w:rPr>
        <w:t>Paluch et al., 2022, 2023</w:t>
      </w:r>
      <w:bookmarkEnd w:id="7"/>
      <w:r w:rsidR="007A1514">
        <w:rPr>
          <w:rFonts w:cs="Times New Roman"/>
          <w:szCs w:val="24"/>
          <w:bdr w:val="none" w:sz="0" w:space="0" w:color="auto" w:frame="1"/>
          <w:shd w:val="clear" w:color="auto" w:fill="FFFFFF"/>
        </w:rPr>
        <w:t xml:space="preserve">; </w:t>
      </w:r>
      <w:r w:rsidR="00B27C80" w:rsidRPr="00340ECC">
        <w:rPr>
          <w:rFonts w:cs="Times New Roman"/>
          <w:szCs w:val="24"/>
          <w:bdr w:val="none" w:sz="0" w:space="0" w:color="auto" w:frame="1"/>
          <w:shd w:val="clear" w:color="auto" w:fill="FFFFFF"/>
        </w:rPr>
        <w:t>World Health Organiza</w:t>
      </w:r>
      <w:r w:rsidR="007A1514">
        <w:rPr>
          <w:rFonts w:cs="Times New Roman"/>
          <w:szCs w:val="24"/>
          <w:bdr w:val="none" w:sz="0" w:space="0" w:color="auto" w:frame="1"/>
          <w:shd w:val="clear" w:color="auto" w:fill="FFFFFF"/>
        </w:rPr>
        <w:t>tion (</w:t>
      </w:r>
      <w:r w:rsidR="007A1514" w:rsidRPr="007A1514">
        <w:rPr>
          <w:rFonts w:cs="Times New Roman"/>
          <w:szCs w:val="24"/>
          <w:bdr w:val="none" w:sz="0" w:space="0" w:color="auto" w:frame="1"/>
          <w:shd w:val="clear" w:color="auto" w:fill="FFFFFF"/>
        </w:rPr>
        <w:t>WHO</w:t>
      </w:r>
      <w:r w:rsidR="007A1514">
        <w:rPr>
          <w:rFonts w:cs="Times New Roman"/>
          <w:szCs w:val="24"/>
          <w:bdr w:val="none" w:sz="0" w:space="0" w:color="auto" w:frame="1"/>
          <w:shd w:val="clear" w:color="auto" w:fill="FFFFFF"/>
        </w:rPr>
        <w:t>)</w:t>
      </w:r>
      <w:r w:rsidR="007A1514" w:rsidRPr="007A1514">
        <w:rPr>
          <w:rFonts w:cs="Times New Roman"/>
          <w:szCs w:val="24"/>
          <w:bdr w:val="none" w:sz="0" w:space="0" w:color="auto" w:frame="1"/>
          <w:shd w:val="clear" w:color="auto" w:fill="FFFFFF"/>
        </w:rPr>
        <w:t xml:space="preserve"> guidelines on physical activity and sedentary behaviour: at a glance</w:t>
      </w:r>
      <w:r w:rsidR="007A1514">
        <w:rPr>
          <w:rFonts w:cs="Times New Roman"/>
          <w:szCs w:val="24"/>
          <w:bdr w:val="none" w:sz="0" w:space="0" w:color="auto" w:frame="1"/>
          <w:shd w:val="clear" w:color="auto" w:fill="FFFFFF"/>
        </w:rPr>
        <w:t xml:space="preserve">, </w:t>
      </w:r>
      <w:r w:rsidR="007A1514" w:rsidRPr="007A1514">
        <w:rPr>
          <w:rFonts w:cs="Times New Roman"/>
          <w:szCs w:val="24"/>
          <w:bdr w:val="none" w:sz="0" w:space="0" w:color="auto" w:frame="1"/>
          <w:shd w:val="clear" w:color="auto" w:fill="FFFFFF"/>
        </w:rPr>
        <w:t>20</w:t>
      </w:r>
      <w:r w:rsidR="007A1514">
        <w:rPr>
          <w:rFonts w:cs="Times New Roman"/>
          <w:szCs w:val="24"/>
          <w:bdr w:val="none" w:sz="0" w:space="0" w:color="auto" w:frame="1"/>
          <w:shd w:val="clear" w:color="auto" w:fill="FFFFFF"/>
        </w:rPr>
        <w:t>20</w:t>
      </w:r>
      <w:r w:rsidR="007A1514" w:rsidRPr="00B4106B">
        <w:rPr>
          <w:rFonts w:cs="Times New Roman"/>
          <w:szCs w:val="24"/>
          <w:bdr w:val="none" w:sz="0" w:space="0" w:color="auto" w:frame="1"/>
          <w:shd w:val="clear" w:color="auto" w:fill="FFFFFF"/>
          <w:vertAlign w:val="superscript"/>
        </w:rPr>
        <w:footnoteReference w:id="7"/>
      </w:r>
      <w:r w:rsidR="00B27C80" w:rsidRPr="00340ECC">
        <w:rPr>
          <w:rFonts w:cs="Times New Roman"/>
          <w:szCs w:val="24"/>
          <w:bdr w:val="none" w:sz="0" w:space="0" w:color="auto" w:frame="1"/>
          <w:shd w:val="clear" w:color="auto" w:fill="FFFFFF"/>
        </w:rPr>
        <w:t xml:space="preserve">). </w:t>
      </w:r>
      <w:r w:rsidR="0086129D" w:rsidRPr="00340ECC">
        <w:rPr>
          <w:rFonts w:cs="Times New Roman"/>
          <w:szCs w:val="24"/>
        </w:rPr>
        <w:t xml:space="preserve">As importantly, the benefits of walking can be accrued either </w:t>
      </w:r>
      <w:r w:rsidR="00390B96" w:rsidRPr="00340ECC">
        <w:rPr>
          <w:rFonts w:cs="Times New Roman"/>
          <w:szCs w:val="24"/>
        </w:rPr>
        <w:t>through</w:t>
      </w:r>
      <w:r w:rsidR="0086129D" w:rsidRPr="00340ECC">
        <w:rPr>
          <w:rFonts w:cs="Times New Roman"/>
          <w:szCs w:val="24"/>
        </w:rPr>
        <w:t xml:space="preserve"> utilitarian walking (that is walking with a specific activity at the destination end) or recreational walking (such as walking without a specific destination, such as around the neighborhood for exercise or walking the dog). During the height of the pandemic, </w:t>
      </w:r>
      <w:r w:rsidR="00F1780B">
        <w:rPr>
          <w:rFonts w:cs="Times New Roman"/>
          <w:szCs w:val="24"/>
        </w:rPr>
        <w:t>while there was</w:t>
      </w:r>
      <w:r w:rsidR="00772163">
        <w:rPr>
          <w:rFonts w:cs="Times New Roman"/>
          <w:szCs w:val="24"/>
        </w:rPr>
        <w:t xml:space="preserve"> </w:t>
      </w:r>
      <w:r w:rsidR="00F1780B">
        <w:rPr>
          <w:rFonts w:cs="Times New Roman"/>
          <w:szCs w:val="24"/>
        </w:rPr>
        <w:t xml:space="preserve">fear of increased exposure to the COVID virus when outdoors </w:t>
      </w:r>
      <w:bookmarkStart w:id="8" w:name="_Hlk155432574"/>
      <w:r w:rsidR="00F1780B">
        <w:rPr>
          <w:rFonts w:cs="Times New Roman"/>
          <w:szCs w:val="24"/>
        </w:rPr>
        <w:t>(see Lima et al., 2020</w:t>
      </w:r>
      <w:r w:rsidR="00772163">
        <w:rPr>
          <w:rFonts w:cs="Times New Roman"/>
          <w:szCs w:val="24"/>
        </w:rPr>
        <w:t>, Sallis et al., 2020</w:t>
      </w:r>
      <w:r w:rsidR="00F1780B">
        <w:rPr>
          <w:rFonts w:cs="Times New Roman"/>
          <w:szCs w:val="24"/>
        </w:rPr>
        <w:t xml:space="preserve">), </w:t>
      </w:r>
      <w:r w:rsidR="008919DE">
        <w:rPr>
          <w:rFonts w:cs="Times New Roman"/>
          <w:szCs w:val="24"/>
        </w:rPr>
        <w:t xml:space="preserve">there was some engagement in </w:t>
      </w:r>
      <w:r w:rsidR="0086129D" w:rsidRPr="00340ECC">
        <w:rPr>
          <w:rFonts w:cs="Times New Roman"/>
          <w:szCs w:val="24"/>
        </w:rPr>
        <w:t>“recreational walking” as individuals walked around their homes as a means to take a break from being bottled up within their homes</w:t>
      </w:r>
      <w:r w:rsidR="002B4044" w:rsidRPr="00340ECC">
        <w:rPr>
          <w:rFonts w:cs="Times New Roman"/>
          <w:szCs w:val="24"/>
        </w:rPr>
        <w:t xml:space="preserve"> (</w:t>
      </w:r>
      <w:r w:rsidR="000523BB" w:rsidRPr="000523BB">
        <w:rPr>
          <w:rFonts w:cs="Times New Roman"/>
          <w:szCs w:val="24"/>
        </w:rPr>
        <w:t>Przybylowski et al., 2021</w:t>
      </w:r>
      <w:r w:rsidR="000523BB">
        <w:rPr>
          <w:rFonts w:cs="Times New Roman"/>
          <w:szCs w:val="24"/>
        </w:rPr>
        <w:t xml:space="preserve">; </w:t>
      </w:r>
      <w:r w:rsidR="000523BB" w:rsidRPr="000523BB">
        <w:rPr>
          <w:rFonts w:cs="Times New Roman"/>
          <w:szCs w:val="24"/>
        </w:rPr>
        <w:t>de Haas et al., 2020</w:t>
      </w:r>
      <w:r w:rsidR="000523BB">
        <w:rPr>
          <w:rFonts w:cs="Times New Roman"/>
          <w:szCs w:val="24"/>
        </w:rPr>
        <w:t>)</w:t>
      </w:r>
      <w:r w:rsidR="002B4044" w:rsidRPr="00340ECC">
        <w:rPr>
          <w:rFonts w:cs="Times New Roman"/>
          <w:szCs w:val="24"/>
        </w:rPr>
        <w:t xml:space="preserve">. </w:t>
      </w:r>
      <w:r w:rsidR="00390B96" w:rsidRPr="00340ECC">
        <w:rPr>
          <w:rFonts w:cs="Times New Roman"/>
          <w:szCs w:val="24"/>
        </w:rPr>
        <w:t>Further, after the peak of the pandemic was behind us, and vaccinations became widely available, walking</w:t>
      </w:r>
      <w:r w:rsidR="004740DF">
        <w:rPr>
          <w:rFonts w:cs="Times New Roman"/>
          <w:szCs w:val="24"/>
        </w:rPr>
        <w:t xml:space="preserve"> became quite prevalent </w:t>
      </w:r>
      <w:r w:rsidR="00390B96" w:rsidRPr="00340ECC">
        <w:rPr>
          <w:rFonts w:cs="Times New Roman"/>
          <w:szCs w:val="24"/>
        </w:rPr>
        <w:t>as the fear of contracting COVID from fellow walkers decreased even further. Th</w:t>
      </w:r>
      <w:r w:rsidR="0031001F">
        <w:rPr>
          <w:rFonts w:cs="Times New Roman"/>
          <w:szCs w:val="24"/>
        </w:rPr>
        <w:t>is</w:t>
      </w:r>
      <w:r w:rsidR="00141699">
        <w:rPr>
          <w:rFonts w:cs="Times New Roman"/>
          <w:szCs w:val="24"/>
        </w:rPr>
        <w:t xml:space="preserve"> </w:t>
      </w:r>
      <w:r w:rsidR="00390B96" w:rsidRPr="00340ECC">
        <w:rPr>
          <w:rFonts w:cs="Times New Roman"/>
          <w:szCs w:val="24"/>
        </w:rPr>
        <w:t xml:space="preserve">was particularly the case in specific demographic groups, such as those with high education </w:t>
      </w:r>
      <w:r w:rsidR="00F90100">
        <w:rPr>
          <w:rFonts w:cs="Times New Roman"/>
          <w:szCs w:val="24"/>
        </w:rPr>
        <w:t xml:space="preserve">and income </w:t>
      </w:r>
      <w:r w:rsidR="00390B96" w:rsidRPr="00340ECC">
        <w:rPr>
          <w:rFonts w:cs="Times New Roman"/>
          <w:szCs w:val="24"/>
        </w:rPr>
        <w:t>levels</w:t>
      </w:r>
      <w:r w:rsidR="00141699">
        <w:rPr>
          <w:rFonts w:cs="Times New Roman"/>
          <w:szCs w:val="24"/>
        </w:rPr>
        <w:t xml:space="preserve"> (</w:t>
      </w:r>
      <w:r w:rsidR="00141699">
        <w:rPr>
          <w:lang w:eastAsia="ko-KR"/>
        </w:rPr>
        <w:t xml:space="preserve">Kyan and Takakura, 2022; Hwang et al., 2023). </w:t>
      </w:r>
    </w:p>
    <w:p w14:paraId="0A5C378B" w14:textId="46028171" w:rsidR="00442728" w:rsidRDefault="006A5EA7" w:rsidP="00B4106B">
      <w:pPr>
        <w:spacing w:line="276" w:lineRule="auto"/>
        <w:ind w:firstLine="720"/>
        <w:jc w:val="both"/>
        <w:rPr>
          <w:rFonts w:cs="Times New Roman"/>
          <w:color w:val="000000" w:themeColor="text1"/>
          <w:szCs w:val="24"/>
        </w:rPr>
      </w:pPr>
      <w:r w:rsidRPr="00340ECC">
        <w:rPr>
          <w:rFonts w:cs="Times New Roman"/>
          <w:szCs w:val="24"/>
        </w:rPr>
        <w:t xml:space="preserve">An important </w:t>
      </w:r>
      <w:r w:rsidR="00486636">
        <w:rPr>
          <w:rFonts w:cs="Times New Roman"/>
          <w:szCs w:val="24"/>
        </w:rPr>
        <w:t xml:space="preserve">related </w:t>
      </w:r>
      <w:r w:rsidR="006F68BC">
        <w:rPr>
          <w:rFonts w:cs="Times New Roman"/>
          <w:szCs w:val="24"/>
        </w:rPr>
        <w:t xml:space="preserve">issue </w:t>
      </w:r>
      <w:r w:rsidR="00486636">
        <w:rPr>
          <w:rFonts w:cs="Times New Roman"/>
          <w:szCs w:val="24"/>
        </w:rPr>
        <w:t xml:space="preserve">beyond demographic determinants of walking </w:t>
      </w:r>
      <w:r w:rsidR="006F68BC">
        <w:rPr>
          <w:rFonts w:cs="Times New Roman"/>
          <w:szCs w:val="24"/>
        </w:rPr>
        <w:t xml:space="preserve">that has attracted substantial interest in the </w:t>
      </w:r>
      <w:r w:rsidR="002374EF">
        <w:rPr>
          <w:rFonts w:cs="Times New Roman"/>
          <w:szCs w:val="24"/>
        </w:rPr>
        <w:t xml:space="preserve">land use-transportation literature in the </w:t>
      </w:r>
      <w:r w:rsidR="006F68BC">
        <w:rPr>
          <w:rFonts w:cs="Times New Roman"/>
          <w:szCs w:val="24"/>
        </w:rPr>
        <w:t xml:space="preserve">past </w:t>
      </w:r>
      <w:r w:rsidR="00280800" w:rsidRPr="00340ECC">
        <w:rPr>
          <w:rFonts w:cs="Times New Roman"/>
          <w:szCs w:val="24"/>
        </w:rPr>
        <w:t>is</w:t>
      </w:r>
      <w:r w:rsidRPr="00340ECC">
        <w:rPr>
          <w:rFonts w:cs="Times New Roman"/>
          <w:szCs w:val="24"/>
        </w:rPr>
        <w:t xml:space="preserve"> the </w:t>
      </w:r>
      <w:r w:rsidR="006F68BC">
        <w:rPr>
          <w:rFonts w:cs="Times New Roman"/>
          <w:szCs w:val="24"/>
        </w:rPr>
        <w:t>differential</w:t>
      </w:r>
      <w:r w:rsidRPr="00340ECC">
        <w:rPr>
          <w:rFonts w:cs="Times New Roman"/>
          <w:szCs w:val="24"/>
        </w:rPr>
        <w:t xml:space="preserve"> walking tendency </w:t>
      </w:r>
      <w:r w:rsidR="00442728">
        <w:rPr>
          <w:rFonts w:cs="Times New Roman"/>
          <w:szCs w:val="24"/>
        </w:rPr>
        <w:t xml:space="preserve">based on residential built environment. </w:t>
      </w:r>
      <w:r w:rsidR="002374EF">
        <w:rPr>
          <w:rFonts w:cs="Times New Roman"/>
          <w:szCs w:val="24"/>
        </w:rPr>
        <w:t xml:space="preserve">Of keen interest in particular </w:t>
      </w:r>
      <w:r w:rsidR="00280800" w:rsidRPr="00340ECC">
        <w:rPr>
          <w:rFonts w:cs="Times New Roman"/>
          <w:szCs w:val="24"/>
        </w:rPr>
        <w:t xml:space="preserve">over the years has been to disentangle associative effects from causal effects </w:t>
      </w:r>
      <w:r w:rsidR="00280800" w:rsidRPr="00340ECC">
        <w:rPr>
          <w:rFonts w:cs="Times New Roman"/>
          <w:color w:val="000000" w:themeColor="text1"/>
          <w:szCs w:val="24"/>
        </w:rPr>
        <w:t>in</w:t>
      </w:r>
      <w:r w:rsidR="004771A0" w:rsidRPr="00340ECC">
        <w:rPr>
          <w:rFonts w:cs="Times New Roman"/>
          <w:color w:val="000000" w:themeColor="text1"/>
          <w:szCs w:val="24"/>
        </w:rPr>
        <w:t xml:space="preserve"> </w:t>
      </w:r>
      <w:r w:rsidR="00CF2B4D">
        <w:rPr>
          <w:rFonts w:cs="Times New Roman"/>
          <w:color w:val="000000" w:themeColor="text1"/>
          <w:szCs w:val="24"/>
        </w:rPr>
        <w:t xml:space="preserve">the </w:t>
      </w:r>
      <w:r w:rsidR="00280800" w:rsidRPr="00340ECC">
        <w:rPr>
          <w:rFonts w:cs="Times New Roman"/>
          <w:color w:val="000000" w:themeColor="text1"/>
          <w:szCs w:val="24"/>
        </w:rPr>
        <w:t xml:space="preserve">residential built environment </w:t>
      </w:r>
      <w:r w:rsidR="000F446E">
        <w:rPr>
          <w:rFonts w:cs="Times New Roman"/>
          <w:color w:val="000000" w:themeColor="text1"/>
          <w:szCs w:val="24"/>
        </w:rPr>
        <w:t xml:space="preserve">(BE) </w:t>
      </w:r>
      <w:r w:rsidR="00CF2B4D">
        <w:rPr>
          <w:rFonts w:cs="Times New Roman"/>
          <w:color w:val="000000" w:themeColor="text1"/>
          <w:szCs w:val="24"/>
        </w:rPr>
        <w:t>influence</w:t>
      </w:r>
      <w:r w:rsidR="004771A0" w:rsidRPr="00340ECC">
        <w:rPr>
          <w:rFonts w:cs="Times New Roman"/>
          <w:color w:val="000000" w:themeColor="text1"/>
          <w:szCs w:val="24"/>
        </w:rPr>
        <w:t xml:space="preserve"> </w:t>
      </w:r>
      <w:r w:rsidR="00280800" w:rsidRPr="00340ECC">
        <w:rPr>
          <w:rFonts w:cs="Times New Roman"/>
          <w:color w:val="000000" w:themeColor="text1"/>
          <w:szCs w:val="24"/>
        </w:rPr>
        <w:t xml:space="preserve">on </w:t>
      </w:r>
      <w:r w:rsidR="002374EF">
        <w:rPr>
          <w:rFonts w:cs="Times New Roman"/>
          <w:color w:val="000000" w:themeColor="text1"/>
          <w:szCs w:val="24"/>
        </w:rPr>
        <w:t xml:space="preserve">active </w:t>
      </w:r>
      <w:r w:rsidR="00280800" w:rsidRPr="00340ECC">
        <w:rPr>
          <w:rFonts w:cs="Times New Roman"/>
          <w:color w:val="000000" w:themeColor="text1"/>
          <w:szCs w:val="24"/>
        </w:rPr>
        <w:t>travel behavior</w:t>
      </w:r>
      <w:r w:rsidR="00D1476A" w:rsidRPr="00340ECC">
        <w:rPr>
          <w:rFonts w:cs="Times New Roman"/>
          <w:color w:val="000000" w:themeColor="text1"/>
          <w:szCs w:val="24"/>
        </w:rPr>
        <w:t xml:space="preserve"> (for example, </w:t>
      </w:r>
      <w:r w:rsidR="00D1476A" w:rsidRPr="00340ECC">
        <w:rPr>
          <w:rFonts w:cs="Times New Roman"/>
          <w:szCs w:val="24"/>
        </w:rPr>
        <w:t xml:space="preserve">see Van Wee, 2009, Van Acker </w:t>
      </w:r>
      <w:r w:rsidR="00D1476A" w:rsidRPr="00340ECC">
        <w:rPr>
          <w:rFonts w:cs="Times New Roman"/>
          <w:i/>
          <w:iCs/>
          <w:szCs w:val="24"/>
        </w:rPr>
        <w:t>et al.</w:t>
      </w:r>
      <w:r w:rsidR="00D1476A" w:rsidRPr="00340ECC">
        <w:rPr>
          <w:rFonts w:cs="Times New Roman"/>
          <w:szCs w:val="24"/>
        </w:rPr>
        <w:t>, 2014, Bhat et al., 201</w:t>
      </w:r>
      <w:r w:rsidR="004740DF">
        <w:rPr>
          <w:rFonts w:cs="Times New Roman"/>
          <w:szCs w:val="24"/>
        </w:rPr>
        <w:t>6)</w:t>
      </w:r>
      <w:r w:rsidR="00D1476A" w:rsidRPr="00340ECC">
        <w:rPr>
          <w:rFonts w:cs="Times New Roman"/>
          <w:szCs w:val="24"/>
        </w:rPr>
        <w:t>.</w:t>
      </w:r>
      <w:bookmarkEnd w:id="8"/>
      <w:r w:rsidR="00D1476A" w:rsidRPr="00340ECC">
        <w:rPr>
          <w:rFonts w:cs="Times New Roman"/>
          <w:szCs w:val="24"/>
        </w:rPr>
        <w:t xml:space="preserve"> This is particularly important when using cross-sectional data that entails the joint observation</w:t>
      </w:r>
      <w:r w:rsidR="00BD420F">
        <w:rPr>
          <w:rFonts w:cs="Times New Roman"/>
          <w:szCs w:val="24"/>
        </w:rPr>
        <w:t>, at a specific point in time,</w:t>
      </w:r>
      <w:r w:rsidR="00D1476A" w:rsidRPr="00340ECC">
        <w:rPr>
          <w:rFonts w:cs="Times New Roman"/>
          <w:szCs w:val="24"/>
        </w:rPr>
        <w:t xml:space="preserve"> of the residential location of households and activity-travel choices. </w:t>
      </w:r>
      <w:r w:rsidR="00602ADE" w:rsidRPr="00340ECC">
        <w:rPr>
          <w:rFonts w:cs="Times New Roman"/>
          <w:szCs w:val="24"/>
        </w:rPr>
        <w:t>From an econometric perspective, t</w:t>
      </w:r>
      <w:r w:rsidR="00D1476A" w:rsidRPr="00340ECC">
        <w:rPr>
          <w:rFonts w:cs="Times New Roman"/>
          <w:szCs w:val="24"/>
        </w:rPr>
        <w:t xml:space="preserve">he </w:t>
      </w:r>
      <w:r w:rsidR="00BD420F">
        <w:rPr>
          <w:rFonts w:cs="Times New Roman"/>
          <w:szCs w:val="24"/>
        </w:rPr>
        <w:t xml:space="preserve">“single-point-in-time” observation </w:t>
      </w:r>
      <w:r w:rsidR="00D1476A" w:rsidRPr="00340ECC">
        <w:rPr>
          <w:rFonts w:cs="Times New Roman"/>
          <w:szCs w:val="24"/>
        </w:rPr>
        <w:t>co-mingl</w:t>
      </w:r>
      <w:r w:rsidR="00BD420F">
        <w:rPr>
          <w:rFonts w:cs="Times New Roman"/>
          <w:szCs w:val="24"/>
        </w:rPr>
        <w:t>es</w:t>
      </w:r>
      <w:r w:rsidR="00D1476A" w:rsidRPr="00340ECC">
        <w:rPr>
          <w:rFonts w:cs="Times New Roman"/>
          <w:szCs w:val="24"/>
        </w:rPr>
        <w:t xml:space="preserve"> the “true” BE effect </w:t>
      </w:r>
      <w:r w:rsidR="00BD420F">
        <w:rPr>
          <w:rFonts w:cs="Times New Roman"/>
          <w:szCs w:val="24"/>
        </w:rPr>
        <w:t>of residential location with</w:t>
      </w:r>
      <w:r w:rsidR="00D1476A" w:rsidRPr="00340ECC">
        <w:rPr>
          <w:rFonts w:cs="Times New Roman"/>
          <w:szCs w:val="24"/>
        </w:rPr>
        <w:t xml:space="preserve"> a</w:t>
      </w:r>
      <w:r w:rsidR="00BD420F">
        <w:rPr>
          <w:rFonts w:cs="Times New Roman"/>
          <w:szCs w:val="24"/>
        </w:rPr>
        <w:t xml:space="preserve">n associative effect due to the </w:t>
      </w:r>
      <w:r w:rsidR="00D1476A" w:rsidRPr="00340ECC">
        <w:rPr>
          <w:rFonts w:cs="Times New Roman"/>
          <w:szCs w:val="24"/>
        </w:rPr>
        <w:t>non-random assig</w:t>
      </w:r>
      <w:r w:rsidR="00BD420F">
        <w:rPr>
          <w:rFonts w:cs="Times New Roman"/>
          <w:szCs w:val="24"/>
        </w:rPr>
        <w:t xml:space="preserve">nment of individuals </w:t>
      </w:r>
      <w:r w:rsidR="00D1476A" w:rsidRPr="00340ECC">
        <w:rPr>
          <w:rFonts w:cs="Times New Roman"/>
          <w:szCs w:val="24"/>
        </w:rPr>
        <w:t xml:space="preserve">to residential locations. </w:t>
      </w:r>
      <w:r w:rsidR="00602ADE" w:rsidRPr="00340ECC">
        <w:rPr>
          <w:rFonts w:cs="Times New Roman"/>
          <w:szCs w:val="24"/>
        </w:rPr>
        <w:t xml:space="preserve">Of course, if this non-random </w:t>
      </w:r>
      <w:r w:rsidR="005A7555" w:rsidRPr="00340ECC">
        <w:rPr>
          <w:rFonts w:cs="Times New Roman"/>
          <w:szCs w:val="24"/>
        </w:rPr>
        <w:t xml:space="preserve">location </w:t>
      </w:r>
      <w:r w:rsidR="00602ADE" w:rsidRPr="00340ECC">
        <w:rPr>
          <w:rFonts w:cs="Times New Roman"/>
          <w:szCs w:val="24"/>
        </w:rPr>
        <w:t xml:space="preserve">assignment can be magically explained entirely through </w:t>
      </w:r>
      <w:r w:rsidR="005A7555" w:rsidRPr="00340ECC">
        <w:rPr>
          <w:rFonts w:cs="Times New Roman"/>
          <w:szCs w:val="24"/>
        </w:rPr>
        <w:t xml:space="preserve">a combination of observed </w:t>
      </w:r>
      <w:r w:rsidR="00602ADE" w:rsidRPr="00340ECC">
        <w:rPr>
          <w:rFonts w:cs="Times New Roman"/>
          <w:szCs w:val="24"/>
        </w:rPr>
        <w:t xml:space="preserve">non-travel </w:t>
      </w:r>
      <w:r w:rsidR="005A7555" w:rsidRPr="00340ECC">
        <w:rPr>
          <w:rFonts w:cs="Times New Roman"/>
          <w:szCs w:val="24"/>
        </w:rPr>
        <w:t xml:space="preserve">(including sociodemographic) characteristics </w:t>
      </w:r>
      <w:r w:rsidR="00602ADE" w:rsidRPr="00340ECC">
        <w:rPr>
          <w:rFonts w:cs="Times New Roman"/>
          <w:szCs w:val="24"/>
        </w:rPr>
        <w:t xml:space="preserve">and BE </w:t>
      </w:r>
      <w:r w:rsidR="005A7555" w:rsidRPr="00340ECC">
        <w:rPr>
          <w:rFonts w:cs="Times New Roman"/>
          <w:szCs w:val="24"/>
        </w:rPr>
        <w:t>attributes, then a traditional travel model for the activity-travel dimension with BE attributes as explanatory variables would be adequate to tease out “true”</w:t>
      </w:r>
      <w:r w:rsidR="00F1780B">
        <w:rPr>
          <w:rFonts w:cs="Times New Roman"/>
          <w:szCs w:val="24"/>
        </w:rPr>
        <w:t xml:space="preserve"> </w:t>
      </w:r>
      <w:r w:rsidR="005A7555" w:rsidRPr="00340ECC">
        <w:rPr>
          <w:rFonts w:cs="Times New Roman"/>
          <w:szCs w:val="24"/>
        </w:rPr>
        <w:t xml:space="preserve">causal BE effects. </w:t>
      </w:r>
      <w:r w:rsidR="00D1476A" w:rsidRPr="00340ECC">
        <w:rPr>
          <w:rFonts w:cs="Times New Roman"/>
          <w:szCs w:val="24"/>
        </w:rPr>
        <w:t xml:space="preserve">However, </w:t>
      </w:r>
      <w:r w:rsidR="005A7555" w:rsidRPr="00340ECC">
        <w:rPr>
          <w:rFonts w:cs="Times New Roman"/>
          <w:szCs w:val="24"/>
        </w:rPr>
        <w:t xml:space="preserve">the more likely situation is the presence of unobserved </w:t>
      </w:r>
      <w:r w:rsidR="00D1476A" w:rsidRPr="00340ECC">
        <w:rPr>
          <w:rFonts w:cs="Times New Roman"/>
          <w:szCs w:val="24"/>
        </w:rPr>
        <w:t xml:space="preserve">antecedent personality, attitude, and lifestyle characteristics of </w:t>
      </w:r>
      <w:r w:rsidR="005A7555" w:rsidRPr="00340ECC">
        <w:rPr>
          <w:rFonts w:cs="Times New Roman"/>
          <w:szCs w:val="24"/>
        </w:rPr>
        <w:t>individuals/</w:t>
      </w:r>
      <w:r w:rsidR="00D1476A" w:rsidRPr="00340ECC">
        <w:rPr>
          <w:rFonts w:cs="Times New Roman"/>
          <w:szCs w:val="24"/>
        </w:rPr>
        <w:t xml:space="preserve">households that </w:t>
      </w:r>
      <w:r w:rsidR="005A7555" w:rsidRPr="00340ECC">
        <w:rPr>
          <w:rFonts w:cs="Times New Roman"/>
          <w:szCs w:val="24"/>
        </w:rPr>
        <w:t xml:space="preserve">simultaneously </w:t>
      </w:r>
      <w:r w:rsidR="00D1476A" w:rsidRPr="00340ECC">
        <w:rPr>
          <w:rFonts w:cs="Times New Roman"/>
          <w:szCs w:val="24"/>
        </w:rPr>
        <w:t xml:space="preserve">impact residential location choice and activity-travel behavior. </w:t>
      </w:r>
      <w:r w:rsidR="00A57D00" w:rsidRPr="00340ECC">
        <w:rPr>
          <w:rFonts w:cs="Times New Roman"/>
          <w:color w:val="000000" w:themeColor="text1"/>
          <w:szCs w:val="24"/>
        </w:rPr>
        <w:t xml:space="preserve">The question then </w:t>
      </w:r>
      <w:r w:rsidR="00A57D00" w:rsidRPr="00340ECC">
        <w:rPr>
          <w:rFonts w:cs="Times New Roman"/>
          <w:color w:val="000000" w:themeColor="text1"/>
          <w:szCs w:val="24"/>
        </w:rPr>
        <w:lastRenderedPageBreak/>
        <w:t xml:space="preserve">is </w:t>
      </w:r>
      <w:r w:rsidR="004771A0" w:rsidRPr="00340ECC">
        <w:rPr>
          <w:rFonts w:cs="Times New Roman"/>
          <w:color w:val="000000" w:themeColor="text1"/>
          <w:szCs w:val="24"/>
        </w:rPr>
        <w:t>whether the co-movement between walking intensity and residential densi</w:t>
      </w:r>
      <w:r w:rsidR="008736C1">
        <w:rPr>
          <w:rFonts w:cs="Times New Roman"/>
          <w:color w:val="000000" w:themeColor="text1"/>
          <w:szCs w:val="24"/>
        </w:rPr>
        <w:t>ty</w:t>
      </w:r>
      <w:r w:rsidR="004771A0" w:rsidRPr="00340ECC">
        <w:rPr>
          <w:rFonts w:cs="Times New Roman"/>
          <w:color w:val="000000" w:themeColor="text1"/>
          <w:szCs w:val="24"/>
        </w:rPr>
        <w:t xml:space="preserve"> </w:t>
      </w:r>
      <w:r w:rsidR="008736C1">
        <w:rPr>
          <w:rFonts w:cs="Times New Roman"/>
          <w:color w:val="000000" w:themeColor="text1"/>
          <w:szCs w:val="24"/>
        </w:rPr>
        <w:t>represents</w:t>
      </w:r>
      <w:r w:rsidR="004771A0" w:rsidRPr="00340ECC">
        <w:rPr>
          <w:rFonts w:cs="Times New Roman"/>
          <w:color w:val="000000" w:themeColor="text1"/>
          <w:szCs w:val="24"/>
        </w:rPr>
        <w:t xml:space="preserve"> a true “causal” effect </w:t>
      </w:r>
      <w:r w:rsidR="008736C1">
        <w:rPr>
          <w:rFonts w:cs="Times New Roman"/>
          <w:color w:val="000000" w:themeColor="text1"/>
          <w:szCs w:val="24"/>
        </w:rPr>
        <w:t xml:space="preserve">of density on walking intensity </w:t>
      </w:r>
      <w:r w:rsidR="004771A0" w:rsidRPr="00340ECC">
        <w:rPr>
          <w:rFonts w:cs="Times New Roman"/>
          <w:color w:val="000000" w:themeColor="text1"/>
          <w:szCs w:val="24"/>
        </w:rPr>
        <w:t>or simply an associative residential self-selection effect</w:t>
      </w:r>
      <w:r w:rsidR="008736C1">
        <w:rPr>
          <w:rFonts w:cs="Times New Roman"/>
          <w:color w:val="000000" w:themeColor="text1"/>
          <w:szCs w:val="24"/>
        </w:rPr>
        <w:t xml:space="preserve">. </w:t>
      </w:r>
      <w:bookmarkStart w:id="9" w:name="_Hlk155432740"/>
      <w:r w:rsidR="00E85E1A" w:rsidRPr="00340ECC">
        <w:rPr>
          <w:rFonts w:cs="Times New Roman"/>
          <w:color w:val="000000" w:themeColor="text1"/>
          <w:szCs w:val="24"/>
        </w:rPr>
        <w:t>Bhat and Guo (2007</w:t>
      </w:r>
      <w:r w:rsidR="00454B76" w:rsidRPr="00340ECC">
        <w:rPr>
          <w:rFonts w:cs="Times New Roman"/>
          <w:color w:val="000000" w:themeColor="text1"/>
          <w:szCs w:val="24"/>
        </w:rPr>
        <w:t xml:space="preserve">) </w:t>
      </w:r>
      <w:r w:rsidR="00E85E1A" w:rsidRPr="00340ECC">
        <w:rPr>
          <w:rFonts w:cs="Times New Roman"/>
          <w:color w:val="000000" w:themeColor="text1"/>
          <w:szCs w:val="24"/>
        </w:rPr>
        <w:t xml:space="preserve">discuss this residential self-selection issue at length, emphasizing its importance for policy-making. More recently, </w:t>
      </w:r>
      <w:r w:rsidR="00280800" w:rsidRPr="00340ECC">
        <w:rPr>
          <w:rFonts w:cs="Times New Roman"/>
          <w:color w:val="000000" w:themeColor="text1"/>
          <w:szCs w:val="24"/>
        </w:rPr>
        <w:t xml:space="preserve">Guan et al., 2020 </w:t>
      </w:r>
      <w:bookmarkEnd w:id="9"/>
      <w:r w:rsidR="00280800" w:rsidRPr="00340ECC">
        <w:rPr>
          <w:rFonts w:cs="Times New Roman"/>
          <w:color w:val="000000" w:themeColor="text1"/>
          <w:szCs w:val="24"/>
        </w:rPr>
        <w:t>provide</w:t>
      </w:r>
      <w:r w:rsidR="0031001F">
        <w:rPr>
          <w:rFonts w:cs="Times New Roman"/>
          <w:color w:val="000000" w:themeColor="text1"/>
          <w:szCs w:val="24"/>
        </w:rPr>
        <w:t>d</w:t>
      </w:r>
      <w:r w:rsidR="00280800" w:rsidRPr="00340ECC">
        <w:rPr>
          <w:rFonts w:cs="Times New Roman"/>
          <w:color w:val="000000" w:themeColor="text1"/>
          <w:szCs w:val="24"/>
        </w:rPr>
        <w:t xml:space="preserve"> an ex</w:t>
      </w:r>
      <w:r w:rsidR="00454B76" w:rsidRPr="00340ECC">
        <w:rPr>
          <w:rFonts w:cs="Times New Roman"/>
          <w:color w:val="000000" w:themeColor="text1"/>
          <w:szCs w:val="24"/>
        </w:rPr>
        <w:t>haustive</w:t>
      </w:r>
      <w:r w:rsidR="00280800" w:rsidRPr="00340ECC">
        <w:rPr>
          <w:rFonts w:cs="Times New Roman"/>
          <w:color w:val="000000" w:themeColor="text1"/>
          <w:szCs w:val="24"/>
        </w:rPr>
        <w:t xml:space="preserve"> review of </w:t>
      </w:r>
      <w:r w:rsidR="00D37A2F" w:rsidRPr="00340ECC">
        <w:rPr>
          <w:rFonts w:cs="Times New Roman"/>
          <w:color w:val="000000" w:themeColor="text1"/>
          <w:szCs w:val="24"/>
        </w:rPr>
        <w:t xml:space="preserve">the earlier self-selection literature investigating BE effects on a whole host of travel-related decisions, including walking. </w:t>
      </w:r>
      <w:r w:rsidR="004B3930" w:rsidRPr="00340ECC">
        <w:rPr>
          <w:rFonts w:cs="Times New Roman"/>
          <w:color w:val="000000" w:themeColor="text1"/>
          <w:szCs w:val="24"/>
        </w:rPr>
        <w:t xml:space="preserve">While the fraction of the contribution due to associative and “true casual” </w:t>
      </w:r>
      <w:r w:rsidR="001832A8" w:rsidRPr="00340ECC">
        <w:rPr>
          <w:rFonts w:cs="Times New Roman"/>
          <w:color w:val="000000" w:themeColor="text1"/>
          <w:szCs w:val="24"/>
        </w:rPr>
        <w:t xml:space="preserve">residential BE </w:t>
      </w:r>
      <w:r w:rsidR="004B3930" w:rsidRPr="00340ECC">
        <w:rPr>
          <w:rFonts w:cs="Times New Roman"/>
          <w:color w:val="000000" w:themeColor="text1"/>
          <w:szCs w:val="24"/>
        </w:rPr>
        <w:t xml:space="preserve">effects has varied across studies based on the geographic, cultural, </w:t>
      </w:r>
      <w:r w:rsidR="001832A8" w:rsidRPr="00340ECC">
        <w:rPr>
          <w:rFonts w:cs="Times New Roman"/>
          <w:color w:val="000000" w:themeColor="text1"/>
          <w:szCs w:val="24"/>
        </w:rPr>
        <w:t xml:space="preserve">data type, </w:t>
      </w:r>
      <w:r w:rsidR="004B3930" w:rsidRPr="00340ECC">
        <w:rPr>
          <w:rFonts w:cs="Times New Roman"/>
          <w:color w:val="000000" w:themeColor="text1"/>
          <w:szCs w:val="24"/>
        </w:rPr>
        <w:t xml:space="preserve">analytic </w:t>
      </w:r>
      <w:r w:rsidR="001832A8" w:rsidRPr="00340ECC">
        <w:rPr>
          <w:rFonts w:cs="Times New Roman"/>
          <w:color w:val="000000" w:themeColor="text1"/>
          <w:szCs w:val="24"/>
        </w:rPr>
        <w:t xml:space="preserve">methodology, time-period, and travel outcome of interest, the importance of considering self-selection effects in assessing BE effects has not ever been in question. This underscores the importance of </w:t>
      </w:r>
      <w:r w:rsidR="00280800" w:rsidRPr="00340ECC">
        <w:rPr>
          <w:rFonts w:cs="Times New Roman"/>
          <w:color w:val="000000" w:themeColor="text1"/>
          <w:szCs w:val="24"/>
        </w:rPr>
        <w:t>explicitly model</w:t>
      </w:r>
      <w:r w:rsidR="001832A8" w:rsidRPr="00340ECC">
        <w:rPr>
          <w:rFonts w:cs="Times New Roman"/>
          <w:color w:val="000000" w:themeColor="text1"/>
          <w:szCs w:val="24"/>
        </w:rPr>
        <w:t>ing</w:t>
      </w:r>
      <w:r w:rsidR="00280800" w:rsidRPr="00340ECC">
        <w:rPr>
          <w:rFonts w:cs="Times New Roman"/>
          <w:color w:val="000000" w:themeColor="text1"/>
          <w:szCs w:val="24"/>
        </w:rPr>
        <w:t xml:space="preserve"> the jointness in (that is, correlation in unobserved factors impacting) residential living choice and </w:t>
      </w:r>
      <w:r w:rsidR="001832A8" w:rsidRPr="00340ECC">
        <w:rPr>
          <w:rFonts w:cs="Times New Roman"/>
          <w:color w:val="000000" w:themeColor="text1"/>
          <w:szCs w:val="24"/>
        </w:rPr>
        <w:t xml:space="preserve">walking behavior. </w:t>
      </w:r>
    </w:p>
    <w:p w14:paraId="5F0240BE" w14:textId="1E7357AD" w:rsidR="00280800" w:rsidRPr="002374EF" w:rsidRDefault="00442728" w:rsidP="00B4106B">
      <w:pPr>
        <w:spacing w:line="276" w:lineRule="auto"/>
        <w:ind w:firstLine="720"/>
        <w:jc w:val="both"/>
        <w:rPr>
          <w:rFonts w:cs="Times New Roman"/>
          <w:szCs w:val="24"/>
        </w:rPr>
      </w:pPr>
      <w:r>
        <w:rPr>
          <w:rFonts w:cs="Times New Roman"/>
          <w:color w:val="000000" w:themeColor="text1"/>
          <w:szCs w:val="24"/>
        </w:rPr>
        <w:t xml:space="preserve">The importance of considering self-selection effects when examining residential BE effects on walking intensity </w:t>
      </w:r>
      <w:r w:rsidR="00BD133D">
        <w:rPr>
          <w:rFonts w:cs="Times New Roman"/>
          <w:color w:val="000000" w:themeColor="text1"/>
          <w:szCs w:val="24"/>
        </w:rPr>
        <w:t>takes on particular significance in a COVID-changed landscape, where the residential choice process of individuals has seen substantial upheaval. In particular, evidence indicates a substantial move of residences away from urban areas during the pandemic as individuals attempted to avoid contact with others (</w:t>
      </w:r>
      <w:r w:rsidR="000F446E">
        <w:rPr>
          <w:rFonts w:cs="Times New Roman"/>
          <w:color w:val="000000" w:themeColor="text1"/>
          <w:szCs w:val="24"/>
        </w:rPr>
        <w:t xml:space="preserve">after all, about 90% of COVID infections worldwide were associated with urban highly walkable areas; see Lima et al., 2021 and </w:t>
      </w:r>
      <w:bookmarkStart w:id="10" w:name="_Hlk155432788"/>
      <w:r w:rsidR="000F446E">
        <w:rPr>
          <w:rFonts w:cs="Times New Roman"/>
          <w:color w:val="000000" w:themeColor="text1"/>
          <w:szCs w:val="24"/>
        </w:rPr>
        <w:t>Choi and Denice, 2022</w:t>
      </w:r>
      <w:r w:rsidR="00BD133D">
        <w:rPr>
          <w:rFonts w:cs="Times New Roman"/>
          <w:color w:val="000000" w:themeColor="text1"/>
          <w:szCs w:val="24"/>
        </w:rPr>
        <w:t>). Besides, with hybrid work locations (working from the office a few days and working remotely on other days) becoming a more accepted practice relative to pre-COVID times (see Asmussen et al., 202</w:t>
      </w:r>
      <w:r w:rsidR="00222560">
        <w:rPr>
          <w:rFonts w:cs="Times New Roman"/>
          <w:color w:val="000000" w:themeColor="text1"/>
          <w:szCs w:val="24"/>
        </w:rPr>
        <w:t>4</w:t>
      </w:r>
      <w:r w:rsidR="00BD133D">
        <w:rPr>
          <w:rFonts w:cs="Times New Roman"/>
          <w:color w:val="000000" w:themeColor="text1"/>
          <w:szCs w:val="24"/>
        </w:rPr>
        <w:t>), other residential factors (such as a desire for more space within homes, better school quality, and lower reported crime neighborhoods) have altered the trade-offs among attributes in residential decisions</w:t>
      </w:r>
      <w:r w:rsidR="00982FF0">
        <w:rPr>
          <w:rFonts w:cs="Times New Roman"/>
          <w:color w:val="000000" w:themeColor="text1"/>
          <w:szCs w:val="24"/>
        </w:rPr>
        <w:t>, contributing further to an exodus from urban to suburban/rural areas</w:t>
      </w:r>
      <w:r w:rsidR="000F446E">
        <w:rPr>
          <w:rFonts w:cs="Times New Roman"/>
          <w:color w:val="000000" w:themeColor="text1"/>
          <w:szCs w:val="24"/>
        </w:rPr>
        <w:t xml:space="preserve"> (Robb</w:t>
      </w:r>
      <w:r w:rsidR="00722A92">
        <w:rPr>
          <w:rFonts w:cs="Times New Roman"/>
          <w:color w:val="000000" w:themeColor="text1"/>
          <w:szCs w:val="24"/>
        </w:rPr>
        <w:t>ennolt</w:t>
      </w:r>
      <w:r w:rsidR="000F446E">
        <w:rPr>
          <w:rFonts w:cs="Times New Roman"/>
          <w:color w:val="000000" w:themeColor="text1"/>
          <w:szCs w:val="24"/>
        </w:rPr>
        <w:t xml:space="preserve"> et al., 2023)</w:t>
      </w:r>
      <w:r w:rsidR="00BD133D">
        <w:rPr>
          <w:rFonts w:cs="Times New Roman"/>
          <w:color w:val="000000" w:themeColor="text1"/>
          <w:szCs w:val="24"/>
        </w:rPr>
        <w:t xml:space="preserve">. In this </w:t>
      </w:r>
      <w:r w:rsidR="00982FF0">
        <w:rPr>
          <w:rFonts w:cs="Times New Roman"/>
          <w:color w:val="000000" w:themeColor="text1"/>
          <w:szCs w:val="24"/>
        </w:rPr>
        <w:t xml:space="preserve">regard, there is a distinct possibility that those who relocated to the suburbs post the onset of the pandemic </w:t>
      </w:r>
      <w:r w:rsidR="002E43DD">
        <w:rPr>
          <w:rFonts w:cs="Times New Roman"/>
          <w:color w:val="000000" w:themeColor="text1"/>
          <w:szCs w:val="24"/>
        </w:rPr>
        <w:t xml:space="preserve">may have, </w:t>
      </w:r>
      <w:r w:rsidR="00C50E1E">
        <w:rPr>
          <w:rFonts w:cs="Times New Roman"/>
          <w:color w:val="000000" w:themeColor="text1"/>
          <w:szCs w:val="24"/>
        </w:rPr>
        <w:t xml:space="preserve">at least </w:t>
      </w:r>
      <w:r w:rsidR="002E43DD">
        <w:rPr>
          <w:rFonts w:cs="Times New Roman"/>
          <w:color w:val="000000" w:themeColor="text1"/>
          <w:szCs w:val="24"/>
        </w:rPr>
        <w:t xml:space="preserve">in part, done so specifically to have more of a sense of </w:t>
      </w:r>
      <w:r w:rsidR="00C50E1E">
        <w:rPr>
          <w:rFonts w:cs="Times New Roman"/>
          <w:color w:val="000000" w:themeColor="text1"/>
          <w:szCs w:val="24"/>
        </w:rPr>
        <w:t xml:space="preserve">mental </w:t>
      </w:r>
      <w:r w:rsidR="002E43DD">
        <w:rPr>
          <w:rFonts w:cs="Times New Roman"/>
          <w:color w:val="000000" w:themeColor="text1"/>
          <w:szCs w:val="24"/>
        </w:rPr>
        <w:t>comfort and personal safety to walk, away from the hustle-bustle of crowded urban areas that heighten the threat of contracting COVID (and other similar viruses in the future) and the general stress of walking in crowded locales</w:t>
      </w:r>
      <w:r w:rsidR="00486636">
        <w:rPr>
          <w:rFonts w:cs="Times New Roman"/>
          <w:color w:val="000000" w:themeColor="text1"/>
          <w:szCs w:val="24"/>
        </w:rPr>
        <w:t xml:space="preserve">. Indeed, Paydar and Fard (2021) allude to </w:t>
      </w:r>
      <w:r w:rsidR="00C50E1E">
        <w:rPr>
          <w:rFonts w:cs="Times New Roman"/>
          <w:color w:val="000000" w:themeColor="text1"/>
          <w:szCs w:val="24"/>
        </w:rPr>
        <w:t>Alfonso (2005)’s</w:t>
      </w:r>
      <w:bookmarkEnd w:id="10"/>
      <w:r w:rsidR="00C50E1E">
        <w:rPr>
          <w:rFonts w:cs="Times New Roman"/>
          <w:color w:val="000000" w:themeColor="text1"/>
          <w:szCs w:val="24"/>
        </w:rPr>
        <w:t xml:space="preserve"> </w:t>
      </w:r>
      <w:r w:rsidR="00486636">
        <w:rPr>
          <w:rFonts w:cs="Times New Roman"/>
          <w:color w:val="000000" w:themeColor="text1"/>
          <w:szCs w:val="24"/>
        </w:rPr>
        <w:t xml:space="preserve">five levels of needs that influence walking decisions, and discuss how the pandemic has altered these five levels, especially </w:t>
      </w:r>
      <w:r w:rsidR="00C50E1E">
        <w:rPr>
          <w:rFonts w:cs="Times New Roman"/>
          <w:color w:val="000000" w:themeColor="text1"/>
          <w:szCs w:val="24"/>
        </w:rPr>
        <w:t xml:space="preserve">by way of elevating the importance of </w:t>
      </w:r>
      <w:r w:rsidR="00486636">
        <w:rPr>
          <w:rFonts w:cs="Times New Roman"/>
          <w:color w:val="000000" w:themeColor="text1"/>
          <w:szCs w:val="24"/>
        </w:rPr>
        <w:t xml:space="preserve">the basic </w:t>
      </w:r>
      <w:r w:rsidR="00C50E1E">
        <w:rPr>
          <w:rFonts w:cs="Times New Roman"/>
          <w:color w:val="000000" w:themeColor="text1"/>
          <w:szCs w:val="24"/>
        </w:rPr>
        <w:t xml:space="preserve">lower-level </w:t>
      </w:r>
      <w:r w:rsidR="00486636">
        <w:rPr>
          <w:rFonts w:cs="Times New Roman"/>
          <w:color w:val="000000" w:themeColor="text1"/>
          <w:szCs w:val="24"/>
        </w:rPr>
        <w:t xml:space="preserve">needs of feasibility (related to personal limitations such as health conditions) </w:t>
      </w:r>
      <w:r w:rsidR="00C50E1E">
        <w:rPr>
          <w:rFonts w:cs="Times New Roman"/>
          <w:color w:val="000000" w:themeColor="text1"/>
          <w:szCs w:val="24"/>
        </w:rPr>
        <w:t xml:space="preserve">and safety (considerations related to virus spread) when making </w:t>
      </w:r>
      <w:r w:rsidR="00486636">
        <w:rPr>
          <w:rFonts w:cs="Times New Roman"/>
          <w:color w:val="000000" w:themeColor="text1"/>
          <w:szCs w:val="24"/>
        </w:rPr>
        <w:t>walking</w:t>
      </w:r>
      <w:r w:rsidR="00C50E1E">
        <w:rPr>
          <w:rFonts w:cs="Times New Roman"/>
          <w:color w:val="000000" w:themeColor="text1"/>
          <w:szCs w:val="24"/>
        </w:rPr>
        <w:t xml:space="preserve"> decisions. </w:t>
      </w:r>
      <w:r>
        <w:rPr>
          <w:rFonts w:cs="Times New Roman"/>
          <w:color w:val="000000" w:themeColor="text1"/>
          <w:szCs w:val="24"/>
        </w:rPr>
        <w:t xml:space="preserve">Given that many datasets that capture walking behavior do not collect information on such basic lower-level walking needs, such considerations then can lead to a correlation in unobserved factors between residential choice and walking intensity. In fact, this correlation can be in ways that are even different from a pre-pandemic world. Unlike the usual </w:t>
      </w:r>
      <w:r w:rsidR="00BD7E22">
        <w:rPr>
          <w:rFonts w:cs="Times New Roman"/>
          <w:color w:val="000000" w:themeColor="text1"/>
          <w:szCs w:val="24"/>
        </w:rPr>
        <w:t>finding</w:t>
      </w:r>
      <w:r>
        <w:rPr>
          <w:rFonts w:cs="Times New Roman"/>
          <w:color w:val="000000" w:themeColor="text1"/>
          <w:szCs w:val="24"/>
        </w:rPr>
        <w:t xml:space="preserve"> in the pre-pandemic scientific literature that </w:t>
      </w:r>
      <w:r w:rsidR="0020570E">
        <w:rPr>
          <w:rFonts w:cs="Times New Roman"/>
          <w:color w:val="000000" w:themeColor="text1"/>
          <w:szCs w:val="24"/>
        </w:rPr>
        <w:t xml:space="preserve">unobserved attitude/lifestyle factors (such as green consciousness) </w:t>
      </w:r>
      <w:r w:rsidR="00BD7E22">
        <w:rPr>
          <w:rFonts w:cs="Times New Roman"/>
          <w:color w:val="000000" w:themeColor="text1"/>
          <w:szCs w:val="24"/>
        </w:rPr>
        <w:t>appear to</w:t>
      </w:r>
      <w:r w:rsidR="0020570E">
        <w:rPr>
          <w:rFonts w:cs="Times New Roman"/>
          <w:color w:val="000000" w:themeColor="text1"/>
          <w:szCs w:val="24"/>
        </w:rPr>
        <w:t xml:space="preserve"> lead to a positive correlation in the error terms of urban living and walking intensity (thus, overestimating the positive effect of the urban built environment</w:t>
      </w:r>
      <w:r w:rsidR="00BD7E22">
        <w:rPr>
          <w:rFonts w:cs="Times New Roman"/>
          <w:color w:val="000000" w:themeColor="text1"/>
          <w:szCs w:val="24"/>
        </w:rPr>
        <w:t xml:space="preserve"> if such correlation is ignored</w:t>
      </w:r>
      <w:r w:rsidR="0020570E">
        <w:rPr>
          <w:rFonts w:cs="Times New Roman"/>
          <w:color w:val="000000" w:themeColor="text1"/>
          <w:szCs w:val="24"/>
        </w:rPr>
        <w:t xml:space="preserve">), </w:t>
      </w:r>
      <w:r>
        <w:rPr>
          <w:rFonts w:cs="Times New Roman"/>
          <w:color w:val="000000" w:themeColor="text1"/>
          <w:szCs w:val="24"/>
        </w:rPr>
        <w:t xml:space="preserve">the self-sorting into residential neighborhoods </w:t>
      </w:r>
      <w:r w:rsidR="00BD7E22">
        <w:rPr>
          <w:rFonts w:cs="Times New Roman"/>
          <w:color w:val="000000" w:themeColor="text1"/>
          <w:szCs w:val="24"/>
        </w:rPr>
        <w:t xml:space="preserve">in a post-pandemic world </w:t>
      </w:r>
      <w:r>
        <w:rPr>
          <w:rFonts w:cs="Times New Roman"/>
          <w:color w:val="000000" w:themeColor="text1"/>
          <w:szCs w:val="24"/>
        </w:rPr>
        <w:t xml:space="preserve">may be such that those with a higher propensity to walk, due to unobserved basic-level </w:t>
      </w:r>
      <w:r w:rsidR="0020570E">
        <w:rPr>
          <w:rFonts w:cs="Times New Roman"/>
          <w:color w:val="000000" w:themeColor="text1"/>
          <w:szCs w:val="24"/>
        </w:rPr>
        <w:t>walking needs of safety/comfort</w:t>
      </w:r>
      <w:r>
        <w:rPr>
          <w:rFonts w:cs="Times New Roman"/>
          <w:color w:val="000000" w:themeColor="text1"/>
          <w:szCs w:val="24"/>
        </w:rPr>
        <w:t xml:space="preserve">, may be more </w:t>
      </w:r>
      <w:r>
        <w:rPr>
          <w:rFonts w:cs="Times New Roman"/>
          <w:color w:val="000000" w:themeColor="text1"/>
          <w:szCs w:val="24"/>
        </w:rPr>
        <w:lastRenderedPageBreak/>
        <w:t>resident in non-dense neighborhoods</w:t>
      </w:r>
      <w:r w:rsidR="0020570E">
        <w:rPr>
          <w:rFonts w:cs="Times New Roman"/>
          <w:color w:val="000000" w:themeColor="text1"/>
          <w:szCs w:val="24"/>
        </w:rPr>
        <w:t xml:space="preserve">, possibly leading to a negative correlation in the error terms of urban living and walking intensity (thus, underestimating the “true” positive effect of the urban built environment itself). If this latter situation were the case, this would suggest that investing in urban-like walking infrastructure facilities, while being conscious of accommodating basic-level walking needs, would be a good policy instrument to promote walking across the board of residential neighborhoods. </w:t>
      </w:r>
      <w:r w:rsidR="00ED2E07">
        <w:rPr>
          <w:rFonts w:cs="Times New Roman"/>
          <w:color w:val="000000" w:themeColor="text1"/>
          <w:szCs w:val="24"/>
        </w:rPr>
        <w:t xml:space="preserve">Of course, considerations of safety/comfort associated with COVID concerns are also likely to recede with time, and thus it is imperative anyway to account for any transient associative (i.e., correlation) effects when evaluating what are likely to be the “true” residential BE effects in a COVID-disrupted transportation and walking </w:t>
      </w:r>
      <w:r w:rsidR="00F83533">
        <w:rPr>
          <w:rFonts w:cs="Times New Roman"/>
          <w:color w:val="000000" w:themeColor="text1"/>
          <w:szCs w:val="24"/>
        </w:rPr>
        <w:t>environment</w:t>
      </w:r>
      <w:r w:rsidR="00ED2E07">
        <w:rPr>
          <w:rFonts w:cs="Times New Roman"/>
          <w:color w:val="000000" w:themeColor="text1"/>
          <w:szCs w:val="24"/>
        </w:rPr>
        <w:t xml:space="preserve">. </w:t>
      </w:r>
    </w:p>
    <w:p w14:paraId="1F422C38" w14:textId="1031993A" w:rsidR="007B3018" w:rsidRDefault="00280800" w:rsidP="00B4106B">
      <w:pPr>
        <w:spacing w:line="276" w:lineRule="auto"/>
        <w:ind w:firstLine="720"/>
        <w:jc w:val="both"/>
        <w:rPr>
          <w:rFonts w:cs="Times New Roman"/>
          <w:color w:val="000000" w:themeColor="text1"/>
          <w:szCs w:val="24"/>
        </w:rPr>
      </w:pPr>
      <w:r w:rsidRPr="00340ECC">
        <w:rPr>
          <w:rFonts w:cs="Times New Roman"/>
          <w:color w:val="000000" w:themeColor="text1"/>
          <w:szCs w:val="24"/>
        </w:rPr>
        <w:t xml:space="preserve">In </w:t>
      </w:r>
      <w:r w:rsidR="001832A8" w:rsidRPr="00340ECC">
        <w:rPr>
          <w:rFonts w:cs="Times New Roman"/>
          <w:color w:val="000000" w:themeColor="text1"/>
          <w:szCs w:val="24"/>
        </w:rPr>
        <w:t>the</w:t>
      </w:r>
      <w:r w:rsidRPr="00340ECC">
        <w:rPr>
          <w:rFonts w:cs="Times New Roman"/>
          <w:color w:val="000000" w:themeColor="text1"/>
          <w:szCs w:val="24"/>
        </w:rPr>
        <w:t xml:space="preserve"> current </w:t>
      </w:r>
      <w:r w:rsidR="001832A8" w:rsidRPr="00340ECC">
        <w:rPr>
          <w:rFonts w:cs="Times New Roman"/>
          <w:color w:val="000000" w:themeColor="text1"/>
          <w:szCs w:val="24"/>
        </w:rPr>
        <w:t>paper</w:t>
      </w:r>
      <w:r w:rsidRPr="00340ECC">
        <w:rPr>
          <w:rFonts w:cs="Times New Roman"/>
          <w:color w:val="000000" w:themeColor="text1"/>
          <w:szCs w:val="24"/>
        </w:rPr>
        <w:t>, we contribute to th</w:t>
      </w:r>
      <w:r w:rsidR="001832A8" w:rsidRPr="00340ECC">
        <w:rPr>
          <w:rFonts w:cs="Times New Roman"/>
          <w:color w:val="000000" w:themeColor="text1"/>
          <w:szCs w:val="24"/>
        </w:rPr>
        <w:t xml:space="preserve">e </w:t>
      </w:r>
      <w:r w:rsidR="00BD7E22">
        <w:rPr>
          <w:rFonts w:cs="Times New Roman"/>
          <w:color w:val="000000" w:themeColor="text1"/>
          <w:szCs w:val="24"/>
        </w:rPr>
        <w:t xml:space="preserve">extant </w:t>
      </w:r>
      <w:r w:rsidRPr="00340ECC">
        <w:rPr>
          <w:rFonts w:cs="Times New Roman"/>
          <w:color w:val="000000" w:themeColor="text1"/>
          <w:szCs w:val="24"/>
        </w:rPr>
        <w:t xml:space="preserve">land use-transportation relationship by </w:t>
      </w:r>
      <w:r w:rsidR="001832A8" w:rsidRPr="00340ECC">
        <w:rPr>
          <w:rFonts w:cs="Times New Roman"/>
          <w:color w:val="000000" w:themeColor="text1"/>
          <w:szCs w:val="24"/>
        </w:rPr>
        <w:t xml:space="preserve">examining </w:t>
      </w:r>
      <w:r w:rsidRPr="00340ECC">
        <w:rPr>
          <w:rFonts w:cs="Times New Roman"/>
          <w:color w:val="000000" w:themeColor="text1"/>
          <w:szCs w:val="24"/>
        </w:rPr>
        <w:t xml:space="preserve">residential </w:t>
      </w:r>
      <w:r w:rsidR="000F446E">
        <w:rPr>
          <w:rFonts w:cs="Times New Roman"/>
          <w:color w:val="000000" w:themeColor="text1"/>
          <w:szCs w:val="24"/>
        </w:rPr>
        <w:t xml:space="preserve">BE </w:t>
      </w:r>
      <w:r w:rsidRPr="00340ECC">
        <w:rPr>
          <w:rFonts w:cs="Times New Roman"/>
          <w:color w:val="000000" w:themeColor="text1"/>
          <w:szCs w:val="24"/>
        </w:rPr>
        <w:t xml:space="preserve">effects on </w:t>
      </w:r>
      <w:r w:rsidR="001832A8" w:rsidRPr="00340ECC">
        <w:rPr>
          <w:rFonts w:cs="Times New Roman"/>
          <w:color w:val="000000" w:themeColor="text1"/>
          <w:szCs w:val="24"/>
        </w:rPr>
        <w:t xml:space="preserve">walking </w:t>
      </w:r>
      <w:r w:rsidR="00AC0755" w:rsidRPr="00340ECC">
        <w:rPr>
          <w:rFonts w:cs="Times New Roman"/>
          <w:color w:val="000000" w:themeColor="text1"/>
          <w:szCs w:val="24"/>
        </w:rPr>
        <w:t xml:space="preserve">intensity in a </w:t>
      </w:r>
      <w:r w:rsidR="00F83533">
        <w:rPr>
          <w:rFonts w:cs="Times New Roman"/>
          <w:color w:val="000000" w:themeColor="text1"/>
          <w:szCs w:val="24"/>
        </w:rPr>
        <w:t>post-</w:t>
      </w:r>
      <w:r w:rsidR="00AC0755" w:rsidRPr="00340ECC">
        <w:rPr>
          <w:rFonts w:cs="Times New Roman"/>
          <w:color w:val="000000" w:themeColor="text1"/>
          <w:szCs w:val="24"/>
        </w:rPr>
        <w:t>COVID</w:t>
      </w:r>
      <w:r w:rsidR="00F83533">
        <w:rPr>
          <w:rFonts w:cs="Times New Roman"/>
          <w:color w:val="000000" w:themeColor="text1"/>
          <w:szCs w:val="24"/>
        </w:rPr>
        <w:t xml:space="preserve"> world. Further, we focus on </w:t>
      </w:r>
      <w:r w:rsidR="00E052CD">
        <w:rPr>
          <w:rFonts w:cs="Times New Roman"/>
          <w:color w:val="000000" w:themeColor="text1"/>
          <w:szCs w:val="24"/>
        </w:rPr>
        <w:t>not-so-young</w:t>
      </w:r>
      <w:r w:rsidR="00F83533">
        <w:rPr>
          <w:rFonts w:cs="Times New Roman"/>
          <w:color w:val="000000" w:themeColor="text1"/>
          <w:szCs w:val="24"/>
        </w:rPr>
        <w:t xml:space="preserve"> adults (50+ age group) in our analysis, given that some earlier </w:t>
      </w:r>
      <w:r w:rsidR="00A438EB">
        <w:rPr>
          <w:rFonts w:cs="Times New Roman"/>
          <w:color w:val="000000" w:themeColor="text1"/>
          <w:szCs w:val="24"/>
        </w:rPr>
        <w:t xml:space="preserve">descriptive </w:t>
      </w:r>
      <w:r w:rsidR="00F83533">
        <w:rPr>
          <w:rFonts w:cs="Times New Roman"/>
          <w:color w:val="000000" w:themeColor="text1"/>
          <w:szCs w:val="24"/>
        </w:rPr>
        <w:t xml:space="preserve">research </w:t>
      </w:r>
      <w:bookmarkStart w:id="11" w:name="_Hlk155432879"/>
      <w:r w:rsidR="00F83533">
        <w:rPr>
          <w:rFonts w:cs="Times New Roman"/>
          <w:color w:val="000000" w:themeColor="text1"/>
          <w:szCs w:val="24"/>
        </w:rPr>
        <w:t xml:space="preserve">(see, for example, Rantanen et al., 2021 in </w:t>
      </w:r>
      <w:r w:rsidR="00A438EB">
        <w:rPr>
          <w:rFonts w:cs="Times New Roman"/>
          <w:color w:val="000000" w:themeColor="text1"/>
          <w:szCs w:val="24"/>
        </w:rPr>
        <w:t>Finland</w:t>
      </w:r>
      <w:r w:rsidR="00F83533">
        <w:rPr>
          <w:rFonts w:cs="Times New Roman"/>
          <w:color w:val="000000" w:themeColor="text1"/>
          <w:szCs w:val="24"/>
        </w:rPr>
        <w:t>, Shaer and Hagshenas</w:t>
      </w:r>
      <w:r w:rsidR="00A438EB">
        <w:rPr>
          <w:rFonts w:cs="Times New Roman"/>
          <w:color w:val="000000" w:themeColor="text1"/>
          <w:szCs w:val="24"/>
        </w:rPr>
        <w:t xml:space="preserve">, </w:t>
      </w:r>
      <w:r w:rsidR="00F83533">
        <w:rPr>
          <w:rFonts w:cs="Times New Roman"/>
          <w:color w:val="000000" w:themeColor="text1"/>
          <w:szCs w:val="24"/>
        </w:rPr>
        <w:t>2021</w:t>
      </w:r>
      <w:r w:rsidR="00A438EB">
        <w:rPr>
          <w:rFonts w:cs="Times New Roman"/>
          <w:color w:val="000000" w:themeColor="text1"/>
          <w:szCs w:val="24"/>
        </w:rPr>
        <w:t xml:space="preserve"> in Iran</w:t>
      </w:r>
      <w:r w:rsidR="00F83533">
        <w:rPr>
          <w:rFonts w:cs="Times New Roman"/>
          <w:color w:val="000000" w:themeColor="text1"/>
          <w:szCs w:val="24"/>
        </w:rPr>
        <w:t xml:space="preserve">, </w:t>
      </w:r>
      <w:r w:rsidR="007312E1">
        <w:rPr>
          <w:rFonts w:cs="Times New Roman"/>
          <w:color w:val="000000" w:themeColor="text1"/>
          <w:szCs w:val="24"/>
        </w:rPr>
        <w:t>Yamada</w:t>
      </w:r>
      <w:r w:rsidR="00F83533">
        <w:rPr>
          <w:rFonts w:cs="Times New Roman"/>
          <w:color w:val="000000" w:themeColor="text1"/>
          <w:szCs w:val="24"/>
        </w:rPr>
        <w:t xml:space="preserve"> et al. 2020</w:t>
      </w:r>
      <w:r w:rsidR="00A438EB">
        <w:rPr>
          <w:rFonts w:cs="Times New Roman"/>
          <w:color w:val="000000" w:themeColor="text1"/>
          <w:szCs w:val="24"/>
        </w:rPr>
        <w:t xml:space="preserve"> in Japan, and Choe et al. in 2022</w:t>
      </w:r>
      <w:r w:rsidR="004740DF">
        <w:rPr>
          <w:rFonts w:cs="Times New Roman"/>
          <w:color w:val="000000" w:themeColor="text1"/>
          <w:szCs w:val="24"/>
        </w:rPr>
        <w:t xml:space="preserve"> in Hong Kong</w:t>
      </w:r>
      <w:r w:rsidR="00F83533">
        <w:rPr>
          <w:rFonts w:cs="Times New Roman"/>
          <w:color w:val="000000" w:themeColor="text1"/>
          <w:szCs w:val="24"/>
        </w:rPr>
        <w:t>) has indicated the particularly large impact of COVID-19 on</w:t>
      </w:r>
      <w:r w:rsidR="002B57CC">
        <w:rPr>
          <w:rFonts w:cs="Times New Roman"/>
          <w:color w:val="000000" w:themeColor="text1"/>
          <w:szCs w:val="24"/>
        </w:rPr>
        <w:t xml:space="preserve"> the</w:t>
      </w:r>
      <w:r w:rsidR="00F83533">
        <w:rPr>
          <w:rFonts w:cs="Times New Roman"/>
          <w:color w:val="000000" w:themeColor="text1"/>
          <w:szCs w:val="24"/>
        </w:rPr>
        <w:t xml:space="preserve"> active-travel (including walking) </w:t>
      </w:r>
      <w:r w:rsidR="002B57CC">
        <w:rPr>
          <w:rFonts w:cs="Times New Roman"/>
          <w:color w:val="000000" w:themeColor="text1"/>
          <w:szCs w:val="24"/>
        </w:rPr>
        <w:t xml:space="preserve">patterns of </w:t>
      </w:r>
      <w:r w:rsidR="00F83533">
        <w:rPr>
          <w:rFonts w:cs="Times New Roman"/>
          <w:color w:val="000000" w:themeColor="text1"/>
          <w:szCs w:val="24"/>
        </w:rPr>
        <w:t>the older adults</w:t>
      </w:r>
      <w:r w:rsidR="00A438EB">
        <w:rPr>
          <w:rFonts w:cs="Times New Roman"/>
          <w:color w:val="000000" w:themeColor="text1"/>
          <w:szCs w:val="24"/>
        </w:rPr>
        <w:t>. However, unlike these earlier descriptive before-after COVID studies undertaken during the height of the pandemic or just after</w:t>
      </w:r>
      <w:r w:rsidR="002B57CC">
        <w:rPr>
          <w:rFonts w:cs="Times New Roman"/>
          <w:color w:val="000000" w:themeColor="text1"/>
          <w:szCs w:val="24"/>
        </w:rPr>
        <w:t>,</w:t>
      </w:r>
      <w:r w:rsidR="00A438EB">
        <w:rPr>
          <w:rFonts w:cs="Times New Roman"/>
          <w:color w:val="000000" w:themeColor="text1"/>
          <w:szCs w:val="24"/>
        </w:rPr>
        <w:t xml:space="preserve"> </w:t>
      </w:r>
      <w:r w:rsidR="002B57CC">
        <w:rPr>
          <w:rFonts w:cs="Times New Roman"/>
          <w:color w:val="000000" w:themeColor="text1"/>
          <w:szCs w:val="24"/>
        </w:rPr>
        <w:t>and in non-US contexts</w:t>
      </w:r>
      <w:r w:rsidR="00A438EB">
        <w:rPr>
          <w:rFonts w:cs="Times New Roman"/>
          <w:color w:val="000000" w:themeColor="text1"/>
          <w:szCs w:val="24"/>
        </w:rPr>
        <w:t xml:space="preserve">, we examine </w:t>
      </w:r>
      <w:r w:rsidR="002B57CC">
        <w:rPr>
          <w:rFonts w:cs="Times New Roman"/>
          <w:color w:val="000000" w:themeColor="text1"/>
          <w:szCs w:val="24"/>
        </w:rPr>
        <w:t xml:space="preserve">the </w:t>
      </w:r>
      <w:r w:rsidR="00A438EB">
        <w:rPr>
          <w:rFonts w:cs="Times New Roman"/>
          <w:color w:val="000000" w:themeColor="text1"/>
          <w:szCs w:val="24"/>
        </w:rPr>
        <w:t xml:space="preserve">walking behavior </w:t>
      </w:r>
      <w:r w:rsidR="002B57CC">
        <w:rPr>
          <w:rFonts w:cs="Times New Roman"/>
          <w:color w:val="000000" w:themeColor="text1"/>
          <w:szCs w:val="24"/>
        </w:rPr>
        <w:t xml:space="preserve">of older US adults </w:t>
      </w:r>
      <w:r w:rsidR="00A438EB">
        <w:rPr>
          <w:rFonts w:cs="Times New Roman"/>
          <w:color w:val="000000" w:themeColor="text1"/>
          <w:szCs w:val="24"/>
        </w:rPr>
        <w:t xml:space="preserve">employing a </w:t>
      </w:r>
      <w:r w:rsidR="002B57CC">
        <w:rPr>
          <w:rFonts w:cs="Times New Roman"/>
          <w:color w:val="000000" w:themeColor="text1"/>
          <w:szCs w:val="24"/>
        </w:rPr>
        <w:t xml:space="preserve">survey collected in </w:t>
      </w:r>
      <w:r w:rsidR="00A438EB">
        <w:rPr>
          <w:rFonts w:cs="Times New Roman"/>
          <w:color w:val="000000" w:themeColor="text1"/>
          <w:szCs w:val="24"/>
        </w:rPr>
        <w:t xml:space="preserve">late </w:t>
      </w:r>
      <w:r w:rsidR="002B57CC">
        <w:rPr>
          <w:rFonts w:cs="Times New Roman"/>
          <w:color w:val="000000" w:themeColor="text1"/>
          <w:szCs w:val="24"/>
        </w:rPr>
        <w:t xml:space="preserve">(October-November) </w:t>
      </w:r>
      <w:r w:rsidR="00A438EB">
        <w:rPr>
          <w:rFonts w:cs="Times New Roman"/>
          <w:color w:val="000000" w:themeColor="text1"/>
          <w:szCs w:val="24"/>
        </w:rPr>
        <w:t>2022</w:t>
      </w:r>
      <w:r w:rsidR="002B57CC">
        <w:rPr>
          <w:rFonts w:cs="Times New Roman"/>
          <w:color w:val="000000" w:themeColor="text1"/>
          <w:szCs w:val="24"/>
        </w:rPr>
        <w:t xml:space="preserve"> (when </w:t>
      </w:r>
      <w:r w:rsidR="002B57CC" w:rsidRPr="00340ECC">
        <w:rPr>
          <w:rFonts w:cs="Times New Roman"/>
          <w:color w:val="000000" w:themeColor="text1"/>
          <w:szCs w:val="24"/>
        </w:rPr>
        <w:t xml:space="preserve">the </w:t>
      </w:r>
      <w:r w:rsidR="002B57CC">
        <w:rPr>
          <w:rFonts w:cs="Times New Roman"/>
          <w:color w:val="000000" w:themeColor="text1"/>
          <w:szCs w:val="24"/>
        </w:rPr>
        <w:t xml:space="preserve">peak of the </w:t>
      </w:r>
      <w:r w:rsidR="002B57CC" w:rsidRPr="00340ECC">
        <w:rPr>
          <w:rFonts w:cs="Times New Roman"/>
          <w:color w:val="000000" w:themeColor="text1"/>
          <w:szCs w:val="24"/>
        </w:rPr>
        <w:t xml:space="preserve">pandemic </w:t>
      </w:r>
      <w:r w:rsidR="002B57CC">
        <w:rPr>
          <w:rFonts w:cs="Times New Roman"/>
          <w:color w:val="000000" w:themeColor="text1"/>
          <w:szCs w:val="24"/>
        </w:rPr>
        <w:t xml:space="preserve">was </w:t>
      </w:r>
      <w:r w:rsidR="002B57CC" w:rsidRPr="00340ECC">
        <w:rPr>
          <w:rFonts w:cs="Times New Roman"/>
          <w:color w:val="000000" w:themeColor="text1"/>
          <w:szCs w:val="24"/>
        </w:rPr>
        <w:t>decidedly in the rear view mirror</w:t>
      </w:r>
      <w:r w:rsidR="002B57CC">
        <w:rPr>
          <w:rFonts w:cs="Times New Roman"/>
          <w:color w:val="000000" w:themeColor="text1"/>
          <w:szCs w:val="24"/>
        </w:rPr>
        <w:t xml:space="preserve">). The emphasis is on current walking behavior, and we </w:t>
      </w:r>
      <w:r w:rsidR="00A438EB">
        <w:rPr>
          <w:rFonts w:cs="Times New Roman"/>
          <w:color w:val="000000" w:themeColor="text1"/>
          <w:szCs w:val="24"/>
        </w:rPr>
        <w:t xml:space="preserve">explore </w:t>
      </w:r>
      <w:r w:rsidR="002B57CC">
        <w:rPr>
          <w:rFonts w:cs="Times New Roman"/>
          <w:color w:val="000000" w:themeColor="text1"/>
          <w:szCs w:val="24"/>
        </w:rPr>
        <w:t xml:space="preserve">the effects of </w:t>
      </w:r>
      <w:r w:rsidR="00A438EB">
        <w:rPr>
          <w:rFonts w:cs="Times New Roman"/>
          <w:color w:val="000000" w:themeColor="text1"/>
          <w:szCs w:val="24"/>
        </w:rPr>
        <w:t xml:space="preserve">sociodemographic </w:t>
      </w:r>
      <w:r w:rsidR="002B57CC">
        <w:rPr>
          <w:rFonts w:cs="Times New Roman"/>
          <w:color w:val="000000" w:themeColor="text1"/>
          <w:szCs w:val="24"/>
        </w:rPr>
        <w:t>variables</w:t>
      </w:r>
      <w:r w:rsidR="00FF063B">
        <w:rPr>
          <w:rFonts w:cs="Times New Roman"/>
          <w:color w:val="000000" w:themeColor="text1"/>
          <w:szCs w:val="24"/>
        </w:rPr>
        <w:t>,</w:t>
      </w:r>
      <w:r w:rsidR="002B57CC">
        <w:rPr>
          <w:rFonts w:cs="Times New Roman"/>
          <w:color w:val="000000" w:themeColor="text1"/>
          <w:szCs w:val="24"/>
        </w:rPr>
        <w:t xml:space="preserve"> as well as the endogenous effect of </w:t>
      </w:r>
      <w:r w:rsidR="00E66F0F">
        <w:rPr>
          <w:rFonts w:cs="Times New Roman"/>
          <w:color w:val="000000" w:themeColor="text1"/>
          <w:szCs w:val="24"/>
        </w:rPr>
        <w:t>residential BE infrastructure,</w:t>
      </w:r>
      <w:r w:rsidR="002B57CC">
        <w:rPr>
          <w:rFonts w:cs="Times New Roman"/>
          <w:color w:val="000000" w:themeColor="text1"/>
          <w:szCs w:val="24"/>
        </w:rPr>
        <w:t xml:space="preserve"> on </w:t>
      </w:r>
      <w:r w:rsidR="00E66F0F">
        <w:rPr>
          <w:rFonts w:cs="Times New Roman"/>
          <w:color w:val="000000" w:themeColor="text1"/>
          <w:szCs w:val="24"/>
        </w:rPr>
        <w:t xml:space="preserve">walking intensity. </w:t>
      </w:r>
      <w:r w:rsidR="00FF063B">
        <w:rPr>
          <w:rFonts w:cs="Times New Roman"/>
          <w:color w:val="000000" w:themeColor="text1"/>
          <w:szCs w:val="24"/>
        </w:rPr>
        <w:t>Such an analysis is of value not just for transportation and social reasons (including reducing loneliness</w:t>
      </w:r>
      <w:r w:rsidR="00E66F0F">
        <w:rPr>
          <w:rFonts w:cs="Times New Roman"/>
          <w:color w:val="000000" w:themeColor="text1"/>
          <w:szCs w:val="24"/>
        </w:rPr>
        <w:t>; see, for example, van de Berg et al., 2016</w:t>
      </w:r>
      <w:r w:rsidR="00FF063B">
        <w:rPr>
          <w:rFonts w:cs="Times New Roman"/>
          <w:color w:val="000000" w:themeColor="text1"/>
          <w:szCs w:val="24"/>
        </w:rPr>
        <w:t xml:space="preserve">), but also for health considerations. </w:t>
      </w:r>
      <w:r w:rsidR="00E66F0F">
        <w:rPr>
          <w:rFonts w:cs="Times New Roman"/>
          <w:color w:val="000000" w:themeColor="text1"/>
          <w:szCs w:val="24"/>
        </w:rPr>
        <w:t>In particular, w</w:t>
      </w:r>
      <w:r w:rsidR="00FF063B">
        <w:rPr>
          <w:rFonts w:cs="Times New Roman"/>
          <w:color w:val="000000" w:themeColor="text1"/>
          <w:szCs w:val="24"/>
        </w:rPr>
        <w:t xml:space="preserve">alking has been established to be particularly beneficial to older age adults in terms of reducing the risk of cardio-vascular disease, depression and dementia (Won et al., 2019, </w:t>
      </w:r>
      <w:r w:rsidR="00E66F0F">
        <w:rPr>
          <w:rFonts w:cs="Times New Roman"/>
          <w:color w:val="000000" w:themeColor="text1"/>
          <w:szCs w:val="24"/>
        </w:rPr>
        <w:t>Roe et al, 2020</w:t>
      </w:r>
      <w:r w:rsidR="007B3018">
        <w:rPr>
          <w:rFonts w:cs="Times New Roman"/>
          <w:color w:val="000000" w:themeColor="text1"/>
          <w:szCs w:val="24"/>
        </w:rPr>
        <w:t>, Paluch et al.,</w:t>
      </w:r>
      <w:r w:rsidR="00DD49CF">
        <w:rPr>
          <w:rFonts w:cs="Times New Roman"/>
          <w:color w:val="000000" w:themeColor="text1"/>
          <w:szCs w:val="24"/>
        </w:rPr>
        <w:t xml:space="preserve">2022, </w:t>
      </w:r>
      <w:r w:rsidR="007B3018">
        <w:rPr>
          <w:rFonts w:cs="Times New Roman"/>
          <w:color w:val="000000" w:themeColor="text1"/>
          <w:szCs w:val="24"/>
        </w:rPr>
        <w:t>2023</w:t>
      </w:r>
      <w:r w:rsidR="00E66F0F">
        <w:rPr>
          <w:rFonts w:cs="Times New Roman"/>
          <w:color w:val="000000" w:themeColor="text1"/>
          <w:szCs w:val="24"/>
        </w:rPr>
        <w:t xml:space="preserve">). </w:t>
      </w:r>
      <w:r w:rsidR="007B3018">
        <w:rPr>
          <w:rFonts w:cs="Times New Roman"/>
          <w:color w:val="000000" w:themeColor="text1"/>
          <w:szCs w:val="24"/>
        </w:rPr>
        <w:t xml:space="preserve">A recent study (Garcia et al., 2023) further indicates that even as low as 10 minutes per day of brisk walking activity prevents premature deaths and lowers the risk of heart disease, stroke, and cancer. </w:t>
      </w:r>
    </w:p>
    <w:bookmarkEnd w:id="11"/>
    <w:p w14:paraId="38D44028" w14:textId="77777777" w:rsidR="00C735DA" w:rsidRDefault="005E707A" w:rsidP="00C735DA">
      <w:pPr>
        <w:spacing w:line="276" w:lineRule="auto"/>
        <w:ind w:firstLine="720"/>
        <w:jc w:val="both"/>
        <w:rPr>
          <w:rFonts w:cs="Times New Roman"/>
          <w:color w:val="000000" w:themeColor="text1"/>
          <w:szCs w:val="24"/>
        </w:rPr>
      </w:pPr>
      <w:r w:rsidRPr="00340ECC">
        <w:rPr>
          <w:rFonts w:cs="Times New Roman"/>
          <w:color w:val="000000" w:themeColor="text1"/>
          <w:szCs w:val="24"/>
        </w:rPr>
        <w:t xml:space="preserve">The BE attributes of </w:t>
      </w:r>
      <w:r w:rsidRPr="00340ECC">
        <w:rPr>
          <w:rFonts w:cs="Times New Roman"/>
          <w:szCs w:val="24"/>
        </w:rPr>
        <w:t xml:space="preserve">the residential location of individuals </w:t>
      </w:r>
      <w:r w:rsidR="007B3018">
        <w:rPr>
          <w:rFonts w:cs="Times New Roman"/>
          <w:szCs w:val="24"/>
        </w:rPr>
        <w:t xml:space="preserve">in our study </w:t>
      </w:r>
      <w:r w:rsidRPr="00340ECC">
        <w:rPr>
          <w:rFonts w:cs="Times New Roman"/>
          <w:szCs w:val="24"/>
        </w:rPr>
        <w:t xml:space="preserve">are captured using the single </w:t>
      </w:r>
      <w:r w:rsidR="00070667" w:rsidRPr="00340ECC">
        <w:rPr>
          <w:rFonts w:cs="Times New Roman"/>
          <w:szCs w:val="24"/>
        </w:rPr>
        <w:t xml:space="preserve">attribute of residential density, given the well-established </w:t>
      </w:r>
      <w:r w:rsidRPr="00340ECC">
        <w:rPr>
          <w:rFonts w:cs="Times New Roman"/>
          <w:szCs w:val="24"/>
        </w:rPr>
        <w:t>strong association between density and other BE elements</w:t>
      </w:r>
      <w:r w:rsidR="00070667" w:rsidRPr="00340ECC">
        <w:rPr>
          <w:rFonts w:cs="Times New Roman"/>
          <w:szCs w:val="24"/>
        </w:rPr>
        <w:t xml:space="preserve">. This is clearly reflected in the </w:t>
      </w:r>
      <w:r w:rsidRPr="00340ECC">
        <w:rPr>
          <w:rFonts w:cs="Times New Roman"/>
          <w:szCs w:val="24"/>
        </w:rPr>
        <w:t xml:space="preserve">long and strong precedent for </w:t>
      </w:r>
      <w:r w:rsidR="00070667" w:rsidRPr="00340ECC">
        <w:rPr>
          <w:rFonts w:cs="Times New Roman"/>
          <w:szCs w:val="24"/>
        </w:rPr>
        <w:t xml:space="preserve">doing so, as evidenced </w:t>
      </w:r>
      <w:r w:rsidRPr="00340ECC">
        <w:rPr>
          <w:rFonts w:cs="Times New Roman"/>
          <w:szCs w:val="24"/>
        </w:rPr>
        <w:t xml:space="preserve">in the literature (see, for example, </w:t>
      </w:r>
      <w:bookmarkStart w:id="12" w:name="_Hlk155433095"/>
      <w:r w:rsidRPr="00340ECC">
        <w:rPr>
          <w:rFonts w:cs="Times New Roman"/>
          <w:szCs w:val="24"/>
        </w:rPr>
        <w:t xml:space="preserve">Bhat and Singh, 2000, </w:t>
      </w:r>
      <w:r w:rsidR="00772163">
        <w:rPr>
          <w:rFonts w:cs="Times New Roman"/>
          <w:szCs w:val="24"/>
        </w:rPr>
        <w:t xml:space="preserve">Ewing and Cervero, 2010, </w:t>
      </w:r>
      <w:r w:rsidR="00070667" w:rsidRPr="00340ECC">
        <w:rPr>
          <w:rFonts w:cs="Times New Roman"/>
          <w:szCs w:val="24"/>
        </w:rPr>
        <w:t xml:space="preserve">Cao and Fan, 2012, </w:t>
      </w:r>
      <w:r w:rsidRPr="00340ECC">
        <w:rPr>
          <w:rFonts w:cs="Times New Roman"/>
          <w:szCs w:val="24"/>
        </w:rPr>
        <w:t xml:space="preserve">Kim and Brownstone, 2013, </w:t>
      </w:r>
      <w:r w:rsidR="00772163">
        <w:rPr>
          <w:rFonts w:cs="Times New Roman"/>
          <w:szCs w:val="24"/>
        </w:rPr>
        <w:t>and Wang et al., 2021</w:t>
      </w:r>
      <w:r w:rsidRPr="00340ECC">
        <w:rPr>
          <w:rFonts w:cs="Times New Roman"/>
          <w:szCs w:val="24"/>
        </w:rPr>
        <w:t>).</w:t>
      </w:r>
      <w:r w:rsidR="001C487A" w:rsidRPr="00340ECC">
        <w:rPr>
          <w:rFonts w:cs="Times New Roman"/>
          <w:szCs w:val="24"/>
        </w:rPr>
        <w:t xml:space="preserve"> </w:t>
      </w:r>
      <w:bookmarkEnd w:id="12"/>
      <w:r w:rsidR="001C487A" w:rsidRPr="00340ECC">
        <w:rPr>
          <w:rFonts w:cs="Times New Roman"/>
          <w:szCs w:val="24"/>
        </w:rPr>
        <w:t>As in most of these earlier studies, we use a binary classification of residential density as living in a</w:t>
      </w:r>
      <w:r w:rsidR="00E66F0F">
        <w:rPr>
          <w:rFonts w:cs="Times New Roman"/>
          <w:szCs w:val="24"/>
        </w:rPr>
        <w:t>n urban area</w:t>
      </w:r>
      <w:r w:rsidR="007B3018">
        <w:rPr>
          <w:rFonts w:cs="Times New Roman"/>
          <w:szCs w:val="24"/>
        </w:rPr>
        <w:t xml:space="preserve"> (associated with </w:t>
      </w:r>
      <w:r w:rsidR="007B3018" w:rsidRPr="00340ECC">
        <w:rPr>
          <w:rFonts w:cs="Times New Roman"/>
          <w:szCs w:val="24"/>
        </w:rPr>
        <w:t xml:space="preserve">pedestrian-friendly </w:t>
      </w:r>
      <w:r w:rsidR="007B3018">
        <w:rPr>
          <w:rFonts w:cs="Times New Roman"/>
          <w:szCs w:val="24"/>
        </w:rPr>
        <w:t>BE)</w:t>
      </w:r>
      <w:r w:rsidR="00E66F0F">
        <w:rPr>
          <w:rFonts w:cs="Times New Roman"/>
          <w:szCs w:val="24"/>
        </w:rPr>
        <w:t xml:space="preserve"> or </w:t>
      </w:r>
      <w:r w:rsidR="007B3018">
        <w:rPr>
          <w:rFonts w:cs="Times New Roman"/>
          <w:szCs w:val="24"/>
        </w:rPr>
        <w:t xml:space="preserve">a non-urban area(associated with a car-centric infrastructure environment) </w:t>
      </w:r>
      <w:r w:rsidR="00E66F0F">
        <w:rPr>
          <w:rFonts w:cs="Times New Roman"/>
          <w:szCs w:val="24"/>
        </w:rPr>
        <w:t>to capture BE effects</w:t>
      </w:r>
      <w:r w:rsidR="00333230">
        <w:rPr>
          <w:rFonts w:cs="Times New Roman"/>
          <w:szCs w:val="24"/>
        </w:rPr>
        <w:t xml:space="preserve"> (this urban/non-urban classification was based on the metropolitan statistical area of residence)</w:t>
      </w:r>
      <w:r w:rsidR="00E66F0F">
        <w:rPr>
          <w:rFonts w:cs="Times New Roman"/>
          <w:szCs w:val="24"/>
        </w:rPr>
        <w:t xml:space="preserve">. </w:t>
      </w:r>
      <w:r w:rsidR="001C487A" w:rsidRPr="00340ECC">
        <w:rPr>
          <w:rFonts w:cs="Times New Roman"/>
          <w:szCs w:val="24"/>
        </w:rPr>
        <w:t xml:space="preserve">The ordered-response outcome in our empirical analysis corresponds to </w:t>
      </w:r>
      <w:r w:rsidR="00E66F0F">
        <w:rPr>
          <w:rFonts w:cs="Times New Roman"/>
          <w:szCs w:val="24"/>
        </w:rPr>
        <w:t xml:space="preserve">an ordinal scale of </w:t>
      </w:r>
      <w:r w:rsidR="00E66F0F">
        <w:rPr>
          <w:rFonts w:cs="Times New Roman"/>
          <w:color w:val="000000" w:themeColor="text1"/>
          <w:szCs w:val="24"/>
        </w:rPr>
        <w:t xml:space="preserve">weekly walking frequency (in days per week of walking for at least 10 minutes). Residence in an urban area (capturing walk-friendly BE attributes) is included as an </w:t>
      </w:r>
      <w:r w:rsidR="00E66F0F" w:rsidRPr="000E7432">
        <w:rPr>
          <w:rFonts w:cs="Times New Roman"/>
          <w:i/>
          <w:iCs/>
          <w:color w:val="000000" w:themeColor="text1"/>
          <w:szCs w:val="24"/>
        </w:rPr>
        <w:t>endogenous</w:t>
      </w:r>
      <w:r w:rsidR="00E66F0F">
        <w:rPr>
          <w:rFonts w:cs="Times New Roman"/>
          <w:color w:val="000000" w:themeColor="text1"/>
          <w:szCs w:val="24"/>
        </w:rPr>
        <w:t xml:space="preserve"> outcome in the ordered-response walk frequency equation, to capture </w:t>
      </w:r>
      <w:r w:rsidR="00CB0B08">
        <w:rPr>
          <w:rFonts w:cs="Times New Roman"/>
          <w:color w:val="000000" w:themeColor="text1"/>
          <w:szCs w:val="24"/>
        </w:rPr>
        <w:t xml:space="preserve">residential </w:t>
      </w:r>
      <w:r w:rsidR="00E66F0F">
        <w:rPr>
          <w:rFonts w:cs="Times New Roman"/>
          <w:color w:val="000000" w:themeColor="text1"/>
          <w:szCs w:val="24"/>
        </w:rPr>
        <w:t xml:space="preserve">self-selection </w:t>
      </w:r>
      <w:r w:rsidR="00CB0B08">
        <w:rPr>
          <w:rFonts w:cs="Times New Roman"/>
          <w:color w:val="000000" w:themeColor="text1"/>
          <w:szCs w:val="24"/>
        </w:rPr>
        <w:t xml:space="preserve">effects. The correlation in the error terms of (unobserved factors </w:t>
      </w:r>
      <w:r w:rsidR="00CB0B08">
        <w:rPr>
          <w:rFonts w:cs="Times New Roman"/>
          <w:color w:val="000000" w:themeColor="text1"/>
          <w:szCs w:val="24"/>
        </w:rPr>
        <w:lastRenderedPageBreak/>
        <w:t>affecting) the two equations may be positive or negative (as discussed earlier). After all, we do not know what these unobserved factors may be. The important thing is to recognize the potential endogeneity of urban residence to capture the “true” causal effect of urban BE on walking intensity.</w:t>
      </w:r>
    </w:p>
    <w:p w14:paraId="2019BE10" w14:textId="62A0406B" w:rsidR="00C735DA" w:rsidRDefault="00C735DA" w:rsidP="00C735DA">
      <w:pPr>
        <w:spacing w:line="276" w:lineRule="auto"/>
        <w:ind w:firstLine="720"/>
        <w:jc w:val="both"/>
        <w:rPr>
          <w:b/>
          <w:bCs/>
        </w:rPr>
      </w:pPr>
      <w:r>
        <w:rPr>
          <w:b/>
          <w:bCs/>
        </w:rPr>
        <w:t xml:space="preserve"> </w:t>
      </w:r>
    </w:p>
    <w:p w14:paraId="2A7A67AC" w14:textId="3F513AE0" w:rsidR="00C735DA" w:rsidRPr="00B4106B" w:rsidRDefault="00C735DA" w:rsidP="00C735DA">
      <w:pPr>
        <w:numPr>
          <w:ilvl w:val="1"/>
          <w:numId w:val="2"/>
        </w:numPr>
        <w:autoSpaceDE w:val="0"/>
        <w:autoSpaceDN w:val="0"/>
        <w:adjustRightInd w:val="0"/>
        <w:spacing w:line="276" w:lineRule="auto"/>
        <w:ind w:left="540" w:hanging="540"/>
        <w:jc w:val="both"/>
        <w:rPr>
          <w:b/>
          <w:bCs/>
        </w:rPr>
      </w:pPr>
      <w:r>
        <w:rPr>
          <w:b/>
          <w:bCs/>
        </w:rPr>
        <w:t>Data and Sample Description</w:t>
      </w:r>
    </w:p>
    <w:p w14:paraId="1EE5A6CC" w14:textId="00BA34D2" w:rsidR="00D80509" w:rsidRPr="00B4106B" w:rsidRDefault="006D10EA" w:rsidP="00B4106B">
      <w:pPr>
        <w:autoSpaceDE w:val="0"/>
        <w:autoSpaceDN w:val="0"/>
        <w:adjustRightInd w:val="0"/>
        <w:spacing w:line="276" w:lineRule="auto"/>
        <w:jc w:val="both"/>
        <w:rPr>
          <w:rFonts w:cs="Times New Roman"/>
          <w:color w:val="000000"/>
          <w:szCs w:val="24"/>
        </w:rPr>
      </w:pPr>
      <w:r w:rsidRPr="0031004A">
        <w:rPr>
          <w:rFonts w:cs="Times New Roman"/>
          <w:color w:val="000000"/>
          <w:szCs w:val="24"/>
        </w:rPr>
        <w:t xml:space="preserve">The walking survey of older adults in the US population </w:t>
      </w:r>
      <w:r w:rsidR="0031004A" w:rsidRPr="0031004A">
        <w:rPr>
          <w:rFonts w:cs="Times New Roman"/>
          <w:color w:val="000000"/>
          <w:szCs w:val="24"/>
        </w:rPr>
        <w:t xml:space="preserve">used in the current paper </w:t>
      </w:r>
      <w:r w:rsidRPr="0031004A">
        <w:rPr>
          <w:rFonts w:cs="Times New Roman"/>
          <w:color w:val="000000"/>
          <w:szCs w:val="24"/>
        </w:rPr>
        <w:t>was undertaken through the Foresight 50+ Consumer Omnibus panel sur</w:t>
      </w:r>
      <w:r w:rsidR="00FB7034" w:rsidRPr="0031004A">
        <w:rPr>
          <w:rFonts w:cs="Times New Roman"/>
          <w:color w:val="000000"/>
          <w:szCs w:val="24"/>
        </w:rPr>
        <w:t xml:space="preserve">vey, which </w:t>
      </w:r>
      <w:r w:rsidR="00AF1536" w:rsidRPr="0031004A">
        <w:rPr>
          <w:rFonts w:cs="Times New Roman"/>
          <w:color w:val="000000"/>
          <w:szCs w:val="24"/>
        </w:rPr>
        <w:t xml:space="preserve">is </w:t>
      </w:r>
      <w:r w:rsidR="00FB7034" w:rsidRPr="0031004A">
        <w:rPr>
          <w:rFonts w:cs="Times New Roman"/>
          <w:color w:val="000000"/>
          <w:szCs w:val="24"/>
        </w:rPr>
        <w:t xml:space="preserve">a mixed mode survey (online and telephone) </w:t>
      </w:r>
      <w:r w:rsidR="00AF1536" w:rsidRPr="0031004A">
        <w:rPr>
          <w:rFonts w:cs="Times New Roman"/>
          <w:szCs w:val="24"/>
        </w:rPr>
        <w:t>funded and operated by the National Opinion Research Center (NORC) at the University of Chicago</w:t>
      </w:r>
      <w:r w:rsidR="00FB7034" w:rsidRPr="0031004A">
        <w:rPr>
          <w:rFonts w:cs="Times New Roman"/>
          <w:szCs w:val="24"/>
        </w:rPr>
        <w:t>. The survey</w:t>
      </w:r>
      <w:r w:rsidR="00AF1536" w:rsidRPr="0031004A">
        <w:rPr>
          <w:rFonts w:cs="Times New Roman"/>
          <w:szCs w:val="24"/>
        </w:rPr>
        <w:t xml:space="preserve"> constitutes a probability-based</w:t>
      </w:r>
      <w:r w:rsidR="00FB7034" w:rsidRPr="0031004A">
        <w:rPr>
          <w:rFonts w:cs="Times New Roman"/>
          <w:szCs w:val="24"/>
        </w:rPr>
        <w:t xml:space="preserve"> </w:t>
      </w:r>
      <w:r w:rsidR="00AF1536" w:rsidRPr="0031004A">
        <w:rPr>
          <w:rFonts w:cs="Times New Roman"/>
          <w:szCs w:val="24"/>
        </w:rPr>
        <w:t xml:space="preserve">panel designed to be representative of the US household population age 50 or older. </w:t>
      </w:r>
      <w:r w:rsidRPr="0031004A">
        <w:rPr>
          <w:rFonts w:cs="Times New Roman"/>
          <w:color w:val="000000"/>
          <w:szCs w:val="24"/>
        </w:rPr>
        <w:t xml:space="preserve">The survey questions and </w:t>
      </w:r>
      <w:r w:rsidR="00AF1536" w:rsidRPr="0031004A">
        <w:rPr>
          <w:rFonts w:cs="Times New Roman"/>
          <w:color w:val="000000"/>
          <w:szCs w:val="24"/>
        </w:rPr>
        <w:t xml:space="preserve">survey </w:t>
      </w:r>
      <w:r w:rsidRPr="0031004A">
        <w:rPr>
          <w:rFonts w:cs="Times New Roman"/>
          <w:color w:val="000000"/>
          <w:szCs w:val="24"/>
        </w:rPr>
        <w:t xml:space="preserve">instrument </w:t>
      </w:r>
      <w:r w:rsidR="00AF1536" w:rsidRPr="0031004A">
        <w:rPr>
          <w:rFonts w:cs="Times New Roman"/>
          <w:color w:val="000000"/>
          <w:szCs w:val="24"/>
        </w:rPr>
        <w:t xml:space="preserve">in the Foresight 50+ survey </w:t>
      </w:r>
      <w:r w:rsidRPr="0031004A">
        <w:rPr>
          <w:rFonts w:cs="Times New Roman"/>
          <w:color w:val="000000"/>
          <w:szCs w:val="24"/>
        </w:rPr>
        <w:t xml:space="preserve">vary by month. The specific walking survey instrument used in the current paper </w:t>
      </w:r>
      <w:r w:rsidR="00AF1536" w:rsidRPr="0031004A">
        <w:rPr>
          <w:rFonts w:cs="Times New Roman"/>
          <w:color w:val="000000"/>
          <w:szCs w:val="24"/>
        </w:rPr>
        <w:t>was funded by the American Association of Retired Persons (AARP) and undertaken in July 2022.</w:t>
      </w:r>
      <w:r w:rsidR="00AF1536" w:rsidRPr="00B4106B">
        <w:rPr>
          <w:rFonts w:cs="Times New Roman"/>
          <w:color w:val="000000"/>
          <w:szCs w:val="24"/>
          <w:vertAlign w:val="superscript"/>
        </w:rPr>
        <w:footnoteReference w:id="8"/>
      </w:r>
      <w:r w:rsidR="00AF1536" w:rsidRPr="0031004A">
        <w:rPr>
          <w:rFonts w:cs="Times New Roman"/>
          <w:color w:val="000000"/>
          <w:szCs w:val="24"/>
        </w:rPr>
        <w:t xml:space="preserve"> </w:t>
      </w:r>
      <w:r w:rsidR="00FB7034" w:rsidRPr="0031004A">
        <w:rPr>
          <w:rFonts w:cs="Times New Roman"/>
          <w:color w:val="000000"/>
          <w:szCs w:val="24"/>
        </w:rPr>
        <w:t>A sample of 1691 individuals aged 50 years or older was obtained</w:t>
      </w:r>
      <w:r w:rsidR="00741FB2">
        <w:rPr>
          <w:rFonts w:cs="Times New Roman"/>
          <w:color w:val="000000"/>
          <w:szCs w:val="24"/>
        </w:rPr>
        <w:t xml:space="preserve"> with </w:t>
      </w:r>
      <w:r w:rsidR="0095182F">
        <w:rPr>
          <w:rFonts w:cs="Times New Roman"/>
          <w:color w:val="000000"/>
          <w:szCs w:val="24"/>
        </w:rPr>
        <w:t xml:space="preserve">deliberate </w:t>
      </w:r>
      <w:r w:rsidR="00741FB2">
        <w:rPr>
          <w:rFonts w:cs="Times New Roman"/>
          <w:color w:val="000000"/>
          <w:szCs w:val="24"/>
        </w:rPr>
        <w:t xml:space="preserve">oversampling of individuals of non-White origin. </w:t>
      </w:r>
      <w:r w:rsidR="00A87CFD">
        <w:rPr>
          <w:rFonts w:cs="Times New Roman"/>
          <w:color w:val="000000"/>
          <w:szCs w:val="24"/>
        </w:rPr>
        <w:t xml:space="preserve">The unweighted sample, therefore, includes 44.6% of White, non-Hispanic individuals (the corresponding census statistic is 71% for individuals aged 50 and over), 21.8% of individuals of Black, non-Hispanic origin (the corresponding census statistic is 11%), 9.6% of Asian, non-Hispanic origin (the corresponding census statistic is 6%), and 22.7% of individuals of Hispanic origin (the corresponding census statistic is 12%), </w:t>
      </w:r>
      <w:r w:rsidR="00741FB2">
        <w:rPr>
          <w:rFonts w:cs="Times New Roman"/>
          <w:color w:val="000000"/>
          <w:szCs w:val="24"/>
        </w:rPr>
        <w:t xml:space="preserve">and </w:t>
      </w:r>
      <w:r w:rsidR="00A87CFD">
        <w:rPr>
          <w:rFonts w:cs="Times New Roman"/>
          <w:color w:val="000000"/>
          <w:szCs w:val="24"/>
        </w:rPr>
        <w:t xml:space="preserve">1.3% of other (including mixed and other non-Hispanic races) race categories (the corresponding census statistic is 1%). The average age in the unweighted sample is 63.7 years (the corresponding census statistic is 65 years). </w:t>
      </w:r>
      <w:r w:rsidR="0095182F">
        <w:rPr>
          <w:rFonts w:cs="Times New Roman"/>
          <w:color w:val="000000"/>
          <w:szCs w:val="24"/>
        </w:rPr>
        <w:t xml:space="preserve">Men were slightly over-represented (52% in the unweighted sample versus 48% in the census). The sample was </w:t>
      </w:r>
      <w:r w:rsidR="00FB7034" w:rsidRPr="0031004A">
        <w:rPr>
          <w:rFonts w:cs="Times New Roman"/>
          <w:color w:val="000000"/>
          <w:szCs w:val="24"/>
        </w:rPr>
        <w:t xml:space="preserve">weighted to the current population survey </w:t>
      </w:r>
      <w:r w:rsidR="0095182F">
        <w:rPr>
          <w:rFonts w:cs="Times New Roman"/>
          <w:color w:val="000000"/>
          <w:szCs w:val="24"/>
        </w:rPr>
        <w:t xml:space="preserve">(CPS) </w:t>
      </w:r>
      <w:r w:rsidR="00FB7034" w:rsidRPr="0031004A">
        <w:rPr>
          <w:rFonts w:cs="Times New Roman"/>
          <w:color w:val="000000"/>
          <w:szCs w:val="24"/>
        </w:rPr>
        <w:t xml:space="preserve">benchmarks </w:t>
      </w:r>
      <w:r w:rsidR="0031004A" w:rsidRPr="0031004A">
        <w:rPr>
          <w:rFonts w:cs="Times New Roman"/>
          <w:color w:val="000000"/>
          <w:szCs w:val="24"/>
        </w:rPr>
        <w:t xml:space="preserve">based on gender, age, education, and race/ethnicity to develop a representative </w:t>
      </w:r>
      <w:r w:rsidR="0095182F">
        <w:rPr>
          <w:rFonts w:cs="Times New Roman"/>
          <w:color w:val="000000"/>
          <w:szCs w:val="24"/>
        </w:rPr>
        <w:t xml:space="preserve">(weighted) </w:t>
      </w:r>
      <w:r w:rsidR="0031004A" w:rsidRPr="0031004A">
        <w:rPr>
          <w:rFonts w:cs="Times New Roman"/>
          <w:color w:val="000000"/>
          <w:szCs w:val="24"/>
        </w:rPr>
        <w:t xml:space="preserve">sample of </w:t>
      </w:r>
      <w:r w:rsidR="0095182F">
        <w:rPr>
          <w:rFonts w:cs="Times New Roman"/>
          <w:color w:val="000000"/>
          <w:szCs w:val="24"/>
        </w:rPr>
        <w:t xml:space="preserve">the </w:t>
      </w:r>
      <w:r w:rsidR="0031004A" w:rsidRPr="0031004A">
        <w:rPr>
          <w:rFonts w:cs="Times New Roman"/>
          <w:color w:val="000000"/>
          <w:szCs w:val="24"/>
        </w:rPr>
        <w:t xml:space="preserve">US </w:t>
      </w:r>
      <w:r w:rsidR="0095182F">
        <w:rPr>
          <w:rFonts w:cs="Times New Roman"/>
          <w:color w:val="000000"/>
          <w:szCs w:val="24"/>
        </w:rPr>
        <w:t xml:space="preserve">adult </w:t>
      </w:r>
      <w:r w:rsidR="0031004A" w:rsidRPr="0031004A">
        <w:rPr>
          <w:rFonts w:cs="Times New Roman"/>
          <w:color w:val="000000"/>
          <w:szCs w:val="24"/>
        </w:rPr>
        <w:t>population 50 years and older.</w:t>
      </w:r>
    </w:p>
    <w:p w14:paraId="3F55DFF9" w14:textId="67A7F1AC" w:rsidR="00F1329D" w:rsidRPr="000009D0" w:rsidRDefault="00D80509" w:rsidP="00B4106B">
      <w:pPr>
        <w:spacing w:line="276" w:lineRule="auto"/>
        <w:ind w:firstLine="720"/>
        <w:jc w:val="both"/>
        <w:rPr>
          <w:rFonts w:cs="Times New Roman"/>
          <w:szCs w:val="24"/>
        </w:rPr>
      </w:pPr>
      <w:r w:rsidRPr="000009D0">
        <w:rPr>
          <w:rFonts w:cs="Times New Roman"/>
          <w:szCs w:val="24"/>
        </w:rPr>
        <w:t xml:space="preserve">The skew </w:t>
      </w:r>
      <w:r w:rsidR="0095182F" w:rsidRPr="000009D0">
        <w:rPr>
          <w:rFonts w:cs="Times New Roman"/>
          <w:szCs w:val="24"/>
        </w:rPr>
        <w:t xml:space="preserve">of the unweighted sample </w:t>
      </w:r>
      <w:r w:rsidRPr="000009D0">
        <w:rPr>
          <w:rFonts w:cs="Times New Roman"/>
          <w:szCs w:val="24"/>
        </w:rPr>
        <w:t xml:space="preserve">implies that descriptive statistics for </w:t>
      </w:r>
      <w:r w:rsidR="0095182F" w:rsidRPr="000009D0">
        <w:rPr>
          <w:rFonts w:cs="Times New Roman"/>
          <w:szCs w:val="24"/>
        </w:rPr>
        <w:t xml:space="preserve">the endogenous outcomes of urban residence and walking frequency from the unweighted sample </w:t>
      </w:r>
      <w:r w:rsidRPr="000009D0">
        <w:rPr>
          <w:rFonts w:cs="Times New Roman"/>
          <w:szCs w:val="24"/>
        </w:rPr>
        <w:t xml:space="preserve">cannot be </w:t>
      </w:r>
      <w:r w:rsidR="00770F49" w:rsidRPr="000009D0">
        <w:rPr>
          <w:rFonts w:cs="Times New Roman"/>
          <w:szCs w:val="24"/>
        </w:rPr>
        <w:t xml:space="preserve">directly </w:t>
      </w:r>
      <w:r w:rsidRPr="000009D0">
        <w:rPr>
          <w:rFonts w:cs="Times New Roman"/>
          <w:szCs w:val="24"/>
        </w:rPr>
        <w:t xml:space="preserve">generalized to the </w:t>
      </w:r>
      <w:r w:rsidR="0095182F" w:rsidRPr="000009D0">
        <w:rPr>
          <w:rFonts w:cs="Times New Roman"/>
          <w:szCs w:val="24"/>
        </w:rPr>
        <w:t xml:space="preserve">U.S. 50+ </w:t>
      </w:r>
      <w:r w:rsidRPr="000009D0">
        <w:rPr>
          <w:rFonts w:cs="Times New Roman"/>
          <w:szCs w:val="24"/>
        </w:rPr>
        <w:t xml:space="preserve">adult population. </w:t>
      </w:r>
      <w:r w:rsidR="00770F49" w:rsidRPr="000009D0">
        <w:rPr>
          <w:rFonts w:cs="Times New Roman"/>
          <w:szCs w:val="24"/>
        </w:rPr>
        <w:t>However, in the aggregate, the unweighted and weighted samples do not show too much divergence in the endogenous outcomes. The unweighted sample indicates 1461</w:t>
      </w:r>
      <w:r w:rsidR="00F1329D" w:rsidRPr="000009D0">
        <w:rPr>
          <w:rFonts w:cs="Times New Roman"/>
          <w:szCs w:val="24"/>
        </w:rPr>
        <w:t xml:space="preserve"> (86.4%) </w:t>
      </w:r>
      <w:r w:rsidR="00770F49" w:rsidRPr="000009D0">
        <w:rPr>
          <w:rFonts w:cs="Times New Roman"/>
          <w:szCs w:val="24"/>
        </w:rPr>
        <w:t xml:space="preserve"> respondents</w:t>
      </w:r>
      <w:r w:rsidR="00F1329D" w:rsidRPr="000009D0">
        <w:rPr>
          <w:rFonts w:cs="Times New Roman"/>
          <w:szCs w:val="24"/>
        </w:rPr>
        <w:t xml:space="preserve"> </w:t>
      </w:r>
      <w:r w:rsidR="0095182F" w:rsidRPr="000009D0">
        <w:rPr>
          <w:rFonts w:cs="Times New Roman"/>
          <w:szCs w:val="24"/>
        </w:rPr>
        <w:t xml:space="preserve">residing in urban areas </w:t>
      </w:r>
      <w:r w:rsidR="0089066A" w:rsidRPr="000009D0">
        <w:rPr>
          <w:rFonts w:cs="Times New Roman"/>
          <w:szCs w:val="24"/>
        </w:rPr>
        <w:t xml:space="preserve">compared to 1386 </w:t>
      </w:r>
      <w:r w:rsidR="00F1329D" w:rsidRPr="000009D0">
        <w:rPr>
          <w:rFonts w:cs="Times New Roman"/>
          <w:szCs w:val="24"/>
        </w:rPr>
        <w:t>(</w:t>
      </w:r>
      <w:r w:rsidR="0089066A" w:rsidRPr="000009D0">
        <w:rPr>
          <w:rFonts w:cs="Times New Roman"/>
          <w:szCs w:val="24"/>
        </w:rPr>
        <w:t>81.9%</w:t>
      </w:r>
      <w:r w:rsidR="00F1329D" w:rsidRPr="000009D0">
        <w:rPr>
          <w:rFonts w:cs="Times New Roman"/>
          <w:szCs w:val="24"/>
        </w:rPr>
        <w:t>)</w:t>
      </w:r>
      <w:r w:rsidR="0089066A" w:rsidRPr="000009D0">
        <w:rPr>
          <w:rFonts w:cs="Times New Roman"/>
          <w:szCs w:val="24"/>
        </w:rPr>
        <w:t xml:space="preserve"> in the weighted sample</w:t>
      </w:r>
      <w:r w:rsidR="00E90110" w:rsidRPr="000009D0">
        <w:rPr>
          <w:rFonts w:cs="Times New Roman"/>
          <w:szCs w:val="24"/>
        </w:rPr>
        <w:t>. Similarly, by way of walking frequency</w:t>
      </w:r>
      <w:r w:rsidR="00F1329D" w:rsidRPr="000009D0">
        <w:rPr>
          <w:rFonts w:cs="Times New Roman"/>
          <w:szCs w:val="24"/>
        </w:rPr>
        <w:t xml:space="preserve"> (number of days of walk per week for at least 10 minutes at a time)</w:t>
      </w:r>
      <w:r w:rsidR="00E90110" w:rsidRPr="000009D0">
        <w:rPr>
          <w:rFonts w:cs="Times New Roman"/>
          <w:szCs w:val="24"/>
        </w:rPr>
        <w:t xml:space="preserve">, the unweighted and weighted </w:t>
      </w:r>
      <w:r w:rsidR="00F1329D" w:rsidRPr="000009D0">
        <w:rPr>
          <w:rFonts w:cs="Times New Roman"/>
          <w:szCs w:val="24"/>
        </w:rPr>
        <w:t xml:space="preserve">percentages </w:t>
      </w:r>
      <w:r w:rsidR="00E90110" w:rsidRPr="000009D0">
        <w:rPr>
          <w:rFonts w:cs="Times New Roman"/>
          <w:szCs w:val="24"/>
        </w:rPr>
        <w:t xml:space="preserve">were as follows: </w:t>
      </w:r>
      <w:r w:rsidR="00F1329D" w:rsidRPr="000009D0">
        <w:rPr>
          <w:rFonts w:cs="Times New Roman"/>
          <w:szCs w:val="24"/>
        </w:rPr>
        <w:t xml:space="preserve">(a) </w:t>
      </w:r>
      <w:r w:rsidR="00E90110" w:rsidRPr="000009D0">
        <w:rPr>
          <w:rFonts w:cs="Times New Roman"/>
          <w:szCs w:val="24"/>
        </w:rPr>
        <w:t>Do not walk any day</w:t>
      </w:r>
      <w:r w:rsidR="00F1329D" w:rsidRPr="000009D0">
        <w:rPr>
          <w:rFonts w:cs="Times New Roman"/>
          <w:szCs w:val="24"/>
        </w:rPr>
        <w:t xml:space="preserve"> </w:t>
      </w:r>
      <w:r w:rsidR="00E90110" w:rsidRPr="000009D0">
        <w:rPr>
          <w:rFonts w:cs="Times New Roman"/>
          <w:szCs w:val="24"/>
        </w:rPr>
        <w:t>(</w:t>
      </w:r>
      <w:r w:rsidR="00F1329D" w:rsidRPr="000009D0">
        <w:rPr>
          <w:rFonts w:cs="Times New Roman"/>
          <w:szCs w:val="24"/>
        </w:rPr>
        <w:t xml:space="preserve">19.2 unweighted versus 22.1 weighted), (b) Walk 1-2 days per week (17.0 unweighted versus 17.7 for weighted), (c) Walk 3-4 days per week (27.9 unweighted versus 25.0 weighted), (d) Walk 5-6 days per week (21.1 unweighted versus 18.8 weighted), and (e) Walk 7 days per week (14.8 unweighted versus 16.4 weighted). </w:t>
      </w:r>
    </w:p>
    <w:p w14:paraId="6B3CA32B" w14:textId="3A942695" w:rsidR="00D80509" w:rsidRPr="000009D0" w:rsidRDefault="00F1329D" w:rsidP="00B4106B">
      <w:pPr>
        <w:spacing w:line="276" w:lineRule="auto"/>
        <w:ind w:firstLine="720"/>
        <w:jc w:val="both"/>
        <w:rPr>
          <w:rFonts w:cs="Times New Roman"/>
          <w:szCs w:val="24"/>
        </w:rPr>
      </w:pPr>
      <w:r w:rsidRPr="000009D0">
        <w:rPr>
          <w:rFonts w:cs="Times New Roman"/>
          <w:szCs w:val="24"/>
        </w:rPr>
        <w:lastRenderedPageBreak/>
        <w:t xml:space="preserve">In estimation, we use the unweighted sample because the focus of </w:t>
      </w:r>
      <w:r w:rsidR="00D80509" w:rsidRPr="000009D0">
        <w:rPr>
          <w:rFonts w:cs="Times New Roman"/>
          <w:szCs w:val="24"/>
        </w:rPr>
        <w:t xml:space="preserve">the current paper is on estimating </w:t>
      </w:r>
      <w:r w:rsidRPr="000009D0">
        <w:rPr>
          <w:rFonts w:cs="Times New Roman"/>
          <w:szCs w:val="24"/>
        </w:rPr>
        <w:t xml:space="preserve">individual-level relationships </w:t>
      </w:r>
      <w:r w:rsidR="00D80509" w:rsidRPr="000009D0">
        <w:rPr>
          <w:rFonts w:cs="Times New Roman"/>
          <w:szCs w:val="24"/>
        </w:rPr>
        <w:t>(how changes in exogenous demographics and</w:t>
      </w:r>
      <w:r w:rsidRPr="000009D0">
        <w:rPr>
          <w:rFonts w:cs="Times New Roman"/>
          <w:szCs w:val="24"/>
        </w:rPr>
        <w:t xml:space="preserve"> the urban variable affect the outcomes</w:t>
      </w:r>
      <w:r w:rsidR="00D80509" w:rsidRPr="000009D0">
        <w:rPr>
          <w:rFonts w:cs="Times New Roman"/>
          <w:szCs w:val="24"/>
        </w:rPr>
        <w:t>). In such analyses,</w:t>
      </w:r>
      <w:r w:rsidRPr="000009D0">
        <w:rPr>
          <w:rFonts w:cs="Times New Roman"/>
          <w:szCs w:val="24"/>
        </w:rPr>
        <w:t xml:space="preserve"> </w:t>
      </w:r>
      <w:r w:rsidR="00771560">
        <w:rPr>
          <w:rFonts w:cs="Times New Roman"/>
          <w:szCs w:val="24"/>
        </w:rPr>
        <w:t xml:space="preserve">the critical consideration is </w:t>
      </w:r>
      <w:r w:rsidR="00D80509" w:rsidRPr="000009D0">
        <w:rPr>
          <w:rFonts w:cs="Times New Roman"/>
          <w:szCs w:val="24"/>
        </w:rPr>
        <w:t xml:space="preserve">whether the sampling is dependent </w:t>
      </w:r>
      <w:r w:rsidR="004C7E46" w:rsidRPr="000009D0">
        <w:rPr>
          <w:rFonts w:cs="Times New Roman"/>
          <w:szCs w:val="24"/>
        </w:rPr>
        <w:t xml:space="preserve">(sampling strategy is endogenous to modeled outcomes) </w:t>
      </w:r>
      <w:r w:rsidR="00D80509" w:rsidRPr="000009D0">
        <w:rPr>
          <w:rFonts w:cs="Times New Roman"/>
          <w:szCs w:val="24"/>
        </w:rPr>
        <w:t xml:space="preserve">or independent </w:t>
      </w:r>
      <w:r w:rsidR="004C7E46" w:rsidRPr="000009D0">
        <w:rPr>
          <w:rFonts w:cs="Times New Roman"/>
          <w:szCs w:val="24"/>
        </w:rPr>
        <w:t>(sampling strategy is exogenous to modeled outcomes). W</w:t>
      </w:r>
      <w:r w:rsidR="00D80509" w:rsidRPr="000009D0">
        <w:rPr>
          <w:rFonts w:cs="Times New Roman"/>
          <w:szCs w:val="24"/>
        </w:rPr>
        <w:t xml:space="preserve">eighting is needed for consistent estimation </w:t>
      </w:r>
      <w:r w:rsidR="00771560">
        <w:rPr>
          <w:rFonts w:cs="Times New Roman"/>
          <w:szCs w:val="24"/>
        </w:rPr>
        <w:t>in the former case</w:t>
      </w:r>
      <w:r w:rsidR="004C7E46" w:rsidRPr="000009D0">
        <w:rPr>
          <w:rFonts w:cs="Times New Roman"/>
          <w:szCs w:val="24"/>
        </w:rPr>
        <w:t xml:space="preserve">, </w:t>
      </w:r>
      <w:r w:rsidR="00D80509" w:rsidRPr="000009D0">
        <w:rPr>
          <w:rFonts w:cs="Times New Roman"/>
          <w:szCs w:val="24"/>
        </w:rPr>
        <w:t xml:space="preserve">but </w:t>
      </w:r>
      <w:r w:rsidR="004C7E46" w:rsidRPr="000009D0">
        <w:rPr>
          <w:rFonts w:cs="Times New Roman"/>
          <w:szCs w:val="24"/>
        </w:rPr>
        <w:t>not the latter case</w:t>
      </w:r>
      <w:r w:rsidR="00D80509" w:rsidRPr="000009D0">
        <w:rPr>
          <w:rFonts w:cs="Times New Roman"/>
          <w:szCs w:val="24"/>
        </w:rPr>
        <w:t xml:space="preserve">. </w:t>
      </w:r>
      <w:r w:rsidR="004C7E46" w:rsidRPr="000009D0">
        <w:rPr>
          <w:rFonts w:cs="Times New Roman"/>
          <w:szCs w:val="24"/>
        </w:rPr>
        <w:t xml:space="preserve">The sample in our case corresponds to the latter. </w:t>
      </w:r>
      <w:r w:rsidR="00D80509" w:rsidRPr="000009D0">
        <w:rPr>
          <w:rFonts w:cs="Times New Roman"/>
          <w:szCs w:val="24"/>
        </w:rPr>
        <w:t xml:space="preserve">In this </w:t>
      </w:r>
      <w:r w:rsidR="004C7E46" w:rsidRPr="000009D0">
        <w:rPr>
          <w:rFonts w:cs="Times New Roman"/>
          <w:szCs w:val="24"/>
        </w:rPr>
        <w:t xml:space="preserve">exogenous sampling </w:t>
      </w:r>
      <w:r w:rsidR="00D80509" w:rsidRPr="000009D0">
        <w:rPr>
          <w:rFonts w:cs="Times New Roman"/>
          <w:szCs w:val="24"/>
        </w:rPr>
        <w:t>situation, the unweighted approach provides more precise parameter estimates</w:t>
      </w:r>
      <w:r w:rsidR="00771560">
        <w:rPr>
          <w:rFonts w:cs="Times New Roman"/>
          <w:szCs w:val="24"/>
        </w:rPr>
        <w:t xml:space="preserve"> and is to be preferred </w:t>
      </w:r>
      <w:r w:rsidR="00D80509" w:rsidRPr="000009D0">
        <w:rPr>
          <w:rFonts w:cs="Times New Roman"/>
          <w:szCs w:val="24"/>
        </w:rPr>
        <w:t xml:space="preserve">. </w:t>
      </w:r>
      <w:r w:rsidR="00CB79F0">
        <w:rPr>
          <w:rFonts w:cs="Times New Roman"/>
          <w:szCs w:val="24"/>
        </w:rPr>
        <w:t>Accordingly</w:t>
      </w:r>
      <w:r w:rsidR="00D80509" w:rsidRPr="000009D0">
        <w:rPr>
          <w:rFonts w:cs="Times New Roman"/>
          <w:szCs w:val="24"/>
        </w:rPr>
        <w:t>, in our model estimations, we use the unweighted approach</w:t>
      </w:r>
      <w:r w:rsidR="004C7E46" w:rsidRPr="000009D0">
        <w:rPr>
          <w:rFonts w:cs="Times New Roman"/>
          <w:szCs w:val="24"/>
        </w:rPr>
        <w:t xml:space="preserve"> (see </w:t>
      </w:r>
      <w:r w:rsidR="00CB79F0">
        <w:rPr>
          <w:rFonts w:cs="Times New Roman"/>
          <w:szCs w:val="24"/>
        </w:rPr>
        <w:t xml:space="preserve">also </w:t>
      </w:r>
      <w:r w:rsidR="00D80509" w:rsidRPr="000009D0">
        <w:rPr>
          <w:rFonts w:cs="Times New Roman"/>
          <w:noProof/>
          <w:szCs w:val="24"/>
        </w:rPr>
        <w:t>Wooldridge</w:t>
      </w:r>
      <w:r w:rsidR="004C7E46" w:rsidRPr="000009D0">
        <w:rPr>
          <w:rFonts w:cs="Times New Roman"/>
          <w:noProof/>
          <w:szCs w:val="24"/>
        </w:rPr>
        <w:t xml:space="preserve">, </w:t>
      </w:r>
      <w:r w:rsidR="00D80509" w:rsidRPr="000009D0">
        <w:rPr>
          <w:rFonts w:cs="Times New Roman"/>
          <w:noProof/>
          <w:szCs w:val="24"/>
        </w:rPr>
        <w:t>1995</w:t>
      </w:r>
      <w:r w:rsidR="00D80509" w:rsidRPr="000009D0">
        <w:rPr>
          <w:rFonts w:cs="Times New Roman"/>
          <w:szCs w:val="24"/>
        </w:rPr>
        <w:t xml:space="preserve"> and </w:t>
      </w:r>
      <w:r w:rsidR="00D80509" w:rsidRPr="000009D0">
        <w:rPr>
          <w:rFonts w:cs="Times New Roman"/>
          <w:noProof/>
          <w:szCs w:val="24"/>
        </w:rPr>
        <w:t>Solon et al.</w:t>
      </w:r>
      <w:r w:rsidR="004C7E46" w:rsidRPr="000009D0">
        <w:rPr>
          <w:rFonts w:cs="Times New Roman"/>
          <w:noProof/>
          <w:szCs w:val="24"/>
        </w:rPr>
        <w:t xml:space="preserve">, </w:t>
      </w:r>
      <w:r w:rsidR="00D80509" w:rsidRPr="000009D0">
        <w:rPr>
          <w:rFonts w:cs="Times New Roman"/>
          <w:noProof/>
          <w:szCs w:val="24"/>
        </w:rPr>
        <w:t>2015</w:t>
      </w:r>
      <w:r w:rsidR="004C7E46" w:rsidRPr="000009D0">
        <w:rPr>
          <w:rFonts w:cs="Times New Roman"/>
          <w:szCs w:val="24"/>
        </w:rPr>
        <w:t>)</w:t>
      </w:r>
      <w:r w:rsidR="00D80509" w:rsidRPr="000009D0">
        <w:rPr>
          <w:rFonts w:cs="Times New Roman"/>
          <w:szCs w:val="24"/>
        </w:rPr>
        <w:t xml:space="preserve">. </w:t>
      </w:r>
      <w:r w:rsidR="00CB79F0">
        <w:rPr>
          <w:rFonts w:cs="Times New Roman"/>
          <w:szCs w:val="24"/>
        </w:rPr>
        <w:t xml:space="preserve">Besides, the </w:t>
      </w:r>
      <w:r w:rsidR="00D80509" w:rsidRPr="000009D0">
        <w:rPr>
          <w:rFonts w:cs="Times New Roman"/>
          <w:szCs w:val="24"/>
        </w:rPr>
        <w:t xml:space="preserve">sample </w:t>
      </w:r>
      <w:r w:rsidR="00CB79F0">
        <w:rPr>
          <w:rFonts w:cs="Times New Roman"/>
          <w:szCs w:val="24"/>
        </w:rPr>
        <w:t xml:space="preserve">exhibits </w:t>
      </w:r>
      <w:r w:rsidR="004C7E46" w:rsidRPr="000009D0">
        <w:rPr>
          <w:rFonts w:cs="Times New Roman"/>
          <w:szCs w:val="24"/>
        </w:rPr>
        <w:t xml:space="preserve">good </w:t>
      </w:r>
      <w:r w:rsidR="00D80509" w:rsidRPr="000009D0">
        <w:rPr>
          <w:rFonts w:cs="Times New Roman"/>
          <w:szCs w:val="24"/>
        </w:rPr>
        <w:t xml:space="preserve">variation </w:t>
      </w:r>
      <w:r w:rsidR="00CB79F0">
        <w:rPr>
          <w:rFonts w:cs="Times New Roman"/>
          <w:szCs w:val="24"/>
        </w:rPr>
        <w:t xml:space="preserve">in </w:t>
      </w:r>
      <w:r w:rsidR="00D80509" w:rsidRPr="000009D0">
        <w:rPr>
          <w:rFonts w:cs="Times New Roman"/>
          <w:szCs w:val="24"/>
        </w:rPr>
        <w:t xml:space="preserve">the range of </w:t>
      </w:r>
      <w:r w:rsidR="00CB79F0">
        <w:rPr>
          <w:rFonts w:cs="Times New Roman"/>
          <w:szCs w:val="24"/>
        </w:rPr>
        <w:t>sociodemographic variables</w:t>
      </w:r>
      <w:r w:rsidR="00D80509" w:rsidRPr="000009D0">
        <w:rPr>
          <w:rFonts w:cs="Times New Roman"/>
          <w:szCs w:val="24"/>
        </w:rPr>
        <w:t>, allowing us to test a variety of functional forms for these variable</w:t>
      </w:r>
      <w:r w:rsidR="00CB79F0">
        <w:rPr>
          <w:rFonts w:cs="Times New Roman"/>
          <w:szCs w:val="24"/>
        </w:rPr>
        <w:t xml:space="preserve"> effects</w:t>
      </w:r>
      <w:r w:rsidR="00D80509" w:rsidRPr="000009D0">
        <w:rPr>
          <w:rFonts w:cs="Times New Roman"/>
          <w:szCs w:val="24"/>
        </w:rPr>
        <w:t xml:space="preserve">. For example, </w:t>
      </w:r>
      <w:r w:rsidR="004C7E46" w:rsidRPr="000009D0">
        <w:rPr>
          <w:rFonts w:cs="Times New Roman"/>
          <w:szCs w:val="24"/>
        </w:rPr>
        <w:t xml:space="preserve">age is collected as a continuous variable in the sample with good variation from 50 years to 92 years, which allows us to test linear, non-linear, as </w:t>
      </w:r>
      <w:r w:rsidR="000009D0" w:rsidRPr="000009D0">
        <w:rPr>
          <w:rFonts w:cs="Times New Roman"/>
          <w:szCs w:val="24"/>
        </w:rPr>
        <w:t xml:space="preserve">well </w:t>
      </w:r>
      <w:r w:rsidR="004C7E46" w:rsidRPr="000009D0">
        <w:rPr>
          <w:rFonts w:cs="Times New Roman"/>
          <w:szCs w:val="24"/>
        </w:rPr>
        <w:t xml:space="preserve">bracket-specific </w:t>
      </w:r>
      <w:r w:rsidR="000009D0" w:rsidRPr="000009D0">
        <w:rPr>
          <w:rFonts w:cs="Times New Roman"/>
          <w:szCs w:val="24"/>
        </w:rPr>
        <w:t>dummy variable specifications</w:t>
      </w:r>
      <w:r w:rsidR="004C7E46" w:rsidRPr="000009D0">
        <w:rPr>
          <w:rFonts w:cs="Times New Roman"/>
          <w:szCs w:val="24"/>
        </w:rPr>
        <w:t xml:space="preserve"> </w:t>
      </w:r>
      <w:r w:rsidR="000009D0" w:rsidRPr="000009D0">
        <w:rPr>
          <w:rFonts w:cs="Times New Roman"/>
          <w:szCs w:val="24"/>
        </w:rPr>
        <w:t>for</w:t>
      </w:r>
      <w:r w:rsidR="004C7E46" w:rsidRPr="000009D0">
        <w:rPr>
          <w:rFonts w:cs="Times New Roman"/>
          <w:szCs w:val="24"/>
        </w:rPr>
        <w:t xml:space="preserve"> age. </w:t>
      </w:r>
      <w:r w:rsidR="00CB79F0">
        <w:rPr>
          <w:rFonts w:cs="Times New Roman"/>
          <w:szCs w:val="24"/>
        </w:rPr>
        <w:t xml:space="preserve">In combination, the </w:t>
      </w:r>
      <w:r w:rsidR="00D80509" w:rsidRPr="000009D0">
        <w:rPr>
          <w:rFonts w:cs="Times New Roman"/>
          <w:szCs w:val="24"/>
        </w:rPr>
        <w:t>exogenous sampling approach</w:t>
      </w:r>
      <w:r w:rsidR="00CB79F0">
        <w:rPr>
          <w:rFonts w:cs="Times New Roman"/>
          <w:szCs w:val="24"/>
        </w:rPr>
        <w:t xml:space="preserve"> and the good </w:t>
      </w:r>
      <w:r w:rsidR="00D80509" w:rsidRPr="000009D0">
        <w:rPr>
          <w:rFonts w:cs="Times New Roman"/>
          <w:szCs w:val="24"/>
        </w:rPr>
        <w:t>variation</w:t>
      </w:r>
      <w:r w:rsidR="00CB79F0">
        <w:rPr>
          <w:rFonts w:cs="Times New Roman"/>
          <w:szCs w:val="24"/>
        </w:rPr>
        <w:t xml:space="preserve"> in demographic variables enable us to estimate</w:t>
      </w:r>
      <w:r w:rsidR="00D80509" w:rsidRPr="000009D0">
        <w:rPr>
          <w:rFonts w:cs="Times New Roman"/>
          <w:szCs w:val="24"/>
        </w:rPr>
        <w:t xml:space="preserve"> individual</w:t>
      </w:r>
      <w:r w:rsidR="000009D0" w:rsidRPr="000009D0">
        <w:rPr>
          <w:rFonts w:cs="Times New Roman"/>
          <w:szCs w:val="24"/>
        </w:rPr>
        <w:t>-</w:t>
      </w:r>
      <w:r w:rsidR="00D80509" w:rsidRPr="000009D0">
        <w:rPr>
          <w:rFonts w:cs="Times New Roman"/>
          <w:szCs w:val="24"/>
        </w:rPr>
        <w:t xml:space="preserve">level relationships </w:t>
      </w:r>
      <w:r w:rsidR="00CB79F0">
        <w:rPr>
          <w:rFonts w:cs="Times New Roman"/>
          <w:szCs w:val="24"/>
        </w:rPr>
        <w:t xml:space="preserve">that </w:t>
      </w:r>
      <w:r w:rsidR="000009D0" w:rsidRPr="000009D0">
        <w:rPr>
          <w:rFonts w:cs="Times New Roman"/>
          <w:szCs w:val="24"/>
        </w:rPr>
        <w:t xml:space="preserve">should be </w:t>
      </w:r>
      <w:r w:rsidR="00D80509" w:rsidRPr="000009D0">
        <w:rPr>
          <w:rFonts w:cs="Times New Roman"/>
          <w:szCs w:val="24"/>
        </w:rPr>
        <w:t xml:space="preserve">applicable to the larger population. </w:t>
      </w:r>
    </w:p>
    <w:p w14:paraId="0D8B3874" w14:textId="042FDC52" w:rsidR="00D80509" w:rsidRPr="000009D0" w:rsidRDefault="00D80509" w:rsidP="00B4106B">
      <w:pPr>
        <w:autoSpaceDE w:val="0"/>
        <w:autoSpaceDN w:val="0"/>
        <w:adjustRightInd w:val="0"/>
        <w:spacing w:line="276" w:lineRule="auto"/>
        <w:jc w:val="both"/>
        <w:rPr>
          <w:rFonts w:cs="Times New Roman"/>
          <w:szCs w:val="24"/>
        </w:rPr>
      </w:pPr>
    </w:p>
    <w:p w14:paraId="3B23F3D5" w14:textId="21860965" w:rsidR="000009D0" w:rsidRPr="00B4106B" w:rsidRDefault="000009D0" w:rsidP="00504DC0">
      <w:pPr>
        <w:numPr>
          <w:ilvl w:val="1"/>
          <w:numId w:val="2"/>
        </w:numPr>
        <w:autoSpaceDE w:val="0"/>
        <w:autoSpaceDN w:val="0"/>
        <w:adjustRightInd w:val="0"/>
        <w:spacing w:line="276" w:lineRule="auto"/>
        <w:ind w:left="540" w:hanging="540"/>
        <w:jc w:val="both"/>
        <w:rPr>
          <w:b/>
          <w:bCs/>
        </w:rPr>
      </w:pPr>
      <w:r w:rsidRPr="00B4106B">
        <w:rPr>
          <w:b/>
          <w:bCs/>
        </w:rPr>
        <w:t>Model Results</w:t>
      </w:r>
    </w:p>
    <w:p w14:paraId="34B06BE2" w14:textId="7AA389B1" w:rsidR="00102A55" w:rsidRPr="00AB4649" w:rsidRDefault="00102A55" w:rsidP="00B4106B">
      <w:pPr>
        <w:spacing w:line="276" w:lineRule="auto"/>
        <w:jc w:val="both"/>
        <w:rPr>
          <w:rFonts w:cs="Times New Roman"/>
          <w:szCs w:val="24"/>
        </w:rPr>
      </w:pPr>
      <w:r w:rsidRPr="00AB4649">
        <w:rPr>
          <w:rFonts w:cs="Times New Roman"/>
          <w:szCs w:val="24"/>
        </w:rPr>
        <w:t>A number of different specifications in terms of variables and the functional forms of variables were attempted in arriving at the final model specification. All variables, except age, are in either bracketed categories (income), or are naturally discrete</w:t>
      </w:r>
      <w:r w:rsidR="00333230" w:rsidRPr="00AB4649">
        <w:rPr>
          <w:rFonts w:cs="Times New Roman"/>
          <w:szCs w:val="24"/>
        </w:rPr>
        <w:t xml:space="preserve">. Examples of the latter include </w:t>
      </w:r>
      <w:r w:rsidRPr="00AB4649">
        <w:rPr>
          <w:rFonts w:cs="Times New Roman"/>
          <w:szCs w:val="24"/>
        </w:rPr>
        <w:t>gender, race/ethnicity, education level, housing tenure</w:t>
      </w:r>
      <w:r w:rsidR="00485E66" w:rsidRPr="00AB4649">
        <w:rPr>
          <w:rFonts w:cs="Times New Roman"/>
          <w:szCs w:val="24"/>
        </w:rPr>
        <w:t>, dwelling type</w:t>
      </w:r>
      <w:r w:rsidR="002A3AB4" w:rsidRPr="00AB4649">
        <w:rPr>
          <w:rFonts w:cs="Times New Roman"/>
          <w:szCs w:val="24"/>
        </w:rPr>
        <w:t xml:space="preserve">, </w:t>
      </w:r>
      <w:r w:rsidR="00F75AE3" w:rsidRPr="00AB4649">
        <w:rPr>
          <w:rFonts w:cs="Times New Roman"/>
          <w:szCs w:val="24"/>
        </w:rPr>
        <w:t>employment status (paid employee</w:t>
      </w:r>
      <w:r w:rsidR="00333230" w:rsidRPr="00AB4649">
        <w:rPr>
          <w:rFonts w:cs="Times New Roman"/>
          <w:szCs w:val="24"/>
        </w:rPr>
        <w:t>, self-employed,</w:t>
      </w:r>
      <w:r w:rsidR="00F75AE3" w:rsidRPr="00AB4649">
        <w:rPr>
          <w:rFonts w:cs="Times New Roman"/>
          <w:szCs w:val="24"/>
        </w:rPr>
        <w:t xml:space="preserve"> </w:t>
      </w:r>
      <w:r w:rsidR="00333230" w:rsidRPr="00AB4649">
        <w:rPr>
          <w:rFonts w:cs="Times New Roman"/>
          <w:szCs w:val="24"/>
        </w:rPr>
        <w:t xml:space="preserve">unemployed/laid off temporarily, unemployed/looking for job, </w:t>
      </w:r>
      <w:r w:rsidR="002A3AB4" w:rsidRPr="00AB4649">
        <w:rPr>
          <w:rFonts w:cs="Times New Roman"/>
          <w:szCs w:val="24"/>
        </w:rPr>
        <w:t>unemployed</w:t>
      </w:r>
      <w:r w:rsidR="00333230" w:rsidRPr="00AB4649">
        <w:rPr>
          <w:rFonts w:cs="Times New Roman"/>
          <w:szCs w:val="24"/>
        </w:rPr>
        <w:t>/</w:t>
      </w:r>
      <w:r w:rsidR="002A3AB4" w:rsidRPr="00AB4649">
        <w:rPr>
          <w:rFonts w:cs="Times New Roman"/>
          <w:szCs w:val="24"/>
        </w:rPr>
        <w:t xml:space="preserve">retired, </w:t>
      </w:r>
      <w:r w:rsidR="00333230" w:rsidRPr="00AB4649">
        <w:rPr>
          <w:rFonts w:cs="Times New Roman"/>
          <w:szCs w:val="24"/>
        </w:rPr>
        <w:t xml:space="preserve">and </w:t>
      </w:r>
      <w:r w:rsidR="002A3AB4" w:rsidRPr="00AB4649">
        <w:rPr>
          <w:rFonts w:cs="Times New Roman"/>
          <w:szCs w:val="24"/>
        </w:rPr>
        <w:t>unemploye</w:t>
      </w:r>
      <w:r w:rsidR="00333230" w:rsidRPr="00AB4649">
        <w:rPr>
          <w:rFonts w:cs="Times New Roman"/>
          <w:szCs w:val="24"/>
        </w:rPr>
        <w:t>d/</w:t>
      </w:r>
      <w:r w:rsidR="002A3AB4" w:rsidRPr="00AB4649">
        <w:rPr>
          <w:rFonts w:cs="Times New Roman"/>
          <w:szCs w:val="24"/>
        </w:rPr>
        <w:t xml:space="preserve"> physically disabled</w:t>
      </w:r>
      <w:r w:rsidR="00333230" w:rsidRPr="00AB4649">
        <w:rPr>
          <w:rFonts w:cs="Times New Roman"/>
          <w:szCs w:val="24"/>
        </w:rPr>
        <w:t>)</w:t>
      </w:r>
      <w:r w:rsidR="002A3AB4" w:rsidRPr="00AB4649">
        <w:rPr>
          <w:rFonts w:cs="Times New Roman"/>
          <w:szCs w:val="24"/>
        </w:rPr>
        <w:t xml:space="preserve">, </w:t>
      </w:r>
      <w:r w:rsidRPr="00AB4649">
        <w:rPr>
          <w:rFonts w:cs="Times New Roman"/>
          <w:szCs w:val="24"/>
        </w:rPr>
        <w:t>household structure</w:t>
      </w:r>
      <w:r w:rsidR="00C05CBC" w:rsidRPr="00AB4649">
        <w:rPr>
          <w:rFonts w:cs="Times New Roman"/>
          <w:szCs w:val="24"/>
        </w:rPr>
        <w:t xml:space="preserve"> (single adult, single parent, married or unmarried couple, nuclear family, joint family of related individuals with more than two adults aged 18 or more and at least one individual </w:t>
      </w:r>
      <w:r w:rsidR="00D50EC2" w:rsidRPr="00AB4649">
        <w:rPr>
          <w:rFonts w:cs="Times New Roman"/>
          <w:szCs w:val="24"/>
        </w:rPr>
        <w:t>of 17 years of age or younger</w:t>
      </w:r>
      <w:r w:rsidR="00C05CBC" w:rsidRPr="00AB4649">
        <w:rPr>
          <w:rFonts w:cs="Times New Roman"/>
          <w:szCs w:val="24"/>
        </w:rPr>
        <w:t xml:space="preserve">, household with more than two adults </w:t>
      </w:r>
      <w:r w:rsidR="00D50EC2" w:rsidRPr="00AB4649">
        <w:rPr>
          <w:rFonts w:cs="Times New Roman"/>
          <w:szCs w:val="24"/>
        </w:rPr>
        <w:t xml:space="preserve">aged 18 or more </w:t>
      </w:r>
      <w:r w:rsidR="00C05CBC" w:rsidRPr="00AB4649">
        <w:rPr>
          <w:rFonts w:cs="Times New Roman"/>
          <w:szCs w:val="24"/>
        </w:rPr>
        <w:t xml:space="preserve">and no </w:t>
      </w:r>
      <w:r w:rsidR="00D50EC2" w:rsidRPr="00AB4649">
        <w:rPr>
          <w:rFonts w:cs="Times New Roman"/>
          <w:szCs w:val="24"/>
        </w:rPr>
        <w:t>individual 17 years or younger</w:t>
      </w:r>
      <w:r w:rsidR="00C05CBC" w:rsidRPr="00AB4649">
        <w:rPr>
          <w:rFonts w:cs="Times New Roman"/>
          <w:szCs w:val="24"/>
        </w:rPr>
        <w:t>)</w:t>
      </w:r>
      <w:r w:rsidR="002A3AB4" w:rsidRPr="00AB4649">
        <w:rPr>
          <w:rFonts w:cs="Times New Roman"/>
          <w:szCs w:val="24"/>
        </w:rPr>
        <w:t>, and residence region of the U.S</w:t>
      </w:r>
      <w:r w:rsidRPr="00AB4649">
        <w:rPr>
          <w:rFonts w:cs="Times New Roman"/>
          <w:szCs w:val="24"/>
        </w:rPr>
        <w:t>.</w:t>
      </w:r>
      <w:r w:rsidR="00F75AE3" w:rsidRPr="00202391">
        <w:rPr>
          <w:rFonts w:cs="Times New Roman"/>
          <w:szCs w:val="24"/>
          <w:vertAlign w:val="superscript"/>
        </w:rPr>
        <w:footnoteReference w:id="9"/>
      </w:r>
      <w:r w:rsidRPr="00202391">
        <w:rPr>
          <w:rFonts w:cs="Times New Roman"/>
          <w:szCs w:val="24"/>
          <w:vertAlign w:val="superscript"/>
        </w:rPr>
        <w:t xml:space="preserve"> </w:t>
      </w:r>
      <w:r w:rsidRPr="00AB4649">
        <w:rPr>
          <w:rFonts w:cs="Times New Roman"/>
          <w:szCs w:val="24"/>
        </w:rPr>
        <w:t xml:space="preserve">The </w:t>
      </w:r>
      <w:r w:rsidR="00333230" w:rsidRPr="00AB4649">
        <w:rPr>
          <w:rFonts w:cs="Times New Roman"/>
          <w:szCs w:val="24"/>
        </w:rPr>
        <w:t xml:space="preserve">influence of the bracketed and discrete exogenous variables </w:t>
      </w:r>
      <w:r w:rsidRPr="00AB4649">
        <w:rPr>
          <w:rFonts w:cs="Times New Roman"/>
          <w:szCs w:val="24"/>
        </w:rPr>
        <w:t xml:space="preserve">were tested as dummy variables in the most disaggregate form possible, and progressively combined </w:t>
      </w:r>
      <w:r w:rsidR="00333230" w:rsidRPr="00AB4649">
        <w:rPr>
          <w:rFonts w:cs="Times New Roman"/>
          <w:szCs w:val="24"/>
        </w:rPr>
        <w:t xml:space="preserve">for parsimony </w:t>
      </w:r>
      <w:r w:rsidRPr="00AB4649">
        <w:rPr>
          <w:rFonts w:cs="Times New Roman"/>
          <w:szCs w:val="24"/>
        </w:rPr>
        <w:t>based on statistical tests</w:t>
      </w:r>
      <w:r w:rsidR="00333230" w:rsidRPr="00AB4649">
        <w:rPr>
          <w:rFonts w:cs="Times New Roman"/>
          <w:szCs w:val="24"/>
        </w:rPr>
        <w:t xml:space="preserve">. </w:t>
      </w:r>
      <w:r w:rsidRPr="00AB4649">
        <w:rPr>
          <w:rFonts w:cs="Times New Roman"/>
          <w:szCs w:val="24"/>
        </w:rPr>
        <w:t xml:space="preserve"> </w:t>
      </w:r>
      <w:r w:rsidR="00C05CBC" w:rsidRPr="00AB4649">
        <w:rPr>
          <w:rFonts w:cs="Times New Roman"/>
          <w:szCs w:val="24"/>
        </w:rPr>
        <w:t xml:space="preserve">For the </w:t>
      </w:r>
      <w:r w:rsidR="00D50EC2" w:rsidRPr="00AB4649">
        <w:rPr>
          <w:rFonts w:cs="Times New Roman"/>
          <w:szCs w:val="24"/>
        </w:rPr>
        <w:t xml:space="preserve">continuous </w:t>
      </w:r>
      <w:r w:rsidR="00C05CBC" w:rsidRPr="00AB4649">
        <w:rPr>
          <w:rFonts w:cs="Times New Roman"/>
          <w:szCs w:val="24"/>
        </w:rPr>
        <w:t xml:space="preserve">age variable, </w:t>
      </w:r>
      <w:r w:rsidR="00CB79F0">
        <w:rPr>
          <w:rFonts w:cs="Times New Roman"/>
          <w:szCs w:val="24"/>
        </w:rPr>
        <w:t xml:space="preserve">alternative </w:t>
      </w:r>
      <w:r w:rsidRPr="00AB4649">
        <w:rPr>
          <w:rFonts w:cs="Times New Roman"/>
          <w:szCs w:val="24"/>
        </w:rPr>
        <w:t>functional forms</w:t>
      </w:r>
      <w:r w:rsidR="00CB79F0">
        <w:rPr>
          <w:rFonts w:cs="Times New Roman"/>
          <w:szCs w:val="24"/>
        </w:rPr>
        <w:t xml:space="preserve"> (such as </w:t>
      </w:r>
      <w:r w:rsidRPr="00AB4649">
        <w:rPr>
          <w:rFonts w:cs="Times New Roman"/>
          <w:szCs w:val="24"/>
        </w:rPr>
        <w:t>a continuous linear form, a continuous logarithm form, a piece-wise linear form, and a set of dummy variables for different ranges</w:t>
      </w:r>
      <w:r w:rsidR="00CB79F0">
        <w:rPr>
          <w:rFonts w:cs="Times New Roman"/>
          <w:szCs w:val="24"/>
        </w:rPr>
        <w:t>) were tested</w:t>
      </w:r>
      <w:r w:rsidRPr="00AB4649">
        <w:rPr>
          <w:rFonts w:cs="Times New Roman"/>
          <w:szCs w:val="24"/>
        </w:rPr>
        <w:t xml:space="preserve">. </w:t>
      </w:r>
      <w:r w:rsidR="00D50EC2" w:rsidRPr="00AB4649">
        <w:rPr>
          <w:rFonts w:cs="Times New Roman"/>
          <w:szCs w:val="24"/>
        </w:rPr>
        <w:t xml:space="preserve">At the end the effect of age was best represented in dummy variable form. </w:t>
      </w:r>
      <w:r w:rsidRPr="00AB4649">
        <w:rPr>
          <w:rFonts w:cs="Times New Roman"/>
          <w:szCs w:val="24"/>
        </w:rPr>
        <w:t>Further, we examined interaction effects across</w:t>
      </w:r>
      <w:r w:rsidR="00C05CBC" w:rsidRPr="00AB4649">
        <w:rPr>
          <w:rFonts w:cs="Times New Roman"/>
          <w:szCs w:val="24"/>
        </w:rPr>
        <w:t xml:space="preserve"> </w:t>
      </w:r>
      <w:r w:rsidRPr="00AB4649">
        <w:rPr>
          <w:rFonts w:cs="Times New Roman"/>
          <w:szCs w:val="24"/>
        </w:rPr>
        <w:t xml:space="preserve">variables, </w:t>
      </w:r>
      <w:r w:rsidR="00C05CBC" w:rsidRPr="00AB4649">
        <w:rPr>
          <w:rFonts w:cs="Times New Roman"/>
          <w:szCs w:val="24"/>
        </w:rPr>
        <w:t xml:space="preserve">including between urban and gender, urban and race/ethnicity, </w:t>
      </w:r>
      <w:r w:rsidR="00D50EC2" w:rsidRPr="00AB4649">
        <w:rPr>
          <w:rFonts w:cs="Times New Roman"/>
          <w:szCs w:val="24"/>
        </w:rPr>
        <w:t xml:space="preserve">and </w:t>
      </w:r>
      <w:r w:rsidR="00C05CBC" w:rsidRPr="00AB4649">
        <w:rPr>
          <w:rFonts w:cs="Times New Roman"/>
          <w:szCs w:val="24"/>
        </w:rPr>
        <w:t>urban and household structure</w:t>
      </w:r>
      <w:r w:rsidR="00D50EC2" w:rsidRPr="00AB4649">
        <w:rPr>
          <w:rFonts w:cs="Times New Roman"/>
          <w:szCs w:val="24"/>
        </w:rPr>
        <w:t xml:space="preserve"> in the walk frequency equation (after accounting for the jointness through correlation effects between the urban residence and walk frequency endogenous outcomes)</w:t>
      </w:r>
      <w:r w:rsidR="00C05CBC" w:rsidRPr="00AB4649">
        <w:rPr>
          <w:rFonts w:cs="Times New Roman"/>
          <w:szCs w:val="24"/>
        </w:rPr>
        <w:t xml:space="preserve">, </w:t>
      </w:r>
      <w:r w:rsidR="00D50EC2" w:rsidRPr="00AB4649">
        <w:rPr>
          <w:rFonts w:cs="Times New Roman"/>
          <w:szCs w:val="24"/>
        </w:rPr>
        <w:t xml:space="preserve">but none of </w:t>
      </w:r>
      <w:r w:rsidRPr="00AB4649">
        <w:rPr>
          <w:rFonts w:cs="Times New Roman"/>
          <w:szCs w:val="24"/>
        </w:rPr>
        <w:t xml:space="preserve">these came out to be statistically significant.  </w:t>
      </w:r>
    </w:p>
    <w:p w14:paraId="6F27864E" w14:textId="06B3CF1E" w:rsidR="00102A55" w:rsidRDefault="00102A55" w:rsidP="00B4106B">
      <w:pPr>
        <w:shd w:val="clear" w:color="auto" w:fill="FFFFFF"/>
        <w:spacing w:line="276" w:lineRule="auto"/>
        <w:ind w:firstLine="720"/>
        <w:jc w:val="both"/>
        <w:rPr>
          <w:rFonts w:cs="Times New Roman"/>
          <w:szCs w:val="24"/>
        </w:rPr>
      </w:pPr>
      <w:bookmarkStart w:id="13" w:name="_Hlk91324619"/>
      <w:r w:rsidRPr="00AB4649">
        <w:rPr>
          <w:rFonts w:cs="Times New Roman"/>
          <w:szCs w:val="24"/>
        </w:rPr>
        <w:lastRenderedPageBreak/>
        <w:t xml:space="preserve">The final model specification is presented in Table </w:t>
      </w:r>
      <w:r w:rsidR="00E76311">
        <w:rPr>
          <w:rFonts w:cs="Times New Roman"/>
          <w:szCs w:val="24"/>
        </w:rPr>
        <w:t>1</w:t>
      </w:r>
      <w:r w:rsidRPr="00AB4649">
        <w:rPr>
          <w:rFonts w:cs="Times New Roman"/>
          <w:szCs w:val="24"/>
        </w:rPr>
        <w:t xml:space="preserve">. </w:t>
      </w:r>
      <w:bookmarkEnd w:id="13"/>
      <w:r w:rsidRPr="00AB4649">
        <w:rPr>
          <w:rFonts w:cs="Times New Roman"/>
          <w:szCs w:val="24"/>
        </w:rPr>
        <w:t xml:space="preserve">The parameters </w:t>
      </w:r>
      <w:r w:rsidR="00AB4649" w:rsidRPr="00AB4649">
        <w:rPr>
          <w:rFonts w:cs="Times New Roman"/>
          <w:szCs w:val="24"/>
        </w:rPr>
        <w:t xml:space="preserve">for the urban </w:t>
      </w:r>
      <w:r w:rsidR="00352364">
        <w:rPr>
          <w:rFonts w:cs="Times New Roman"/>
          <w:szCs w:val="24"/>
        </w:rPr>
        <w:t xml:space="preserve">or non-urban </w:t>
      </w:r>
      <w:r w:rsidR="00AB4649" w:rsidRPr="00AB4649">
        <w:rPr>
          <w:rFonts w:cs="Times New Roman"/>
          <w:szCs w:val="24"/>
        </w:rPr>
        <w:t xml:space="preserve">residence model component </w:t>
      </w:r>
      <w:r w:rsidRPr="00AB4649">
        <w:rPr>
          <w:rFonts w:cs="Times New Roman"/>
          <w:szCs w:val="24"/>
        </w:rPr>
        <w:t xml:space="preserve">represent the elements of the </w:t>
      </w:r>
      <w:r w:rsidR="00B00F0B" w:rsidRPr="00AB4649">
        <w:rPr>
          <w:rFonts w:cs="Times New Roman"/>
          <w:position w:val="-10"/>
          <w:szCs w:val="24"/>
        </w:rPr>
        <w:object w:dxaOrig="200" w:dyaOrig="320" w14:anchorId="273EA766">
          <v:shape id="_x0000_i1147" type="#_x0000_t75" style="width:9.85pt;height:15.85pt" o:ole="" o:preferrelative="f">
            <v:imagedata r:id="rId131" o:title=""/>
            <o:lock v:ext="edit" aspectratio="f"/>
          </v:shape>
          <o:OLEObject Type="Embed" ProgID="Equation.DSMT4" ShapeID="_x0000_i1147" DrawAspect="Content" ObjectID="_1768995622" r:id="rId224"/>
        </w:object>
      </w:r>
      <w:r w:rsidR="00AB4649" w:rsidRPr="00AB4649">
        <w:rPr>
          <w:rFonts w:cs="Times New Roman"/>
          <w:szCs w:val="24"/>
        </w:rPr>
        <w:t xml:space="preserve"> vector (that is, the effect of exogenous variables on the propensity to live in an urban region), while those for the walk frequency component refer to the elements of the </w:t>
      </w:r>
      <w:r w:rsidR="00E214AA" w:rsidRPr="00AB4649">
        <w:rPr>
          <w:rFonts w:cs="Times New Roman"/>
          <w:position w:val="-10"/>
          <w:szCs w:val="24"/>
        </w:rPr>
        <w:object w:dxaOrig="200" w:dyaOrig="260" w14:anchorId="29A8B04C">
          <v:shape id="_x0000_i1148" type="#_x0000_t75" style="width:10.7pt;height:13.3pt" o:ole="" o:preferrelative="f">
            <v:imagedata r:id="rId133" o:title=""/>
            <o:lock v:ext="edit" aspectratio="f"/>
          </v:shape>
          <o:OLEObject Type="Embed" ProgID="Equation.DSMT4" ShapeID="_x0000_i1148" DrawAspect="Content" ObjectID="_1768995623" r:id="rId225"/>
        </w:object>
      </w:r>
      <w:r w:rsidR="00AB4649" w:rsidRPr="00AB4649">
        <w:rPr>
          <w:rFonts w:cs="Times New Roman"/>
          <w:szCs w:val="24"/>
        </w:rPr>
        <w:t xml:space="preserve"> vector </w:t>
      </w:r>
      <w:r w:rsidR="00202391">
        <w:rPr>
          <w:rFonts w:cs="Times New Roman"/>
          <w:szCs w:val="24"/>
        </w:rPr>
        <w:t xml:space="preserve">and </w:t>
      </w:r>
      <w:r w:rsidR="00AB4649" w:rsidRPr="00AB4649">
        <w:rPr>
          <w:rFonts w:cs="Times New Roman"/>
          <w:szCs w:val="24"/>
        </w:rPr>
        <w:t xml:space="preserve">the urban “treatment” effect  parameter </w:t>
      </w:r>
      <w:r w:rsidR="00B00F0B" w:rsidRPr="00AB4649">
        <w:rPr>
          <w:rFonts w:cs="Times New Roman"/>
          <w:position w:val="-6"/>
          <w:szCs w:val="24"/>
        </w:rPr>
        <w:object w:dxaOrig="220" w:dyaOrig="279" w14:anchorId="47802EF2">
          <v:shape id="_x0000_i1149" type="#_x0000_t75" style="width:10.7pt;height:13.7pt" o:ole="" o:preferrelative="f">
            <v:imagedata r:id="rId135" o:title=""/>
            <o:lock v:ext="edit" aspectratio="f"/>
          </v:shape>
          <o:OLEObject Type="Embed" ProgID="Equation.DSMT4" ShapeID="_x0000_i1149" DrawAspect="Content" ObjectID="_1768995624" r:id="rId226"/>
        </w:object>
      </w:r>
      <w:r w:rsidR="00AB4649" w:rsidRPr="00AB4649">
        <w:rPr>
          <w:rFonts w:cs="Times New Roman"/>
          <w:szCs w:val="24"/>
        </w:rPr>
        <w:t xml:space="preserve"> (that is, the effect of exogenous variables and “urban” residence on the propensity underlying walking frequency).  </w:t>
      </w:r>
      <w:r w:rsidR="00202391">
        <w:rPr>
          <w:rFonts w:cs="Times New Roman"/>
          <w:szCs w:val="24"/>
        </w:rPr>
        <w:t xml:space="preserve">In Table 1, categories that do not appear in the column for </w:t>
      </w:r>
      <w:r w:rsidR="003951C5">
        <w:rPr>
          <w:rFonts w:cs="Times New Roman"/>
          <w:szCs w:val="24"/>
        </w:rPr>
        <w:t>urban living propensity or walk frequency propensity constitute the base categories. A</w:t>
      </w:r>
      <w:r w:rsidR="00B4106B">
        <w:rPr>
          <w:rFonts w:cs="Times New Roman"/>
          <w:szCs w:val="24"/>
        </w:rPr>
        <w:t xml:space="preserve"> ‘</w:t>
      </w:r>
      <w:r w:rsidR="003951C5">
        <w:rPr>
          <w:rFonts w:cs="Times New Roman"/>
          <w:szCs w:val="24"/>
        </w:rPr>
        <w:t>-</w:t>
      </w:r>
      <w:r w:rsidR="00B4106B">
        <w:rPr>
          <w:rFonts w:cs="Times New Roman"/>
          <w:szCs w:val="24"/>
        </w:rPr>
        <w:t>’</w:t>
      </w:r>
      <w:r w:rsidR="003951C5">
        <w:rPr>
          <w:rFonts w:cs="Times New Roman"/>
          <w:szCs w:val="24"/>
        </w:rPr>
        <w:t xml:space="preserve"> in the table implies that the corresponding coefficient was not statistically significant </w:t>
      </w:r>
      <w:r w:rsidR="00F84B2A">
        <w:rPr>
          <w:rFonts w:cs="Times New Roman"/>
          <w:szCs w:val="24"/>
        </w:rPr>
        <w:t xml:space="preserve">at </w:t>
      </w:r>
      <w:r w:rsidR="009724B2">
        <w:rPr>
          <w:rFonts w:cs="Times New Roman"/>
          <w:szCs w:val="24"/>
        </w:rPr>
        <w:t xml:space="preserve">even </w:t>
      </w:r>
      <w:r w:rsidR="00F84B2A">
        <w:rPr>
          <w:rFonts w:cs="Times New Roman"/>
          <w:szCs w:val="24"/>
        </w:rPr>
        <w:t xml:space="preserve">the 10% </w:t>
      </w:r>
      <w:r w:rsidR="002936FC">
        <w:rPr>
          <w:rFonts w:cs="Times New Roman"/>
          <w:szCs w:val="24"/>
        </w:rPr>
        <w:t xml:space="preserve">level of significance. </w:t>
      </w:r>
    </w:p>
    <w:p w14:paraId="324B12E4" w14:textId="49F75672" w:rsidR="00B00F0B" w:rsidRDefault="00B00F0B" w:rsidP="00B00F0B">
      <w:pPr>
        <w:spacing w:line="276" w:lineRule="auto"/>
        <w:ind w:firstLine="720"/>
        <w:jc w:val="both"/>
        <w:rPr>
          <w:rFonts w:cs="Times New Roman"/>
          <w:szCs w:val="24"/>
        </w:rPr>
      </w:pPr>
      <w:r w:rsidRPr="00352C7E">
        <w:rPr>
          <w:rFonts w:cs="Times New Roman"/>
          <w:szCs w:val="24"/>
        </w:rPr>
        <w:t xml:space="preserve">The results indicate that individuals from higher income households, with higher than a bachelor’s degree, and older individuals </w:t>
      </w:r>
      <w:r>
        <w:rPr>
          <w:rFonts w:cs="Times New Roman"/>
          <w:szCs w:val="24"/>
        </w:rPr>
        <w:t xml:space="preserve">(80 years or older) </w:t>
      </w:r>
      <w:r w:rsidRPr="00352C7E">
        <w:rPr>
          <w:rFonts w:cs="Times New Roman"/>
          <w:szCs w:val="24"/>
        </w:rPr>
        <w:t xml:space="preserve">are more likely than their peers to be urban residents. In the context of a post-COVID landscape, these are quite interesting and suggest some shifts in residential choice patterns from before. There </w:t>
      </w:r>
      <w:r>
        <w:rPr>
          <w:rFonts w:cs="Times New Roman"/>
          <w:szCs w:val="24"/>
        </w:rPr>
        <w:t xml:space="preserve">appears to be </w:t>
      </w:r>
      <w:r w:rsidRPr="00352C7E">
        <w:rPr>
          <w:rFonts w:cs="Times New Roman"/>
          <w:szCs w:val="24"/>
        </w:rPr>
        <w:t xml:space="preserve">more of </w:t>
      </w:r>
      <w:r>
        <w:rPr>
          <w:rFonts w:cs="Times New Roman"/>
          <w:szCs w:val="24"/>
        </w:rPr>
        <w:t xml:space="preserve">a </w:t>
      </w:r>
      <w:r w:rsidRPr="00352C7E">
        <w:rPr>
          <w:rFonts w:cs="Times New Roman"/>
          <w:szCs w:val="24"/>
        </w:rPr>
        <w:t xml:space="preserve">move away from urban areas (to non-urban areas) among individuals with lower incomes and with low formal education degrees, in their quest to get better quality housing farther away, facilitated also by increased teleworking potential for erstwhile “blue collar” jobs (see Asmussen et al., </w:t>
      </w:r>
      <w:r>
        <w:rPr>
          <w:rFonts w:cs="Times New Roman"/>
          <w:szCs w:val="24"/>
        </w:rPr>
        <w:t>2023</w:t>
      </w:r>
      <w:r w:rsidRPr="00352C7E">
        <w:rPr>
          <w:rFonts w:cs="Times New Roman"/>
          <w:szCs w:val="24"/>
        </w:rPr>
        <w:t xml:space="preserve">). Besides, recent studies have suggested that there has been a tempering in the market potential differential for employability between urban and non-urban areas, which would once again spur moves of low income individuals and those with low formal education degrees toward non-urban areas </w:t>
      </w:r>
      <w:r w:rsidRPr="00352C7E">
        <w:rPr>
          <w:rFonts w:cs="Times New Roman"/>
          <w:szCs w:val="24"/>
        </w:rPr>
        <w:fldChar w:fldCharType="begin"/>
      </w:r>
      <w:r w:rsidRPr="00352C7E">
        <w:rPr>
          <w:rFonts w:cs="Times New Roman"/>
          <w:szCs w:val="24"/>
        </w:rPr>
        <w:instrText xml:space="preserve"> ADDIN ZOTERO_ITEM CSL_CITATION {"citationID":"4V3kwyy4","properties":{"formattedCitation":"(Blumenberg and Wander, 2022)","plainCitation":"(Blumenberg and Wander, 2022)","noteIndex":0},"citationItems":[{"id":688,"uris":["http://zotero.org/users/local/1ztI2Oc6/items/NWMTQEMB","http://zotero.org/users/12832277/items/NWMTQEMB"],"itemData":{"id":688,"type":"article-journal","abstract":"The growing affordable housing crisis in high-cost metropolitan areas may force households to seek lower cost housing in the outer reaches of metropolitan areas contributing to the recent increase in commute distance. To explore this assertion, we test the relationship between the availability of affordable housing relative to jobs and commute distance in two diverse metropolitan statistical areas in Southern California: Los Angeles-Orange (higher cost, coastal, older, more urban) and Riverside-San Bernardino (lower cost, inland, newer, more suburban). A worse “fit” between the number of low-wage jobs and affordable housing rentals is associated with longer commute distances in LA-Orange, but is not statistically significant in Riverside-San Bernardino. This study’s findings highlight the differences in housing dynamics and commute distances between higher cost coastal regions and lower cost inland regions—and underscore the importance of protecting and expanding the supply of affordable housing in job-rich neighborhoods located in more expensive, coastal cities.","container-title":"Urban Geography","DOI":"10.1080/02723638.2022.2087319","ISSN":"0272-3638","issue":"0","note":"publisher: Routledge\n_eprint: https://doi.org/10.1080/02723638.2022.2087319","page":"1-20","source":"Taylor and Francis+NEJM","title":"Housing Affordability and Commute Distance","volume":"0","author":[{"family":"Blumenberg","given":"Evelyn"},{"family":"Wander","given":"Madeline"}],"issued":{"date-parts":[["2022",6,15]]}}}],"schema":"https://github.com/citation-style-language/schema/raw/master/csl-citation.json"} </w:instrText>
      </w:r>
      <w:r w:rsidRPr="00352C7E">
        <w:rPr>
          <w:rFonts w:cs="Times New Roman"/>
          <w:szCs w:val="24"/>
        </w:rPr>
        <w:fldChar w:fldCharType="separate"/>
      </w:r>
      <w:r w:rsidRPr="00352C7E">
        <w:rPr>
          <w:rFonts w:cs="Times New Roman"/>
          <w:szCs w:val="24"/>
        </w:rPr>
        <w:t>(</w:t>
      </w:r>
      <w:bookmarkStart w:id="14" w:name="_Hlk155433237"/>
      <w:r w:rsidRPr="00352C7E">
        <w:rPr>
          <w:rFonts w:cs="Times New Roman"/>
          <w:szCs w:val="24"/>
        </w:rPr>
        <w:t>Blumenberg and Wander, 2022</w:t>
      </w:r>
      <w:bookmarkEnd w:id="14"/>
      <w:r w:rsidRPr="00352C7E">
        <w:rPr>
          <w:rFonts w:cs="Times New Roman"/>
          <w:szCs w:val="24"/>
        </w:rPr>
        <w:t>)</w:t>
      </w:r>
      <w:r w:rsidRPr="00352C7E">
        <w:rPr>
          <w:rFonts w:cs="Times New Roman"/>
          <w:szCs w:val="24"/>
        </w:rPr>
        <w:fldChar w:fldCharType="end"/>
      </w:r>
      <w:r w:rsidRPr="00352C7E">
        <w:rPr>
          <w:rFonts w:cs="Times New Roman"/>
          <w:szCs w:val="24"/>
        </w:rPr>
        <w:t>. The higher tendency of older individuals to be located in urban areas may be tied to the reluctance to move away from current residences relative to younger individuals. Older individuals typically are averse to changes in life rhythms because stability provides a form of mental self-esteem boost (a sense of control and reduced stress/anxiety) for them at a time when their physical self-esteem may be on the decline (Duque et al., 20</w:t>
      </w:r>
      <w:r>
        <w:rPr>
          <w:rFonts w:cs="Times New Roman"/>
          <w:szCs w:val="24"/>
        </w:rPr>
        <w:t>21</w:t>
      </w:r>
      <w:r w:rsidRPr="00352C7E">
        <w:rPr>
          <w:rFonts w:cs="Times New Roman"/>
          <w:szCs w:val="24"/>
        </w:rPr>
        <w:t xml:space="preserve">). </w:t>
      </w:r>
      <w:bookmarkStart w:id="15" w:name="_Hlk155433256"/>
    </w:p>
    <w:p w14:paraId="3B1D5ACF" w14:textId="05208634" w:rsidR="00B00F0B" w:rsidRDefault="00B00F0B" w:rsidP="00B00F0B">
      <w:pPr>
        <w:spacing w:line="276" w:lineRule="auto"/>
        <w:ind w:firstLine="720"/>
        <w:jc w:val="both"/>
        <w:rPr>
          <w:rFonts w:cs="Times New Roman"/>
          <w:szCs w:val="24"/>
        </w:rPr>
      </w:pPr>
      <w:r w:rsidRPr="00352C7E">
        <w:rPr>
          <w:rFonts w:cs="Times New Roman"/>
          <w:szCs w:val="24"/>
        </w:rPr>
        <w:t xml:space="preserve">While some effects on residential location may have shifted in the aftermath of the COVID pandemic, others do not appear to have. In particular, individuals who identify as white non-Hispanic and those who live in an owned single-unit house </w:t>
      </w:r>
      <w:r>
        <w:rPr>
          <w:rFonts w:cs="Times New Roman"/>
          <w:szCs w:val="24"/>
        </w:rPr>
        <w:t xml:space="preserve">(that is, do not live in rented apartment dwellings) </w:t>
      </w:r>
      <w:r w:rsidRPr="00352C7E">
        <w:rPr>
          <w:rFonts w:cs="Times New Roman"/>
          <w:szCs w:val="24"/>
        </w:rPr>
        <w:t>are unlikely urban area residents. This is tied to non-white individuals having limited opportunities of residential mobility over decades, containing them to urban areas with a high supply of rental apartment dwellings. This may be traced to the long history of racial discrimination in the housing sector in the United States, offering more opportunit</w:t>
      </w:r>
      <w:r>
        <w:rPr>
          <w:rFonts w:cs="Times New Roman"/>
          <w:szCs w:val="24"/>
        </w:rPr>
        <w:t>ies</w:t>
      </w:r>
      <w:r w:rsidRPr="00352C7E">
        <w:rPr>
          <w:rFonts w:cs="Times New Roman"/>
          <w:szCs w:val="24"/>
        </w:rPr>
        <w:t xml:space="preserve"> to white families to secure government-insured mortgages, while non-white families were not afforded the same level of benefits </w:t>
      </w:r>
      <w:r w:rsidRPr="00352C7E">
        <w:rPr>
          <w:rFonts w:cs="Times New Roman"/>
          <w:b/>
          <w:bCs/>
          <w:szCs w:val="24"/>
        </w:rPr>
        <w:fldChar w:fldCharType="begin"/>
      </w:r>
      <w:r w:rsidRPr="00352C7E">
        <w:rPr>
          <w:rFonts w:cs="Times New Roman"/>
          <w:b/>
          <w:bCs/>
          <w:szCs w:val="24"/>
        </w:rPr>
        <w:instrText xml:space="preserve"> ADDIN ZOTERO_ITEM CSL_CITATION {"citationID":"6LcmqM0M","properties":{"formattedCitation":"(Faber, 2020)","plainCitation":"(Faber, 2020)","noteIndex":0},"citationItems":[{"id":735,"uris":["http://zotero.org/users/local/1ztI2Oc6/items/DAMLH326","http://zotero.org/users/12832277/items/DAMLH326"],"itemData":{"id":735,"type":"article-journal","container-title":"American Sociological Review","issue":"5","note":"publisher: SAGE Publications Sage CA: Los Angeles, CA","page":"739–775","source":"Google Scholar","title":"We Built This: Consequences of New Deal Era Intervention in America’s Racial Geography","title-short":"We Built This","volume":"85","author":[{"family":"Faber","given":"Jacob W."}],"issued":{"date-parts":[["2020"]]}}}],"schema":"https://github.com/citation-style-language/schema/raw/master/csl-citation.json"} </w:instrText>
      </w:r>
      <w:r w:rsidRPr="00352C7E">
        <w:rPr>
          <w:rFonts w:cs="Times New Roman"/>
          <w:b/>
          <w:bCs/>
          <w:szCs w:val="24"/>
        </w:rPr>
        <w:fldChar w:fldCharType="separate"/>
      </w:r>
      <w:r w:rsidRPr="00352C7E">
        <w:rPr>
          <w:rFonts w:cs="Times New Roman"/>
          <w:szCs w:val="24"/>
        </w:rPr>
        <w:t>(Faber, 2020; Bhat et al., 2022)</w:t>
      </w:r>
      <w:r w:rsidRPr="00352C7E">
        <w:rPr>
          <w:rFonts w:cs="Times New Roman"/>
          <w:b/>
          <w:bCs/>
          <w:szCs w:val="24"/>
        </w:rPr>
        <w:fldChar w:fldCharType="end"/>
      </w:r>
      <w:r w:rsidRPr="00352C7E">
        <w:rPr>
          <w:rFonts w:cs="Times New Roman"/>
          <w:szCs w:val="24"/>
        </w:rPr>
        <w:t xml:space="preserve">. </w:t>
      </w:r>
      <w:bookmarkEnd w:id="15"/>
      <w:r>
        <w:rPr>
          <w:rFonts w:cs="Times New Roman"/>
          <w:szCs w:val="24"/>
        </w:rPr>
        <w:t>Also, individuals in the south and midwest of the country are less likely to be located in urban areas, as these parts of the country have large swaths of land with more spatial dispersion of residences.</w:t>
      </w:r>
    </w:p>
    <w:p w14:paraId="4BC93668" w14:textId="0139127F" w:rsidR="00B00F0B" w:rsidRDefault="00B00F0B" w:rsidP="00B00F0B">
      <w:pPr>
        <w:spacing w:line="276" w:lineRule="auto"/>
        <w:ind w:firstLine="720"/>
        <w:jc w:val="both"/>
        <w:rPr>
          <w:rFonts w:cs="Times New Roman"/>
          <w:szCs w:val="24"/>
        </w:rPr>
      </w:pPr>
    </w:p>
    <w:p w14:paraId="05873608" w14:textId="77777777" w:rsidR="00B00F0B" w:rsidRDefault="00B00F0B" w:rsidP="00B00F0B">
      <w:pPr>
        <w:spacing w:line="276" w:lineRule="auto"/>
        <w:ind w:firstLine="720"/>
        <w:jc w:val="both"/>
        <w:rPr>
          <w:rFonts w:cs="Times New Roman"/>
          <w:szCs w:val="24"/>
        </w:rPr>
      </w:pPr>
    </w:p>
    <w:p w14:paraId="653A474C" w14:textId="7F46E958" w:rsidR="00B00F0B" w:rsidRDefault="00B00F0B" w:rsidP="00B4106B">
      <w:pPr>
        <w:shd w:val="clear" w:color="auto" w:fill="FFFFFF"/>
        <w:spacing w:line="276" w:lineRule="auto"/>
        <w:ind w:firstLine="720"/>
        <w:jc w:val="both"/>
        <w:rPr>
          <w:rFonts w:cs="Times New Roman"/>
          <w:szCs w:val="24"/>
        </w:rPr>
      </w:pPr>
    </w:p>
    <w:p w14:paraId="5E72E3A1" w14:textId="789391B1" w:rsidR="00D40E00" w:rsidRDefault="00D40E00" w:rsidP="00B4106B">
      <w:pPr>
        <w:shd w:val="clear" w:color="auto" w:fill="FFFFFF"/>
        <w:spacing w:line="276" w:lineRule="auto"/>
        <w:ind w:firstLine="720"/>
        <w:jc w:val="both"/>
        <w:rPr>
          <w:rFonts w:cs="Times New Roman"/>
          <w:szCs w:val="24"/>
        </w:rPr>
      </w:pPr>
    </w:p>
    <w:p w14:paraId="50493D51" w14:textId="77777777" w:rsidR="00D40E00" w:rsidRDefault="00D40E00" w:rsidP="00B4106B">
      <w:pPr>
        <w:shd w:val="clear" w:color="auto" w:fill="FFFFFF"/>
        <w:spacing w:line="276" w:lineRule="auto"/>
        <w:ind w:firstLine="720"/>
        <w:jc w:val="both"/>
        <w:rPr>
          <w:rFonts w:cs="Times New Roman"/>
          <w:szCs w:val="24"/>
        </w:rPr>
      </w:pPr>
    </w:p>
    <w:p w14:paraId="1DF960D9" w14:textId="77777777" w:rsidR="00B00F0B" w:rsidRPr="001F473C" w:rsidRDefault="00B00F0B" w:rsidP="00B00F0B">
      <w:pPr>
        <w:contextualSpacing/>
        <w:jc w:val="both"/>
        <w:rPr>
          <w:b/>
          <w:bCs/>
        </w:rPr>
      </w:pPr>
      <w:r w:rsidRPr="001F473C">
        <w:rPr>
          <w:b/>
          <w:bCs/>
        </w:rPr>
        <w:lastRenderedPageBreak/>
        <w:t xml:space="preserve">Table </w:t>
      </w:r>
      <w:r>
        <w:rPr>
          <w:b/>
          <w:bCs/>
        </w:rPr>
        <w:t>1</w:t>
      </w:r>
      <w:r w:rsidRPr="001F473C">
        <w:rPr>
          <w:b/>
          <w:bCs/>
        </w:rPr>
        <w:t>: Main outcome results (coefficients represent effects on underlying latent propensity)</w:t>
      </w:r>
    </w:p>
    <w:tbl>
      <w:tblPr>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5575"/>
        <w:gridCol w:w="938"/>
        <w:gridCol w:w="939"/>
        <w:gridCol w:w="939"/>
        <w:gridCol w:w="939"/>
      </w:tblGrid>
      <w:tr w:rsidR="00B00F0B" w:rsidRPr="00B00F0B" w14:paraId="644BA153" w14:textId="77777777" w:rsidTr="00456E56">
        <w:trPr>
          <w:trHeight w:val="288"/>
        </w:trPr>
        <w:tc>
          <w:tcPr>
            <w:tcW w:w="2988" w:type="pct"/>
            <w:vMerge w:val="restart"/>
            <w:tcBorders>
              <w:top w:val="double" w:sz="4" w:space="0" w:color="auto"/>
              <w:bottom w:val="double" w:sz="4" w:space="0" w:color="auto"/>
              <w:right w:val="double" w:sz="4" w:space="0" w:color="auto"/>
            </w:tcBorders>
            <w:shd w:val="clear" w:color="auto" w:fill="auto"/>
            <w:noWrap/>
            <w:vAlign w:val="center"/>
            <w:hideMark/>
          </w:tcPr>
          <w:p w14:paraId="03051743" w14:textId="77777777" w:rsidR="00B00F0B" w:rsidRPr="00B00F0B" w:rsidRDefault="00B00F0B" w:rsidP="00456E56">
            <w:pPr>
              <w:rPr>
                <w:rFonts w:cs="Times New Roman"/>
                <w:b/>
                <w:bCs/>
                <w:color w:val="000000"/>
                <w:sz w:val="23"/>
                <w:szCs w:val="23"/>
              </w:rPr>
            </w:pPr>
            <w:r w:rsidRPr="00B00F0B">
              <w:rPr>
                <w:rFonts w:cs="Times New Roman"/>
                <w:b/>
                <w:bCs/>
                <w:color w:val="000000"/>
                <w:sz w:val="23"/>
                <w:szCs w:val="23"/>
              </w:rPr>
              <w:t>Variables</w:t>
            </w:r>
          </w:p>
          <w:p w14:paraId="755A222E" w14:textId="77777777" w:rsidR="00B00F0B" w:rsidRPr="00B00F0B" w:rsidRDefault="00B00F0B" w:rsidP="00456E56">
            <w:pPr>
              <w:rPr>
                <w:rFonts w:cs="Times New Roman"/>
                <w:b/>
                <w:bCs/>
                <w:color w:val="000000"/>
                <w:sz w:val="23"/>
                <w:szCs w:val="23"/>
              </w:rPr>
            </w:pPr>
          </w:p>
        </w:tc>
        <w:tc>
          <w:tcPr>
            <w:tcW w:w="1006" w:type="pct"/>
            <w:gridSpan w:val="2"/>
            <w:tcBorders>
              <w:top w:val="double" w:sz="4" w:space="0" w:color="auto"/>
              <w:bottom w:val="double" w:sz="4" w:space="0" w:color="auto"/>
              <w:right w:val="double" w:sz="4" w:space="0" w:color="auto"/>
            </w:tcBorders>
            <w:vAlign w:val="center"/>
          </w:tcPr>
          <w:p w14:paraId="1DDE2B70" w14:textId="77777777" w:rsidR="00B00F0B" w:rsidRPr="00B00F0B" w:rsidRDefault="00B00F0B" w:rsidP="00456E56">
            <w:pPr>
              <w:jc w:val="center"/>
              <w:rPr>
                <w:rFonts w:cs="Times New Roman"/>
                <w:b/>
                <w:bCs/>
                <w:color w:val="000000"/>
                <w:sz w:val="23"/>
                <w:szCs w:val="23"/>
              </w:rPr>
            </w:pPr>
            <w:r w:rsidRPr="00B00F0B">
              <w:rPr>
                <w:rFonts w:cs="Times New Roman"/>
                <w:b/>
                <w:bCs/>
                <w:color w:val="000000"/>
                <w:sz w:val="23"/>
                <w:szCs w:val="23"/>
              </w:rPr>
              <w:t>Urban Neighborhood Living</w:t>
            </w:r>
          </w:p>
        </w:tc>
        <w:tc>
          <w:tcPr>
            <w:tcW w:w="100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6F35214E" w14:textId="77777777" w:rsidR="00B00F0B" w:rsidRPr="00B00F0B" w:rsidRDefault="00B00F0B" w:rsidP="00456E56">
            <w:pPr>
              <w:jc w:val="center"/>
              <w:rPr>
                <w:rFonts w:cs="Times New Roman"/>
                <w:b/>
                <w:bCs/>
                <w:color w:val="000000"/>
                <w:sz w:val="23"/>
                <w:szCs w:val="23"/>
              </w:rPr>
            </w:pPr>
            <w:r w:rsidRPr="00B00F0B">
              <w:rPr>
                <w:rFonts w:cs="Times New Roman"/>
                <w:b/>
                <w:bCs/>
                <w:color w:val="000000"/>
                <w:sz w:val="23"/>
                <w:szCs w:val="23"/>
              </w:rPr>
              <w:t>Walk Frequency (days per week)</w:t>
            </w:r>
          </w:p>
        </w:tc>
      </w:tr>
      <w:tr w:rsidR="00B00F0B" w:rsidRPr="00B00F0B" w14:paraId="36B2C18C" w14:textId="77777777" w:rsidTr="00B00F0B">
        <w:trPr>
          <w:trHeight w:val="317"/>
        </w:trPr>
        <w:tc>
          <w:tcPr>
            <w:tcW w:w="2988" w:type="pct"/>
            <w:vMerge/>
            <w:tcBorders>
              <w:top w:val="double" w:sz="4" w:space="0" w:color="auto"/>
              <w:bottom w:val="double" w:sz="4" w:space="0" w:color="auto"/>
              <w:right w:val="double" w:sz="4" w:space="0" w:color="auto"/>
            </w:tcBorders>
            <w:vAlign w:val="center"/>
            <w:hideMark/>
          </w:tcPr>
          <w:p w14:paraId="4478CDE3" w14:textId="77777777" w:rsidR="00B00F0B" w:rsidRPr="00B00F0B" w:rsidRDefault="00B00F0B" w:rsidP="00456E56">
            <w:pPr>
              <w:rPr>
                <w:rFonts w:cs="Times New Roman"/>
                <w:b/>
                <w:bCs/>
                <w:color w:val="000000"/>
                <w:sz w:val="23"/>
                <w:szCs w:val="23"/>
              </w:rPr>
            </w:pPr>
          </w:p>
        </w:tc>
        <w:tc>
          <w:tcPr>
            <w:tcW w:w="503" w:type="pct"/>
            <w:tcBorders>
              <w:top w:val="double" w:sz="4" w:space="0" w:color="auto"/>
              <w:bottom w:val="double" w:sz="4" w:space="0" w:color="auto"/>
              <w:right w:val="single" w:sz="4" w:space="0" w:color="auto"/>
            </w:tcBorders>
            <w:vAlign w:val="center"/>
          </w:tcPr>
          <w:p w14:paraId="697F440C" w14:textId="77777777" w:rsidR="00B00F0B" w:rsidRPr="00B00F0B" w:rsidRDefault="00B00F0B" w:rsidP="00456E56">
            <w:pPr>
              <w:jc w:val="center"/>
              <w:rPr>
                <w:rFonts w:cs="Times New Roman"/>
                <w:b/>
                <w:bCs/>
                <w:color w:val="000000"/>
                <w:sz w:val="23"/>
                <w:szCs w:val="23"/>
              </w:rPr>
            </w:pPr>
            <w:r w:rsidRPr="00B00F0B">
              <w:rPr>
                <w:rFonts w:cs="Times New Roman"/>
                <w:b/>
                <w:bCs/>
                <w:color w:val="000000"/>
                <w:sz w:val="23"/>
                <w:szCs w:val="23"/>
              </w:rPr>
              <w:t>Coeff.</w:t>
            </w:r>
          </w:p>
        </w:tc>
        <w:tc>
          <w:tcPr>
            <w:tcW w:w="503" w:type="pct"/>
            <w:tcBorders>
              <w:top w:val="double" w:sz="4" w:space="0" w:color="auto"/>
              <w:left w:val="single" w:sz="4" w:space="0" w:color="auto"/>
              <w:bottom w:val="double" w:sz="4" w:space="0" w:color="auto"/>
              <w:right w:val="double" w:sz="4" w:space="0" w:color="auto"/>
            </w:tcBorders>
            <w:vAlign w:val="center"/>
          </w:tcPr>
          <w:p w14:paraId="52625E3E" w14:textId="77777777" w:rsidR="00B00F0B" w:rsidRPr="00B00F0B" w:rsidRDefault="00B00F0B" w:rsidP="00456E56">
            <w:pPr>
              <w:jc w:val="center"/>
              <w:rPr>
                <w:rFonts w:cs="Times New Roman"/>
                <w:b/>
                <w:bCs/>
                <w:color w:val="000000"/>
                <w:sz w:val="23"/>
                <w:szCs w:val="23"/>
              </w:rPr>
            </w:pPr>
            <w:r w:rsidRPr="00B00F0B">
              <w:rPr>
                <w:rFonts w:cs="Times New Roman"/>
                <w:b/>
                <w:bCs/>
                <w:color w:val="000000"/>
                <w:sz w:val="23"/>
                <w:szCs w:val="23"/>
              </w:rPr>
              <w:t>t-stat</w:t>
            </w:r>
          </w:p>
        </w:tc>
        <w:tc>
          <w:tcPr>
            <w:tcW w:w="503" w:type="pct"/>
            <w:tcBorders>
              <w:top w:val="double" w:sz="4" w:space="0" w:color="auto"/>
              <w:left w:val="double" w:sz="4" w:space="0" w:color="auto"/>
              <w:bottom w:val="double" w:sz="4" w:space="0" w:color="auto"/>
              <w:right w:val="single" w:sz="4" w:space="0" w:color="auto"/>
            </w:tcBorders>
            <w:shd w:val="clear" w:color="auto" w:fill="auto"/>
            <w:noWrap/>
            <w:vAlign w:val="center"/>
            <w:hideMark/>
          </w:tcPr>
          <w:p w14:paraId="22C66138" w14:textId="77777777" w:rsidR="00B00F0B" w:rsidRPr="00B00F0B" w:rsidRDefault="00B00F0B" w:rsidP="00456E56">
            <w:pPr>
              <w:jc w:val="center"/>
              <w:rPr>
                <w:rFonts w:cs="Times New Roman"/>
                <w:b/>
                <w:bCs/>
                <w:color w:val="000000"/>
                <w:sz w:val="23"/>
                <w:szCs w:val="23"/>
              </w:rPr>
            </w:pPr>
            <w:r w:rsidRPr="00B00F0B">
              <w:rPr>
                <w:rFonts w:cs="Times New Roman"/>
                <w:b/>
                <w:bCs/>
                <w:color w:val="000000"/>
                <w:sz w:val="23"/>
                <w:szCs w:val="23"/>
              </w:rPr>
              <w:t>Coeff.</w:t>
            </w:r>
          </w:p>
        </w:tc>
        <w:tc>
          <w:tcPr>
            <w:tcW w:w="503" w:type="pct"/>
            <w:tcBorders>
              <w:top w:val="double" w:sz="4" w:space="0" w:color="auto"/>
              <w:left w:val="single" w:sz="4" w:space="0" w:color="auto"/>
              <w:bottom w:val="double" w:sz="4" w:space="0" w:color="auto"/>
              <w:right w:val="double" w:sz="4" w:space="0" w:color="auto"/>
            </w:tcBorders>
            <w:shd w:val="clear" w:color="auto" w:fill="auto"/>
            <w:noWrap/>
            <w:vAlign w:val="center"/>
            <w:hideMark/>
          </w:tcPr>
          <w:p w14:paraId="2F8C5C04" w14:textId="77777777" w:rsidR="00B00F0B" w:rsidRPr="00B00F0B" w:rsidRDefault="00B00F0B" w:rsidP="00456E56">
            <w:pPr>
              <w:jc w:val="center"/>
              <w:rPr>
                <w:rFonts w:cs="Times New Roman"/>
                <w:b/>
                <w:bCs/>
                <w:color w:val="000000"/>
                <w:sz w:val="23"/>
                <w:szCs w:val="23"/>
              </w:rPr>
            </w:pPr>
            <w:r w:rsidRPr="00B00F0B">
              <w:rPr>
                <w:rFonts w:cs="Times New Roman"/>
                <w:b/>
                <w:bCs/>
                <w:color w:val="000000"/>
                <w:sz w:val="23"/>
                <w:szCs w:val="23"/>
              </w:rPr>
              <w:t>t-stat</w:t>
            </w:r>
          </w:p>
        </w:tc>
      </w:tr>
      <w:tr w:rsidR="00B00F0B" w:rsidRPr="00B00F0B" w14:paraId="7DF1C5AE" w14:textId="77777777" w:rsidTr="00B00F0B">
        <w:trPr>
          <w:trHeight w:val="331"/>
        </w:trPr>
        <w:tc>
          <w:tcPr>
            <w:tcW w:w="2988" w:type="pct"/>
            <w:tcBorders>
              <w:right w:val="double" w:sz="4" w:space="0" w:color="auto"/>
            </w:tcBorders>
            <w:shd w:val="clear" w:color="auto" w:fill="auto"/>
            <w:noWrap/>
            <w:vAlign w:val="center"/>
            <w:hideMark/>
          </w:tcPr>
          <w:p w14:paraId="02B7E544" w14:textId="77777777" w:rsidR="00B00F0B" w:rsidRPr="00B00F0B" w:rsidRDefault="00B00F0B" w:rsidP="00456E56">
            <w:pPr>
              <w:rPr>
                <w:rFonts w:cs="Times New Roman"/>
                <w:color w:val="000000"/>
                <w:sz w:val="23"/>
                <w:szCs w:val="23"/>
              </w:rPr>
            </w:pPr>
            <w:r w:rsidRPr="00B00F0B">
              <w:rPr>
                <w:rFonts w:cs="Times New Roman"/>
                <w:color w:val="000000"/>
                <w:sz w:val="23"/>
                <w:szCs w:val="23"/>
              </w:rPr>
              <w:t>Annual Household Income</w:t>
            </w:r>
          </w:p>
        </w:tc>
        <w:tc>
          <w:tcPr>
            <w:tcW w:w="503" w:type="pct"/>
            <w:tcBorders>
              <w:right w:val="single" w:sz="4" w:space="0" w:color="auto"/>
            </w:tcBorders>
            <w:vAlign w:val="center"/>
          </w:tcPr>
          <w:p w14:paraId="63E3072A" w14:textId="77777777" w:rsidR="00B00F0B" w:rsidRPr="00B00F0B" w:rsidRDefault="00B00F0B" w:rsidP="00456E56">
            <w:pPr>
              <w:jc w:val="right"/>
              <w:rPr>
                <w:rFonts w:cs="Times New Roman"/>
                <w:color w:val="000000"/>
                <w:sz w:val="23"/>
                <w:szCs w:val="23"/>
              </w:rPr>
            </w:pPr>
          </w:p>
        </w:tc>
        <w:tc>
          <w:tcPr>
            <w:tcW w:w="503" w:type="pct"/>
            <w:tcBorders>
              <w:top w:val="double" w:sz="4" w:space="0" w:color="auto"/>
              <w:left w:val="single" w:sz="4" w:space="0" w:color="auto"/>
              <w:bottom w:val="nil"/>
              <w:right w:val="double" w:sz="4" w:space="0" w:color="auto"/>
            </w:tcBorders>
            <w:vAlign w:val="center"/>
          </w:tcPr>
          <w:p w14:paraId="1796CF92" w14:textId="77777777" w:rsidR="00B00F0B" w:rsidRPr="00B00F0B" w:rsidRDefault="00B00F0B" w:rsidP="00456E56">
            <w:pPr>
              <w:jc w:val="right"/>
              <w:rPr>
                <w:rFonts w:cs="Times New Roman"/>
                <w:color w:val="000000"/>
                <w:sz w:val="23"/>
                <w:szCs w:val="23"/>
              </w:rPr>
            </w:pPr>
          </w:p>
        </w:tc>
        <w:tc>
          <w:tcPr>
            <w:tcW w:w="503" w:type="pct"/>
            <w:tcBorders>
              <w:right w:val="single" w:sz="4" w:space="0" w:color="auto"/>
            </w:tcBorders>
            <w:vAlign w:val="center"/>
          </w:tcPr>
          <w:p w14:paraId="0FA5E171" w14:textId="77777777" w:rsidR="00B00F0B" w:rsidRPr="00B00F0B" w:rsidRDefault="00B00F0B" w:rsidP="00456E56">
            <w:pPr>
              <w:jc w:val="right"/>
              <w:rPr>
                <w:rFonts w:cs="Times New Roman"/>
                <w:color w:val="000000"/>
                <w:sz w:val="23"/>
                <w:szCs w:val="23"/>
              </w:rPr>
            </w:pPr>
          </w:p>
        </w:tc>
        <w:tc>
          <w:tcPr>
            <w:tcW w:w="503" w:type="pct"/>
            <w:tcBorders>
              <w:top w:val="double" w:sz="4" w:space="0" w:color="auto"/>
              <w:left w:val="single" w:sz="4" w:space="0" w:color="auto"/>
              <w:bottom w:val="nil"/>
              <w:right w:val="double" w:sz="4" w:space="0" w:color="auto"/>
            </w:tcBorders>
            <w:vAlign w:val="center"/>
          </w:tcPr>
          <w:p w14:paraId="69C677E0" w14:textId="77777777" w:rsidR="00B00F0B" w:rsidRPr="00B00F0B" w:rsidRDefault="00B00F0B" w:rsidP="00456E56">
            <w:pPr>
              <w:jc w:val="right"/>
              <w:rPr>
                <w:rFonts w:cs="Times New Roman"/>
                <w:color w:val="000000"/>
                <w:sz w:val="23"/>
                <w:szCs w:val="23"/>
              </w:rPr>
            </w:pPr>
          </w:p>
        </w:tc>
      </w:tr>
      <w:tr w:rsidR="00B00F0B" w:rsidRPr="00B00F0B" w14:paraId="7958E339" w14:textId="77777777" w:rsidTr="00B00F0B">
        <w:trPr>
          <w:trHeight w:val="331"/>
        </w:trPr>
        <w:tc>
          <w:tcPr>
            <w:tcW w:w="2988" w:type="pct"/>
            <w:tcBorders>
              <w:right w:val="double" w:sz="4" w:space="0" w:color="auto"/>
            </w:tcBorders>
            <w:shd w:val="clear" w:color="auto" w:fill="auto"/>
            <w:noWrap/>
            <w:vAlign w:val="center"/>
          </w:tcPr>
          <w:p w14:paraId="3F39A756" w14:textId="77777777" w:rsidR="00B00F0B" w:rsidRPr="00B00F0B" w:rsidRDefault="00B00F0B" w:rsidP="00456E56">
            <w:pPr>
              <w:ind w:left="330"/>
              <w:rPr>
                <w:rFonts w:cs="Times New Roman"/>
                <w:color w:val="000000"/>
                <w:sz w:val="23"/>
                <w:szCs w:val="23"/>
              </w:rPr>
            </w:pPr>
            <w:r w:rsidRPr="00B00F0B">
              <w:rPr>
                <w:rFonts w:cs="Times New Roman"/>
                <w:color w:val="000000"/>
                <w:sz w:val="23"/>
                <w:szCs w:val="23"/>
              </w:rPr>
              <w:t>$75,000-$149,999</w:t>
            </w:r>
          </w:p>
        </w:tc>
        <w:tc>
          <w:tcPr>
            <w:tcW w:w="503" w:type="pct"/>
            <w:tcBorders>
              <w:right w:val="single" w:sz="4" w:space="0" w:color="auto"/>
            </w:tcBorders>
            <w:vAlign w:val="center"/>
          </w:tcPr>
          <w:p w14:paraId="21D5634A" w14:textId="77777777" w:rsidR="00B00F0B" w:rsidRPr="00B00F0B" w:rsidRDefault="00B00F0B" w:rsidP="00456E56">
            <w:pPr>
              <w:jc w:val="right"/>
              <w:rPr>
                <w:rFonts w:cs="Times New Roman"/>
                <w:sz w:val="23"/>
                <w:szCs w:val="23"/>
              </w:rPr>
            </w:pPr>
            <w:r w:rsidRPr="00B00F0B">
              <w:rPr>
                <w:rFonts w:cs="Times New Roman"/>
                <w:sz w:val="23"/>
                <w:szCs w:val="23"/>
              </w:rPr>
              <w:t>0.375</w:t>
            </w:r>
          </w:p>
        </w:tc>
        <w:tc>
          <w:tcPr>
            <w:tcW w:w="503" w:type="pct"/>
            <w:tcBorders>
              <w:top w:val="nil"/>
              <w:left w:val="single" w:sz="4" w:space="0" w:color="auto"/>
              <w:bottom w:val="nil"/>
              <w:right w:val="double" w:sz="4" w:space="0" w:color="auto"/>
            </w:tcBorders>
            <w:vAlign w:val="center"/>
          </w:tcPr>
          <w:p w14:paraId="124EC795" w14:textId="77777777" w:rsidR="00B00F0B" w:rsidRPr="00B00F0B" w:rsidRDefault="00B00F0B" w:rsidP="00456E56">
            <w:pPr>
              <w:jc w:val="right"/>
              <w:rPr>
                <w:rFonts w:cs="Times New Roman"/>
                <w:sz w:val="23"/>
                <w:szCs w:val="23"/>
              </w:rPr>
            </w:pPr>
            <w:r w:rsidRPr="00B00F0B">
              <w:rPr>
                <w:rFonts w:cs="Times New Roman"/>
                <w:sz w:val="23"/>
                <w:szCs w:val="23"/>
              </w:rPr>
              <w:t>3.704</w:t>
            </w:r>
          </w:p>
        </w:tc>
        <w:tc>
          <w:tcPr>
            <w:tcW w:w="503" w:type="pct"/>
            <w:tcBorders>
              <w:right w:val="single" w:sz="4" w:space="0" w:color="auto"/>
            </w:tcBorders>
            <w:vAlign w:val="center"/>
          </w:tcPr>
          <w:p w14:paraId="734B4D5B" w14:textId="77777777" w:rsidR="00B00F0B" w:rsidRPr="00B00F0B" w:rsidRDefault="00B00F0B" w:rsidP="00456E56">
            <w:pPr>
              <w:jc w:val="right"/>
              <w:rPr>
                <w:rFonts w:cs="Times New Roman"/>
                <w:sz w:val="23"/>
                <w:szCs w:val="23"/>
              </w:rPr>
            </w:pPr>
          </w:p>
        </w:tc>
        <w:tc>
          <w:tcPr>
            <w:tcW w:w="503" w:type="pct"/>
            <w:tcBorders>
              <w:top w:val="nil"/>
              <w:left w:val="single" w:sz="4" w:space="0" w:color="auto"/>
              <w:bottom w:val="nil"/>
              <w:right w:val="double" w:sz="4" w:space="0" w:color="auto"/>
            </w:tcBorders>
            <w:vAlign w:val="center"/>
          </w:tcPr>
          <w:p w14:paraId="2AE39F09" w14:textId="77777777" w:rsidR="00B00F0B" w:rsidRPr="00B00F0B" w:rsidRDefault="00B00F0B" w:rsidP="00456E56">
            <w:pPr>
              <w:jc w:val="right"/>
              <w:rPr>
                <w:rFonts w:cs="Times New Roman"/>
                <w:sz w:val="23"/>
                <w:szCs w:val="23"/>
              </w:rPr>
            </w:pPr>
          </w:p>
        </w:tc>
      </w:tr>
      <w:tr w:rsidR="00B00F0B" w:rsidRPr="00B00F0B" w14:paraId="5EDA58CB" w14:textId="77777777" w:rsidTr="00B00F0B">
        <w:trPr>
          <w:trHeight w:val="331"/>
        </w:trPr>
        <w:tc>
          <w:tcPr>
            <w:tcW w:w="2988" w:type="pct"/>
            <w:tcBorders>
              <w:right w:val="double" w:sz="4" w:space="0" w:color="auto"/>
            </w:tcBorders>
            <w:shd w:val="clear" w:color="auto" w:fill="auto"/>
            <w:noWrap/>
            <w:vAlign w:val="center"/>
          </w:tcPr>
          <w:p w14:paraId="6212026F" w14:textId="77777777" w:rsidR="00B00F0B" w:rsidRPr="00B00F0B" w:rsidRDefault="00B00F0B" w:rsidP="00456E56">
            <w:pPr>
              <w:ind w:left="330"/>
              <w:rPr>
                <w:rFonts w:cs="Times New Roman"/>
                <w:color w:val="000000"/>
                <w:sz w:val="23"/>
                <w:szCs w:val="23"/>
              </w:rPr>
            </w:pPr>
            <w:r w:rsidRPr="00B00F0B">
              <w:rPr>
                <w:rFonts w:cs="Times New Roman"/>
                <w:color w:val="000000"/>
                <w:sz w:val="23"/>
                <w:szCs w:val="23"/>
              </w:rPr>
              <w:t>$150,000 and higher</w:t>
            </w:r>
          </w:p>
        </w:tc>
        <w:tc>
          <w:tcPr>
            <w:tcW w:w="503" w:type="pct"/>
            <w:tcBorders>
              <w:right w:val="single" w:sz="4" w:space="0" w:color="auto"/>
            </w:tcBorders>
            <w:vAlign w:val="center"/>
          </w:tcPr>
          <w:p w14:paraId="67F4388F" w14:textId="77777777" w:rsidR="00B00F0B" w:rsidRPr="00B00F0B" w:rsidRDefault="00B00F0B" w:rsidP="00456E56">
            <w:pPr>
              <w:jc w:val="right"/>
              <w:rPr>
                <w:rFonts w:cs="Times New Roman"/>
                <w:sz w:val="23"/>
                <w:szCs w:val="23"/>
              </w:rPr>
            </w:pPr>
            <w:r w:rsidRPr="00B00F0B">
              <w:rPr>
                <w:rFonts w:cs="Times New Roman"/>
                <w:sz w:val="23"/>
                <w:szCs w:val="23"/>
              </w:rPr>
              <w:t>0.884</w:t>
            </w:r>
          </w:p>
        </w:tc>
        <w:tc>
          <w:tcPr>
            <w:tcW w:w="503" w:type="pct"/>
            <w:tcBorders>
              <w:top w:val="nil"/>
              <w:left w:val="single" w:sz="4" w:space="0" w:color="auto"/>
              <w:bottom w:val="nil"/>
              <w:right w:val="double" w:sz="4" w:space="0" w:color="auto"/>
            </w:tcBorders>
            <w:vAlign w:val="center"/>
          </w:tcPr>
          <w:p w14:paraId="1F2AB6CB" w14:textId="77777777" w:rsidR="00B00F0B" w:rsidRPr="00B00F0B" w:rsidRDefault="00B00F0B" w:rsidP="00456E56">
            <w:pPr>
              <w:jc w:val="right"/>
              <w:rPr>
                <w:rFonts w:cs="Times New Roman"/>
                <w:sz w:val="23"/>
                <w:szCs w:val="23"/>
              </w:rPr>
            </w:pPr>
            <w:r w:rsidRPr="00B00F0B">
              <w:rPr>
                <w:rFonts w:cs="Times New Roman"/>
                <w:sz w:val="23"/>
                <w:szCs w:val="23"/>
              </w:rPr>
              <w:t>4.771</w:t>
            </w:r>
          </w:p>
        </w:tc>
        <w:tc>
          <w:tcPr>
            <w:tcW w:w="503" w:type="pct"/>
            <w:tcBorders>
              <w:right w:val="single" w:sz="4" w:space="0" w:color="auto"/>
            </w:tcBorders>
            <w:vAlign w:val="center"/>
          </w:tcPr>
          <w:p w14:paraId="44B3525A" w14:textId="77777777" w:rsidR="00B00F0B" w:rsidRPr="00B00F0B" w:rsidRDefault="00B00F0B" w:rsidP="00456E56">
            <w:pPr>
              <w:jc w:val="right"/>
              <w:rPr>
                <w:rFonts w:cs="Times New Roman"/>
                <w:sz w:val="23"/>
                <w:szCs w:val="23"/>
              </w:rPr>
            </w:pPr>
          </w:p>
        </w:tc>
        <w:tc>
          <w:tcPr>
            <w:tcW w:w="503" w:type="pct"/>
            <w:tcBorders>
              <w:top w:val="nil"/>
              <w:left w:val="single" w:sz="4" w:space="0" w:color="auto"/>
              <w:bottom w:val="nil"/>
              <w:right w:val="double" w:sz="4" w:space="0" w:color="auto"/>
            </w:tcBorders>
            <w:vAlign w:val="center"/>
          </w:tcPr>
          <w:p w14:paraId="2E6B20E9" w14:textId="77777777" w:rsidR="00B00F0B" w:rsidRPr="00B00F0B" w:rsidRDefault="00B00F0B" w:rsidP="00456E56">
            <w:pPr>
              <w:jc w:val="right"/>
              <w:rPr>
                <w:rFonts w:cs="Times New Roman"/>
                <w:sz w:val="23"/>
                <w:szCs w:val="23"/>
              </w:rPr>
            </w:pPr>
          </w:p>
        </w:tc>
      </w:tr>
      <w:tr w:rsidR="00B00F0B" w:rsidRPr="00B00F0B" w14:paraId="67DED076" w14:textId="77777777" w:rsidTr="00B00F0B">
        <w:trPr>
          <w:trHeight w:val="331"/>
        </w:trPr>
        <w:tc>
          <w:tcPr>
            <w:tcW w:w="2988" w:type="pct"/>
            <w:tcBorders>
              <w:right w:val="double" w:sz="4" w:space="0" w:color="auto"/>
            </w:tcBorders>
            <w:shd w:val="clear" w:color="auto" w:fill="auto"/>
            <w:noWrap/>
            <w:vAlign w:val="center"/>
          </w:tcPr>
          <w:p w14:paraId="798D4EE4" w14:textId="77777777" w:rsidR="00B00F0B" w:rsidRPr="00B00F0B" w:rsidRDefault="00B00F0B" w:rsidP="00456E56">
            <w:pPr>
              <w:ind w:left="330"/>
              <w:rPr>
                <w:rFonts w:cs="Times New Roman"/>
                <w:color w:val="000000"/>
                <w:sz w:val="23"/>
                <w:szCs w:val="23"/>
              </w:rPr>
            </w:pPr>
            <w:r w:rsidRPr="00B00F0B">
              <w:rPr>
                <w:rFonts w:cs="Times New Roman"/>
                <w:color w:val="000000"/>
                <w:sz w:val="23"/>
                <w:szCs w:val="23"/>
              </w:rPr>
              <w:t>$100,000 and higher</w:t>
            </w:r>
          </w:p>
        </w:tc>
        <w:tc>
          <w:tcPr>
            <w:tcW w:w="503" w:type="pct"/>
            <w:tcBorders>
              <w:right w:val="single" w:sz="4" w:space="0" w:color="auto"/>
            </w:tcBorders>
            <w:vAlign w:val="center"/>
          </w:tcPr>
          <w:p w14:paraId="3D18774A" w14:textId="77777777" w:rsidR="00B00F0B" w:rsidRPr="00B00F0B" w:rsidRDefault="00B00F0B" w:rsidP="00456E56">
            <w:pPr>
              <w:jc w:val="right"/>
              <w:rPr>
                <w:rFonts w:cs="Times New Roman"/>
                <w:sz w:val="23"/>
                <w:szCs w:val="23"/>
              </w:rPr>
            </w:pPr>
            <w:r w:rsidRPr="00B00F0B">
              <w:rPr>
                <w:rFonts w:cs="Times New Roman"/>
                <w:sz w:val="23"/>
                <w:szCs w:val="23"/>
              </w:rPr>
              <w:t>-</w:t>
            </w:r>
          </w:p>
        </w:tc>
        <w:tc>
          <w:tcPr>
            <w:tcW w:w="503" w:type="pct"/>
            <w:tcBorders>
              <w:top w:val="nil"/>
              <w:left w:val="single" w:sz="4" w:space="0" w:color="auto"/>
              <w:bottom w:val="nil"/>
              <w:right w:val="double" w:sz="4" w:space="0" w:color="auto"/>
            </w:tcBorders>
            <w:vAlign w:val="center"/>
          </w:tcPr>
          <w:p w14:paraId="6EA53276" w14:textId="77777777" w:rsidR="00B00F0B" w:rsidRPr="00B00F0B" w:rsidRDefault="00B00F0B" w:rsidP="00456E56">
            <w:pPr>
              <w:jc w:val="right"/>
              <w:rPr>
                <w:rFonts w:cs="Times New Roman"/>
                <w:sz w:val="23"/>
                <w:szCs w:val="23"/>
              </w:rPr>
            </w:pPr>
            <w:r w:rsidRPr="00B00F0B">
              <w:rPr>
                <w:rFonts w:cs="Times New Roman"/>
                <w:sz w:val="23"/>
                <w:szCs w:val="23"/>
              </w:rPr>
              <w:t>-</w:t>
            </w:r>
          </w:p>
        </w:tc>
        <w:tc>
          <w:tcPr>
            <w:tcW w:w="503" w:type="pct"/>
            <w:tcBorders>
              <w:right w:val="single" w:sz="4" w:space="0" w:color="auto"/>
            </w:tcBorders>
            <w:vAlign w:val="center"/>
          </w:tcPr>
          <w:p w14:paraId="528DDE3D" w14:textId="77777777" w:rsidR="00B00F0B" w:rsidRPr="00B00F0B" w:rsidRDefault="00B00F0B" w:rsidP="00456E56">
            <w:pPr>
              <w:jc w:val="right"/>
              <w:rPr>
                <w:rFonts w:cs="Times New Roman"/>
                <w:sz w:val="23"/>
                <w:szCs w:val="23"/>
              </w:rPr>
            </w:pPr>
            <w:r w:rsidRPr="00B00F0B">
              <w:rPr>
                <w:rFonts w:cs="Times New Roman"/>
                <w:sz w:val="23"/>
                <w:szCs w:val="23"/>
              </w:rPr>
              <w:t>0.114</w:t>
            </w:r>
          </w:p>
        </w:tc>
        <w:tc>
          <w:tcPr>
            <w:tcW w:w="503" w:type="pct"/>
            <w:tcBorders>
              <w:top w:val="nil"/>
              <w:left w:val="single" w:sz="4" w:space="0" w:color="auto"/>
              <w:bottom w:val="nil"/>
              <w:right w:val="double" w:sz="4" w:space="0" w:color="auto"/>
            </w:tcBorders>
            <w:vAlign w:val="center"/>
          </w:tcPr>
          <w:p w14:paraId="2793B04A" w14:textId="77777777" w:rsidR="00B00F0B" w:rsidRPr="00B00F0B" w:rsidRDefault="00B00F0B" w:rsidP="00456E56">
            <w:pPr>
              <w:jc w:val="right"/>
              <w:rPr>
                <w:rFonts w:cs="Times New Roman"/>
                <w:sz w:val="23"/>
                <w:szCs w:val="23"/>
              </w:rPr>
            </w:pPr>
            <w:r w:rsidRPr="00B00F0B">
              <w:rPr>
                <w:rFonts w:cs="Times New Roman"/>
                <w:sz w:val="23"/>
                <w:szCs w:val="23"/>
              </w:rPr>
              <w:t>1.983</w:t>
            </w:r>
          </w:p>
        </w:tc>
      </w:tr>
      <w:tr w:rsidR="00B00F0B" w:rsidRPr="00B00F0B" w14:paraId="3EB368CC" w14:textId="77777777" w:rsidTr="00B00F0B">
        <w:trPr>
          <w:trHeight w:val="331"/>
        </w:trPr>
        <w:tc>
          <w:tcPr>
            <w:tcW w:w="2988" w:type="pct"/>
            <w:tcBorders>
              <w:right w:val="double" w:sz="4" w:space="0" w:color="auto"/>
            </w:tcBorders>
            <w:shd w:val="clear" w:color="auto" w:fill="auto"/>
            <w:noWrap/>
            <w:vAlign w:val="center"/>
            <w:hideMark/>
          </w:tcPr>
          <w:p w14:paraId="69F026F1" w14:textId="77777777" w:rsidR="00B00F0B" w:rsidRPr="00B00F0B" w:rsidRDefault="00B00F0B" w:rsidP="00456E56">
            <w:pPr>
              <w:rPr>
                <w:rFonts w:cs="Times New Roman"/>
                <w:color w:val="000000"/>
                <w:sz w:val="23"/>
                <w:szCs w:val="23"/>
              </w:rPr>
            </w:pPr>
            <w:r w:rsidRPr="00B00F0B">
              <w:rPr>
                <w:rFonts w:cs="Times New Roman"/>
                <w:color w:val="000000"/>
                <w:sz w:val="23"/>
                <w:szCs w:val="23"/>
              </w:rPr>
              <w:t>Higher than Bachelor’s Degree</w:t>
            </w:r>
          </w:p>
        </w:tc>
        <w:tc>
          <w:tcPr>
            <w:tcW w:w="503" w:type="pct"/>
            <w:tcBorders>
              <w:right w:val="single" w:sz="4" w:space="0" w:color="auto"/>
            </w:tcBorders>
            <w:vAlign w:val="center"/>
          </w:tcPr>
          <w:p w14:paraId="3D12D0DB" w14:textId="77777777" w:rsidR="00B00F0B" w:rsidRPr="00B00F0B" w:rsidRDefault="00B00F0B" w:rsidP="00456E56">
            <w:pPr>
              <w:jc w:val="right"/>
              <w:rPr>
                <w:rFonts w:cs="Times New Roman"/>
                <w:color w:val="000000"/>
                <w:sz w:val="23"/>
                <w:szCs w:val="23"/>
              </w:rPr>
            </w:pPr>
            <w:r w:rsidRPr="00B00F0B">
              <w:rPr>
                <w:rFonts w:cs="Times New Roman"/>
                <w:color w:val="000000"/>
                <w:sz w:val="23"/>
                <w:szCs w:val="23"/>
              </w:rPr>
              <w:t>0.307</w:t>
            </w:r>
          </w:p>
        </w:tc>
        <w:tc>
          <w:tcPr>
            <w:tcW w:w="503" w:type="pct"/>
            <w:tcBorders>
              <w:top w:val="nil"/>
              <w:left w:val="single" w:sz="4" w:space="0" w:color="auto"/>
              <w:right w:val="double" w:sz="4" w:space="0" w:color="auto"/>
            </w:tcBorders>
            <w:vAlign w:val="center"/>
          </w:tcPr>
          <w:p w14:paraId="15E32B37" w14:textId="77777777" w:rsidR="00B00F0B" w:rsidRPr="00B00F0B" w:rsidRDefault="00B00F0B" w:rsidP="00456E56">
            <w:pPr>
              <w:jc w:val="right"/>
              <w:rPr>
                <w:rFonts w:cs="Times New Roman"/>
                <w:color w:val="000000"/>
                <w:sz w:val="23"/>
                <w:szCs w:val="23"/>
              </w:rPr>
            </w:pPr>
            <w:r w:rsidRPr="00B00F0B">
              <w:rPr>
                <w:rFonts w:cs="Times New Roman"/>
                <w:color w:val="000000"/>
                <w:sz w:val="23"/>
                <w:szCs w:val="23"/>
              </w:rPr>
              <w:t>3.117</w:t>
            </w:r>
          </w:p>
        </w:tc>
        <w:tc>
          <w:tcPr>
            <w:tcW w:w="503" w:type="pct"/>
            <w:tcBorders>
              <w:left w:val="double" w:sz="4" w:space="0" w:color="auto"/>
              <w:right w:val="single" w:sz="4" w:space="0" w:color="auto"/>
            </w:tcBorders>
            <w:shd w:val="clear" w:color="auto" w:fill="auto"/>
            <w:noWrap/>
            <w:vAlign w:val="center"/>
          </w:tcPr>
          <w:p w14:paraId="46FDA5A9" w14:textId="77777777" w:rsidR="00B00F0B" w:rsidRPr="00B00F0B" w:rsidRDefault="00B00F0B" w:rsidP="00456E56">
            <w:pPr>
              <w:jc w:val="right"/>
              <w:rPr>
                <w:rFonts w:cs="Times New Roman"/>
                <w:color w:val="000000"/>
                <w:sz w:val="23"/>
                <w:szCs w:val="23"/>
              </w:rPr>
            </w:pPr>
            <w:r w:rsidRPr="00B00F0B">
              <w:rPr>
                <w:rFonts w:cs="Times New Roman"/>
                <w:color w:val="000000"/>
                <w:sz w:val="23"/>
                <w:szCs w:val="23"/>
              </w:rPr>
              <w:t>-</w:t>
            </w:r>
          </w:p>
        </w:tc>
        <w:tc>
          <w:tcPr>
            <w:tcW w:w="503" w:type="pct"/>
            <w:tcBorders>
              <w:top w:val="nil"/>
              <w:left w:val="single" w:sz="4" w:space="0" w:color="auto"/>
              <w:right w:val="double" w:sz="4" w:space="0" w:color="auto"/>
            </w:tcBorders>
            <w:shd w:val="clear" w:color="auto" w:fill="auto"/>
            <w:noWrap/>
            <w:vAlign w:val="center"/>
          </w:tcPr>
          <w:p w14:paraId="0BC92594" w14:textId="77777777" w:rsidR="00B00F0B" w:rsidRPr="00B00F0B" w:rsidRDefault="00B00F0B" w:rsidP="00456E56">
            <w:pPr>
              <w:jc w:val="right"/>
              <w:rPr>
                <w:rFonts w:cs="Times New Roman"/>
                <w:color w:val="000000"/>
                <w:sz w:val="23"/>
                <w:szCs w:val="23"/>
              </w:rPr>
            </w:pPr>
            <w:r w:rsidRPr="00B00F0B">
              <w:rPr>
                <w:rFonts w:cs="Times New Roman"/>
                <w:color w:val="000000"/>
                <w:sz w:val="23"/>
                <w:szCs w:val="23"/>
              </w:rPr>
              <w:t>-</w:t>
            </w:r>
          </w:p>
        </w:tc>
      </w:tr>
      <w:tr w:rsidR="00B00F0B" w:rsidRPr="00B00F0B" w14:paraId="57C45EDE" w14:textId="77777777" w:rsidTr="00B00F0B">
        <w:trPr>
          <w:trHeight w:val="331"/>
        </w:trPr>
        <w:tc>
          <w:tcPr>
            <w:tcW w:w="2988" w:type="pct"/>
            <w:tcBorders>
              <w:right w:val="double" w:sz="4" w:space="0" w:color="auto"/>
            </w:tcBorders>
            <w:shd w:val="clear" w:color="auto" w:fill="auto"/>
            <w:noWrap/>
            <w:vAlign w:val="center"/>
          </w:tcPr>
          <w:p w14:paraId="03C81F46" w14:textId="77777777" w:rsidR="00B00F0B" w:rsidRPr="00B00F0B" w:rsidRDefault="00B00F0B" w:rsidP="00456E56">
            <w:pPr>
              <w:rPr>
                <w:rFonts w:cs="Times New Roman"/>
                <w:color w:val="000000"/>
                <w:sz w:val="23"/>
                <w:szCs w:val="23"/>
              </w:rPr>
            </w:pPr>
            <w:r w:rsidRPr="00B00F0B">
              <w:rPr>
                <w:rFonts w:cs="Times New Roman"/>
                <w:color w:val="000000"/>
                <w:sz w:val="23"/>
                <w:szCs w:val="23"/>
              </w:rPr>
              <w:t>Woman</w:t>
            </w:r>
          </w:p>
        </w:tc>
        <w:tc>
          <w:tcPr>
            <w:tcW w:w="503" w:type="pct"/>
            <w:tcBorders>
              <w:right w:val="single" w:sz="4" w:space="0" w:color="auto"/>
            </w:tcBorders>
            <w:vAlign w:val="center"/>
          </w:tcPr>
          <w:p w14:paraId="2F6466A5" w14:textId="77777777" w:rsidR="00B00F0B" w:rsidRPr="00B00F0B" w:rsidRDefault="00B00F0B" w:rsidP="00456E56">
            <w:pPr>
              <w:pStyle w:val="ListParagraph"/>
              <w:ind w:left="0"/>
              <w:jc w:val="right"/>
              <w:rPr>
                <w:b/>
                <w:bCs/>
                <w:color w:val="000000"/>
                <w:sz w:val="23"/>
                <w:szCs w:val="23"/>
              </w:rPr>
            </w:pPr>
            <w:r w:rsidRPr="00B00F0B">
              <w:rPr>
                <w:color w:val="000000"/>
                <w:sz w:val="23"/>
                <w:szCs w:val="23"/>
              </w:rPr>
              <w:t>-</w:t>
            </w:r>
          </w:p>
        </w:tc>
        <w:tc>
          <w:tcPr>
            <w:tcW w:w="503" w:type="pct"/>
            <w:tcBorders>
              <w:left w:val="single" w:sz="4" w:space="0" w:color="auto"/>
              <w:right w:val="double" w:sz="4" w:space="0" w:color="auto"/>
            </w:tcBorders>
            <w:vAlign w:val="center"/>
          </w:tcPr>
          <w:p w14:paraId="39C293D8" w14:textId="77777777" w:rsidR="00B00F0B" w:rsidRPr="00B00F0B" w:rsidRDefault="00B00F0B" w:rsidP="00456E56">
            <w:pPr>
              <w:jc w:val="right"/>
              <w:rPr>
                <w:rFonts w:cs="Times New Roman"/>
                <w:color w:val="000000"/>
                <w:sz w:val="23"/>
                <w:szCs w:val="23"/>
              </w:rPr>
            </w:pPr>
            <w:r w:rsidRPr="00B00F0B">
              <w:rPr>
                <w:rFonts w:cs="Times New Roman"/>
                <w:color w:val="000000"/>
                <w:sz w:val="23"/>
                <w:szCs w:val="23"/>
              </w:rPr>
              <w:t>-</w:t>
            </w:r>
          </w:p>
        </w:tc>
        <w:tc>
          <w:tcPr>
            <w:tcW w:w="503" w:type="pct"/>
            <w:tcBorders>
              <w:left w:val="double" w:sz="4" w:space="0" w:color="auto"/>
              <w:right w:val="single" w:sz="4" w:space="0" w:color="auto"/>
            </w:tcBorders>
            <w:shd w:val="clear" w:color="auto" w:fill="auto"/>
            <w:noWrap/>
            <w:vAlign w:val="center"/>
          </w:tcPr>
          <w:p w14:paraId="78AE9F61" w14:textId="77777777" w:rsidR="00B00F0B" w:rsidRPr="00B00F0B" w:rsidRDefault="00B00F0B" w:rsidP="00456E56">
            <w:pPr>
              <w:jc w:val="right"/>
              <w:rPr>
                <w:rFonts w:cs="Times New Roman"/>
                <w:color w:val="000000"/>
                <w:sz w:val="23"/>
                <w:szCs w:val="23"/>
              </w:rPr>
            </w:pPr>
            <w:r w:rsidRPr="00B00F0B">
              <w:rPr>
                <w:rFonts w:cs="Times New Roman"/>
                <w:color w:val="000000"/>
                <w:sz w:val="23"/>
                <w:szCs w:val="23"/>
              </w:rPr>
              <w:t>-0.124</w:t>
            </w:r>
          </w:p>
        </w:tc>
        <w:tc>
          <w:tcPr>
            <w:tcW w:w="503" w:type="pct"/>
            <w:tcBorders>
              <w:left w:val="single" w:sz="4" w:space="0" w:color="auto"/>
              <w:right w:val="double" w:sz="4" w:space="0" w:color="auto"/>
            </w:tcBorders>
            <w:shd w:val="clear" w:color="auto" w:fill="auto"/>
            <w:noWrap/>
            <w:vAlign w:val="center"/>
          </w:tcPr>
          <w:p w14:paraId="5E254B3D" w14:textId="77777777" w:rsidR="00B00F0B" w:rsidRPr="00B00F0B" w:rsidRDefault="00B00F0B" w:rsidP="00456E56">
            <w:pPr>
              <w:jc w:val="right"/>
              <w:rPr>
                <w:rFonts w:cs="Times New Roman"/>
                <w:color w:val="000000"/>
                <w:sz w:val="23"/>
                <w:szCs w:val="23"/>
              </w:rPr>
            </w:pPr>
            <w:r w:rsidRPr="00B00F0B">
              <w:rPr>
                <w:rFonts w:cs="Times New Roman"/>
                <w:color w:val="000000"/>
                <w:sz w:val="23"/>
                <w:szCs w:val="23"/>
              </w:rPr>
              <w:t>-2.362</w:t>
            </w:r>
          </w:p>
        </w:tc>
      </w:tr>
      <w:tr w:rsidR="00B00F0B" w:rsidRPr="00B00F0B" w14:paraId="313322EF" w14:textId="77777777" w:rsidTr="00B00F0B">
        <w:trPr>
          <w:trHeight w:val="331"/>
        </w:trPr>
        <w:tc>
          <w:tcPr>
            <w:tcW w:w="2988" w:type="pct"/>
            <w:tcBorders>
              <w:right w:val="double" w:sz="4" w:space="0" w:color="auto"/>
            </w:tcBorders>
            <w:shd w:val="clear" w:color="auto" w:fill="auto"/>
            <w:noWrap/>
            <w:vAlign w:val="center"/>
            <w:hideMark/>
          </w:tcPr>
          <w:p w14:paraId="23784038" w14:textId="77777777" w:rsidR="00B00F0B" w:rsidRPr="00B00F0B" w:rsidRDefault="00B00F0B" w:rsidP="00456E56">
            <w:pPr>
              <w:rPr>
                <w:rFonts w:cs="Times New Roman"/>
                <w:color w:val="000000"/>
                <w:sz w:val="23"/>
                <w:szCs w:val="23"/>
              </w:rPr>
            </w:pPr>
            <w:r w:rsidRPr="00B00F0B">
              <w:rPr>
                <w:rFonts w:cs="Times New Roman"/>
                <w:color w:val="000000"/>
                <w:sz w:val="23"/>
                <w:szCs w:val="23"/>
              </w:rPr>
              <w:t>Age</w:t>
            </w:r>
          </w:p>
        </w:tc>
        <w:tc>
          <w:tcPr>
            <w:tcW w:w="503" w:type="pct"/>
            <w:tcBorders>
              <w:right w:val="single" w:sz="4" w:space="0" w:color="auto"/>
            </w:tcBorders>
            <w:vAlign w:val="center"/>
          </w:tcPr>
          <w:p w14:paraId="57446874" w14:textId="77777777" w:rsidR="00B00F0B" w:rsidRPr="00B00F0B" w:rsidRDefault="00B00F0B" w:rsidP="00456E56">
            <w:pPr>
              <w:jc w:val="right"/>
              <w:rPr>
                <w:rFonts w:cs="Times New Roman"/>
                <w:color w:val="000000"/>
                <w:sz w:val="23"/>
                <w:szCs w:val="23"/>
              </w:rPr>
            </w:pPr>
          </w:p>
        </w:tc>
        <w:tc>
          <w:tcPr>
            <w:tcW w:w="503" w:type="pct"/>
            <w:tcBorders>
              <w:left w:val="single" w:sz="4" w:space="0" w:color="auto"/>
              <w:right w:val="double" w:sz="4" w:space="0" w:color="auto"/>
            </w:tcBorders>
            <w:vAlign w:val="center"/>
          </w:tcPr>
          <w:p w14:paraId="7668083F" w14:textId="77777777" w:rsidR="00B00F0B" w:rsidRPr="00B00F0B" w:rsidRDefault="00B00F0B" w:rsidP="00456E56">
            <w:pPr>
              <w:jc w:val="right"/>
              <w:rPr>
                <w:rFonts w:cs="Times New Roman"/>
                <w:color w:val="000000"/>
                <w:sz w:val="23"/>
                <w:szCs w:val="23"/>
              </w:rPr>
            </w:pPr>
          </w:p>
        </w:tc>
        <w:tc>
          <w:tcPr>
            <w:tcW w:w="503" w:type="pct"/>
            <w:tcBorders>
              <w:left w:val="double" w:sz="4" w:space="0" w:color="auto"/>
              <w:right w:val="single" w:sz="4" w:space="0" w:color="auto"/>
            </w:tcBorders>
            <w:shd w:val="clear" w:color="auto" w:fill="auto"/>
            <w:noWrap/>
            <w:vAlign w:val="center"/>
          </w:tcPr>
          <w:p w14:paraId="10115E7D" w14:textId="77777777" w:rsidR="00B00F0B" w:rsidRPr="00B00F0B" w:rsidRDefault="00B00F0B" w:rsidP="00456E56">
            <w:pPr>
              <w:jc w:val="right"/>
              <w:rPr>
                <w:rFonts w:cs="Times New Roman"/>
                <w:color w:val="000000"/>
                <w:sz w:val="23"/>
                <w:szCs w:val="23"/>
              </w:rPr>
            </w:pPr>
          </w:p>
        </w:tc>
        <w:tc>
          <w:tcPr>
            <w:tcW w:w="503" w:type="pct"/>
            <w:tcBorders>
              <w:left w:val="single" w:sz="4" w:space="0" w:color="auto"/>
              <w:right w:val="double" w:sz="4" w:space="0" w:color="auto"/>
            </w:tcBorders>
            <w:shd w:val="clear" w:color="auto" w:fill="auto"/>
            <w:noWrap/>
            <w:vAlign w:val="center"/>
          </w:tcPr>
          <w:p w14:paraId="05628FCB" w14:textId="77777777" w:rsidR="00B00F0B" w:rsidRPr="00B00F0B" w:rsidRDefault="00B00F0B" w:rsidP="00456E56">
            <w:pPr>
              <w:jc w:val="right"/>
              <w:rPr>
                <w:rFonts w:cs="Times New Roman"/>
                <w:sz w:val="23"/>
                <w:szCs w:val="23"/>
              </w:rPr>
            </w:pPr>
          </w:p>
        </w:tc>
      </w:tr>
      <w:tr w:rsidR="00B00F0B" w:rsidRPr="00B00F0B" w14:paraId="0194EC27" w14:textId="77777777" w:rsidTr="00B00F0B">
        <w:trPr>
          <w:trHeight w:val="331"/>
        </w:trPr>
        <w:tc>
          <w:tcPr>
            <w:tcW w:w="2988" w:type="pct"/>
            <w:tcBorders>
              <w:right w:val="double" w:sz="4" w:space="0" w:color="auto"/>
            </w:tcBorders>
            <w:shd w:val="clear" w:color="auto" w:fill="auto"/>
            <w:noWrap/>
            <w:vAlign w:val="center"/>
            <w:hideMark/>
          </w:tcPr>
          <w:p w14:paraId="11CFE98B" w14:textId="77777777" w:rsidR="00B00F0B" w:rsidRPr="00B00F0B" w:rsidRDefault="00B00F0B" w:rsidP="00456E56">
            <w:pPr>
              <w:ind w:firstLineChars="100" w:firstLine="230"/>
              <w:rPr>
                <w:rFonts w:cs="Times New Roman"/>
                <w:color w:val="000000"/>
                <w:sz w:val="23"/>
                <w:szCs w:val="23"/>
              </w:rPr>
            </w:pPr>
            <w:r w:rsidRPr="00B00F0B">
              <w:rPr>
                <w:rFonts w:cs="Times New Roman"/>
                <w:color w:val="000000"/>
                <w:sz w:val="23"/>
                <w:szCs w:val="23"/>
              </w:rPr>
              <w:t xml:space="preserve">  75 years or older</w:t>
            </w:r>
          </w:p>
        </w:tc>
        <w:tc>
          <w:tcPr>
            <w:tcW w:w="503" w:type="pct"/>
            <w:tcBorders>
              <w:right w:val="single" w:sz="4" w:space="0" w:color="auto"/>
            </w:tcBorders>
            <w:vAlign w:val="center"/>
          </w:tcPr>
          <w:p w14:paraId="703F2E3E" w14:textId="77777777" w:rsidR="00B00F0B" w:rsidRPr="00B00F0B" w:rsidRDefault="00B00F0B" w:rsidP="00456E56">
            <w:pPr>
              <w:jc w:val="right"/>
              <w:rPr>
                <w:rFonts w:cs="Times New Roman"/>
                <w:color w:val="000000"/>
                <w:sz w:val="23"/>
                <w:szCs w:val="23"/>
              </w:rPr>
            </w:pPr>
            <w:r w:rsidRPr="00B00F0B">
              <w:rPr>
                <w:rFonts w:cs="Times New Roman"/>
                <w:color w:val="000000"/>
                <w:sz w:val="23"/>
                <w:szCs w:val="23"/>
              </w:rPr>
              <w:t>-</w:t>
            </w:r>
          </w:p>
        </w:tc>
        <w:tc>
          <w:tcPr>
            <w:tcW w:w="503" w:type="pct"/>
            <w:tcBorders>
              <w:left w:val="single" w:sz="4" w:space="0" w:color="auto"/>
              <w:right w:val="double" w:sz="4" w:space="0" w:color="auto"/>
            </w:tcBorders>
            <w:vAlign w:val="center"/>
          </w:tcPr>
          <w:p w14:paraId="42DDFBEE" w14:textId="77777777" w:rsidR="00B00F0B" w:rsidRPr="00B00F0B" w:rsidRDefault="00B00F0B" w:rsidP="00456E56">
            <w:pPr>
              <w:jc w:val="right"/>
              <w:rPr>
                <w:rFonts w:cs="Times New Roman"/>
                <w:color w:val="000000"/>
                <w:sz w:val="23"/>
                <w:szCs w:val="23"/>
              </w:rPr>
            </w:pPr>
            <w:r w:rsidRPr="00B00F0B">
              <w:rPr>
                <w:rFonts w:cs="Times New Roman"/>
                <w:color w:val="000000"/>
                <w:sz w:val="23"/>
                <w:szCs w:val="23"/>
              </w:rPr>
              <w:t>-</w:t>
            </w:r>
          </w:p>
        </w:tc>
        <w:tc>
          <w:tcPr>
            <w:tcW w:w="503" w:type="pct"/>
            <w:tcBorders>
              <w:left w:val="double" w:sz="4" w:space="0" w:color="auto"/>
              <w:right w:val="single" w:sz="4" w:space="0" w:color="auto"/>
            </w:tcBorders>
            <w:shd w:val="clear" w:color="auto" w:fill="auto"/>
            <w:noWrap/>
            <w:vAlign w:val="center"/>
          </w:tcPr>
          <w:p w14:paraId="5916B998" w14:textId="77777777" w:rsidR="00B00F0B" w:rsidRPr="00B00F0B" w:rsidRDefault="00B00F0B" w:rsidP="00456E56">
            <w:pPr>
              <w:jc w:val="right"/>
              <w:rPr>
                <w:rFonts w:cs="Times New Roman"/>
                <w:color w:val="000000"/>
                <w:sz w:val="23"/>
                <w:szCs w:val="23"/>
              </w:rPr>
            </w:pPr>
            <w:r w:rsidRPr="00B00F0B">
              <w:rPr>
                <w:rFonts w:cs="Times New Roman"/>
                <w:color w:val="000000"/>
                <w:sz w:val="23"/>
                <w:szCs w:val="23"/>
              </w:rPr>
              <w:t>-0.231</w:t>
            </w:r>
          </w:p>
        </w:tc>
        <w:tc>
          <w:tcPr>
            <w:tcW w:w="503" w:type="pct"/>
            <w:tcBorders>
              <w:left w:val="single" w:sz="4" w:space="0" w:color="auto"/>
              <w:right w:val="double" w:sz="4" w:space="0" w:color="auto"/>
            </w:tcBorders>
            <w:shd w:val="clear" w:color="auto" w:fill="auto"/>
            <w:noWrap/>
            <w:vAlign w:val="center"/>
          </w:tcPr>
          <w:p w14:paraId="57DAD7C8" w14:textId="77777777" w:rsidR="00B00F0B" w:rsidRPr="00B00F0B" w:rsidRDefault="00B00F0B" w:rsidP="00456E56">
            <w:pPr>
              <w:jc w:val="right"/>
              <w:rPr>
                <w:rFonts w:cs="Times New Roman"/>
                <w:color w:val="000000"/>
                <w:sz w:val="23"/>
                <w:szCs w:val="23"/>
              </w:rPr>
            </w:pPr>
            <w:r w:rsidRPr="00B00F0B">
              <w:rPr>
                <w:rFonts w:cs="Times New Roman"/>
                <w:color w:val="000000"/>
                <w:sz w:val="23"/>
                <w:szCs w:val="23"/>
              </w:rPr>
              <w:t>-2.750</w:t>
            </w:r>
          </w:p>
        </w:tc>
      </w:tr>
      <w:tr w:rsidR="00B00F0B" w:rsidRPr="00B00F0B" w14:paraId="2ABD3FC9" w14:textId="77777777" w:rsidTr="00B00F0B">
        <w:trPr>
          <w:trHeight w:val="331"/>
        </w:trPr>
        <w:tc>
          <w:tcPr>
            <w:tcW w:w="2988" w:type="pct"/>
            <w:tcBorders>
              <w:right w:val="double" w:sz="4" w:space="0" w:color="auto"/>
            </w:tcBorders>
            <w:shd w:val="clear" w:color="auto" w:fill="auto"/>
            <w:noWrap/>
            <w:vAlign w:val="center"/>
            <w:hideMark/>
          </w:tcPr>
          <w:p w14:paraId="49343523" w14:textId="77777777" w:rsidR="00B00F0B" w:rsidRPr="00B00F0B" w:rsidRDefault="00B00F0B" w:rsidP="00456E56">
            <w:pPr>
              <w:ind w:firstLineChars="100" w:firstLine="230"/>
              <w:rPr>
                <w:rFonts w:cs="Times New Roman"/>
                <w:color w:val="000000"/>
                <w:sz w:val="23"/>
                <w:szCs w:val="23"/>
              </w:rPr>
            </w:pPr>
            <w:r w:rsidRPr="00B00F0B">
              <w:rPr>
                <w:rFonts w:cs="Times New Roman"/>
                <w:color w:val="000000"/>
                <w:sz w:val="23"/>
                <w:szCs w:val="23"/>
              </w:rPr>
              <w:t xml:space="preserve">  80 years or older</w:t>
            </w:r>
          </w:p>
        </w:tc>
        <w:tc>
          <w:tcPr>
            <w:tcW w:w="503" w:type="pct"/>
            <w:tcBorders>
              <w:right w:val="single" w:sz="4" w:space="0" w:color="auto"/>
            </w:tcBorders>
            <w:vAlign w:val="center"/>
          </w:tcPr>
          <w:p w14:paraId="72E7568E" w14:textId="77777777" w:rsidR="00B00F0B" w:rsidRPr="00B00F0B" w:rsidRDefault="00B00F0B" w:rsidP="00456E56">
            <w:pPr>
              <w:jc w:val="right"/>
              <w:rPr>
                <w:rFonts w:cs="Times New Roman"/>
                <w:color w:val="000000"/>
                <w:sz w:val="23"/>
                <w:szCs w:val="23"/>
              </w:rPr>
            </w:pPr>
            <w:r w:rsidRPr="00B00F0B">
              <w:rPr>
                <w:rFonts w:cs="Times New Roman"/>
                <w:color w:val="000000"/>
                <w:sz w:val="23"/>
                <w:szCs w:val="23"/>
              </w:rPr>
              <w:t>0.475</w:t>
            </w:r>
          </w:p>
        </w:tc>
        <w:tc>
          <w:tcPr>
            <w:tcW w:w="503" w:type="pct"/>
            <w:tcBorders>
              <w:left w:val="single" w:sz="4" w:space="0" w:color="auto"/>
              <w:right w:val="double" w:sz="4" w:space="0" w:color="auto"/>
            </w:tcBorders>
            <w:vAlign w:val="center"/>
          </w:tcPr>
          <w:p w14:paraId="2FF07EE5" w14:textId="77777777" w:rsidR="00B00F0B" w:rsidRPr="00B00F0B" w:rsidRDefault="00B00F0B" w:rsidP="00456E56">
            <w:pPr>
              <w:jc w:val="right"/>
              <w:rPr>
                <w:rFonts w:cs="Times New Roman"/>
                <w:color w:val="000000"/>
                <w:sz w:val="23"/>
                <w:szCs w:val="23"/>
              </w:rPr>
            </w:pPr>
            <w:r w:rsidRPr="00B00F0B">
              <w:rPr>
                <w:rFonts w:cs="Times New Roman"/>
                <w:color w:val="000000"/>
                <w:sz w:val="23"/>
                <w:szCs w:val="23"/>
              </w:rPr>
              <w:t>2.312</w:t>
            </w:r>
          </w:p>
        </w:tc>
        <w:tc>
          <w:tcPr>
            <w:tcW w:w="503" w:type="pct"/>
            <w:tcBorders>
              <w:left w:val="double" w:sz="4" w:space="0" w:color="auto"/>
              <w:right w:val="single" w:sz="4" w:space="0" w:color="auto"/>
            </w:tcBorders>
            <w:shd w:val="clear" w:color="auto" w:fill="auto"/>
            <w:noWrap/>
            <w:vAlign w:val="center"/>
          </w:tcPr>
          <w:p w14:paraId="3840F407" w14:textId="77777777" w:rsidR="00B00F0B" w:rsidRPr="00B00F0B" w:rsidRDefault="00B00F0B" w:rsidP="00456E56">
            <w:pPr>
              <w:jc w:val="right"/>
              <w:rPr>
                <w:rFonts w:cs="Times New Roman"/>
                <w:color w:val="000000"/>
                <w:sz w:val="23"/>
                <w:szCs w:val="23"/>
              </w:rPr>
            </w:pPr>
            <w:r w:rsidRPr="00B00F0B">
              <w:rPr>
                <w:rFonts w:cs="Times New Roman"/>
                <w:color w:val="000000"/>
                <w:sz w:val="23"/>
                <w:szCs w:val="23"/>
              </w:rPr>
              <w:t>-</w:t>
            </w:r>
          </w:p>
        </w:tc>
        <w:tc>
          <w:tcPr>
            <w:tcW w:w="503" w:type="pct"/>
            <w:tcBorders>
              <w:left w:val="single" w:sz="4" w:space="0" w:color="auto"/>
              <w:right w:val="double" w:sz="4" w:space="0" w:color="auto"/>
            </w:tcBorders>
            <w:shd w:val="clear" w:color="auto" w:fill="auto"/>
            <w:noWrap/>
            <w:vAlign w:val="center"/>
          </w:tcPr>
          <w:p w14:paraId="2EDE8C68" w14:textId="77777777" w:rsidR="00B00F0B" w:rsidRPr="00B00F0B" w:rsidRDefault="00B00F0B" w:rsidP="00456E56">
            <w:pPr>
              <w:jc w:val="right"/>
              <w:rPr>
                <w:rFonts w:cs="Times New Roman"/>
                <w:color w:val="000000"/>
                <w:sz w:val="23"/>
                <w:szCs w:val="23"/>
              </w:rPr>
            </w:pPr>
            <w:r w:rsidRPr="00B00F0B">
              <w:rPr>
                <w:rFonts w:cs="Times New Roman"/>
                <w:color w:val="000000"/>
                <w:sz w:val="23"/>
                <w:szCs w:val="23"/>
              </w:rPr>
              <w:t>-</w:t>
            </w:r>
          </w:p>
        </w:tc>
      </w:tr>
      <w:tr w:rsidR="00B00F0B" w:rsidRPr="00B00F0B" w14:paraId="2C8D025F" w14:textId="77777777" w:rsidTr="00B00F0B">
        <w:trPr>
          <w:trHeight w:val="331"/>
        </w:trPr>
        <w:tc>
          <w:tcPr>
            <w:tcW w:w="2988" w:type="pct"/>
            <w:tcBorders>
              <w:right w:val="double" w:sz="4" w:space="0" w:color="auto"/>
            </w:tcBorders>
            <w:shd w:val="clear" w:color="auto" w:fill="auto"/>
            <w:noWrap/>
            <w:vAlign w:val="center"/>
          </w:tcPr>
          <w:p w14:paraId="3944B8DE" w14:textId="77777777" w:rsidR="00B00F0B" w:rsidRPr="00B00F0B" w:rsidRDefault="00B00F0B" w:rsidP="00456E56">
            <w:pPr>
              <w:rPr>
                <w:rFonts w:cs="Times New Roman"/>
                <w:color w:val="000000"/>
                <w:sz w:val="23"/>
                <w:szCs w:val="23"/>
              </w:rPr>
            </w:pPr>
            <w:r w:rsidRPr="00B00F0B">
              <w:rPr>
                <w:rFonts w:cs="Times New Roman"/>
                <w:color w:val="000000"/>
                <w:sz w:val="23"/>
                <w:szCs w:val="23"/>
              </w:rPr>
              <w:t>White Non-Hispanic</w:t>
            </w:r>
          </w:p>
        </w:tc>
        <w:tc>
          <w:tcPr>
            <w:tcW w:w="503" w:type="pct"/>
            <w:tcBorders>
              <w:right w:val="single" w:sz="4" w:space="0" w:color="auto"/>
            </w:tcBorders>
            <w:vAlign w:val="center"/>
          </w:tcPr>
          <w:p w14:paraId="1C74F4FE" w14:textId="77777777" w:rsidR="00B00F0B" w:rsidRPr="00B00F0B" w:rsidRDefault="00B00F0B" w:rsidP="00456E56">
            <w:pPr>
              <w:jc w:val="right"/>
              <w:rPr>
                <w:rFonts w:cs="Times New Roman"/>
                <w:sz w:val="23"/>
                <w:szCs w:val="23"/>
              </w:rPr>
            </w:pPr>
            <w:r w:rsidRPr="00B00F0B">
              <w:rPr>
                <w:rFonts w:cs="Times New Roman"/>
                <w:sz w:val="23"/>
                <w:szCs w:val="23"/>
              </w:rPr>
              <w:t>-0.736</w:t>
            </w:r>
          </w:p>
        </w:tc>
        <w:tc>
          <w:tcPr>
            <w:tcW w:w="503" w:type="pct"/>
            <w:tcBorders>
              <w:left w:val="single" w:sz="4" w:space="0" w:color="auto"/>
              <w:right w:val="double" w:sz="4" w:space="0" w:color="auto"/>
            </w:tcBorders>
            <w:vAlign w:val="center"/>
          </w:tcPr>
          <w:p w14:paraId="4DE76DAB" w14:textId="77777777" w:rsidR="00B00F0B" w:rsidRPr="00B00F0B" w:rsidRDefault="00B00F0B" w:rsidP="00456E56">
            <w:pPr>
              <w:jc w:val="right"/>
              <w:rPr>
                <w:rFonts w:cs="Times New Roman"/>
                <w:sz w:val="23"/>
                <w:szCs w:val="23"/>
              </w:rPr>
            </w:pPr>
            <w:r w:rsidRPr="00B00F0B">
              <w:rPr>
                <w:rFonts w:cs="Times New Roman"/>
                <w:sz w:val="23"/>
                <w:szCs w:val="23"/>
              </w:rPr>
              <w:t>-8.523</w:t>
            </w:r>
          </w:p>
        </w:tc>
        <w:tc>
          <w:tcPr>
            <w:tcW w:w="503" w:type="pct"/>
            <w:tcBorders>
              <w:left w:val="double" w:sz="4" w:space="0" w:color="auto"/>
              <w:right w:val="single" w:sz="4" w:space="0" w:color="auto"/>
            </w:tcBorders>
            <w:shd w:val="clear" w:color="auto" w:fill="auto"/>
            <w:noWrap/>
            <w:vAlign w:val="center"/>
          </w:tcPr>
          <w:p w14:paraId="42671835" w14:textId="77777777" w:rsidR="00B00F0B" w:rsidRPr="00B00F0B" w:rsidRDefault="00B00F0B" w:rsidP="00456E56">
            <w:pPr>
              <w:jc w:val="right"/>
              <w:rPr>
                <w:rFonts w:cs="Times New Roman"/>
                <w:sz w:val="23"/>
                <w:szCs w:val="23"/>
              </w:rPr>
            </w:pPr>
            <w:r w:rsidRPr="00B00F0B">
              <w:rPr>
                <w:rFonts w:cs="Times New Roman"/>
                <w:sz w:val="23"/>
                <w:szCs w:val="23"/>
              </w:rPr>
              <w:t>-</w:t>
            </w:r>
          </w:p>
        </w:tc>
        <w:tc>
          <w:tcPr>
            <w:tcW w:w="503" w:type="pct"/>
            <w:tcBorders>
              <w:left w:val="single" w:sz="4" w:space="0" w:color="auto"/>
              <w:right w:val="double" w:sz="4" w:space="0" w:color="auto"/>
            </w:tcBorders>
            <w:shd w:val="clear" w:color="auto" w:fill="auto"/>
            <w:noWrap/>
            <w:vAlign w:val="center"/>
          </w:tcPr>
          <w:p w14:paraId="08186FFD" w14:textId="77777777" w:rsidR="00B00F0B" w:rsidRPr="00B00F0B" w:rsidRDefault="00B00F0B" w:rsidP="00456E56">
            <w:pPr>
              <w:jc w:val="right"/>
              <w:rPr>
                <w:rFonts w:cs="Times New Roman"/>
                <w:sz w:val="23"/>
                <w:szCs w:val="23"/>
              </w:rPr>
            </w:pPr>
            <w:r w:rsidRPr="00B00F0B">
              <w:rPr>
                <w:rFonts w:cs="Times New Roman"/>
                <w:sz w:val="23"/>
                <w:szCs w:val="23"/>
              </w:rPr>
              <w:t>-</w:t>
            </w:r>
          </w:p>
        </w:tc>
      </w:tr>
      <w:tr w:rsidR="00B00F0B" w:rsidRPr="00B00F0B" w14:paraId="33CA1722" w14:textId="77777777" w:rsidTr="00B00F0B">
        <w:trPr>
          <w:trHeight w:val="331"/>
        </w:trPr>
        <w:tc>
          <w:tcPr>
            <w:tcW w:w="2988" w:type="pct"/>
            <w:tcBorders>
              <w:right w:val="double" w:sz="4" w:space="0" w:color="auto"/>
            </w:tcBorders>
            <w:shd w:val="clear" w:color="auto" w:fill="auto"/>
            <w:noWrap/>
            <w:vAlign w:val="center"/>
            <w:hideMark/>
          </w:tcPr>
          <w:p w14:paraId="38A0B899" w14:textId="77777777" w:rsidR="00B00F0B" w:rsidRPr="00B00F0B" w:rsidRDefault="00B00F0B" w:rsidP="00456E56">
            <w:pPr>
              <w:rPr>
                <w:rFonts w:cs="Times New Roman"/>
                <w:color w:val="000000"/>
                <w:sz w:val="23"/>
                <w:szCs w:val="23"/>
              </w:rPr>
            </w:pPr>
            <w:r w:rsidRPr="00B00F0B">
              <w:rPr>
                <w:rFonts w:cs="Times New Roman"/>
                <w:color w:val="000000"/>
                <w:sz w:val="23"/>
                <w:szCs w:val="23"/>
              </w:rPr>
              <w:t>House Owned</w:t>
            </w:r>
          </w:p>
        </w:tc>
        <w:tc>
          <w:tcPr>
            <w:tcW w:w="503" w:type="pct"/>
            <w:tcBorders>
              <w:right w:val="single" w:sz="4" w:space="0" w:color="auto"/>
            </w:tcBorders>
            <w:vAlign w:val="center"/>
          </w:tcPr>
          <w:p w14:paraId="08D6A75E" w14:textId="77777777" w:rsidR="00B00F0B" w:rsidRPr="00B00F0B" w:rsidRDefault="00B00F0B" w:rsidP="00456E56">
            <w:pPr>
              <w:jc w:val="right"/>
              <w:rPr>
                <w:rFonts w:cs="Times New Roman"/>
                <w:color w:val="000000"/>
                <w:sz w:val="23"/>
                <w:szCs w:val="23"/>
              </w:rPr>
            </w:pPr>
            <w:r w:rsidRPr="00B00F0B">
              <w:rPr>
                <w:rFonts w:cs="Times New Roman"/>
                <w:color w:val="000000"/>
                <w:sz w:val="23"/>
                <w:szCs w:val="23"/>
              </w:rPr>
              <w:t>-0.353</w:t>
            </w:r>
          </w:p>
        </w:tc>
        <w:tc>
          <w:tcPr>
            <w:tcW w:w="503" w:type="pct"/>
            <w:tcBorders>
              <w:left w:val="single" w:sz="4" w:space="0" w:color="auto"/>
              <w:right w:val="double" w:sz="4" w:space="0" w:color="auto"/>
            </w:tcBorders>
            <w:vAlign w:val="center"/>
          </w:tcPr>
          <w:p w14:paraId="2DDF7633" w14:textId="77777777" w:rsidR="00B00F0B" w:rsidRPr="00B00F0B" w:rsidRDefault="00B00F0B" w:rsidP="00456E56">
            <w:pPr>
              <w:jc w:val="right"/>
              <w:rPr>
                <w:rFonts w:cs="Times New Roman"/>
                <w:color w:val="000000"/>
                <w:sz w:val="23"/>
                <w:szCs w:val="23"/>
              </w:rPr>
            </w:pPr>
            <w:r w:rsidRPr="00B00F0B">
              <w:rPr>
                <w:rFonts w:cs="Times New Roman"/>
                <w:color w:val="000000"/>
                <w:sz w:val="23"/>
                <w:szCs w:val="23"/>
              </w:rPr>
              <w:t>-2.953</w:t>
            </w:r>
          </w:p>
        </w:tc>
        <w:tc>
          <w:tcPr>
            <w:tcW w:w="503" w:type="pct"/>
            <w:tcBorders>
              <w:left w:val="double" w:sz="4" w:space="0" w:color="auto"/>
              <w:right w:val="single" w:sz="4" w:space="0" w:color="auto"/>
            </w:tcBorders>
            <w:shd w:val="clear" w:color="auto" w:fill="auto"/>
            <w:noWrap/>
            <w:vAlign w:val="center"/>
          </w:tcPr>
          <w:p w14:paraId="70C64D14" w14:textId="77777777" w:rsidR="00B00F0B" w:rsidRPr="00B00F0B" w:rsidRDefault="00B00F0B" w:rsidP="00456E56">
            <w:pPr>
              <w:jc w:val="right"/>
              <w:rPr>
                <w:rFonts w:cs="Times New Roman"/>
                <w:i/>
                <w:iCs/>
                <w:color w:val="000000"/>
                <w:sz w:val="23"/>
                <w:szCs w:val="23"/>
              </w:rPr>
            </w:pPr>
            <w:r w:rsidRPr="00B00F0B">
              <w:rPr>
                <w:rFonts w:cs="Times New Roman"/>
                <w:i/>
                <w:iCs/>
                <w:color w:val="000000"/>
                <w:sz w:val="23"/>
                <w:szCs w:val="23"/>
              </w:rPr>
              <w:t>-</w:t>
            </w:r>
          </w:p>
        </w:tc>
        <w:tc>
          <w:tcPr>
            <w:tcW w:w="503" w:type="pct"/>
            <w:tcBorders>
              <w:left w:val="single" w:sz="4" w:space="0" w:color="auto"/>
              <w:right w:val="double" w:sz="4" w:space="0" w:color="auto"/>
            </w:tcBorders>
            <w:shd w:val="clear" w:color="auto" w:fill="auto"/>
            <w:noWrap/>
            <w:vAlign w:val="center"/>
          </w:tcPr>
          <w:p w14:paraId="0287EE35" w14:textId="77777777" w:rsidR="00B00F0B" w:rsidRPr="00B00F0B" w:rsidRDefault="00B00F0B" w:rsidP="00456E56">
            <w:pPr>
              <w:jc w:val="right"/>
              <w:rPr>
                <w:rFonts w:cs="Times New Roman"/>
                <w:sz w:val="23"/>
                <w:szCs w:val="23"/>
              </w:rPr>
            </w:pPr>
            <w:r w:rsidRPr="00B00F0B">
              <w:rPr>
                <w:rFonts w:cs="Times New Roman"/>
                <w:sz w:val="23"/>
                <w:szCs w:val="23"/>
              </w:rPr>
              <w:t>-</w:t>
            </w:r>
          </w:p>
        </w:tc>
      </w:tr>
      <w:tr w:rsidR="00B00F0B" w:rsidRPr="00B00F0B" w14:paraId="36729331" w14:textId="77777777" w:rsidTr="00B00F0B">
        <w:trPr>
          <w:trHeight w:val="331"/>
        </w:trPr>
        <w:tc>
          <w:tcPr>
            <w:tcW w:w="2988" w:type="pct"/>
            <w:tcBorders>
              <w:right w:val="double" w:sz="4" w:space="0" w:color="auto"/>
            </w:tcBorders>
            <w:shd w:val="clear" w:color="auto" w:fill="auto"/>
            <w:noWrap/>
            <w:vAlign w:val="center"/>
            <w:hideMark/>
          </w:tcPr>
          <w:p w14:paraId="6AE64FD0" w14:textId="77777777" w:rsidR="00B00F0B" w:rsidRPr="00B00F0B" w:rsidRDefault="00B00F0B" w:rsidP="00456E56">
            <w:pPr>
              <w:rPr>
                <w:rFonts w:cs="Times New Roman"/>
                <w:color w:val="000000"/>
                <w:sz w:val="23"/>
                <w:szCs w:val="23"/>
              </w:rPr>
            </w:pPr>
            <w:r w:rsidRPr="00B00F0B">
              <w:rPr>
                <w:rFonts w:cs="Times New Roman"/>
                <w:color w:val="000000"/>
                <w:sz w:val="23"/>
                <w:szCs w:val="23"/>
              </w:rPr>
              <w:t>Apartment Dwelling</w:t>
            </w:r>
          </w:p>
        </w:tc>
        <w:tc>
          <w:tcPr>
            <w:tcW w:w="503" w:type="pct"/>
            <w:tcBorders>
              <w:right w:val="single" w:sz="4" w:space="0" w:color="auto"/>
            </w:tcBorders>
            <w:vAlign w:val="center"/>
          </w:tcPr>
          <w:p w14:paraId="2090D4F4" w14:textId="77777777" w:rsidR="00B00F0B" w:rsidRPr="00B00F0B" w:rsidRDefault="00B00F0B" w:rsidP="00456E56">
            <w:pPr>
              <w:jc w:val="right"/>
              <w:rPr>
                <w:rFonts w:cs="Times New Roman"/>
                <w:color w:val="000000"/>
                <w:sz w:val="23"/>
                <w:szCs w:val="23"/>
              </w:rPr>
            </w:pPr>
            <w:r w:rsidRPr="00B00F0B">
              <w:rPr>
                <w:rFonts w:cs="Times New Roman"/>
                <w:color w:val="000000"/>
                <w:sz w:val="23"/>
                <w:szCs w:val="23"/>
              </w:rPr>
              <w:t>0.523</w:t>
            </w:r>
          </w:p>
        </w:tc>
        <w:tc>
          <w:tcPr>
            <w:tcW w:w="503" w:type="pct"/>
            <w:tcBorders>
              <w:left w:val="single" w:sz="4" w:space="0" w:color="auto"/>
              <w:right w:val="double" w:sz="4" w:space="0" w:color="auto"/>
            </w:tcBorders>
            <w:vAlign w:val="center"/>
          </w:tcPr>
          <w:p w14:paraId="6F4647D0" w14:textId="77777777" w:rsidR="00B00F0B" w:rsidRPr="00B00F0B" w:rsidRDefault="00B00F0B" w:rsidP="00456E56">
            <w:pPr>
              <w:jc w:val="right"/>
              <w:rPr>
                <w:rFonts w:cs="Times New Roman"/>
                <w:color w:val="000000"/>
                <w:sz w:val="23"/>
                <w:szCs w:val="23"/>
              </w:rPr>
            </w:pPr>
            <w:r w:rsidRPr="00B00F0B">
              <w:rPr>
                <w:rFonts w:cs="Times New Roman"/>
                <w:color w:val="000000"/>
                <w:sz w:val="23"/>
                <w:szCs w:val="23"/>
              </w:rPr>
              <w:t>3.390</w:t>
            </w:r>
          </w:p>
        </w:tc>
        <w:tc>
          <w:tcPr>
            <w:tcW w:w="503" w:type="pct"/>
            <w:tcBorders>
              <w:left w:val="double" w:sz="4" w:space="0" w:color="auto"/>
              <w:right w:val="single" w:sz="4" w:space="0" w:color="auto"/>
            </w:tcBorders>
            <w:shd w:val="clear" w:color="auto" w:fill="auto"/>
            <w:noWrap/>
            <w:vAlign w:val="center"/>
          </w:tcPr>
          <w:p w14:paraId="763DF916" w14:textId="77777777" w:rsidR="00B00F0B" w:rsidRPr="00B00F0B" w:rsidRDefault="00B00F0B" w:rsidP="00456E56">
            <w:pPr>
              <w:jc w:val="right"/>
              <w:rPr>
                <w:rFonts w:cs="Times New Roman"/>
                <w:color w:val="000000"/>
                <w:sz w:val="23"/>
                <w:szCs w:val="23"/>
              </w:rPr>
            </w:pPr>
            <w:r w:rsidRPr="00B00F0B">
              <w:rPr>
                <w:rFonts w:cs="Times New Roman"/>
                <w:color w:val="000000"/>
                <w:sz w:val="23"/>
                <w:szCs w:val="23"/>
              </w:rPr>
              <w:t>-</w:t>
            </w:r>
          </w:p>
        </w:tc>
        <w:tc>
          <w:tcPr>
            <w:tcW w:w="503" w:type="pct"/>
            <w:tcBorders>
              <w:left w:val="single" w:sz="4" w:space="0" w:color="auto"/>
              <w:right w:val="double" w:sz="4" w:space="0" w:color="auto"/>
            </w:tcBorders>
            <w:shd w:val="clear" w:color="auto" w:fill="auto"/>
            <w:noWrap/>
            <w:vAlign w:val="center"/>
          </w:tcPr>
          <w:p w14:paraId="4289AB04" w14:textId="77777777" w:rsidR="00B00F0B" w:rsidRPr="00B00F0B" w:rsidRDefault="00B00F0B" w:rsidP="00456E56">
            <w:pPr>
              <w:jc w:val="right"/>
              <w:rPr>
                <w:rFonts w:cs="Times New Roman"/>
                <w:color w:val="000000"/>
                <w:sz w:val="23"/>
                <w:szCs w:val="23"/>
              </w:rPr>
            </w:pPr>
            <w:r w:rsidRPr="00B00F0B">
              <w:rPr>
                <w:rFonts w:cs="Times New Roman"/>
                <w:color w:val="000000"/>
                <w:sz w:val="23"/>
                <w:szCs w:val="23"/>
              </w:rPr>
              <w:t>-</w:t>
            </w:r>
          </w:p>
        </w:tc>
      </w:tr>
      <w:tr w:rsidR="00B00F0B" w:rsidRPr="00B00F0B" w14:paraId="1DD04393" w14:textId="77777777" w:rsidTr="00B00F0B">
        <w:trPr>
          <w:trHeight w:val="331"/>
        </w:trPr>
        <w:tc>
          <w:tcPr>
            <w:tcW w:w="2988" w:type="pct"/>
            <w:tcBorders>
              <w:right w:val="double" w:sz="4" w:space="0" w:color="auto"/>
            </w:tcBorders>
            <w:shd w:val="clear" w:color="auto" w:fill="auto"/>
            <w:noWrap/>
            <w:vAlign w:val="center"/>
          </w:tcPr>
          <w:p w14:paraId="6485975D" w14:textId="77777777" w:rsidR="00B00F0B" w:rsidRPr="00B00F0B" w:rsidRDefault="00B00F0B" w:rsidP="00456E56">
            <w:pPr>
              <w:rPr>
                <w:rFonts w:cs="Times New Roman"/>
                <w:color w:val="000000"/>
                <w:sz w:val="23"/>
                <w:szCs w:val="23"/>
              </w:rPr>
            </w:pPr>
            <w:r w:rsidRPr="00B00F0B">
              <w:rPr>
                <w:rFonts w:cs="Times New Roman"/>
                <w:color w:val="000000"/>
                <w:sz w:val="23"/>
                <w:szCs w:val="23"/>
              </w:rPr>
              <w:t>Unemployed and Disabled</w:t>
            </w:r>
          </w:p>
        </w:tc>
        <w:tc>
          <w:tcPr>
            <w:tcW w:w="503" w:type="pct"/>
            <w:tcBorders>
              <w:right w:val="single" w:sz="4" w:space="0" w:color="auto"/>
            </w:tcBorders>
            <w:vAlign w:val="center"/>
          </w:tcPr>
          <w:p w14:paraId="740CBF72" w14:textId="77777777" w:rsidR="00B00F0B" w:rsidRPr="00B00F0B" w:rsidRDefault="00B00F0B" w:rsidP="00456E56">
            <w:pPr>
              <w:jc w:val="right"/>
              <w:rPr>
                <w:rFonts w:cs="Times New Roman"/>
                <w:color w:val="000000"/>
                <w:sz w:val="23"/>
                <w:szCs w:val="23"/>
              </w:rPr>
            </w:pPr>
            <w:r w:rsidRPr="00B00F0B">
              <w:rPr>
                <w:rFonts w:cs="Times New Roman"/>
                <w:color w:val="000000"/>
                <w:sz w:val="23"/>
                <w:szCs w:val="23"/>
              </w:rPr>
              <w:t>-</w:t>
            </w:r>
          </w:p>
        </w:tc>
        <w:tc>
          <w:tcPr>
            <w:tcW w:w="503" w:type="pct"/>
            <w:tcBorders>
              <w:left w:val="single" w:sz="4" w:space="0" w:color="auto"/>
              <w:right w:val="double" w:sz="4" w:space="0" w:color="auto"/>
            </w:tcBorders>
            <w:vAlign w:val="center"/>
          </w:tcPr>
          <w:p w14:paraId="28197180" w14:textId="77777777" w:rsidR="00B00F0B" w:rsidRPr="00B00F0B" w:rsidRDefault="00B00F0B" w:rsidP="00456E56">
            <w:pPr>
              <w:jc w:val="right"/>
              <w:rPr>
                <w:rFonts w:cs="Times New Roman"/>
                <w:color w:val="000000"/>
                <w:sz w:val="23"/>
                <w:szCs w:val="23"/>
              </w:rPr>
            </w:pPr>
            <w:r w:rsidRPr="00B00F0B">
              <w:rPr>
                <w:rFonts w:cs="Times New Roman"/>
                <w:color w:val="000000"/>
                <w:sz w:val="23"/>
                <w:szCs w:val="23"/>
              </w:rPr>
              <w:t>-</w:t>
            </w:r>
          </w:p>
        </w:tc>
        <w:tc>
          <w:tcPr>
            <w:tcW w:w="503" w:type="pct"/>
            <w:tcBorders>
              <w:left w:val="double" w:sz="4" w:space="0" w:color="auto"/>
              <w:right w:val="single" w:sz="4" w:space="0" w:color="auto"/>
            </w:tcBorders>
            <w:shd w:val="clear" w:color="auto" w:fill="auto"/>
            <w:noWrap/>
            <w:vAlign w:val="center"/>
          </w:tcPr>
          <w:p w14:paraId="7324035A" w14:textId="77777777" w:rsidR="00B00F0B" w:rsidRPr="00B00F0B" w:rsidRDefault="00B00F0B" w:rsidP="00456E56">
            <w:pPr>
              <w:jc w:val="right"/>
              <w:rPr>
                <w:rFonts w:cs="Times New Roman"/>
                <w:color w:val="000000"/>
                <w:sz w:val="23"/>
                <w:szCs w:val="23"/>
              </w:rPr>
            </w:pPr>
            <w:r w:rsidRPr="00B00F0B">
              <w:rPr>
                <w:rFonts w:cs="Times New Roman"/>
                <w:color w:val="000000"/>
                <w:sz w:val="23"/>
                <w:szCs w:val="23"/>
              </w:rPr>
              <w:t>-0.397</w:t>
            </w:r>
          </w:p>
        </w:tc>
        <w:tc>
          <w:tcPr>
            <w:tcW w:w="503" w:type="pct"/>
            <w:tcBorders>
              <w:left w:val="single" w:sz="4" w:space="0" w:color="auto"/>
              <w:right w:val="double" w:sz="4" w:space="0" w:color="auto"/>
            </w:tcBorders>
            <w:shd w:val="clear" w:color="auto" w:fill="auto"/>
            <w:noWrap/>
            <w:vAlign w:val="center"/>
          </w:tcPr>
          <w:p w14:paraId="47A19B51" w14:textId="77777777" w:rsidR="00B00F0B" w:rsidRPr="00B00F0B" w:rsidRDefault="00B00F0B" w:rsidP="00456E56">
            <w:pPr>
              <w:jc w:val="right"/>
              <w:rPr>
                <w:rFonts w:cs="Times New Roman"/>
                <w:color w:val="000000"/>
                <w:sz w:val="23"/>
                <w:szCs w:val="23"/>
              </w:rPr>
            </w:pPr>
            <w:r w:rsidRPr="00B00F0B">
              <w:rPr>
                <w:rFonts w:cs="Times New Roman"/>
                <w:color w:val="000000"/>
                <w:sz w:val="23"/>
                <w:szCs w:val="23"/>
              </w:rPr>
              <w:t>-3.789</w:t>
            </w:r>
          </w:p>
        </w:tc>
      </w:tr>
      <w:tr w:rsidR="00B00F0B" w:rsidRPr="00B00F0B" w14:paraId="5D0EA8F8" w14:textId="77777777" w:rsidTr="00B00F0B">
        <w:trPr>
          <w:trHeight w:val="331"/>
        </w:trPr>
        <w:tc>
          <w:tcPr>
            <w:tcW w:w="2988" w:type="pct"/>
            <w:tcBorders>
              <w:right w:val="double" w:sz="4" w:space="0" w:color="auto"/>
            </w:tcBorders>
            <w:shd w:val="clear" w:color="auto" w:fill="auto"/>
            <w:noWrap/>
            <w:vAlign w:val="center"/>
          </w:tcPr>
          <w:p w14:paraId="59BD2D60" w14:textId="77777777" w:rsidR="00B00F0B" w:rsidRPr="00B00F0B" w:rsidRDefault="00B00F0B" w:rsidP="00456E56">
            <w:pPr>
              <w:rPr>
                <w:rFonts w:cs="Times New Roman"/>
                <w:color w:val="000000"/>
                <w:sz w:val="23"/>
                <w:szCs w:val="23"/>
              </w:rPr>
            </w:pPr>
            <w:r w:rsidRPr="00B00F0B">
              <w:rPr>
                <w:rFonts w:cs="Times New Roman"/>
                <w:color w:val="000000"/>
                <w:sz w:val="23"/>
                <w:szCs w:val="23"/>
              </w:rPr>
              <w:t>Unemployed and Retired</w:t>
            </w:r>
          </w:p>
        </w:tc>
        <w:tc>
          <w:tcPr>
            <w:tcW w:w="503" w:type="pct"/>
            <w:tcBorders>
              <w:right w:val="single" w:sz="4" w:space="0" w:color="auto"/>
            </w:tcBorders>
            <w:vAlign w:val="center"/>
          </w:tcPr>
          <w:p w14:paraId="4982A6F3" w14:textId="77777777" w:rsidR="00B00F0B" w:rsidRPr="00B00F0B" w:rsidRDefault="00B00F0B" w:rsidP="00456E56">
            <w:pPr>
              <w:jc w:val="right"/>
              <w:rPr>
                <w:rFonts w:cs="Times New Roman"/>
                <w:color w:val="000000"/>
                <w:sz w:val="23"/>
                <w:szCs w:val="23"/>
              </w:rPr>
            </w:pPr>
            <w:r w:rsidRPr="00B00F0B">
              <w:rPr>
                <w:rFonts w:cs="Times New Roman"/>
                <w:color w:val="000000"/>
                <w:sz w:val="23"/>
                <w:szCs w:val="23"/>
              </w:rPr>
              <w:t>-</w:t>
            </w:r>
          </w:p>
        </w:tc>
        <w:tc>
          <w:tcPr>
            <w:tcW w:w="503" w:type="pct"/>
            <w:tcBorders>
              <w:left w:val="single" w:sz="4" w:space="0" w:color="auto"/>
              <w:right w:val="double" w:sz="4" w:space="0" w:color="auto"/>
            </w:tcBorders>
            <w:vAlign w:val="center"/>
          </w:tcPr>
          <w:p w14:paraId="344B8169" w14:textId="77777777" w:rsidR="00B00F0B" w:rsidRPr="00B00F0B" w:rsidRDefault="00B00F0B" w:rsidP="00456E56">
            <w:pPr>
              <w:jc w:val="right"/>
              <w:rPr>
                <w:rFonts w:cs="Times New Roman"/>
                <w:color w:val="000000"/>
                <w:sz w:val="23"/>
                <w:szCs w:val="23"/>
              </w:rPr>
            </w:pPr>
            <w:r w:rsidRPr="00B00F0B">
              <w:rPr>
                <w:rFonts w:cs="Times New Roman"/>
                <w:color w:val="000000"/>
                <w:sz w:val="23"/>
                <w:szCs w:val="23"/>
              </w:rPr>
              <w:t>-</w:t>
            </w:r>
          </w:p>
        </w:tc>
        <w:tc>
          <w:tcPr>
            <w:tcW w:w="503" w:type="pct"/>
            <w:tcBorders>
              <w:left w:val="double" w:sz="4" w:space="0" w:color="auto"/>
              <w:right w:val="single" w:sz="4" w:space="0" w:color="auto"/>
            </w:tcBorders>
            <w:shd w:val="clear" w:color="auto" w:fill="auto"/>
            <w:noWrap/>
            <w:vAlign w:val="center"/>
          </w:tcPr>
          <w:p w14:paraId="4FB05769" w14:textId="77777777" w:rsidR="00B00F0B" w:rsidRPr="00B00F0B" w:rsidRDefault="00B00F0B" w:rsidP="00456E56">
            <w:pPr>
              <w:jc w:val="right"/>
              <w:rPr>
                <w:rFonts w:cs="Times New Roman"/>
                <w:color w:val="000000"/>
                <w:sz w:val="23"/>
                <w:szCs w:val="23"/>
              </w:rPr>
            </w:pPr>
            <w:r w:rsidRPr="00B00F0B">
              <w:rPr>
                <w:rFonts w:cs="Times New Roman"/>
                <w:color w:val="000000"/>
                <w:sz w:val="23"/>
                <w:szCs w:val="23"/>
              </w:rPr>
              <w:t>-0.124</w:t>
            </w:r>
          </w:p>
        </w:tc>
        <w:tc>
          <w:tcPr>
            <w:tcW w:w="503" w:type="pct"/>
            <w:tcBorders>
              <w:left w:val="single" w:sz="4" w:space="0" w:color="auto"/>
              <w:right w:val="double" w:sz="4" w:space="0" w:color="auto"/>
            </w:tcBorders>
            <w:shd w:val="clear" w:color="auto" w:fill="auto"/>
            <w:noWrap/>
            <w:vAlign w:val="center"/>
          </w:tcPr>
          <w:p w14:paraId="3B162ED0" w14:textId="77777777" w:rsidR="00B00F0B" w:rsidRPr="00B00F0B" w:rsidRDefault="00B00F0B" w:rsidP="00456E56">
            <w:pPr>
              <w:jc w:val="right"/>
              <w:rPr>
                <w:rFonts w:cs="Times New Roman"/>
                <w:color w:val="000000"/>
                <w:sz w:val="23"/>
                <w:szCs w:val="23"/>
              </w:rPr>
            </w:pPr>
            <w:r w:rsidRPr="00B00F0B">
              <w:rPr>
                <w:rFonts w:cs="Times New Roman"/>
                <w:color w:val="000000"/>
                <w:sz w:val="23"/>
                <w:szCs w:val="23"/>
              </w:rPr>
              <w:t>-2.258</w:t>
            </w:r>
          </w:p>
        </w:tc>
      </w:tr>
      <w:tr w:rsidR="00B00F0B" w:rsidRPr="00B00F0B" w14:paraId="65195F4E" w14:textId="77777777" w:rsidTr="00B00F0B">
        <w:trPr>
          <w:trHeight w:val="331"/>
        </w:trPr>
        <w:tc>
          <w:tcPr>
            <w:tcW w:w="2988" w:type="pct"/>
            <w:tcBorders>
              <w:right w:val="double" w:sz="4" w:space="0" w:color="auto"/>
            </w:tcBorders>
            <w:shd w:val="clear" w:color="auto" w:fill="auto"/>
            <w:noWrap/>
            <w:vAlign w:val="center"/>
          </w:tcPr>
          <w:p w14:paraId="16750FE8" w14:textId="77777777" w:rsidR="00B00F0B" w:rsidRPr="00B00F0B" w:rsidRDefault="00B00F0B" w:rsidP="00456E56">
            <w:pPr>
              <w:rPr>
                <w:rFonts w:cs="Times New Roman"/>
                <w:color w:val="000000"/>
                <w:sz w:val="23"/>
                <w:szCs w:val="23"/>
              </w:rPr>
            </w:pPr>
            <w:r w:rsidRPr="00B00F0B">
              <w:rPr>
                <w:rFonts w:cs="Times New Roman"/>
                <w:color w:val="000000"/>
                <w:sz w:val="23"/>
                <w:szCs w:val="23"/>
              </w:rPr>
              <w:t>Geographic Residence Region</w:t>
            </w:r>
          </w:p>
        </w:tc>
        <w:tc>
          <w:tcPr>
            <w:tcW w:w="503" w:type="pct"/>
            <w:tcBorders>
              <w:right w:val="single" w:sz="4" w:space="0" w:color="auto"/>
            </w:tcBorders>
            <w:vAlign w:val="center"/>
          </w:tcPr>
          <w:p w14:paraId="23EFFAA5" w14:textId="77777777" w:rsidR="00B00F0B" w:rsidRPr="00B00F0B" w:rsidRDefault="00B00F0B" w:rsidP="00456E56">
            <w:pPr>
              <w:jc w:val="right"/>
              <w:rPr>
                <w:rFonts w:cs="Times New Roman"/>
                <w:color w:val="000000"/>
                <w:sz w:val="23"/>
                <w:szCs w:val="23"/>
              </w:rPr>
            </w:pPr>
          </w:p>
        </w:tc>
        <w:tc>
          <w:tcPr>
            <w:tcW w:w="503" w:type="pct"/>
            <w:tcBorders>
              <w:left w:val="single" w:sz="4" w:space="0" w:color="auto"/>
              <w:right w:val="double" w:sz="4" w:space="0" w:color="auto"/>
            </w:tcBorders>
            <w:vAlign w:val="center"/>
          </w:tcPr>
          <w:p w14:paraId="486F4ABB" w14:textId="77777777" w:rsidR="00B00F0B" w:rsidRPr="00B00F0B" w:rsidRDefault="00B00F0B" w:rsidP="00456E56">
            <w:pPr>
              <w:jc w:val="right"/>
              <w:rPr>
                <w:rFonts w:cs="Times New Roman"/>
                <w:color w:val="000000"/>
                <w:sz w:val="23"/>
                <w:szCs w:val="23"/>
              </w:rPr>
            </w:pPr>
          </w:p>
        </w:tc>
        <w:tc>
          <w:tcPr>
            <w:tcW w:w="503" w:type="pct"/>
            <w:tcBorders>
              <w:left w:val="double" w:sz="4" w:space="0" w:color="auto"/>
              <w:right w:val="single" w:sz="4" w:space="0" w:color="auto"/>
            </w:tcBorders>
            <w:shd w:val="clear" w:color="auto" w:fill="auto"/>
            <w:noWrap/>
            <w:vAlign w:val="center"/>
          </w:tcPr>
          <w:p w14:paraId="7092CA03" w14:textId="77777777" w:rsidR="00B00F0B" w:rsidRPr="00B00F0B" w:rsidRDefault="00B00F0B" w:rsidP="00456E56">
            <w:pPr>
              <w:jc w:val="right"/>
              <w:rPr>
                <w:rFonts w:cs="Times New Roman"/>
                <w:color w:val="000000"/>
                <w:sz w:val="23"/>
                <w:szCs w:val="23"/>
              </w:rPr>
            </w:pPr>
          </w:p>
        </w:tc>
        <w:tc>
          <w:tcPr>
            <w:tcW w:w="503" w:type="pct"/>
            <w:tcBorders>
              <w:left w:val="single" w:sz="4" w:space="0" w:color="auto"/>
              <w:right w:val="double" w:sz="4" w:space="0" w:color="auto"/>
            </w:tcBorders>
            <w:shd w:val="clear" w:color="auto" w:fill="auto"/>
            <w:noWrap/>
            <w:vAlign w:val="center"/>
          </w:tcPr>
          <w:p w14:paraId="4A5CCC60" w14:textId="77777777" w:rsidR="00B00F0B" w:rsidRPr="00B00F0B" w:rsidRDefault="00B00F0B" w:rsidP="00456E56">
            <w:pPr>
              <w:jc w:val="right"/>
              <w:rPr>
                <w:rFonts w:cs="Times New Roman"/>
                <w:color w:val="000000"/>
                <w:sz w:val="23"/>
                <w:szCs w:val="23"/>
              </w:rPr>
            </w:pPr>
          </w:p>
        </w:tc>
      </w:tr>
      <w:tr w:rsidR="00B00F0B" w:rsidRPr="00B00F0B" w14:paraId="5D994F94" w14:textId="77777777" w:rsidTr="00B00F0B">
        <w:trPr>
          <w:trHeight w:val="331"/>
        </w:trPr>
        <w:tc>
          <w:tcPr>
            <w:tcW w:w="2988" w:type="pct"/>
            <w:tcBorders>
              <w:right w:val="double" w:sz="4" w:space="0" w:color="auto"/>
            </w:tcBorders>
            <w:shd w:val="clear" w:color="auto" w:fill="auto"/>
            <w:noWrap/>
            <w:vAlign w:val="center"/>
          </w:tcPr>
          <w:p w14:paraId="196A2AC6" w14:textId="77777777" w:rsidR="00B00F0B" w:rsidRPr="00B00F0B" w:rsidRDefault="00B00F0B" w:rsidP="00456E56">
            <w:pPr>
              <w:ind w:left="330"/>
              <w:rPr>
                <w:rFonts w:cs="Times New Roman"/>
                <w:color w:val="000000"/>
                <w:sz w:val="23"/>
                <w:szCs w:val="23"/>
              </w:rPr>
            </w:pPr>
            <w:r w:rsidRPr="00B00F0B">
              <w:rPr>
                <w:rFonts w:cs="Times New Roman"/>
                <w:color w:val="000000"/>
                <w:sz w:val="23"/>
                <w:szCs w:val="23"/>
              </w:rPr>
              <w:t>South and Midwest</w:t>
            </w:r>
          </w:p>
        </w:tc>
        <w:tc>
          <w:tcPr>
            <w:tcW w:w="503" w:type="pct"/>
            <w:tcBorders>
              <w:right w:val="single" w:sz="4" w:space="0" w:color="auto"/>
            </w:tcBorders>
            <w:vAlign w:val="center"/>
          </w:tcPr>
          <w:p w14:paraId="18F7B5F0" w14:textId="77777777" w:rsidR="00B00F0B" w:rsidRPr="00B00F0B" w:rsidRDefault="00B00F0B" w:rsidP="00456E56">
            <w:pPr>
              <w:jc w:val="right"/>
              <w:rPr>
                <w:rFonts w:cs="Times New Roman"/>
                <w:color w:val="000000"/>
                <w:sz w:val="23"/>
                <w:szCs w:val="23"/>
              </w:rPr>
            </w:pPr>
            <w:r w:rsidRPr="00B00F0B">
              <w:rPr>
                <w:rFonts w:cs="Times New Roman"/>
                <w:color w:val="000000"/>
                <w:sz w:val="23"/>
                <w:szCs w:val="23"/>
              </w:rPr>
              <w:t>-0.358</w:t>
            </w:r>
          </w:p>
        </w:tc>
        <w:tc>
          <w:tcPr>
            <w:tcW w:w="503" w:type="pct"/>
            <w:tcBorders>
              <w:left w:val="single" w:sz="4" w:space="0" w:color="auto"/>
              <w:right w:val="double" w:sz="4" w:space="0" w:color="auto"/>
            </w:tcBorders>
            <w:vAlign w:val="center"/>
          </w:tcPr>
          <w:p w14:paraId="720B8104" w14:textId="77777777" w:rsidR="00B00F0B" w:rsidRPr="00B00F0B" w:rsidRDefault="00B00F0B" w:rsidP="00456E56">
            <w:pPr>
              <w:jc w:val="right"/>
              <w:rPr>
                <w:rFonts w:cs="Times New Roman"/>
                <w:color w:val="000000"/>
                <w:sz w:val="23"/>
                <w:szCs w:val="23"/>
              </w:rPr>
            </w:pPr>
            <w:r w:rsidRPr="00B00F0B">
              <w:rPr>
                <w:rFonts w:cs="Times New Roman"/>
                <w:color w:val="000000"/>
                <w:sz w:val="23"/>
                <w:szCs w:val="23"/>
              </w:rPr>
              <w:t>-3.942</w:t>
            </w:r>
          </w:p>
        </w:tc>
        <w:tc>
          <w:tcPr>
            <w:tcW w:w="503" w:type="pct"/>
            <w:tcBorders>
              <w:left w:val="double" w:sz="4" w:space="0" w:color="auto"/>
              <w:right w:val="single" w:sz="4" w:space="0" w:color="auto"/>
            </w:tcBorders>
            <w:shd w:val="clear" w:color="auto" w:fill="auto"/>
            <w:noWrap/>
            <w:vAlign w:val="center"/>
          </w:tcPr>
          <w:p w14:paraId="3E616592" w14:textId="77777777" w:rsidR="00B00F0B" w:rsidRPr="00B00F0B" w:rsidRDefault="00B00F0B" w:rsidP="00456E56">
            <w:pPr>
              <w:jc w:val="right"/>
              <w:rPr>
                <w:rFonts w:cs="Times New Roman"/>
                <w:color w:val="000000"/>
                <w:sz w:val="23"/>
                <w:szCs w:val="23"/>
              </w:rPr>
            </w:pPr>
            <w:r w:rsidRPr="00B00F0B">
              <w:rPr>
                <w:rFonts w:cs="Times New Roman"/>
                <w:color w:val="000000"/>
                <w:sz w:val="23"/>
                <w:szCs w:val="23"/>
              </w:rPr>
              <w:t>-</w:t>
            </w:r>
          </w:p>
        </w:tc>
        <w:tc>
          <w:tcPr>
            <w:tcW w:w="503" w:type="pct"/>
            <w:tcBorders>
              <w:left w:val="single" w:sz="4" w:space="0" w:color="auto"/>
              <w:right w:val="double" w:sz="4" w:space="0" w:color="auto"/>
            </w:tcBorders>
            <w:shd w:val="clear" w:color="auto" w:fill="auto"/>
            <w:noWrap/>
            <w:vAlign w:val="center"/>
          </w:tcPr>
          <w:p w14:paraId="39827A44" w14:textId="77777777" w:rsidR="00B00F0B" w:rsidRPr="00B00F0B" w:rsidRDefault="00B00F0B" w:rsidP="00456E56">
            <w:pPr>
              <w:jc w:val="right"/>
              <w:rPr>
                <w:rFonts w:cs="Times New Roman"/>
                <w:sz w:val="23"/>
                <w:szCs w:val="23"/>
              </w:rPr>
            </w:pPr>
            <w:r w:rsidRPr="00B00F0B">
              <w:rPr>
                <w:rFonts w:cs="Times New Roman"/>
                <w:sz w:val="23"/>
                <w:szCs w:val="23"/>
              </w:rPr>
              <w:t>-</w:t>
            </w:r>
          </w:p>
        </w:tc>
      </w:tr>
      <w:tr w:rsidR="00B00F0B" w:rsidRPr="00B00F0B" w14:paraId="162F271A" w14:textId="77777777" w:rsidTr="00B00F0B">
        <w:trPr>
          <w:trHeight w:val="331"/>
        </w:trPr>
        <w:tc>
          <w:tcPr>
            <w:tcW w:w="2988" w:type="pct"/>
            <w:tcBorders>
              <w:right w:val="double" w:sz="4" w:space="0" w:color="auto"/>
            </w:tcBorders>
            <w:shd w:val="clear" w:color="auto" w:fill="auto"/>
            <w:noWrap/>
            <w:vAlign w:val="center"/>
            <w:hideMark/>
          </w:tcPr>
          <w:p w14:paraId="5D8EC88A" w14:textId="77777777" w:rsidR="00B00F0B" w:rsidRPr="00B00F0B" w:rsidRDefault="00B00F0B" w:rsidP="00456E56">
            <w:pPr>
              <w:ind w:left="330"/>
              <w:rPr>
                <w:rFonts w:cs="Times New Roman"/>
                <w:color w:val="000000"/>
                <w:sz w:val="23"/>
                <w:szCs w:val="23"/>
              </w:rPr>
            </w:pPr>
            <w:r w:rsidRPr="00B00F0B">
              <w:rPr>
                <w:rFonts w:cs="Times New Roman"/>
                <w:color w:val="000000"/>
                <w:sz w:val="23"/>
                <w:szCs w:val="23"/>
              </w:rPr>
              <w:t>West</w:t>
            </w:r>
          </w:p>
        </w:tc>
        <w:tc>
          <w:tcPr>
            <w:tcW w:w="503" w:type="pct"/>
            <w:tcBorders>
              <w:right w:val="single" w:sz="4" w:space="0" w:color="auto"/>
            </w:tcBorders>
            <w:vAlign w:val="center"/>
          </w:tcPr>
          <w:p w14:paraId="49B045ED" w14:textId="77777777" w:rsidR="00B00F0B" w:rsidRPr="00B00F0B" w:rsidRDefault="00B00F0B" w:rsidP="00456E56">
            <w:pPr>
              <w:jc w:val="right"/>
              <w:rPr>
                <w:rFonts w:cs="Times New Roman"/>
                <w:color w:val="000000"/>
                <w:sz w:val="23"/>
                <w:szCs w:val="23"/>
              </w:rPr>
            </w:pPr>
            <w:r w:rsidRPr="00B00F0B">
              <w:rPr>
                <w:rFonts w:cs="Times New Roman"/>
                <w:color w:val="000000"/>
                <w:sz w:val="23"/>
                <w:szCs w:val="23"/>
              </w:rPr>
              <w:t>-</w:t>
            </w:r>
          </w:p>
        </w:tc>
        <w:tc>
          <w:tcPr>
            <w:tcW w:w="503" w:type="pct"/>
            <w:tcBorders>
              <w:left w:val="single" w:sz="4" w:space="0" w:color="auto"/>
              <w:right w:val="double" w:sz="4" w:space="0" w:color="auto"/>
            </w:tcBorders>
            <w:vAlign w:val="center"/>
          </w:tcPr>
          <w:p w14:paraId="0A776F3D" w14:textId="77777777" w:rsidR="00B00F0B" w:rsidRPr="00B00F0B" w:rsidRDefault="00B00F0B" w:rsidP="00456E56">
            <w:pPr>
              <w:jc w:val="right"/>
              <w:rPr>
                <w:rFonts w:cs="Times New Roman"/>
                <w:color w:val="000000"/>
                <w:sz w:val="23"/>
                <w:szCs w:val="23"/>
              </w:rPr>
            </w:pPr>
            <w:r w:rsidRPr="00B00F0B">
              <w:rPr>
                <w:rFonts w:cs="Times New Roman"/>
                <w:color w:val="000000"/>
                <w:sz w:val="23"/>
                <w:szCs w:val="23"/>
              </w:rPr>
              <w:t>-</w:t>
            </w:r>
          </w:p>
        </w:tc>
        <w:tc>
          <w:tcPr>
            <w:tcW w:w="503" w:type="pct"/>
            <w:tcBorders>
              <w:left w:val="double" w:sz="4" w:space="0" w:color="auto"/>
              <w:right w:val="single" w:sz="4" w:space="0" w:color="auto"/>
            </w:tcBorders>
            <w:shd w:val="clear" w:color="auto" w:fill="auto"/>
            <w:noWrap/>
            <w:vAlign w:val="center"/>
          </w:tcPr>
          <w:p w14:paraId="22F33E58" w14:textId="77777777" w:rsidR="00B00F0B" w:rsidRPr="00B00F0B" w:rsidRDefault="00B00F0B" w:rsidP="00456E56">
            <w:pPr>
              <w:jc w:val="right"/>
              <w:rPr>
                <w:rFonts w:cs="Times New Roman"/>
                <w:color w:val="000000"/>
                <w:sz w:val="23"/>
                <w:szCs w:val="23"/>
              </w:rPr>
            </w:pPr>
            <w:r w:rsidRPr="00B00F0B">
              <w:rPr>
                <w:rFonts w:cs="Times New Roman"/>
                <w:color w:val="000000"/>
                <w:sz w:val="23"/>
                <w:szCs w:val="23"/>
              </w:rPr>
              <w:t>0.181</w:t>
            </w:r>
          </w:p>
        </w:tc>
        <w:tc>
          <w:tcPr>
            <w:tcW w:w="503" w:type="pct"/>
            <w:tcBorders>
              <w:left w:val="single" w:sz="4" w:space="0" w:color="auto"/>
              <w:right w:val="double" w:sz="4" w:space="0" w:color="auto"/>
            </w:tcBorders>
            <w:shd w:val="clear" w:color="auto" w:fill="auto"/>
            <w:noWrap/>
            <w:vAlign w:val="center"/>
          </w:tcPr>
          <w:p w14:paraId="68AB7EDF" w14:textId="77777777" w:rsidR="00B00F0B" w:rsidRPr="00B00F0B" w:rsidRDefault="00B00F0B" w:rsidP="00456E56">
            <w:pPr>
              <w:jc w:val="right"/>
              <w:rPr>
                <w:rFonts w:cs="Times New Roman"/>
                <w:color w:val="000000"/>
                <w:sz w:val="23"/>
                <w:szCs w:val="23"/>
              </w:rPr>
            </w:pPr>
            <w:r w:rsidRPr="00B00F0B">
              <w:rPr>
                <w:rFonts w:cs="Times New Roman"/>
                <w:color w:val="000000"/>
                <w:sz w:val="23"/>
                <w:szCs w:val="23"/>
              </w:rPr>
              <w:t>3.090</w:t>
            </w:r>
          </w:p>
        </w:tc>
      </w:tr>
      <w:tr w:rsidR="00B00F0B" w:rsidRPr="00B00F0B" w14:paraId="0AA2DE4E" w14:textId="77777777" w:rsidTr="00B00F0B">
        <w:trPr>
          <w:trHeight w:val="331"/>
        </w:trPr>
        <w:tc>
          <w:tcPr>
            <w:tcW w:w="2988" w:type="pct"/>
            <w:tcBorders>
              <w:top w:val="double" w:sz="4" w:space="0" w:color="auto"/>
              <w:bottom w:val="single" w:sz="4" w:space="0" w:color="auto"/>
              <w:right w:val="double" w:sz="4" w:space="0" w:color="auto"/>
            </w:tcBorders>
            <w:shd w:val="clear" w:color="auto" w:fill="auto"/>
            <w:noWrap/>
            <w:vAlign w:val="center"/>
            <w:hideMark/>
          </w:tcPr>
          <w:p w14:paraId="29FBCE1D" w14:textId="77777777" w:rsidR="00B00F0B" w:rsidRPr="00B00F0B" w:rsidRDefault="00B00F0B" w:rsidP="00456E56">
            <w:pPr>
              <w:rPr>
                <w:rFonts w:cs="Times New Roman"/>
                <w:color w:val="000000"/>
                <w:sz w:val="23"/>
                <w:szCs w:val="23"/>
              </w:rPr>
            </w:pPr>
            <w:r w:rsidRPr="00B00F0B">
              <w:rPr>
                <w:rFonts w:cs="Times New Roman"/>
                <w:color w:val="000000"/>
                <w:sz w:val="23"/>
                <w:szCs w:val="23"/>
              </w:rPr>
              <w:t>Correlation between the Normally Transformed Underlying Propensities between Urban Residence and Walking Frequency Error Terms</w:t>
            </w:r>
          </w:p>
        </w:tc>
        <w:tc>
          <w:tcPr>
            <w:tcW w:w="2012" w:type="pct"/>
            <w:gridSpan w:val="4"/>
            <w:tcBorders>
              <w:top w:val="double" w:sz="4" w:space="0" w:color="auto"/>
              <w:bottom w:val="single" w:sz="4" w:space="0" w:color="auto"/>
              <w:right w:val="double" w:sz="4" w:space="0" w:color="auto"/>
            </w:tcBorders>
            <w:vAlign w:val="center"/>
          </w:tcPr>
          <w:p w14:paraId="3C1EF4D2" w14:textId="77777777" w:rsidR="00B00F0B" w:rsidRPr="00B00F0B" w:rsidRDefault="00B00F0B" w:rsidP="00456E56">
            <w:pPr>
              <w:jc w:val="center"/>
              <w:rPr>
                <w:rFonts w:cs="Times New Roman"/>
                <w:color w:val="000000"/>
                <w:sz w:val="23"/>
                <w:szCs w:val="23"/>
              </w:rPr>
            </w:pPr>
            <w:r w:rsidRPr="00B00F0B">
              <w:rPr>
                <w:rFonts w:cs="Times New Roman"/>
                <w:color w:val="000000"/>
                <w:sz w:val="23"/>
                <w:szCs w:val="23"/>
              </w:rPr>
              <w:t>-0.257 (t-statistic -2.687)</w:t>
            </w:r>
          </w:p>
        </w:tc>
      </w:tr>
      <w:tr w:rsidR="00B00F0B" w:rsidRPr="00B00F0B" w14:paraId="65163059" w14:textId="77777777" w:rsidTr="00B00F0B">
        <w:trPr>
          <w:trHeight w:val="331"/>
        </w:trPr>
        <w:tc>
          <w:tcPr>
            <w:tcW w:w="2988" w:type="pct"/>
            <w:tcBorders>
              <w:top w:val="single" w:sz="4" w:space="0" w:color="auto"/>
              <w:bottom w:val="single" w:sz="4" w:space="0" w:color="auto"/>
              <w:right w:val="double" w:sz="4" w:space="0" w:color="auto"/>
            </w:tcBorders>
            <w:shd w:val="clear" w:color="auto" w:fill="auto"/>
            <w:noWrap/>
            <w:vAlign w:val="center"/>
            <w:hideMark/>
          </w:tcPr>
          <w:p w14:paraId="25370ACA" w14:textId="77777777" w:rsidR="00B00F0B" w:rsidRPr="00B00F0B" w:rsidRDefault="00B00F0B" w:rsidP="00456E56">
            <w:pPr>
              <w:rPr>
                <w:rFonts w:cs="Times New Roman"/>
                <w:color w:val="000000"/>
                <w:sz w:val="23"/>
                <w:szCs w:val="23"/>
              </w:rPr>
            </w:pPr>
            <w:r w:rsidRPr="00B00F0B">
              <w:rPr>
                <w:rFonts w:cs="Times New Roman"/>
                <w:color w:val="000000"/>
                <w:sz w:val="23"/>
                <w:szCs w:val="23"/>
              </w:rPr>
              <w:t>“True” Causal Effect of Urban Neighborhood Living</w:t>
            </w:r>
          </w:p>
        </w:tc>
        <w:tc>
          <w:tcPr>
            <w:tcW w:w="503" w:type="pct"/>
            <w:tcBorders>
              <w:top w:val="single" w:sz="4" w:space="0" w:color="auto"/>
              <w:bottom w:val="single" w:sz="4" w:space="0" w:color="auto"/>
              <w:right w:val="single" w:sz="4" w:space="0" w:color="auto"/>
            </w:tcBorders>
            <w:vAlign w:val="center"/>
          </w:tcPr>
          <w:p w14:paraId="4BA5A08D" w14:textId="77777777" w:rsidR="00B00F0B" w:rsidRPr="00B00F0B" w:rsidRDefault="00B00F0B" w:rsidP="00456E56">
            <w:pPr>
              <w:jc w:val="right"/>
              <w:rPr>
                <w:rFonts w:cs="Times New Roman"/>
                <w:color w:val="000000"/>
                <w:sz w:val="23"/>
                <w:szCs w:val="23"/>
              </w:rPr>
            </w:pPr>
            <w:r w:rsidRPr="00B00F0B">
              <w:rPr>
                <w:rFonts w:cs="Times New Roman"/>
                <w:color w:val="000000"/>
                <w:sz w:val="23"/>
                <w:szCs w:val="23"/>
              </w:rPr>
              <w:t>NA</w:t>
            </w:r>
          </w:p>
        </w:tc>
        <w:tc>
          <w:tcPr>
            <w:tcW w:w="503" w:type="pct"/>
            <w:tcBorders>
              <w:top w:val="single" w:sz="4" w:space="0" w:color="auto"/>
              <w:left w:val="single" w:sz="4" w:space="0" w:color="auto"/>
              <w:bottom w:val="single" w:sz="4" w:space="0" w:color="auto"/>
              <w:right w:val="double" w:sz="4" w:space="0" w:color="auto"/>
            </w:tcBorders>
            <w:vAlign w:val="center"/>
          </w:tcPr>
          <w:p w14:paraId="2C0D31C4" w14:textId="77777777" w:rsidR="00B00F0B" w:rsidRPr="00B00F0B" w:rsidRDefault="00B00F0B" w:rsidP="00456E56">
            <w:pPr>
              <w:jc w:val="right"/>
              <w:rPr>
                <w:rFonts w:cs="Times New Roman"/>
                <w:color w:val="000000"/>
                <w:sz w:val="23"/>
                <w:szCs w:val="23"/>
              </w:rPr>
            </w:pPr>
            <w:r w:rsidRPr="00B00F0B">
              <w:rPr>
                <w:rFonts w:cs="Times New Roman"/>
                <w:color w:val="000000"/>
                <w:sz w:val="23"/>
                <w:szCs w:val="23"/>
              </w:rPr>
              <w:t>NA</w:t>
            </w:r>
          </w:p>
        </w:tc>
        <w:tc>
          <w:tcPr>
            <w:tcW w:w="503" w:type="pct"/>
            <w:tcBorders>
              <w:top w:val="single" w:sz="4" w:space="0" w:color="auto"/>
              <w:left w:val="double" w:sz="4" w:space="0" w:color="auto"/>
              <w:bottom w:val="single" w:sz="4" w:space="0" w:color="auto"/>
              <w:right w:val="single" w:sz="4" w:space="0" w:color="auto"/>
            </w:tcBorders>
            <w:shd w:val="clear" w:color="auto" w:fill="auto"/>
            <w:noWrap/>
            <w:vAlign w:val="center"/>
          </w:tcPr>
          <w:p w14:paraId="113AFF4D" w14:textId="77777777" w:rsidR="00B00F0B" w:rsidRPr="00B00F0B" w:rsidRDefault="00B00F0B" w:rsidP="00456E56">
            <w:pPr>
              <w:jc w:val="right"/>
              <w:rPr>
                <w:rFonts w:cs="Times New Roman"/>
                <w:color w:val="000000"/>
                <w:sz w:val="23"/>
                <w:szCs w:val="23"/>
              </w:rPr>
            </w:pPr>
            <w:r w:rsidRPr="00B00F0B">
              <w:rPr>
                <w:rFonts w:cs="Times New Roman"/>
                <w:color w:val="000000"/>
                <w:sz w:val="23"/>
                <w:szCs w:val="23"/>
              </w:rPr>
              <w:t>0.467</w:t>
            </w:r>
          </w:p>
        </w:tc>
        <w:tc>
          <w:tcPr>
            <w:tcW w:w="503" w:type="pct"/>
            <w:tcBorders>
              <w:top w:val="single" w:sz="4" w:space="0" w:color="auto"/>
              <w:left w:val="single" w:sz="4" w:space="0" w:color="auto"/>
              <w:bottom w:val="single" w:sz="4" w:space="0" w:color="auto"/>
              <w:right w:val="double" w:sz="4" w:space="0" w:color="auto"/>
            </w:tcBorders>
            <w:shd w:val="clear" w:color="auto" w:fill="auto"/>
            <w:noWrap/>
            <w:vAlign w:val="center"/>
          </w:tcPr>
          <w:p w14:paraId="1F60F14F" w14:textId="77777777" w:rsidR="00B00F0B" w:rsidRPr="00B00F0B" w:rsidRDefault="00B00F0B" w:rsidP="00456E56">
            <w:pPr>
              <w:jc w:val="right"/>
              <w:rPr>
                <w:rFonts w:cs="Times New Roman"/>
                <w:color w:val="000000"/>
                <w:sz w:val="23"/>
                <w:szCs w:val="23"/>
              </w:rPr>
            </w:pPr>
            <w:r w:rsidRPr="00B00F0B">
              <w:rPr>
                <w:rFonts w:cs="Times New Roman"/>
                <w:color w:val="000000"/>
                <w:sz w:val="23"/>
                <w:szCs w:val="23"/>
              </w:rPr>
              <w:t>2.540</w:t>
            </w:r>
          </w:p>
        </w:tc>
      </w:tr>
      <w:tr w:rsidR="00B00F0B" w:rsidRPr="00B00F0B" w14:paraId="6F6D0FAF" w14:textId="77777777" w:rsidTr="00B00F0B">
        <w:trPr>
          <w:trHeight w:val="331"/>
        </w:trPr>
        <w:tc>
          <w:tcPr>
            <w:tcW w:w="2988" w:type="pct"/>
            <w:tcBorders>
              <w:top w:val="single" w:sz="4" w:space="0" w:color="auto"/>
              <w:bottom w:val="double" w:sz="4" w:space="0" w:color="auto"/>
              <w:right w:val="double" w:sz="4" w:space="0" w:color="auto"/>
            </w:tcBorders>
            <w:shd w:val="clear" w:color="auto" w:fill="auto"/>
            <w:noWrap/>
            <w:vAlign w:val="center"/>
          </w:tcPr>
          <w:p w14:paraId="1F49BF91" w14:textId="77777777" w:rsidR="00B00F0B" w:rsidRPr="00B00F0B" w:rsidRDefault="00B00F0B" w:rsidP="00456E56">
            <w:pPr>
              <w:rPr>
                <w:rFonts w:cs="Times New Roman"/>
                <w:color w:val="000000"/>
                <w:sz w:val="23"/>
                <w:szCs w:val="23"/>
              </w:rPr>
            </w:pPr>
            <w:r w:rsidRPr="00B00F0B">
              <w:rPr>
                <w:rFonts w:cs="Times New Roman"/>
                <w:color w:val="000000"/>
                <w:sz w:val="23"/>
                <w:szCs w:val="23"/>
              </w:rPr>
              <w:t xml:space="preserve">YJ Parameters (t-statistic computed with respect to the value of 1.000) </w:t>
            </w:r>
          </w:p>
        </w:tc>
        <w:tc>
          <w:tcPr>
            <w:tcW w:w="503" w:type="pct"/>
            <w:tcBorders>
              <w:top w:val="single" w:sz="4" w:space="0" w:color="auto"/>
              <w:bottom w:val="double" w:sz="4" w:space="0" w:color="auto"/>
              <w:right w:val="single" w:sz="4" w:space="0" w:color="auto"/>
            </w:tcBorders>
            <w:vAlign w:val="center"/>
          </w:tcPr>
          <w:p w14:paraId="6B46F377" w14:textId="77777777" w:rsidR="00B00F0B" w:rsidRPr="00B00F0B" w:rsidRDefault="00B00F0B" w:rsidP="00456E56">
            <w:pPr>
              <w:jc w:val="right"/>
              <w:rPr>
                <w:rFonts w:cs="Times New Roman"/>
                <w:color w:val="000000"/>
                <w:sz w:val="23"/>
                <w:szCs w:val="23"/>
              </w:rPr>
            </w:pPr>
            <w:r w:rsidRPr="00B00F0B">
              <w:rPr>
                <w:rFonts w:cs="Times New Roman"/>
                <w:color w:val="000000"/>
                <w:sz w:val="23"/>
                <w:szCs w:val="23"/>
              </w:rPr>
              <w:t>1.000*</w:t>
            </w:r>
          </w:p>
        </w:tc>
        <w:tc>
          <w:tcPr>
            <w:tcW w:w="503" w:type="pct"/>
            <w:tcBorders>
              <w:top w:val="single" w:sz="4" w:space="0" w:color="auto"/>
              <w:left w:val="single" w:sz="4" w:space="0" w:color="auto"/>
              <w:bottom w:val="double" w:sz="4" w:space="0" w:color="auto"/>
              <w:right w:val="double" w:sz="4" w:space="0" w:color="auto"/>
            </w:tcBorders>
            <w:vAlign w:val="center"/>
          </w:tcPr>
          <w:p w14:paraId="1BF71B9C" w14:textId="77777777" w:rsidR="00B00F0B" w:rsidRPr="00B00F0B" w:rsidRDefault="00B00F0B" w:rsidP="00456E56">
            <w:pPr>
              <w:jc w:val="right"/>
              <w:rPr>
                <w:rFonts w:cs="Times New Roman"/>
                <w:color w:val="000000"/>
                <w:sz w:val="23"/>
                <w:szCs w:val="23"/>
              </w:rPr>
            </w:pPr>
            <w:r w:rsidRPr="00B00F0B">
              <w:rPr>
                <w:rFonts w:cs="Times New Roman"/>
                <w:color w:val="000000"/>
                <w:sz w:val="23"/>
                <w:szCs w:val="23"/>
              </w:rPr>
              <w:t>-</w:t>
            </w:r>
          </w:p>
        </w:tc>
        <w:tc>
          <w:tcPr>
            <w:tcW w:w="503" w:type="pct"/>
            <w:tcBorders>
              <w:top w:val="single" w:sz="4" w:space="0" w:color="auto"/>
              <w:left w:val="double" w:sz="4" w:space="0" w:color="auto"/>
              <w:bottom w:val="double" w:sz="4" w:space="0" w:color="auto"/>
              <w:right w:val="single" w:sz="4" w:space="0" w:color="auto"/>
            </w:tcBorders>
            <w:shd w:val="clear" w:color="auto" w:fill="auto"/>
            <w:noWrap/>
            <w:vAlign w:val="center"/>
          </w:tcPr>
          <w:p w14:paraId="71EB016A" w14:textId="77777777" w:rsidR="00B00F0B" w:rsidRPr="00B00F0B" w:rsidRDefault="00B00F0B" w:rsidP="00456E56">
            <w:pPr>
              <w:jc w:val="right"/>
              <w:rPr>
                <w:rFonts w:cs="Times New Roman"/>
                <w:color w:val="000000"/>
                <w:sz w:val="23"/>
                <w:szCs w:val="23"/>
              </w:rPr>
            </w:pPr>
            <w:r w:rsidRPr="00B00F0B">
              <w:rPr>
                <w:rFonts w:cs="Times New Roman"/>
                <w:color w:val="000000"/>
                <w:sz w:val="23"/>
                <w:szCs w:val="23"/>
              </w:rPr>
              <w:t>0.526</w:t>
            </w:r>
          </w:p>
        </w:tc>
        <w:tc>
          <w:tcPr>
            <w:tcW w:w="503" w:type="pct"/>
            <w:tcBorders>
              <w:top w:val="single" w:sz="4" w:space="0" w:color="auto"/>
              <w:left w:val="single" w:sz="4" w:space="0" w:color="auto"/>
              <w:bottom w:val="double" w:sz="4" w:space="0" w:color="auto"/>
              <w:right w:val="double" w:sz="4" w:space="0" w:color="auto"/>
            </w:tcBorders>
            <w:shd w:val="clear" w:color="auto" w:fill="auto"/>
            <w:noWrap/>
            <w:vAlign w:val="center"/>
          </w:tcPr>
          <w:p w14:paraId="5FA2463A" w14:textId="77777777" w:rsidR="00B00F0B" w:rsidRPr="00B00F0B" w:rsidRDefault="00B00F0B" w:rsidP="00456E56">
            <w:pPr>
              <w:jc w:val="right"/>
              <w:rPr>
                <w:rFonts w:cs="Times New Roman"/>
                <w:color w:val="000000"/>
                <w:sz w:val="23"/>
                <w:szCs w:val="23"/>
              </w:rPr>
            </w:pPr>
            <w:r w:rsidRPr="00B00F0B">
              <w:rPr>
                <w:rFonts w:cs="Times New Roman"/>
                <w:color w:val="000000"/>
                <w:sz w:val="23"/>
                <w:szCs w:val="23"/>
              </w:rPr>
              <w:t>2.843</w:t>
            </w:r>
          </w:p>
        </w:tc>
      </w:tr>
      <w:tr w:rsidR="00B00F0B" w:rsidRPr="00B00F0B" w14:paraId="2734587A" w14:textId="77777777" w:rsidTr="00B00F0B">
        <w:trPr>
          <w:trHeight w:val="331"/>
        </w:trPr>
        <w:tc>
          <w:tcPr>
            <w:tcW w:w="2988" w:type="pct"/>
            <w:tcBorders>
              <w:top w:val="double" w:sz="4" w:space="0" w:color="auto"/>
              <w:bottom w:val="nil"/>
              <w:right w:val="double" w:sz="4" w:space="0" w:color="auto"/>
            </w:tcBorders>
            <w:shd w:val="clear" w:color="auto" w:fill="auto"/>
            <w:noWrap/>
            <w:vAlign w:val="center"/>
            <w:hideMark/>
          </w:tcPr>
          <w:p w14:paraId="45FFAD00" w14:textId="77777777" w:rsidR="00B00F0B" w:rsidRPr="00B00F0B" w:rsidRDefault="00B00F0B" w:rsidP="00456E56">
            <w:pPr>
              <w:rPr>
                <w:rFonts w:cs="Times New Roman"/>
                <w:b/>
                <w:i/>
                <w:color w:val="000000"/>
                <w:sz w:val="23"/>
                <w:szCs w:val="23"/>
              </w:rPr>
            </w:pPr>
            <w:r w:rsidRPr="00B00F0B">
              <w:rPr>
                <w:rFonts w:cs="Times New Roman"/>
                <w:b/>
                <w:i/>
                <w:color w:val="000000"/>
                <w:sz w:val="23"/>
                <w:szCs w:val="23"/>
              </w:rPr>
              <w:t>Constant and Thresholds</w:t>
            </w:r>
          </w:p>
        </w:tc>
        <w:tc>
          <w:tcPr>
            <w:tcW w:w="503" w:type="pct"/>
            <w:tcBorders>
              <w:top w:val="double" w:sz="4" w:space="0" w:color="auto"/>
              <w:bottom w:val="nil"/>
              <w:right w:val="single" w:sz="4" w:space="0" w:color="auto"/>
            </w:tcBorders>
            <w:vAlign w:val="center"/>
          </w:tcPr>
          <w:p w14:paraId="7C9CBFB9" w14:textId="77777777" w:rsidR="00B00F0B" w:rsidRPr="00B00F0B" w:rsidRDefault="00B00F0B" w:rsidP="00456E56">
            <w:pPr>
              <w:jc w:val="right"/>
              <w:rPr>
                <w:rFonts w:cs="Times New Roman"/>
                <w:color w:val="000000"/>
                <w:sz w:val="23"/>
                <w:szCs w:val="23"/>
              </w:rPr>
            </w:pPr>
          </w:p>
        </w:tc>
        <w:tc>
          <w:tcPr>
            <w:tcW w:w="503" w:type="pct"/>
            <w:tcBorders>
              <w:top w:val="double" w:sz="4" w:space="0" w:color="auto"/>
              <w:left w:val="single" w:sz="4" w:space="0" w:color="auto"/>
              <w:bottom w:val="nil"/>
              <w:right w:val="double" w:sz="4" w:space="0" w:color="auto"/>
            </w:tcBorders>
            <w:vAlign w:val="center"/>
          </w:tcPr>
          <w:p w14:paraId="24741D89" w14:textId="77777777" w:rsidR="00B00F0B" w:rsidRPr="00B00F0B" w:rsidRDefault="00B00F0B" w:rsidP="00456E56">
            <w:pPr>
              <w:jc w:val="right"/>
              <w:rPr>
                <w:rFonts w:cs="Times New Roman"/>
                <w:color w:val="000000"/>
                <w:sz w:val="23"/>
                <w:szCs w:val="23"/>
              </w:rPr>
            </w:pPr>
          </w:p>
        </w:tc>
        <w:tc>
          <w:tcPr>
            <w:tcW w:w="503" w:type="pct"/>
            <w:tcBorders>
              <w:top w:val="double" w:sz="4" w:space="0" w:color="auto"/>
              <w:left w:val="double" w:sz="4" w:space="0" w:color="auto"/>
              <w:bottom w:val="nil"/>
              <w:right w:val="single" w:sz="4" w:space="0" w:color="auto"/>
            </w:tcBorders>
            <w:shd w:val="clear" w:color="auto" w:fill="auto"/>
            <w:noWrap/>
            <w:vAlign w:val="center"/>
          </w:tcPr>
          <w:p w14:paraId="159DD807" w14:textId="77777777" w:rsidR="00B00F0B" w:rsidRPr="00B00F0B" w:rsidRDefault="00B00F0B" w:rsidP="00456E56">
            <w:pPr>
              <w:jc w:val="right"/>
              <w:rPr>
                <w:rFonts w:cs="Times New Roman"/>
                <w:color w:val="000000"/>
                <w:sz w:val="23"/>
                <w:szCs w:val="23"/>
              </w:rPr>
            </w:pPr>
          </w:p>
        </w:tc>
        <w:tc>
          <w:tcPr>
            <w:tcW w:w="503" w:type="pct"/>
            <w:tcBorders>
              <w:top w:val="double" w:sz="4" w:space="0" w:color="auto"/>
              <w:left w:val="single" w:sz="4" w:space="0" w:color="auto"/>
              <w:bottom w:val="nil"/>
              <w:right w:val="double" w:sz="4" w:space="0" w:color="auto"/>
            </w:tcBorders>
            <w:shd w:val="clear" w:color="auto" w:fill="auto"/>
            <w:noWrap/>
            <w:vAlign w:val="center"/>
          </w:tcPr>
          <w:p w14:paraId="6375546A" w14:textId="77777777" w:rsidR="00B00F0B" w:rsidRPr="00B00F0B" w:rsidRDefault="00B00F0B" w:rsidP="00456E56">
            <w:pPr>
              <w:jc w:val="right"/>
              <w:rPr>
                <w:rFonts w:cs="Times New Roman"/>
                <w:sz w:val="23"/>
                <w:szCs w:val="23"/>
              </w:rPr>
            </w:pPr>
          </w:p>
        </w:tc>
      </w:tr>
      <w:tr w:rsidR="00B00F0B" w:rsidRPr="00B00F0B" w14:paraId="1E8C52AD" w14:textId="77777777" w:rsidTr="00B00F0B">
        <w:trPr>
          <w:trHeight w:val="331"/>
        </w:trPr>
        <w:tc>
          <w:tcPr>
            <w:tcW w:w="2988" w:type="pct"/>
            <w:tcBorders>
              <w:top w:val="nil"/>
              <w:bottom w:val="nil"/>
              <w:right w:val="double" w:sz="4" w:space="0" w:color="auto"/>
            </w:tcBorders>
            <w:shd w:val="clear" w:color="auto" w:fill="auto"/>
            <w:noWrap/>
            <w:vAlign w:val="center"/>
            <w:hideMark/>
          </w:tcPr>
          <w:p w14:paraId="1E32FE5D" w14:textId="77777777" w:rsidR="00B00F0B" w:rsidRPr="00B00F0B" w:rsidRDefault="00B00F0B" w:rsidP="00456E56">
            <w:pPr>
              <w:ind w:left="164"/>
              <w:rPr>
                <w:rFonts w:cs="Times New Roman"/>
                <w:iCs/>
                <w:color w:val="000000"/>
                <w:sz w:val="23"/>
                <w:szCs w:val="23"/>
              </w:rPr>
            </w:pPr>
            <w:r w:rsidRPr="00B00F0B">
              <w:rPr>
                <w:rFonts w:cs="Times New Roman"/>
                <w:iCs/>
                <w:color w:val="000000"/>
                <w:sz w:val="23"/>
                <w:szCs w:val="23"/>
              </w:rPr>
              <w:t xml:space="preserve">Constant </w:t>
            </w:r>
          </w:p>
        </w:tc>
        <w:tc>
          <w:tcPr>
            <w:tcW w:w="503" w:type="pct"/>
            <w:tcBorders>
              <w:top w:val="nil"/>
              <w:bottom w:val="nil"/>
              <w:right w:val="single" w:sz="4" w:space="0" w:color="auto"/>
            </w:tcBorders>
            <w:vAlign w:val="center"/>
          </w:tcPr>
          <w:p w14:paraId="2554F88C" w14:textId="77777777" w:rsidR="00B00F0B" w:rsidRPr="00B00F0B" w:rsidRDefault="00B00F0B" w:rsidP="00456E56">
            <w:pPr>
              <w:jc w:val="right"/>
              <w:rPr>
                <w:rFonts w:cs="Times New Roman"/>
                <w:color w:val="000000"/>
                <w:sz w:val="23"/>
                <w:szCs w:val="23"/>
              </w:rPr>
            </w:pPr>
            <w:r w:rsidRPr="00B00F0B">
              <w:rPr>
                <w:rFonts w:cs="Times New Roman"/>
                <w:color w:val="000000"/>
                <w:sz w:val="23"/>
                <w:szCs w:val="23"/>
              </w:rPr>
              <w:t>1.683</w:t>
            </w:r>
          </w:p>
        </w:tc>
        <w:tc>
          <w:tcPr>
            <w:tcW w:w="503" w:type="pct"/>
            <w:tcBorders>
              <w:top w:val="nil"/>
              <w:left w:val="single" w:sz="4" w:space="0" w:color="auto"/>
              <w:bottom w:val="nil"/>
              <w:right w:val="double" w:sz="4" w:space="0" w:color="auto"/>
            </w:tcBorders>
            <w:vAlign w:val="center"/>
          </w:tcPr>
          <w:p w14:paraId="47CFE6A1" w14:textId="77777777" w:rsidR="00B00F0B" w:rsidRPr="00B00F0B" w:rsidRDefault="00B00F0B" w:rsidP="00456E56">
            <w:pPr>
              <w:jc w:val="right"/>
              <w:rPr>
                <w:rFonts w:cs="Times New Roman"/>
                <w:color w:val="000000"/>
                <w:sz w:val="23"/>
                <w:szCs w:val="23"/>
              </w:rPr>
            </w:pPr>
            <w:r w:rsidRPr="00B00F0B">
              <w:rPr>
                <w:rFonts w:cs="Times New Roman"/>
                <w:color w:val="000000"/>
                <w:sz w:val="23"/>
                <w:szCs w:val="23"/>
              </w:rPr>
              <w:t>12.731</w:t>
            </w:r>
          </w:p>
        </w:tc>
        <w:tc>
          <w:tcPr>
            <w:tcW w:w="503" w:type="pct"/>
            <w:tcBorders>
              <w:top w:val="nil"/>
              <w:left w:val="double" w:sz="4" w:space="0" w:color="auto"/>
              <w:bottom w:val="nil"/>
              <w:right w:val="single" w:sz="4" w:space="0" w:color="auto"/>
            </w:tcBorders>
            <w:shd w:val="clear" w:color="auto" w:fill="auto"/>
            <w:noWrap/>
            <w:vAlign w:val="center"/>
          </w:tcPr>
          <w:p w14:paraId="0DCF8B2E" w14:textId="77777777" w:rsidR="00B00F0B" w:rsidRPr="00B00F0B" w:rsidRDefault="00B00F0B" w:rsidP="00456E56">
            <w:pPr>
              <w:jc w:val="right"/>
              <w:rPr>
                <w:rFonts w:cs="Times New Roman"/>
                <w:color w:val="000000"/>
                <w:sz w:val="23"/>
                <w:szCs w:val="23"/>
              </w:rPr>
            </w:pPr>
            <w:r w:rsidRPr="00B00F0B">
              <w:rPr>
                <w:rFonts w:cs="Times New Roman"/>
                <w:color w:val="000000"/>
                <w:sz w:val="23"/>
                <w:szCs w:val="23"/>
              </w:rPr>
              <w:t>0.446</w:t>
            </w:r>
          </w:p>
        </w:tc>
        <w:tc>
          <w:tcPr>
            <w:tcW w:w="503" w:type="pct"/>
            <w:tcBorders>
              <w:top w:val="nil"/>
              <w:left w:val="single" w:sz="4" w:space="0" w:color="auto"/>
              <w:bottom w:val="nil"/>
              <w:right w:val="double" w:sz="4" w:space="0" w:color="auto"/>
            </w:tcBorders>
            <w:shd w:val="clear" w:color="auto" w:fill="auto"/>
            <w:noWrap/>
            <w:vAlign w:val="center"/>
          </w:tcPr>
          <w:p w14:paraId="6E1B0B45" w14:textId="77777777" w:rsidR="00B00F0B" w:rsidRPr="00B00F0B" w:rsidRDefault="00B00F0B" w:rsidP="00456E56">
            <w:pPr>
              <w:jc w:val="right"/>
              <w:rPr>
                <w:rFonts w:cs="Times New Roman"/>
                <w:color w:val="000000"/>
                <w:sz w:val="23"/>
                <w:szCs w:val="23"/>
              </w:rPr>
            </w:pPr>
            <w:r w:rsidRPr="00B00F0B">
              <w:rPr>
                <w:rFonts w:cs="Times New Roman"/>
                <w:color w:val="000000"/>
                <w:sz w:val="23"/>
                <w:szCs w:val="23"/>
              </w:rPr>
              <w:t>2.802</w:t>
            </w:r>
          </w:p>
        </w:tc>
      </w:tr>
      <w:tr w:rsidR="00B00F0B" w:rsidRPr="00B00F0B" w14:paraId="1E412A5F" w14:textId="77777777" w:rsidTr="00B00F0B">
        <w:trPr>
          <w:trHeight w:val="331"/>
        </w:trPr>
        <w:tc>
          <w:tcPr>
            <w:tcW w:w="2988" w:type="pct"/>
            <w:tcBorders>
              <w:top w:val="nil"/>
              <w:bottom w:val="nil"/>
              <w:right w:val="double" w:sz="4" w:space="0" w:color="auto"/>
            </w:tcBorders>
            <w:shd w:val="clear" w:color="auto" w:fill="auto"/>
            <w:noWrap/>
            <w:vAlign w:val="center"/>
            <w:hideMark/>
          </w:tcPr>
          <w:p w14:paraId="084C6D06" w14:textId="77777777" w:rsidR="00B00F0B" w:rsidRPr="00B00F0B" w:rsidRDefault="00B00F0B" w:rsidP="00456E56">
            <w:pPr>
              <w:ind w:left="164"/>
              <w:rPr>
                <w:rFonts w:cs="Times New Roman"/>
                <w:iCs/>
                <w:color w:val="000000"/>
                <w:sz w:val="23"/>
                <w:szCs w:val="23"/>
              </w:rPr>
            </w:pPr>
            <w:r w:rsidRPr="00B00F0B">
              <w:rPr>
                <w:rFonts w:cs="Times New Roman"/>
                <w:iCs/>
                <w:color w:val="000000"/>
                <w:sz w:val="23"/>
                <w:szCs w:val="23"/>
              </w:rPr>
              <w:t>Threshold between walk 1/2 days per week and 3/4 days per week</w:t>
            </w:r>
          </w:p>
        </w:tc>
        <w:tc>
          <w:tcPr>
            <w:tcW w:w="503" w:type="pct"/>
            <w:tcBorders>
              <w:top w:val="nil"/>
              <w:bottom w:val="nil"/>
              <w:right w:val="single" w:sz="4" w:space="0" w:color="auto"/>
            </w:tcBorders>
            <w:vAlign w:val="center"/>
          </w:tcPr>
          <w:p w14:paraId="76FF3F2A" w14:textId="77777777" w:rsidR="00B00F0B" w:rsidRPr="00B00F0B" w:rsidRDefault="00B00F0B" w:rsidP="00456E56">
            <w:pPr>
              <w:jc w:val="right"/>
              <w:rPr>
                <w:rFonts w:cs="Times New Roman"/>
                <w:color w:val="000000"/>
                <w:sz w:val="23"/>
                <w:szCs w:val="23"/>
              </w:rPr>
            </w:pPr>
            <w:r w:rsidRPr="00B00F0B">
              <w:rPr>
                <w:rFonts w:cs="Times New Roman"/>
                <w:color w:val="000000"/>
                <w:sz w:val="23"/>
                <w:szCs w:val="23"/>
              </w:rPr>
              <w:t>-</w:t>
            </w:r>
          </w:p>
        </w:tc>
        <w:tc>
          <w:tcPr>
            <w:tcW w:w="503" w:type="pct"/>
            <w:tcBorders>
              <w:top w:val="nil"/>
              <w:left w:val="single" w:sz="4" w:space="0" w:color="auto"/>
              <w:bottom w:val="nil"/>
              <w:right w:val="double" w:sz="4" w:space="0" w:color="auto"/>
            </w:tcBorders>
            <w:vAlign w:val="center"/>
          </w:tcPr>
          <w:p w14:paraId="3927331B" w14:textId="77777777" w:rsidR="00B00F0B" w:rsidRPr="00B00F0B" w:rsidRDefault="00B00F0B" w:rsidP="00456E56">
            <w:pPr>
              <w:jc w:val="right"/>
              <w:rPr>
                <w:rFonts w:cs="Times New Roman"/>
                <w:color w:val="000000"/>
                <w:sz w:val="23"/>
                <w:szCs w:val="23"/>
              </w:rPr>
            </w:pPr>
            <w:r w:rsidRPr="00B00F0B">
              <w:rPr>
                <w:rFonts w:cs="Times New Roman"/>
                <w:color w:val="000000"/>
                <w:sz w:val="23"/>
                <w:szCs w:val="23"/>
              </w:rPr>
              <w:t>-</w:t>
            </w:r>
          </w:p>
        </w:tc>
        <w:tc>
          <w:tcPr>
            <w:tcW w:w="503" w:type="pct"/>
            <w:tcBorders>
              <w:top w:val="nil"/>
              <w:left w:val="double" w:sz="4" w:space="0" w:color="auto"/>
              <w:bottom w:val="nil"/>
              <w:right w:val="single" w:sz="4" w:space="0" w:color="auto"/>
            </w:tcBorders>
            <w:shd w:val="clear" w:color="auto" w:fill="auto"/>
            <w:noWrap/>
            <w:vAlign w:val="center"/>
          </w:tcPr>
          <w:p w14:paraId="2FE06E99" w14:textId="77777777" w:rsidR="00B00F0B" w:rsidRPr="00B00F0B" w:rsidRDefault="00B00F0B" w:rsidP="00456E56">
            <w:pPr>
              <w:jc w:val="right"/>
              <w:rPr>
                <w:rFonts w:cs="Times New Roman"/>
                <w:color w:val="000000"/>
                <w:sz w:val="23"/>
                <w:szCs w:val="23"/>
              </w:rPr>
            </w:pPr>
            <w:r w:rsidRPr="00B00F0B">
              <w:rPr>
                <w:rFonts w:cs="Times New Roman"/>
                <w:color w:val="000000"/>
                <w:sz w:val="23"/>
                <w:szCs w:val="23"/>
              </w:rPr>
              <w:t>0.440</w:t>
            </w:r>
          </w:p>
        </w:tc>
        <w:tc>
          <w:tcPr>
            <w:tcW w:w="503" w:type="pct"/>
            <w:tcBorders>
              <w:top w:val="nil"/>
              <w:left w:val="single" w:sz="4" w:space="0" w:color="auto"/>
              <w:bottom w:val="nil"/>
              <w:right w:val="double" w:sz="4" w:space="0" w:color="auto"/>
            </w:tcBorders>
            <w:shd w:val="clear" w:color="auto" w:fill="auto"/>
            <w:noWrap/>
            <w:vAlign w:val="center"/>
          </w:tcPr>
          <w:p w14:paraId="4FFFAA9D" w14:textId="77777777" w:rsidR="00B00F0B" w:rsidRPr="00B00F0B" w:rsidRDefault="00B00F0B" w:rsidP="00456E56">
            <w:pPr>
              <w:jc w:val="right"/>
              <w:rPr>
                <w:rFonts w:cs="Times New Roman"/>
                <w:color w:val="000000"/>
                <w:sz w:val="23"/>
                <w:szCs w:val="23"/>
              </w:rPr>
            </w:pPr>
            <w:r w:rsidRPr="00B00F0B">
              <w:rPr>
                <w:rFonts w:cs="Times New Roman"/>
                <w:color w:val="000000"/>
                <w:sz w:val="23"/>
                <w:szCs w:val="23"/>
              </w:rPr>
              <w:t>1.934</w:t>
            </w:r>
          </w:p>
        </w:tc>
      </w:tr>
      <w:tr w:rsidR="00B00F0B" w:rsidRPr="00B00F0B" w14:paraId="3F007FB7" w14:textId="77777777" w:rsidTr="00B00F0B">
        <w:trPr>
          <w:trHeight w:val="331"/>
        </w:trPr>
        <w:tc>
          <w:tcPr>
            <w:tcW w:w="2988" w:type="pct"/>
            <w:tcBorders>
              <w:top w:val="nil"/>
              <w:bottom w:val="nil"/>
              <w:right w:val="double" w:sz="4" w:space="0" w:color="auto"/>
            </w:tcBorders>
            <w:shd w:val="clear" w:color="auto" w:fill="auto"/>
            <w:noWrap/>
            <w:vAlign w:val="center"/>
            <w:hideMark/>
          </w:tcPr>
          <w:p w14:paraId="4503301D" w14:textId="77777777" w:rsidR="00B00F0B" w:rsidRPr="00B00F0B" w:rsidRDefault="00B00F0B" w:rsidP="00456E56">
            <w:pPr>
              <w:ind w:left="164"/>
              <w:rPr>
                <w:rFonts w:cs="Times New Roman"/>
                <w:iCs/>
                <w:color w:val="000000"/>
                <w:sz w:val="23"/>
                <w:szCs w:val="23"/>
              </w:rPr>
            </w:pPr>
            <w:r w:rsidRPr="00B00F0B">
              <w:rPr>
                <w:rFonts w:cs="Times New Roman"/>
                <w:iCs/>
                <w:color w:val="000000"/>
                <w:sz w:val="23"/>
                <w:szCs w:val="23"/>
              </w:rPr>
              <w:t>Threshold between walk 3/4 days per week and 5/6 days per week</w:t>
            </w:r>
          </w:p>
        </w:tc>
        <w:tc>
          <w:tcPr>
            <w:tcW w:w="503" w:type="pct"/>
            <w:tcBorders>
              <w:top w:val="nil"/>
              <w:bottom w:val="nil"/>
              <w:right w:val="single" w:sz="4" w:space="0" w:color="auto"/>
            </w:tcBorders>
            <w:vAlign w:val="center"/>
          </w:tcPr>
          <w:p w14:paraId="2659ABD1" w14:textId="77777777" w:rsidR="00B00F0B" w:rsidRPr="00B00F0B" w:rsidRDefault="00B00F0B" w:rsidP="00456E56">
            <w:pPr>
              <w:jc w:val="right"/>
              <w:rPr>
                <w:rFonts w:cs="Times New Roman"/>
                <w:color w:val="000000"/>
                <w:sz w:val="23"/>
                <w:szCs w:val="23"/>
              </w:rPr>
            </w:pPr>
            <w:r w:rsidRPr="00B00F0B">
              <w:rPr>
                <w:rFonts w:cs="Times New Roman"/>
                <w:color w:val="000000"/>
                <w:sz w:val="23"/>
                <w:szCs w:val="23"/>
              </w:rPr>
              <w:t>-</w:t>
            </w:r>
          </w:p>
        </w:tc>
        <w:tc>
          <w:tcPr>
            <w:tcW w:w="503" w:type="pct"/>
            <w:tcBorders>
              <w:top w:val="nil"/>
              <w:left w:val="single" w:sz="4" w:space="0" w:color="auto"/>
              <w:bottom w:val="nil"/>
              <w:right w:val="double" w:sz="4" w:space="0" w:color="auto"/>
            </w:tcBorders>
            <w:vAlign w:val="center"/>
          </w:tcPr>
          <w:p w14:paraId="59213E40" w14:textId="77777777" w:rsidR="00B00F0B" w:rsidRPr="00B00F0B" w:rsidRDefault="00B00F0B" w:rsidP="00456E56">
            <w:pPr>
              <w:jc w:val="right"/>
              <w:rPr>
                <w:rFonts w:cs="Times New Roman"/>
                <w:color w:val="000000"/>
                <w:sz w:val="23"/>
                <w:szCs w:val="23"/>
              </w:rPr>
            </w:pPr>
            <w:r w:rsidRPr="00B00F0B">
              <w:rPr>
                <w:rFonts w:cs="Times New Roman"/>
                <w:color w:val="000000"/>
                <w:sz w:val="23"/>
                <w:szCs w:val="23"/>
              </w:rPr>
              <w:t>-</w:t>
            </w:r>
          </w:p>
        </w:tc>
        <w:tc>
          <w:tcPr>
            <w:tcW w:w="503" w:type="pct"/>
            <w:tcBorders>
              <w:top w:val="nil"/>
              <w:left w:val="double" w:sz="4" w:space="0" w:color="auto"/>
              <w:bottom w:val="nil"/>
              <w:right w:val="single" w:sz="4" w:space="0" w:color="auto"/>
            </w:tcBorders>
            <w:shd w:val="clear" w:color="auto" w:fill="auto"/>
            <w:noWrap/>
            <w:vAlign w:val="center"/>
          </w:tcPr>
          <w:p w14:paraId="6B5E0878" w14:textId="77777777" w:rsidR="00B00F0B" w:rsidRPr="00B00F0B" w:rsidRDefault="00B00F0B" w:rsidP="00456E56">
            <w:pPr>
              <w:jc w:val="right"/>
              <w:rPr>
                <w:rFonts w:cs="Times New Roman"/>
                <w:color w:val="000000"/>
                <w:sz w:val="23"/>
                <w:szCs w:val="23"/>
              </w:rPr>
            </w:pPr>
            <w:r w:rsidRPr="00B00F0B">
              <w:rPr>
                <w:rFonts w:cs="Times New Roman"/>
                <w:color w:val="000000"/>
                <w:sz w:val="23"/>
                <w:szCs w:val="23"/>
              </w:rPr>
              <w:t>1.168</w:t>
            </w:r>
          </w:p>
        </w:tc>
        <w:tc>
          <w:tcPr>
            <w:tcW w:w="503" w:type="pct"/>
            <w:tcBorders>
              <w:top w:val="nil"/>
              <w:left w:val="single" w:sz="4" w:space="0" w:color="auto"/>
              <w:bottom w:val="nil"/>
              <w:right w:val="double" w:sz="4" w:space="0" w:color="auto"/>
            </w:tcBorders>
            <w:shd w:val="clear" w:color="auto" w:fill="auto"/>
            <w:noWrap/>
            <w:vAlign w:val="center"/>
          </w:tcPr>
          <w:p w14:paraId="1177E107" w14:textId="77777777" w:rsidR="00B00F0B" w:rsidRPr="00B00F0B" w:rsidRDefault="00B00F0B" w:rsidP="00456E56">
            <w:pPr>
              <w:jc w:val="right"/>
              <w:rPr>
                <w:rFonts w:cs="Times New Roman"/>
                <w:color w:val="000000"/>
                <w:sz w:val="23"/>
                <w:szCs w:val="23"/>
              </w:rPr>
            </w:pPr>
            <w:r w:rsidRPr="00B00F0B">
              <w:rPr>
                <w:rFonts w:cs="Times New Roman"/>
                <w:color w:val="000000"/>
                <w:sz w:val="23"/>
                <w:szCs w:val="23"/>
              </w:rPr>
              <w:t>5.197</w:t>
            </w:r>
          </w:p>
        </w:tc>
      </w:tr>
      <w:tr w:rsidR="00B00F0B" w:rsidRPr="00B00F0B" w14:paraId="76F7534B" w14:textId="77777777" w:rsidTr="00B00F0B">
        <w:trPr>
          <w:trHeight w:val="331"/>
        </w:trPr>
        <w:tc>
          <w:tcPr>
            <w:tcW w:w="2988" w:type="pct"/>
            <w:tcBorders>
              <w:top w:val="nil"/>
              <w:bottom w:val="double" w:sz="4" w:space="0" w:color="auto"/>
              <w:right w:val="double" w:sz="4" w:space="0" w:color="auto"/>
            </w:tcBorders>
            <w:shd w:val="clear" w:color="auto" w:fill="auto"/>
            <w:noWrap/>
            <w:vAlign w:val="center"/>
          </w:tcPr>
          <w:p w14:paraId="113075D6" w14:textId="77777777" w:rsidR="00B00F0B" w:rsidRPr="00B00F0B" w:rsidRDefault="00B00F0B" w:rsidP="00456E56">
            <w:pPr>
              <w:ind w:left="164"/>
              <w:rPr>
                <w:rFonts w:cs="Times New Roman"/>
                <w:iCs/>
                <w:color w:val="000000"/>
                <w:sz w:val="23"/>
                <w:szCs w:val="23"/>
              </w:rPr>
            </w:pPr>
            <w:r w:rsidRPr="00B00F0B">
              <w:rPr>
                <w:rFonts w:cs="Times New Roman"/>
                <w:iCs/>
                <w:color w:val="000000"/>
                <w:sz w:val="23"/>
                <w:szCs w:val="23"/>
              </w:rPr>
              <w:t>Threshold between walk 5/6 days per week and 7 days per week</w:t>
            </w:r>
          </w:p>
        </w:tc>
        <w:tc>
          <w:tcPr>
            <w:tcW w:w="503" w:type="pct"/>
            <w:tcBorders>
              <w:top w:val="nil"/>
              <w:bottom w:val="double" w:sz="4" w:space="0" w:color="auto"/>
              <w:right w:val="single" w:sz="4" w:space="0" w:color="auto"/>
            </w:tcBorders>
            <w:vAlign w:val="center"/>
          </w:tcPr>
          <w:p w14:paraId="0B254ADE" w14:textId="77777777" w:rsidR="00B00F0B" w:rsidRPr="00B00F0B" w:rsidRDefault="00B00F0B" w:rsidP="00456E56">
            <w:pPr>
              <w:jc w:val="right"/>
              <w:rPr>
                <w:rFonts w:cs="Times New Roman"/>
                <w:sz w:val="23"/>
                <w:szCs w:val="23"/>
              </w:rPr>
            </w:pPr>
            <w:r w:rsidRPr="00B00F0B">
              <w:rPr>
                <w:rFonts w:cs="Times New Roman"/>
                <w:sz w:val="23"/>
                <w:szCs w:val="23"/>
              </w:rPr>
              <w:t>-</w:t>
            </w:r>
          </w:p>
        </w:tc>
        <w:tc>
          <w:tcPr>
            <w:tcW w:w="503" w:type="pct"/>
            <w:tcBorders>
              <w:top w:val="nil"/>
              <w:left w:val="single" w:sz="4" w:space="0" w:color="auto"/>
              <w:bottom w:val="double" w:sz="4" w:space="0" w:color="auto"/>
              <w:right w:val="double" w:sz="4" w:space="0" w:color="auto"/>
            </w:tcBorders>
            <w:vAlign w:val="center"/>
          </w:tcPr>
          <w:p w14:paraId="30B5DC00" w14:textId="77777777" w:rsidR="00B00F0B" w:rsidRPr="00B00F0B" w:rsidRDefault="00B00F0B" w:rsidP="00456E56">
            <w:pPr>
              <w:jc w:val="right"/>
              <w:rPr>
                <w:rFonts w:cs="Times New Roman"/>
                <w:sz w:val="23"/>
                <w:szCs w:val="23"/>
              </w:rPr>
            </w:pPr>
            <w:r w:rsidRPr="00B00F0B">
              <w:rPr>
                <w:rFonts w:cs="Times New Roman"/>
                <w:sz w:val="23"/>
                <w:szCs w:val="23"/>
              </w:rPr>
              <w:t>-</w:t>
            </w:r>
          </w:p>
        </w:tc>
        <w:tc>
          <w:tcPr>
            <w:tcW w:w="503" w:type="pct"/>
            <w:tcBorders>
              <w:top w:val="nil"/>
              <w:left w:val="double" w:sz="4" w:space="0" w:color="auto"/>
              <w:bottom w:val="double" w:sz="4" w:space="0" w:color="auto"/>
              <w:right w:val="single" w:sz="4" w:space="0" w:color="auto"/>
            </w:tcBorders>
            <w:shd w:val="clear" w:color="auto" w:fill="auto"/>
            <w:noWrap/>
            <w:vAlign w:val="center"/>
          </w:tcPr>
          <w:p w14:paraId="4BC5AC10" w14:textId="77777777" w:rsidR="00B00F0B" w:rsidRPr="00B00F0B" w:rsidRDefault="00B00F0B" w:rsidP="00456E56">
            <w:pPr>
              <w:jc w:val="right"/>
              <w:rPr>
                <w:rFonts w:cs="Times New Roman"/>
                <w:color w:val="000000"/>
                <w:sz w:val="23"/>
                <w:szCs w:val="23"/>
              </w:rPr>
            </w:pPr>
            <w:r w:rsidRPr="00B00F0B">
              <w:rPr>
                <w:rFonts w:cs="Times New Roman"/>
                <w:color w:val="000000"/>
                <w:sz w:val="23"/>
                <w:szCs w:val="23"/>
              </w:rPr>
              <w:t>2.068</w:t>
            </w:r>
          </w:p>
        </w:tc>
        <w:tc>
          <w:tcPr>
            <w:tcW w:w="503" w:type="pct"/>
            <w:tcBorders>
              <w:top w:val="nil"/>
              <w:left w:val="single" w:sz="4" w:space="0" w:color="auto"/>
              <w:bottom w:val="double" w:sz="4" w:space="0" w:color="auto"/>
              <w:right w:val="double" w:sz="4" w:space="0" w:color="auto"/>
            </w:tcBorders>
            <w:shd w:val="clear" w:color="auto" w:fill="auto"/>
            <w:noWrap/>
            <w:vAlign w:val="center"/>
          </w:tcPr>
          <w:p w14:paraId="7966C743" w14:textId="77777777" w:rsidR="00B00F0B" w:rsidRPr="00B00F0B" w:rsidRDefault="00B00F0B" w:rsidP="00456E56">
            <w:pPr>
              <w:jc w:val="right"/>
              <w:rPr>
                <w:rFonts w:cs="Times New Roman"/>
                <w:color w:val="000000"/>
                <w:sz w:val="23"/>
                <w:szCs w:val="23"/>
              </w:rPr>
            </w:pPr>
            <w:r w:rsidRPr="00B00F0B">
              <w:rPr>
                <w:rFonts w:cs="Times New Roman"/>
                <w:color w:val="000000"/>
                <w:sz w:val="23"/>
                <w:szCs w:val="23"/>
              </w:rPr>
              <w:t>9.053</w:t>
            </w:r>
          </w:p>
        </w:tc>
      </w:tr>
    </w:tbl>
    <w:p w14:paraId="09434B20" w14:textId="77777777" w:rsidR="00B00F0B" w:rsidRDefault="00B00F0B" w:rsidP="00B00F0B">
      <w:pPr>
        <w:spacing w:before="120"/>
        <w:jc w:val="both"/>
        <w:rPr>
          <w:color w:val="000000"/>
          <w:sz w:val="20"/>
          <w:szCs w:val="20"/>
        </w:rPr>
      </w:pPr>
      <w:r w:rsidRPr="00E214AA">
        <w:rPr>
          <w:sz w:val="20"/>
          <w:szCs w:val="20"/>
        </w:rPr>
        <w:t>*</w:t>
      </w:r>
      <w:r w:rsidRPr="00E214AA">
        <w:rPr>
          <w:color w:val="000000"/>
          <w:sz w:val="20"/>
          <w:szCs w:val="20"/>
        </w:rPr>
        <w:t xml:space="preserve"> YJ parameter for the urban residence error term fixed to one because it was not statistically significantly different from one at any reasonable level of significance. </w:t>
      </w:r>
    </w:p>
    <w:p w14:paraId="2BD9400A" w14:textId="487A9B6B" w:rsidR="00B00F0B" w:rsidRDefault="00B00F0B" w:rsidP="00B00F0B">
      <w:pPr>
        <w:spacing w:line="276" w:lineRule="auto"/>
        <w:jc w:val="both"/>
        <w:rPr>
          <w:rFonts w:cs="Times New Roman"/>
          <w:szCs w:val="24"/>
        </w:rPr>
      </w:pPr>
    </w:p>
    <w:p w14:paraId="22A94545" w14:textId="52D32309" w:rsidR="00B00F0B" w:rsidRDefault="00B00F0B" w:rsidP="00B00F0B">
      <w:pPr>
        <w:spacing w:line="276" w:lineRule="auto"/>
        <w:jc w:val="both"/>
        <w:rPr>
          <w:rFonts w:cs="Times New Roman"/>
          <w:szCs w:val="24"/>
        </w:rPr>
      </w:pPr>
    </w:p>
    <w:p w14:paraId="08F3E83D" w14:textId="77777777" w:rsidR="00B00F0B" w:rsidRPr="00352C7E" w:rsidRDefault="00B00F0B" w:rsidP="00B00F0B">
      <w:pPr>
        <w:spacing w:line="276" w:lineRule="auto"/>
        <w:jc w:val="both"/>
        <w:rPr>
          <w:rFonts w:cs="Times New Roman"/>
          <w:szCs w:val="24"/>
        </w:rPr>
      </w:pPr>
    </w:p>
    <w:p w14:paraId="0311C0AB" w14:textId="684ABD9C" w:rsidR="00350551" w:rsidRDefault="0085385D" w:rsidP="00B4106B">
      <w:pPr>
        <w:spacing w:line="276" w:lineRule="auto"/>
        <w:ind w:firstLine="720"/>
        <w:jc w:val="both"/>
        <w:rPr>
          <w:rFonts w:cs="Times New Roman"/>
          <w:szCs w:val="24"/>
        </w:rPr>
      </w:pPr>
      <w:r>
        <w:rPr>
          <w:rFonts w:cs="Times New Roman"/>
          <w:szCs w:val="24"/>
        </w:rPr>
        <w:lastRenderedPageBreak/>
        <w:t>In terms of walking frequency, individuals from high income households (100K per year</w:t>
      </w:r>
      <w:r w:rsidR="002936FC">
        <w:rPr>
          <w:rFonts w:cs="Times New Roman"/>
          <w:szCs w:val="24"/>
        </w:rPr>
        <w:t xml:space="preserve"> or over</w:t>
      </w:r>
      <w:r>
        <w:rPr>
          <w:rFonts w:cs="Times New Roman"/>
          <w:szCs w:val="24"/>
        </w:rPr>
        <w:t>) are more likely to walk over multiple days of the week relative to individuals from low income households (less than 100</w:t>
      </w:r>
      <w:r w:rsidR="00477DCD">
        <w:rPr>
          <w:rFonts w:cs="Times New Roman"/>
          <w:szCs w:val="24"/>
        </w:rPr>
        <w:t>K per year)</w:t>
      </w:r>
      <w:r>
        <w:rPr>
          <w:rFonts w:cs="Times New Roman"/>
          <w:szCs w:val="24"/>
        </w:rPr>
        <w:t>, while women</w:t>
      </w:r>
      <w:r w:rsidR="002936FC">
        <w:rPr>
          <w:rFonts w:cs="Times New Roman"/>
          <w:szCs w:val="24"/>
        </w:rPr>
        <w:t xml:space="preserve"> tend to have </w:t>
      </w:r>
      <w:r w:rsidR="0051631C">
        <w:rPr>
          <w:rFonts w:cs="Times New Roman"/>
          <w:szCs w:val="24"/>
        </w:rPr>
        <w:t xml:space="preserve">a lower </w:t>
      </w:r>
      <w:r>
        <w:rPr>
          <w:rFonts w:cs="Times New Roman"/>
          <w:szCs w:val="24"/>
        </w:rPr>
        <w:t xml:space="preserve">walking </w:t>
      </w:r>
      <w:r w:rsidR="0051631C">
        <w:rPr>
          <w:rFonts w:cs="Times New Roman"/>
          <w:szCs w:val="24"/>
        </w:rPr>
        <w:t>propensity</w:t>
      </w:r>
      <w:r w:rsidR="002936FC">
        <w:rPr>
          <w:rFonts w:cs="Times New Roman"/>
          <w:szCs w:val="24"/>
        </w:rPr>
        <w:t xml:space="preserve"> compared to men</w:t>
      </w:r>
      <w:r>
        <w:rPr>
          <w:rFonts w:cs="Times New Roman"/>
          <w:szCs w:val="24"/>
        </w:rPr>
        <w:t xml:space="preserve">. Both of these results may be tied to time availability, </w:t>
      </w:r>
      <w:r w:rsidR="00477DCD">
        <w:rPr>
          <w:rFonts w:cs="Times New Roman"/>
          <w:szCs w:val="24"/>
        </w:rPr>
        <w:t xml:space="preserve">with both low income earners and women well known to be time poor </w:t>
      </w:r>
      <w:r w:rsidR="00350551">
        <w:rPr>
          <w:rFonts w:cs="Times New Roman"/>
          <w:szCs w:val="24"/>
        </w:rPr>
        <w:t xml:space="preserve">because of work-related and, in the case of women, also home-related responsibilities </w:t>
      </w:r>
      <w:r w:rsidR="00FD334C">
        <w:rPr>
          <w:rFonts w:cs="Times New Roman"/>
          <w:szCs w:val="24"/>
        </w:rPr>
        <w:t>(</w:t>
      </w:r>
      <w:r w:rsidR="00FD334C" w:rsidRPr="00FD334C">
        <w:rPr>
          <w:rFonts w:cs="Times New Roman"/>
          <w:szCs w:val="24"/>
        </w:rPr>
        <w:t xml:space="preserve">see </w:t>
      </w:r>
      <w:bookmarkStart w:id="16" w:name="_Hlk155435414"/>
      <w:r w:rsidR="00FD334C" w:rsidRPr="00FD334C">
        <w:rPr>
          <w:rFonts w:cs="Times New Roman"/>
          <w:szCs w:val="24"/>
        </w:rPr>
        <w:t>Bernardo et al., 2015, Cerrato and Cifre, 2018</w:t>
      </w:r>
      <w:r w:rsidR="00FD334C">
        <w:rPr>
          <w:rFonts w:cs="Times New Roman"/>
          <w:szCs w:val="24"/>
        </w:rPr>
        <w:t>, and Mondal and Bhat, 2021</w:t>
      </w:r>
      <w:bookmarkEnd w:id="16"/>
      <w:r w:rsidR="00FD334C" w:rsidRPr="00FD334C">
        <w:rPr>
          <w:rFonts w:cs="Times New Roman"/>
          <w:szCs w:val="24"/>
        </w:rPr>
        <w:t xml:space="preserve">). </w:t>
      </w:r>
      <w:r w:rsidR="00477DCD">
        <w:rPr>
          <w:rFonts w:cs="Times New Roman"/>
          <w:szCs w:val="24"/>
        </w:rPr>
        <w:t>The result that older individuals (75 years and over)</w:t>
      </w:r>
      <w:r w:rsidR="00350551">
        <w:rPr>
          <w:rFonts w:cs="Times New Roman"/>
          <w:szCs w:val="24"/>
        </w:rPr>
        <w:t xml:space="preserve">, and those unemployed due to disabilities or who have retired, </w:t>
      </w:r>
      <w:r w:rsidR="0051631C">
        <w:rPr>
          <w:rFonts w:cs="Times New Roman"/>
          <w:szCs w:val="24"/>
        </w:rPr>
        <w:t xml:space="preserve">have a depressed walking propensity </w:t>
      </w:r>
      <w:r w:rsidR="00350551">
        <w:rPr>
          <w:rFonts w:cs="Times New Roman"/>
          <w:szCs w:val="24"/>
        </w:rPr>
        <w:t xml:space="preserve">than their peers </w:t>
      </w:r>
      <w:r w:rsidR="00477DCD">
        <w:rPr>
          <w:rFonts w:cs="Times New Roman"/>
          <w:szCs w:val="24"/>
        </w:rPr>
        <w:t>may be attributed to actual or perceived mobility limitations.</w:t>
      </w:r>
      <w:r w:rsidR="00350551">
        <w:rPr>
          <w:rFonts w:cs="Times New Roman"/>
          <w:szCs w:val="24"/>
        </w:rPr>
        <w:t xml:space="preserve"> From a geographic standpoint, residents from the west of the country </w:t>
      </w:r>
      <w:r w:rsidR="0051631C">
        <w:rPr>
          <w:rFonts w:cs="Times New Roman"/>
          <w:szCs w:val="24"/>
        </w:rPr>
        <w:t xml:space="preserve">are, in general, more predisposed to </w:t>
      </w:r>
      <w:r w:rsidR="00350551">
        <w:rPr>
          <w:rFonts w:cs="Times New Roman"/>
          <w:szCs w:val="24"/>
        </w:rPr>
        <w:t>walk</w:t>
      </w:r>
      <w:r w:rsidR="0051631C">
        <w:rPr>
          <w:rFonts w:cs="Times New Roman"/>
          <w:szCs w:val="24"/>
        </w:rPr>
        <w:t xml:space="preserve"> frequently</w:t>
      </w:r>
      <w:r w:rsidR="00350551">
        <w:rPr>
          <w:rFonts w:cs="Times New Roman"/>
          <w:szCs w:val="24"/>
        </w:rPr>
        <w:t xml:space="preserve">. </w:t>
      </w:r>
    </w:p>
    <w:p w14:paraId="4C5B1DB4" w14:textId="4E3F232A" w:rsidR="00093616" w:rsidRDefault="00754F89" w:rsidP="00B4106B">
      <w:pPr>
        <w:spacing w:line="276" w:lineRule="auto"/>
        <w:ind w:firstLine="720"/>
        <w:jc w:val="both"/>
        <w:rPr>
          <w:rFonts w:cs="Times New Roman"/>
          <w:szCs w:val="24"/>
        </w:rPr>
      </w:pPr>
      <w:r>
        <w:rPr>
          <w:rFonts w:cs="Times New Roman"/>
          <w:szCs w:val="24"/>
        </w:rPr>
        <w:t xml:space="preserve">As discussed earlier, we control for possible association in the residential choice-walking frequency choices when investigating the “true” causal effect of residential choice on walking frequency. Our results suggest that </w:t>
      </w:r>
      <w:r w:rsidR="005A1D13">
        <w:rPr>
          <w:rFonts w:cs="Times New Roman"/>
          <w:szCs w:val="24"/>
        </w:rPr>
        <w:t xml:space="preserve">rural areas are better characterized </w:t>
      </w:r>
      <w:r w:rsidR="00024E11">
        <w:rPr>
          <w:rFonts w:cs="Times New Roman"/>
          <w:szCs w:val="24"/>
        </w:rPr>
        <w:t xml:space="preserve">(than urban areas) </w:t>
      </w:r>
      <w:r w:rsidR="005A1D13">
        <w:rPr>
          <w:rFonts w:cs="Times New Roman"/>
          <w:szCs w:val="24"/>
        </w:rPr>
        <w:t xml:space="preserve">by </w:t>
      </w:r>
      <w:r>
        <w:rPr>
          <w:rFonts w:cs="Times New Roman"/>
          <w:szCs w:val="24"/>
        </w:rPr>
        <w:t xml:space="preserve">unobserved </w:t>
      </w:r>
      <w:r w:rsidR="00F06519">
        <w:rPr>
          <w:rFonts w:cs="Times New Roman"/>
          <w:szCs w:val="24"/>
        </w:rPr>
        <w:t xml:space="preserve">basic-level walking needs of safety/comfort </w:t>
      </w:r>
      <w:r>
        <w:rPr>
          <w:rFonts w:cs="Times New Roman"/>
          <w:szCs w:val="24"/>
        </w:rPr>
        <w:t>factors</w:t>
      </w:r>
      <w:r w:rsidR="00024E11">
        <w:rPr>
          <w:rFonts w:cs="Times New Roman"/>
          <w:szCs w:val="24"/>
        </w:rPr>
        <w:t xml:space="preserve">, which </w:t>
      </w:r>
      <w:r w:rsidR="005A1D13">
        <w:rPr>
          <w:rFonts w:cs="Times New Roman"/>
          <w:szCs w:val="24"/>
        </w:rPr>
        <w:t xml:space="preserve">also </w:t>
      </w:r>
      <w:r w:rsidR="00F06519">
        <w:rPr>
          <w:rFonts w:cs="Times New Roman"/>
          <w:szCs w:val="24"/>
        </w:rPr>
        <w:t>promote walking</w:t>
      </w:r>
      <w:r w:rsidR="00024E11">
        <w:rPr>
          <w:rFonts w:cs="Times New Roman"/>
          <w:szCs w:val="24"/>
        </w:rPr>
        <w:t xml:space="preserve"> frequency. This is </w:t>
      </w:r>
      <w:r w:rsidR="005A1D13">
        <w:rPr>
          <w:rFonts w:cs="Times New Roman"/>
          <w:szCs w:val="24"/>
        </w:rPr>
        <w:t>evidenced by the negative correlation in the error terms between the urban are</w:t>
      </w:r>
      <w:r w:rsidR="00024E11">
        <w:rPr>
          <w:rFonts w:cs="Times New Roman"/>
          <w:szCs w:val="24"/>
        </w:rPr>
        <w:t>a</w:t>
      </w:r>
      <w:r w:rsidR="005A1D13">
        <w:rPr>
          <w:rFonts w:cs="Times New Roman"/>
          <w:szCs w:val="24"/>
        </w:rPr>
        <w:t xml:space="preserve"> living propensity and the walk frequency equations. </w:t>
      </w:r>
      <w:r w:rsidR="00024E11">
        <w:rPr>
          <w:rFonts w:cs="Times New Roman"/>
          <w:szCs w:val="24"/>
        </w:rPr>
        <w:t xml:space="preserve">After accommodating for this association, the results show a clear positive “true” causal effect of urban living on walking frequency. If the association effects due to unobserved effects were ignored, the “true” urban effect gets underestimated. </w:t>
      </w:r>
      <w:r w:rsidR="005F5D2B">
        <w:rPr>
          <w:rFonts w:cs="Times New Roman"/>
          <w:szCs w:val="24"/>
        </w:rPr>
        <w:t>In fact, if the association is ignored, the urban effect becomes statistically insignificant (coefficient is 0.0</w:t>
      </w:r>
      <w:r w:rsidR="00A31B45">
        <w:rPr>
          <w:rFonts w:cs="Times New Roman"/>
          <w:szCs w:val="24"/>
        </w:rPr>
        <w:t>740 with a t-statistic of 0.926)</w:t>
      </w:r>
      <w:r w:rsidR="009850BA">
        <w:rPr>
          <w:rFonts w:cs="Times New Roman"/>
          <w:szCs w:val="24"/>
        </w:rPr>
        <w:t xml:space="preserve">. Overall, the results indicate that, in the aftermath of the worst of the pandemic, built environment factors associated with urban residence continue to have an important positive </w:t>
      </w:r>
      <w:r w:rsidR="0051631C">
        <w:rPr>
          <w:rFonts w:cs="Times New Roman"/>
          <w:szCs w:val="24"/>
        </w:rPr>
        <w:t xml:space="preserve">causal </w:t>
      </w:r>
      <w:r w:rsidR="009850BA">
        <w:rPr>
          <w:rFonts w:cs="Times New Roman"/>
          <w:szCs w:val="24"/>
        </w:rPr>
        <w:t xml:space="preserve">influence on walking activity engagement of “not-so-young” adults over the course of the week, consistent with earlier studies (see, for example, Lotfata et al., 2022). </w:t>
      </w:r>
      <w:r w:rsidR="00FC4D32">
        <w:rPr>
          <w:rFonts w:cs="Times New Roman"/>
          <w:szCs w:val="24"/>
        </w:rPr>
        <w:t xml:space="preserve">At the same time, </w:t>
      </w:r>
      <w:r w:rsidR="00416710">
        <w:rPr>
          <w:rFonts w:cs="Times New Roman"/>
          <w:szCs w:val="24"/>
        </w:rPr>
        <w:t xml:space="preserve">the negative association between urban living and walk frequency </w:t>
      </w:r>
      <w:r w:rsidR="00FC4D32">
        <w:rPr>
          <w:rFonts w:cs="Times New Roman"/>
          <w:szCs w:val="24"/>
        </w:rPr>
        <w:t xml:space="preserve">suggest that </w:t>
      </w:r>
      <w:r w:rsidR="00FD334C">
        <w:rPr>
          <w:rFonts w:cs="Times New Roman"/>
          <w:szCs w:val="24"/>
        </w:rPr>
        <w:t>walking environments need to be designed to feel less crowded</w:t>
      </w:r>
      <w:r w:rsidR="00416710">
        <w:rPr>
          <w:rFonts w:cs="Times New Roman"/>
          <w:szCs w:val="24"/>
        </w:rPr>
        <w:t xml:space="preserve"> (such as through the design of wide sidewalks </w:t>
      </w:r>
      <w:r w:rsidR="007062A5">
        <w:rPr>
          <w:rFonts w:cs="Times New Roman"/>
          <w:szCs w:val="24"/>
        </w:rPr>
        <w:t>and a well-distributed</w:t>
      </w:r>
      <w:r w:rsidR="00416710">
        <w:rPr>
          <w:rFonts w:cs="Times New Roman"/>
          <w:szCs w:val="24"/>
        </w:rPr>
        <w:t xml:space="preserve"> network of pedestrian walkways</w:t>
      </w:r>
      <w:r w:rsidR="007062A5">
        <w:rPr>
          <w:rFonts w:cs="Times New Roman"/>
          <w:szCs w:val="24"/>
        </w:rPr>
        <w:t xml:space="preserve"> throughout the urban landscape to reduce pedestrian movement clustering)</w:t>
      </w:r>
      <w:r w:rsidR="00FD334C">
        <w:rPr>
          <w:rFonts w:cs="Times New Roman"/>
          <w:szCs w:val="24"/>
        </w:rPr>
        <w:t xml:space="preserve">, so that </w:t>
      </w:r>
      <w:r w:rsidR="00416710">
        <w:rPr>
          <w:rFonts w:cs="Times New Roman"/>
          <w:szCs w:val="24"/>
        </w:rPr>
        <w:t xml:space="preserve">basic-level walking needs </w:t>
      </w:r>
      <w:r w:rsidR="00FD334C">
        <w:rPr>
          <w:rFonts w:cs="Times New Roman"/>
          <w:szCs w:val="24"/>
        </w:rPr>
        <w:t xml:space="preserve">related to </w:t>
      </w:r>
      <w:r w:rsidR="00416710">
        <w:rPr>
          <w:rFonts w:cs="Times New Roman"/>
          <w:szCs w:val="24"/>
        </w:rPr>
        <w:t>safe health environments are fulfilled</w:t>
      </w:r>
      <w:r w:rsidR="00FD334C">
        <w:rPr>
          <w:rFonts w:cs="Times New Roman"/>
          <w:szCs w:val="24"/>
        </w:rPr>
        <w:t xml:space="preserve">. </w:t>
      </w:r>
    </w:p>
    <w:p w14:paraId="5E4BA041" w14:textId="0961D90B" w:rsidR="00FD768A" w:rsidRDefault="00093616" w:rsidP="00B4106B">
      <w:pPr>
        <w:spacing w:line="276" w:lineRule="auto"/>
        <w:ind w:firstLine="720"/>
        <w:jc w:val="both"/>
        <w:rPr>
          <w:rFonts w:cs="Times New Roman"/>
          <w:szCs w:val="24"/>
        </w:rPr>
      </w:pPr>
      <w:r>
        <w:rPr>
          <w:rFonts w:cs="Times New Roman"/>
          <w:szCs w:val="24"/>
        </w:rPr>
        <w:t xml:space="preserve">The YJ </w:t>
      </w:r>
      <w:r w:rsidR="00FE57B3">
        <w:rPr>
          <w:rFonts w:cs="Times New Roman"/>
          <w:szCs w:val="24"/>
        </w:rPr>
        <w:t>parameters  indicate</w:t>
      </w:r>
      <w:r w:rsidR="00762E93">
        <w:rPr>
          <w:rFonts w:cs="Times New Roman"/>
          <w:szCs w:val="24"/>
        </w:rPr>
        <w:t>d</w:t>
      </w:r>
      <w:r w:rsidR="00FE57B3">
        <w:rPr>
          <w:rFonts w:cs="Times New Roman"/>
          <w:szCs w:val="24"/>
        </w:rPr>
        <w:t xml:space="preserve"> that the urban equation error </w:t>
      </w:r>
      <w:r w:rsidR="00416710">
        <w:rPr>
          <w:rFonts w:cs="Times New Roman"/>
          <w:szCs w:val="24"/>
        </w:rPr>
        <w:t>i</w:t>
      </w:r>
      <w:r w:rsidR="00FE57B3">
        <w:rPr>
          <w:rFonts w:cs="Times New Roman"/>
          <w:szCs w:val="24"/>
        </w:rPr>
        <w:t xml:space="preserve">s not statistically significantly different from one </w:t>
      </w:r>
      <w:r w:rsidR="00A31B45">
        <w:rPr>
          <w:rFonts w:cs="Times New Roman"/>
          <w:szCs w:val="24"/>
        </w:rPr>
        <w:t xml:space="preserve">at any reasonable level of significance, </w:t>
      </w:r>
      <w:r w:rsidR="00FE57B3">
        <w:rPr>
          <w:rFonts w:cs="Times New Roman"/>
          <w:szCs w:val="24"/>
        </w:rPr>
        <w:t xml:space="preserve">implying that we cannot reject that the urban error term is indeed normally distributed. </w:t>
      </w:r>
      <w:r w:rsidR="00A31B45">
        <w:rPr>
          <w:rFonts w:cs="Times New Roman"/>
          <w:szCs w:val="24"/>
        </w:rPr>
        <w:t xml:space="preserve">So, we constrained the YJ parameter to the value of one. </w:t>
      </w:r>
      <w:r w:rsidR="00FE57B3">
        <w:rPr>
          <w:rFonts w:cs="Times New Roman"/>
          <w:szCs w:val="24"/>
        </w:rPr>
        <w:t xml:space="preserve">However, the YJ parameter for the walking frequency error term is significantly lower than one, indicating a highly rightward skew; that is, a small number of individuals have a high walk frequency. As we will note in the next section, ignoring this rightward skew has substantial implications for the </w:t>
      </w:r>
      <w:r w:rsidR="00FD768A">
        <w:rPr>
          <w:rFonts w:cs="Times New Roman"/>
          <w:szCs w:val="24"/>
        </w:rPr>
        <w:t xml:space="preserve">estimated causal </w:t>
      </w:r>
      <w:r w:rsidR="00FE57B3">
        <w:rPr>
          <w:rFonts w:cs="Times New Roman"/>
          <w:szCs w:val="24"/>
        </w:rPr>
        <w:t xml:space="preserve">effect of urban form on walk frequency. </w:t>
      </w:r>
    </w:p>
    <w:p w14:paraId="09D043AE" w14:textId="122EA087" w:rsidR="009724B2" w:rsidRDefault="009724B2" w:rsidP="00B4106B">
      <w:pPr>
        <w:spacing w:line="276" w:lineRule="auto"/>
        <w:ind w:firstLine="720"/>
        <w:jc w:val="both"/>
        <w:rPr>
          <w:rFonts w:cs="Times New Roman"/>
          <w:szCs w:val="24"/>
        </w:rPr>
      </w:pPr>
      <w:r>
        <w:rPr>
          <w:rFonts w:cs="Times New Roman"/>
          <w:szCs w:val="24"/>
        </w:rPr>
        <w:t xml:space="preserve">Finally, the constants and thresholds toward the end of the table do not have any substantive behavioral interpretation, though they serve the important purpose of mapping the latent propensities underlying the urban residence and walk frequency latent propensities to the corresponding categorical outcomes. </w:t>
      </w:r>
    </w:p>
    <w:p w14:paraId="237AB845" w14:textId="77777777" w:rsidR="009376C1" w:rsidRPr="009376C1" w:rsidRDefault="009376C1" w:rsidP="00B4106B">
      <w:pPr>
        <w:spacing w:line="276" w:lineRule="auto"/>
        <w:ind w:firstLine="720"/>
        <w:jc w:val="both"/>
        <w:rPr>
          <w:rFonts w:cs="Times New Roman"/>
          <w:szCs w:val="24"/>
        </w:rPr>
      </w:pPr>
    </w:p>
    <w:p w14:paraId="75B7B7B2" w14:textId="3F24209F" w:rsidR="00D0568F" w:rsidRPr="00B4106B" w:rsidRDefault="00D0568F" w:rsidP="00504DC0">
      <w:pPr>
        <w:numPr>
          <w:ilvl w:val="1"/>
          <w:numId w:val="2"/>
        </w:numPr>
        <w:spacing w:line="276" w:lineRule="auto"/>
        <w:ind w:left="540" w:hanging="540"/>
        <w:jc w:val="both"/>
        <w:rPr>
          <w:b/>
          <w:bCs/>
        </w:rPr>
      </w:pPr>
      <w:r w:rsidRPr="00B4106B">
        <w:rPr>
          <w:b/>
          <w:bCs/>
        </w:rPr>
        <w:lastRenderedPageBreak/>
        <w:t>Data Fit</w:t>
      </w:r>
      <w:r w:rsidR="00047801" w:rsidRPr="00B4106B">
        <w:rPr>
          <w:b/>
          <w:bCs/>
        </w:rPr>
        <w:t xml:space="preserve"> Measures</w:t>
      </w:r>
    </w:p>
    <w:p w14:paraId="38DA5E7B" w14:textId="0E0E9CA9" w:rsidR="00047801" w:rsidRPr="009376C1" w:rsidRDefault="00332FB7" w:rsidP="00B4106B">
      <w:pPr>
        <w:spacing w:line="276" w:lineRule="auto"/>
        <w:jc w:val="both"/>
        <w:rPr>
          <w:rFonts w:cs="Times New Roman"/>
          <w:szCs w:val="24"/>
        </w:rPr>
      </w:pPr>
      <w:r>
        <w:rPr>
          <w:rFonts w:cs="Times New Roman"/>
          <w:szCs w:val="24"/>
        </w:rPr>
        <w:t>W</w:t>
      </w:r>
      <w:r w:rsidR="00047801" w:rsidRPr="009376C1">
        <w:rPr>
          <w:rFonts w:cs="Times New Roman"/>
          <w:szCs w:val="24"/>
        </w:rPr>
        <w:t xml:space="preserve">e compare our proposed </w:t>
      </w:r>
      <w:r>
        <w:rPr>
          <w:rFonts w:cs="Times New Roman"/>
          <w:szCs w:val="24"/>
        </w:rPr>
        <w:t xml:space="preserve">bivariate YJ </w:t>
      </w:r>
      <w:r w:rsidR="00047801" w:rsidRPr="009376C1">
        <w:rPr>
          <w:rFonts w:cs="Times New Roman"/>
          <w:szCs w:val="24"/>
        </w:rPr>
        <w:t xml:space="preserve">model with three other restrictive versions: (i) </w:t>
      </w:r>
      <w:r w:rsidR="0051631C" w:rsidRPr="009376C1">
        <w:rPr>
          <w:rFonts w:cs="Times New Roman"/>
          <w:szCs w:val="24"/>
        </w:rPr>
        <w:t>a model that imposes error normality for both the urban residence and walk frequency outcomes as well as ignores endogeneity of urban residence (independent normal model)</w:t>
      </w:r>
      <w:r w:rsidR="0051631C">
        <w:rPr>
          <w:rFonts w:cs="Times New Roman"/>
          <w:szCs w:val="24"/>
        </w:rPr>
        <w:t xml:space="preserve">, (ii) </w:t>
      </w:r>
      <w:r w:rsidR="00047801" w:rsidRPr="009376C1">
        <w:rPr>
          <w:rFonts w:cs="Times New Roman"/>
          <w:szCs w:val="24"/>
        </w:rPr>
        <w:t xml:space="preserve">a model that considers the </w:t>
      </w:r>
      <w:r w:rsidR="000F3B47" w:rsidRPr="009376C1">
        <w:rPr>
          <w:rFonts w:cs="Times New Roman"/>
          <w:szCs w:val="24"/>
        </w:rPr>
        <w:t>endogeneity in urban residence, but considers bivariate normality (bivariate normal model), (</w:t>
      </w:r>
      <w:r w:rsidR="0051631C">
        <w:rPr>
          <w:rFonts w:cs="Times New Roman"/>
          <w:szCs w:val="24"/>
        </w:rPr>
        <w:t>i</w:t>
      </w:r>
      <w:r w:rsidR="000F3B47" w:rsidRPr="009376C1">
        <w:rPr>
          <w:rFonts w:cs="Times New Roman"/>
          <w:szCs w:val="24"/>
        </w:rPr>
        <w:t>ii) a model that ignores the endogeneity in urban residence, but considers YJ-transformations for the walk frequency outcome (independent YJ model; as in our proposed model, in this model too we could not reject the hypothesis of normality of the error term in the urban residence outcome), and. All</w:t>
      </w:r>
      <w:r w:rsidR="00047801" w:rsidRPr="009376C1">
        <w:rPr>
          <w:rFonts w:cs="Times New Roman"/>
          <w:szCs w:val="24"/>
        </w:rPr>
        <w:t xml:space="preserve"> these models are nested within our proposed “</w:t>
      </w:r>
      <w:r w:rsidR="000F3B47" w:rsidRPr="009376C1">
        <w:rPr>
          <w:rFonts w:cs="Times New Roman"/>
          <w:szCs w:val="24"/>
        </w:rPr>
        <w:t>bivariate YJ model</w:t>
      </w:r>
      <w:r w:rsidR="00047801" w:rsidRPr="009376C1">
        <w:rPr>
          <w:rFonts w:cs="Times New Roman"/>
          <w:szCs w:val="24"/>
        </w:rPr>
        <w:t xml:space="preserve">”, </w:t>
      </w:r>
      <w:r w:rsidR="000F3B47" w:rsidRPr="009376C1">
        <w:rPr>
          <w:rFonts w:cs="Times New Roman"/>
          <w:szCs w:val="24"/>
        </w:rPr>
        <w:t xml:space="preserve">making it easy to compare </w:t>
      </w:r>
      <w:r w:rsidR="00047801" w:rsidRPr="009376C1">
        <w:rPr>
          <w:rFonts w:cs="Times New Roman"/>
          <w:szCs w:val="24"/>
        </w:rPr>
        <w:t>performance</w:t>
      </w:r>
      <w:r w:rsidR="000F3B47" w:rsidRPr="009376C1">
        <w:rPr>
          <w:rFonts w:cs="Times New Roman"/>
          <w:szCs w:val="24"/>
        </w:rPr>
        <w:t xml:space="preserve">s </w:t>
      </w:r>
      <w:r w:rsidR="00047801" w:rsidRPr="009376C1">
        <w:rPr>
          <w:rFonts w:cs="Times New Roman"/>
          <w:szCs w:val="24"/>
        </w:rPr>
        <w:t xml:space="preserve">using the likelihood ratio test. The </w:t>
      </w:r>
      <w:r w:rsidR="00E56FE8" w:rsidRPr="009376C1">
        <w:rPr>
          <w:rFonts w:cs="Times New Roman"/>
          <w:szCs w:val="24"/>
        </w:rPr>
        <w:t xml:space="preserve">relevant likelihood-based </w:t>
      </w:r>
      <w:r w:rsidR="00047801" w:rsidRPr="009376C1">
        <w:rPr>
          <w:rFonts w:cs="Times New Roman"/>
          <w:szCs w:val="24"/>
        </w:rPr>
        <w:t xml:space="preserve">data fit measures are provided in </w:t>
      </w:r>
      <w:r w:rsidR="00697D26" w:rsidRPr="009376C1">
        <w:rPr>
          <w:rFonts w:cs="Times New Roman"/>
          <w:szCs w:val="24"/>
        </w:rPr>
        <w:t xml:space="preserve">the top panel of </w:t>
      </w:r>
      <w:r w:rsidR="00047801" w:rsidRPr="009376C1">
        <w:rPr>
          <w:rFonts w:cs="Times New Roman"/>
          <w:szCs w:val="24"/>
        </w:rPr>
        <w:t xml:space="preserve">Table </w:t>
      </w:r>
      <w:r w:rsidR="00E76311">
        <w:rPr>
          <w:rFonts w:cs="Times New Roman"/>
          <w:szCs w:val="24"/>
        </w:rPr>
        <w:t>2</w:t>
      </w:r>
      <w:r w:rsidR="00047801" w:rsidRPr="009376C1">
        <w:rPr>
          <w:rFonts w:cs="Times New Roman"/>
          <w:szCs w:val="24"/>
        </w:rPr>
        <w:t xml:space="preserve">. </w:t>
      </w:r>
      <w:r w:rsidR="0028261A">
        <w:rPr>
          <w:rFonts w:cs="Times New Roman"/>
          <w:szCs w:val="24"/>
        </w:rPr>
        <w:t>L</w:t>
      </w:r>
      <w:r w:rsidR="00047801" w:rsidRPr="009376C1">
        <w:rPr>
          <w:rFonts w:cs="Times New Roman"/>
          <w:szCs w:val="24"/>
        </w:rPr>
        <w:t xml:space="preserve">ikelihood ratio </w:t>
      </w:r>
      <w:r w:rsidR="0028261A">
        <w:rPr>
          <w:rFonts w:cs="Times New Roman"/>
          <w:szCs w:val="24"/>
        </w:rPr>
        <w:t xml:space="preserve">(LR) </w:t>
      </w:r>
      <w:r w:rsidR="00047801" w:rsidRPr="009376C1">
        <w:rPr>
          <w:rFonts w:cs="Times New Roman"/>
          <w:szCs w:val="24"/>
        </w:rPr>
        <w:t>tests (when the proposed model is compared to the three restrictive versions) yield values that are</w:t>
      </w:r>
      <w:r w:rsidR="0051631C">
        <w:rPr>
          <w:rFonts w:cs="Times New Roman"/>
          <w:szCs w:val="24"/>
        </w:rPr>
        <w:t xml:space="preserve"> </w:t>
      </w:r>
      <w:r w:rsidR="00047801" w:rsidRPr="009376C1">
        <w:rPr>
          <w:rFonts w:cs="Times New Roman"/>
          <w:szCs w:val="24"/>
        </w:rPr>
        <w:t xml:space="preserve">higher than the critical chi-squared table values at any reasonable significance </w:t>
      </w:r>
      <w:r w:rsidR="0051631C">
        <w:rPr>
          <w:rFonts w:cs="Times New Roman"/>
          <w:szCs w:val="24"/>
        </w:rPr>
        <w:t xml:space="preserve">level </w:t>
      </w:r>
      <w:r w:rsidR="00047801" w:rsidRPr="009376C1">
        <w:rPr>
          <w:rFonts w:cs="Times New Roman"/>
          <w:szCs w:val="24"/>
        </w:rPr>
        <w:t xml:space="preserve">(at the respective degrees of freedom). </w:t>
      </w:r>
    </w:p>
    <w:p w14:paraId="475A1C63" w14:textId="6AF6E195" w:rsidR="00C0093D" w:rsidRDefault="00E56FE8" w:rsidP="00B4106B">
      <w:pPr>
        <w:spacing w:line="276" w:lineRule="auto"/>
        <w:ind w:firstLine="720"/>
        <w:jc w:val="both"/>
        <w:rPr>
          <w:rFonts w:cs="Times New Roman"/>
          <w:szCs w:val="24"/>
        </w:rPr>
      </w:pPr>
      <w:bookmarkStart w:id="17" w:name="_Hlk153102497"/>
      <w:r w:rsidRPr="009376C1">
        <w:rPr>
          <w:rFonts w:cs="Times New Roman"/>
          <w:szCs w:val="24"/>
        </w:rPr>
        <w:t xml:space="preserve">In addition to the likelihood-based data fit measures, we also compute more intuitive </w:t>
      </w:r>
      <w:r w:rsidR="00047801" w:rsidRPr="009376C1">
        <w:rPr>
          <w:rFonts w:cs="Times New Roman"/>
          <w:szCs w:val="24"/>
        </w:rPr>
        <w:t>non-likelihood based data fit metrics</w:t>
      </w:r>
      <w:r w:rsidR="00846F03" w:rsidRPr="009376C1">
        <w:rPr>
          <w:rFonts w:cs="Times New Roman"/>
          <w:szCs w:val="24"/>
        </w:rPr>
        <w:t xml:space="preserve">. At a disaggregate level, we compute the </w:t>
      </w:r>
      <w:r w:rsidR="00697D26" w:rsidRPr="009376C1">
        <w:rPr>
          <w:rFonts w:cs="Times New Roman"/>
          <w:szCs w:val="24"/>
        </w:rPr>
        <w:t xml:space="preserve">average (across individuals) probability of correct prediction (for the joint outcome of urban/non-urban living and walk frequency).  At an aggregate level, we compare the predicted and actual (observed) shares in each of the ten combinations of residence type and walk frequency, and compute a weighted average percentage error (WAPE) across all the ten possible combinations. The </w:t>
      </w:r>
      <w:r w:rsidR="00E76311">
        <w:rPr>
          <w:rFonts w:cs="Times New Roman"/>
          <w:szCs w:val="24"/>
        </w:rPr>
        <w:t>middle</w:t>
      </w:r>
      <w:r w:rsidR="00697D26" w:rsidRPr="009376C1">
        <w:rPr>
          <w:rFonts w:cs="Times New Roman"/>
          <w:szCs w:val="24"/>
        </w:rPr>
        <w:t xml:space="preserve"> panel of </w:t>
      </w:r>
      <w:r w:rsidR="00846F03" w:rsidRPr="009376C1">
        <w:rPr>
          <w:rFonts w:cs="Times New Roman"/>
          <w:szCs w:val="24"/>
        </w:rPr>
        <w:t xml:space="preserve">Table </w:t>
      </w:r>
      <w:r w:rsidR="00E76311">
        <w:rPr>
          <w:rFonts w:cs="Times New Roman"/>
          <w:szCs w:val="24"/>
        </w:rPr>
        <w:t>2</w:t>
      </w:r>
      <w:r w:rsidR="00846F03" w:rsidRPr="009376C1">
        <w:rPr>
          <w:rFonts w:cs="Times New Roman"/>
          <w:szCs w:val="24"/>
        </w:rPr>
        <w:t xml:space="preserve"> presents the</w:t>
      </w:r>
      <w:r w:rsidR="00697D26" w:rsidRPr="009376C1">
        <w:rPr>
          <w:rFonts w:cs="Times New Roman"/>
          <w:szCs w:val="24"/>
        </w:rPr>
        <w:t>se</w:t>
      </w:r>
      <w:r w:rsidR="00846F03" w:rsidRPr="009376C1">
        <w:rPr>
          <w:rFonts w:cs="Times New Roman"/>
          <w:szCs w:val="24"/>
        </w:rPr>
        <w:t xml:space="preserve"> </w:t>
      </w:r>
      <w:r w:rsidR="00697D26" w:rsidRPr="009376C1">
        <w:rPr>
          <w:rFonts w:cs="Times New Roman"/>
          <w:szCs w:val="24"/>
        </w:rPr>
        <w:t xml:space="preserve">non-likelihood </w:t>
      </w:r>
      <w:r w:rsidR="00846F03" w:rsidRPr="009376C1">
        <w:rPr>
          <w:rFonts w:cs="Times New Roman"/>
          <w:szCs w:val="24"/>
        </w:rPr>
        <w:t xml:space="preserve">data fit </w:t>
      </w:r>
      <w:r w:rsidR="00697D26" w:rsidRPr="009376C1">
        <w:rPr>
          <w:rFonts w:cs="Times New Roman"/>
          <w:szCs w:val="24"/>
        </w:rPr>
        <w:t xml:space="preserve">measures. </w:t>
      </w:r>
      <w:r w:rsidR="00846F03" w:rsidRPr="009376C1">
        <w:rPr>
          <w:rFonts w:cs="Times New Roman"/>
          <w:szCs w:val="24"/>
        </w:rPr>
        <w:t>The results clearly show that the predict</w:t>
      </w:r>
      <w:r w:rsidR="00697D26" w:rsidRPr="009376C1">
        <w:rPr>
          <w:rFonts w:cs="Times New Roman"/>
          <w:szCs w:val="24"/>
        </w:rPr>
        <w:t xml:space="preserve">ions from our proposed </w:t>
      </w:r>
      <w:r w:rsidR="00846F03" w:rsidRPr="009376C1">
        <w:rPr>
          <w:rFonts w:cs="Times New Roman"/>
          <w:szCs w:val="24"/>
        </w:rPr>
        <w:t xml:space="preserve">model are closer to the </w:t>
      </w:r>
      <w:r w:rsidR="00697D26" w:rsidRPr="009376C1">
        <w:rPr>
          <w:rFonts w:cs="Times New Roman"/>
          <w:szCs w:val="24"/>
        </w:rPr>
        <w:t xml:space="preserve">observed values at both the disaggregate and aggregate levels. </w:t>
      </w:r>
      <w:r w:rsidR="0028261A">
        <w:rPr>
          <w:rFonts w:cs="Times New Roman"/>
          <w:szCs w:val="24"/>
        </w:rPr>
        <w:t xml:space="preserve">Indeed, the </w:t>
      </w:r>
      <w:r w:rsidR="0051631C">
        <w:rPr>
          <w:rFonts w:cs="Times New Roman"/>
          <w:szCs w:val="24"/>
        </w:rPr>
        <w:t xml:space="preserve">aggregate </w:t>
      </w:r>
      <w:r w:rsidR="0028261A">
        <w:rPr>
          <w:rFonts w:cs="Times New Roman"/>
          <w:szCs w:val="24"/>
        </w:rPr>
        <w:t xml:space="preserve">match of the predicted and actual values for our proposed bivariate YJ model is remarkable, especially given that the proposed model includes just one additional parameter (corresponding to the error term shape for the walk frequency model) relative to the bivariate normal model. Of course, we will also note that the WAPE for the other models are also not too bad, but the superior fit of the proposed model for each and every combination is clear. Interesting too is that, while the bivariate normal model does have a </w:t>
      </w:r>
      <w:r w:rsidR="00C0542F">
        <w:rPr>
          <w:rFonts w:cs="Times New Roman"/>
          <w:szCs w:val="24"/>
        </w:rPr>
        <w:t xml:space="preserve">statistically </w:t>
      </w:r>
      <w:r w:rsidR="0028261A">
        <w:rPr>
          <w:rFonts w:cs="Times New Roman"/>
          <w:szCs w:val="24"/>
        </w:rPr>
        <w:t xml:space="preserve">better log-likelihood at convergence </w:t>
      </w:r>
      <w:r w:rsidR="00C0542F">
        <w:rPr>
          <w:rFonts w:cs="Times New Roman"/>
          <w:szCs w:val="24"/>
        </w:rPr>
        <w:t xml:space="preserve">at the 95% confidence level </w:t>
      </w:r>
      <w:r w:rsidR="0028261A">
        <w:rPr>
          <w:rFonts w:cs="Times New Roman"/>
          <w:szCs w:val="24"/>
        </w:rPr>
        <w:t xml:space="preserve">(and </w:t>
      </w:r>
      <w:r w:rsidR="00C0542F">
        <w:rPr>
          <w:rFonts w:cs="Times New Roman"/>
          <w:szCs w:val="24"/>
        </w:rPr>
        <w:t xml:space="preserve">also a better </w:t>
      </w:r>
      <w:r w:rsidR="0028261A">
        <w:rPr>
          <w:rFonts w:cs="Times New Roman"/>
          <w:szCs w:val="24"/>
        </w:rPr>
        <w:t>average probability of correct prediction) relative to the independent normal model, the difference between these two models from a data fit perspective at the aggregate level is not too substantial</w:t>
      </w:r>
      <w:r w:rsidR="00C0542F">
        <w:rPr>
          <w:rFonts w:cs="Times New Roman"/>
          <w:szCs w:val="24"/>
        </w:rPr>
        <w:t xml:space="preserve"> (in fact, the independent normal model does marginally better; this can happen because the emphasis of the maximum likelihood estimation procedure is on maximizing the probability of the chosen alternative for each individual, not on aggregate predictions)</w:t>
      </w:r>
      <w:r w:rsidR="0028261A">
        <w:rPr>
          <w:rFonts w:cs="Times New Roman"/>
          <w:szCs w:val="24"/>
        </w:rPr>
        <w:t>.</w:t>
      </w:r>
      <w:r w:rsidR="00C0542F">
        <w:rPr>
          <w:rFonts w:cs="Times New Roman"/>
          <w:szCs w:val="24"/>
        </w:rPr>
        <w:t xml:space="preserve"> In contrast, the proposed bivariate YJ model has a clear superior fit at both the disaggregate and aggregate levels. </w:t>
      </w:r>
    </w:p>
    <w:bookmarkEnd w:id="17"/>
    <w:p w14:paraId="43A22F17" w14:textId="3FF54C76" w:rsidR="00222560" w:rsidRDefault="00222560" w:rsidP="00222560">
      <w:pPr>
        <w:spacing w:line="276" w:lineRule="auto"/>
        <w:jc w:val="both"/>
        <w:rPr>
          <w:rFonts w:cs="Times New Roman"/>
          <w:szCs w:val="24"/>
        </w:rPr>
      </w:pPr>
    </w:p>
    <w:p w14:paraId="1F228BCF" w14:textId="77777777" w:rsidR="00222560" w:rsidRDefault="00222560" w:rsidP="00222560">
      <w:pPr>
        <w:spacing w:line="276" w:lineRule="auto"/>
        <w:jc w:val="both"/>
        <w:rPr>
          <w:rFonts w:cs="Times New Roman"/>
          <w:szCs w:val="24"/>
        </w:rPr>
        <w:sectPr w:rsidR="00222560" w:rsidSect="00FE38B5">
          <w:footerReference w:type="default" r:id="rId227"/>
          <w:pgSz w:w="12240" w:h="15840"/>
          <w:pgMar w:top="1440" w:right="1440" w:bottom="1440" w:left="1440" w:header="720" w:footer="720" w:gutter="0"/>
          <w:pgNumType w:start="1"/>
          <w:cols w:space="720"/>
          <w:docGrid w:linePitch="360"/>
        </w:sectPr>
      </w:pPr>
    </w:p>
    <w:p w14:paraId="36A4BE90" w14:textId="77777777" w:rsidR="00222560" w:rsidRDefault="00222560" w:rsidP="00222560">
      <w:pPr>
        <w:rPr>
          <w:rFonts w:eastAsia="Calibri"/>
          <w:b/>
          <w:bCs/>
        </w:rPr>
      </w:pPr>
      <w:r w:rsidRPr="00FE3EAF">
        <w:rPr>
          <w:rFonts w:eastAsia="Calibri"/>
          <w:b/>
          <w:bCs/>
        </w:rPr>
        <w:lastRenderedPageBreak/>
        <w:t xml:space="preserve">Table </w:t>
      </w:r>
      <w:r>
        <w:rPr>
          <w:rFonts w:eastAsia="Calibri"/>
          <w:b/>
          <w:bCs/>
        </w:rPr>
        <w:t>2</w:t>
      </w:r>
      <w:r w:rsidRPr="00FE3EAF">
        <w:rPr>
          <w:rFonts w:eastAsia="Calibri"/>
          <w:b/>
          <w:bCs/>
        </w:rPr>
        <w:t xml:space="preserve">: Data </w:t>
      </w:r>
      <w:r>
        <w:rPr>
          <w:rFonts w:eastAsia="Calibri"/>
          <w:b/>
          <w:bCs/>
        </w:rPr>
        <w:t>f</w:t>
      </w:r>
      <w:r w:rsidRPr="00FE3EAF">
        <w:rPr>
          <w:rFonts w:eastAsia="Calibri"/>
          <w:b/>
          <w:bCs/>
        </w:rPr>
        <w:t xml:space="preserve">it </w:t>
      </w:r>
      <w:r>
        <w:rPr>
          <w:rFonts w:eastAsia="Calibri"/>
          <w:b/>
          <w:bCs/>
        </w:rPr>
        <w:t>and ATE m</w:t>
      </w:r>
      <w:r w:rsidRPr="00FE3EAF">
        <w:rPr>
          <w:rFonts w:eastAsia="Calibri"/>
          <w:b/>
          <w:bCs/>
        </w:rPr>
        <w:t>easures</w:t>
      </w:r>
    </w:p>
    <w:tbl>
      <w:tblPr>
        <w:tblW w:w="5041"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333"/>
        <w:gridCol w:w="3783"/>
        <w:gridCol w:w="899"/>
        <w:gridCol w:w="1710"/>
        <w:gridCol w:w="1713"/>
        <w:gridCol w:w="1710"/>
        <w:gridCol w:w="1888"/>
      </w:tblGrid>
      <w:tr w:rsidR="00222560" w:rsidRPr="00222560" w14:paraId="58DC009B" w14:textId="77777777" w:rsidTr="00456E56">
        <w:trPr>
          <w:trHeight w:val="317"/>
        </w:trPr>
        <w:tc>
          <w:tcPr>
            <w:tcW w:w="511" w:type="pct"/>
            <w:tcBorders>
              <w:top w:val="double" w:sz="4" w:space="0" w:color="auto"/>
              <w:bottom w:val="double" w:sz="4" w:space="0" w:color="auto"/>
              <w:right w:val="double" w:sz="4" w:space="0" w:color="auto"/>
            </w:tcBorders>
          </w:tcPr>
          <w:p w14:paraId="692F7C3E" w14:textId="77777777" w:rsidR="00222560" w:rsidRPr="00222560" w:rsidRDefault="00222560" w:rsidP="00456E56">
            <w:pPr>
              <w:jc w:val="center"/>
              <w:rPr>
                <w:rFonts w:eastAsia="Calibri" w:cs="Times New Roman"/>
                <w:b/>
                <w:bCs/>
                <w:sz w:val="20"/>
                <w:szCs w:val="20"/>
              </w:rPr>
            </w:pPr>
            <w:r w:rsidRPr="00222560">
              <w:rPr>
                <w:rFonts w:eastAsia="Calibri" w:cs="Times New Roman"/>
                <w:b/>
                <w:bCs/>
                <w:sz w:val="20"/>
                <w:szCs w:val="20"/>
              </w:rPr>
              <w:t>Measure Type</w:t>
            </w:r>
          </w:p>
        </w:tc>
        <w:tc>
          <w:tcPr>
            <w:tcW w:w="179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5DBE3FDF" w14:textId="77777777" w:rsidR="00222560" w:rsidRPr="00222560" w:rsidRDefault="00222560" w:rsidP="00456E56">
            <w:pPr>
              <w:jc w:val="center"/>
              <w:rPr>
                <w:rFonts w:eastAsia="Times New Roman" w:cs="Times New Roman"/>
                <w:b/>
                <w:bCs/>
                <w:color w:val="000000"/>
                <w:sz w:val="20"/>
                <w:szCs w:val="20"/>
              </w:rPr>
            </w:pPr>
            <w:r w:rsidRPr="00222560">
              <w:rPr>
                <w:rFonts w:eastAsia="Calibri" w:cs="Times New Roman"/>
                <w:b/>
                <w:bCs/>
                <w:sz w:val="20"/>
                <w:szCs w:val="20"/>
              </w:rPr>
              <w:br w:type="page"/>
            </w:r>
            <w:r w:rsidRPr="00222560">
              <w:rPr>
                <w:rFonts w:eastAsia="Times New Roman" w:cs="Times New Roman"/>
                <w:b/>
                <w:bCs/>
                <w:color w:val="000000"/>
                <w:sz w:val="20"/>
                <w:szCs w:val="20"/>
              </w:rPr>
              <w:t>Metric</w:t>
            </w:r>
          </w:p>
        </w:tc>
        <w:tc>
          <w:tcPr>
            <w:tcW w:w="656" w:type="pct"/>
            <w:tcBorders>
              <w:top w:val="double" w:sz="4" w:space="0" w:color="auto"/>
              <w:left w:val="double" w:sz="4" w:space="0" w:color="auto"/>
              <w:bottom w:val="double" w:sz="4" w:space="0" w:color="auto"/>
            </w:tcBorders>
            <w:shd w:val="clear" w:color="auto" w:fill="auto"/>
            <w:noWrap/>
            <w:vAlign w:val="bottom"/>
            <w:hideMark/>
          </w:tcPr>
          <w:p w14:paraId="66A536AF" w14:textId="77777777" w:rsidR="00222560" w:rsidRPr="00222560" w:rsidRDefault="00222560" w:rsidP="00456E56">
            <w:pPr>
              <w:jc w:val="center"/>
              <w:rPr>
                <w:rFonts w:eastAsia="Times New Roman" w:cs="Times New Roman"/>
                <w:b/>
                <w:bCs/>
                <w:color w:val="000000"/>
                <w:sz w:val="20"/>
                <w:szCs w:val="20"/>
              </w:rPr>
            </w:pPr>
            <w:r w:rsidRPr="00222560">
              <w:rPr>
                <w:rFonts w:eastAsia="Times New Roman" w:cs="Times New Roman"/>
                <w:b/>
                <w:bCs/>
                <w:color w:val="000000"/>
                <w:sz w:val="20"/>
                <w:szCs w:val="20"/>
              </w:rPr>
              <w:t xml:space="preserve">Independent Normal Model </w:t>
            </w:r>
          </w:p>
        </w:tc>
        <w:tc>
          <w:tcPr>
            <w:tcW w:w="657" w:type="pct"/>
            <w:tcBorders>
              <w:top w:val="double" w:sz="4" w:space="0" w:color="auto"/>
              <w:bottom w:val="double" w:sz="4" w:space="0" w:color="auto"/>
            </w:tcBorders>
            <w:shd w:val="clear" w:color="auto" w:fill="auto"/>
            <w:noWrap/>
            <w:vAlign w:val="bottom"/>
            <w:hideMark/>
          </w:tcPr>
          <w:p w14:paraId="6B2FCE42" w14:textId="77777777" w:rsidR="00222560" w:rsidRPr="00222560" w:rsidRDefault="00222560" w:rsidP="00456E56">
            <w:pPr>
              <w:jc w:val="center"/>
              <w:rPr>
                <w:rFonts w:eastAsia="Times New Roman" w:cs="Times New Roman"/>
                <w:b/>
                <w:bCs/>
                <w:color w:val="000000"/>
                <w:sz w:val="20"/>
                <w:szCs w:val="20"/>
              </w:rPr>
            </w:pPr>
            <w:r w:rsidRPr="00222560">
              <w:rPr>
                <w:rFonts w:eastAsia="Times New Roman" w:cs="Times New Roman"/>
                <w:b/>
                <w:bCs/>
                <w:color w:val="000000"/>
                <w:sz w:val="20"/>
                <w:szCs w:val="20"/>
              </w:rPr>
              <w:t>Bivariate Normal Model</w:t>
            </w:r>
          </w:p>
        </w:tc>
        <w:tc>
          <w:tcPr>
            <w:tcW w:w="656" w:type="pct"/>
            <w:tcBorders>
              <w:top w:val="double" w:sz="4" w:space="0" w:color="auto"/>
              <w:bottom w:val="double" w:sz="4" w:space="0" w:color="auto"/>
            </w:tcBorders>
            <w:vAlign w:val="bottom"/>
          </w:tcPr>
          <w:p w14:paraId="2408AF64" w14:textId="77777777" w:rsidR="00222560" w:rsidRPr="00222560" w:rsidRDefault="00222560" w:rsidP="00456E56">
            <w:pPr>
              <w:jc w:val="center"/>
              <w:rPr>
                <w:rFonts w:eastAsia="Times New Roman" w:cs="Times New Roman"/>
                <w:b/>
                <w:bCs/>
                <w:color w:val="000000"/>
                <w:sz w:val="20"/>
                <w:szCs w:val="20"/>
              </w:rPr>
            </w:pPr>
            <w:r w:rsidRPr="00222560">
              <w:rPr>
                <w:rFonts w:eastAsia="Times New Roman" w:cs="Times New Roman"/>
                <w:b/>
                <w:bCs/>
                <w:color w:val="000000"/>
                <w:sz w:val="20"/>
                <w:szCs w:val="20"/>
              </w:rPr>
              <w:t>Independent YJ Model</w:t>
            </w:r>
          </w:p>
        </w:tc>
        <w:tc>
          <w:tcPr>
            <w:tcW w:w="724" w:type="pct"/>
            <w:tcBorders>
              <w:top w:val="double" w:sz="4" w:space="0" w:color="auto"/>
              <w:bottom w:val="double" w:sz="4" w:space="0" w:color="auto"/>
            </w:tcBorders>
            <w:vAlign w:val="bottom"/>
          </w:tcPr>
          <w:p w14:paraId="7C3D5B14" w14:textId="77777777" w:rsidR="00222560" w:rsidRPr="00222560" w:rsidRDefault="00222560" w:rsidP="00456E56">
            <w:pPr>
              <w:jc w:val="center"/>
              <w:rPr>
                <w:rFonts w:eastAsia="Times New Roman" w:cs="Times New Roman"/>
                <w:b/>
                <w:bCs/>
                <w:color w:val="000000"/>
                <w:sz w:val="20"/>
                <w:szCs w:val="20"/>
              </w:rPr>
            </w:pPr>
            <w:r w:rsidRPr="00222560">
              <w:rPr>
                <w:rFonts w:eastAsia="Times New Roman" w:cs="Times New Roman"/>
                <w:b/>
                <w:bCs/>
                <w:color w:val="000000"/>
                <w:sz w:val="20"/>
                <w:szCs w:val="20"/>
              </w:rPr>
              <w:t>Proposed Bivariate YJ Model</w:t>
            </w:r>
          </w:p>
        </w:tc>
      </w:tr>
      <w:tr w:rsidR="00222560" w:rsidRPr="00222560" w14:paraId="7D2D0102" w14:textId="77777777" w:rsidTr="00456E56">
        <w:trPr>
          <w:trHeight w:val="317"/>
        </w:trPr>
        <w:tc>
          <w:tcPr>
            <w:tcW w:w="511" w:type="pct"/>
            <w:vMerge w:val="restart"/>
            <w:tcBorders>
              <w:top w:val="double" w:sz="4" w:space="0" w:color="auto"/>
              <w:bottom w:val="double" w:sz="4" w:space="0" w:color="auto"/>
              <w:right w:val="double" w:sz="4" w:space="0" w:color="auto"/>
            </w:tcBorders>
          </w:tcPr>
          <w:p w14:paraId="0B101B58" w14:textId="77777777" w:rsidR="00222560" w:rsidRPr="00222560" w:rsidRDefault="00222560" w:rsidP="00456E56">
            <w:pPr>
              <w:rPr>
                <w:rFonts w:eastAsia="Times New Roman" w:cs="Times New Roman"/>
                <w:b/>
                <w:bCs/>
                <w:color w:val="000000"/>
                <w:sz w:val="20"/>
                <w:szCs w:val="20"/>
              </w:rPr>
            </w:pPr>
          </w:p>
          <w:p w14:paraId="03F5BB11" w14:textId="77777777" w:rsidR="00222560" w:rsidRPr="00222560" w:rsidRDefault="00222560" w:rsidP="00456E56">
            <w:pPr>
              <w:rPr>
                <w:rFonts w:eastAsia="Times New Roman" w:cs="Times New Roman"/>
                <w:b/>
                <w:bCs/>
                <w:color w:val="000000"/>
                <w:sz w:val="20"/>
                <w:szCs w:val="20"/>
              </w:rPr>
            </w:pPr>
          </w:p>
          <w:p w14:paraId="05162238" w14:textId="77777777" w:rsidR="00222560" w:rsidRPr="00222560" w:rsidRDefault="00222560" w:rsidP="00456E56">
            <w:pPr>
              <w:rPr>
                <w:rFonts w:eastAsia="Times New Roman" w:cs="Times New Roman"/>
                <w:b/>
                <w:bCs/>
                <w:color w:val="000000"/>
                <w:sz w:val="20"/>
                <w:szCs w:val="20"/>
              </w:rPr>
            </w:pPr>
          </w:p>
          <w:p w14:paraId="3D2B63CF" w14:textId="77777777" w:rsidR="00222560" w:rsidRPr="00222560" w:rsidRDefault="00222560" w:rsidP="00456E56">
            <w:pPr>
              <w:rPr>
                <w:rFonts w:eastAsia="Times New Roman" w:cs="Times New Roman"/>
                <w:b/>
                <w:bCs/>
                <w:color w:val="000000"/>
                <w:sz w:val="20"/>
                <w:szCs w:val="20"/>
              </w:rPr>
            </w:pPr>
            <w:r w:rsidRPr="00222560">
              <w:rPr>
                <w:rFonts w:eastAsia="Times New Roman" w:cs="Times New Roman"/>
                <w:b/>
                <w:bCs/>
                <w:color w:val="000000"/>
                <w:sz w:val="20"/>
                <w:szCs w:val="20"/>
              </w:rPr>
              <w:t>Likelihood</w:t>
            </w:r>
          </w:p>
          <w:p w14:paraId="44A0CF25" w14:textId="77777777" w:rsidR="00222560" w:rsidRPr="00222560" w:rsidRDefault="00222560" w:rsidP="00456E56">
            <w:pPr>
              <w:rPr>
                <w:rFonts w:eastAsia="Times New Roman" w:cs="Times New Roman"/>
                <w:b/>
                <w:bCs/>
                <w:color w:val="000000"/>
                <w:sz w:val="20"/>
                <w:szCs w:val="20"/>
              </w:rPr>
            </w:pPr>
            <w:r w:rsidRPr="00222560">
              <w:rPr>
                <w:rFonts w:eastAsia="Times New Roman" w:cs="Times New Roman"/>
                <w:b/>
                <w:bCs/>
                <w:color w:val="000000"/>
                <w:sz w:val="20"/>
                <w:szCs w:val="20"/>
              </w:rPr>
              <w:t>Based Measures</w:t>
            </w:r>
          </w:p>
        </w:tc>
        <w:tc>
          <w:tcPr>
            <w:tcW w:w="1796" w:type="pct"/>
            <w:gridSpan w:val="2"/>
            <w:tcBorders>
              <w:top w:val="double" w:sz="4" w:space="0" w:color="auto"/>
              <w:left w:val="double" w:sz="4" w:space="0" w:color="auto"/>
              <w:right w:val="double" w:sz="4" w:space="0" w:color="auto"/>
            </w:tcBorders>
            <w:shd w:val="clear" w:color="auto" w:fill="auto"/>
            <w:noWrap/>
            <w:vAlign w:val="center"/>
            <w:hideMark/>
          </w:tcPr>
          <w:p w14:paraId="68379B33" w14:textId="77777777" w:rsidR="00222560" w:rsidRPr="00222560" w:rsidRDefault="00222560" w:rsidP="00456E56">
            <w:pPr>
              <w:rPr>
                <w:rFonts w:eastAsia="Times New Roman" w:cs="Times New Roman"/>
                <w:color w:val="000000"/>
                <w:sz w:val="20"/>
                <w:szCs w:val="20"/>
              </w:rPr>
            </w:pPr>
            <w:r w:rsidRPr="00222560">
              <w:rPr>
                <w:rFonts w:eastAsia="Times New Roman" w:cs="Times New Roman"/>
                <w:color w:val="000000"/>
                <w:sz w:val="20"/>
                <w:szCs w:val="20"/>
              </w:rPr>
              <w:t>Log-likelihood at convergence</w:t>
            </w:r>
          </w:p>
        </w:tc>
        <w:tc>
          <w:tcPr>
            <w:tcW w:w="656" w:type="pct"/>
            <w:tcBorders>
              <w:top w:val="double" w:sz="4" w:space="0" w:color="auto"/>
              <w:left w:val="double" w:sz="4" w:space="0" w:color="auto"/>
            </w:tcBorders>
            <w:shd w:val="clear" w:color="auto" w:fill="auto"/>
            <w:noWrap/>
            <w:vAlign w:val="center"/>
          </w:tcPr>
          <w:p w14:paraId="3849EEC9" w14:textId="77777777" w:rsidR="00222560" w:rsidRPr="00222560" w:rsidRDefault="00222560" w:rsidP="00456E56">
            <w:pPr>
              <w:jc w:val="center"/>
              <w:rPr>
                <w:rFonts w:eastAsia="Calibri" w:cs="Times New Roman"/>
                <w:color w:val="000000"/>
                <w:sz w:val="20"/>
                <w:szCs w:val="20"/>
              </w:rPr>
            </w:pPr>
            <w:r w:rsidRPr="00222560">
              <w:rPr>
                <w:rFonts w:eastAsia="Calibri" w:cs="Times New Roman"/>
                <w:color w:val="000000"/>
                <w:sz w:val="20"/>
                <w:szCs w:val="20"/>
              </w:rPr>
              <w:t>-3215.54</w:t>
            </w:r>
          </w:p>
        </w:tc>
        <w:tc>
          <w:tcPr>
            <w:tcW w:w="657" w:type="pct"/>
            <w:tcBorders>
              <w:top w:val="double" w:sz="4" w:space="0" w:color="auto"/>
            </w:tcBorders>
            <w:shd w:val="clear" w:color="auto" w:fill="auto"/>
            <w:noWrap/>
            <w:vAlign w:val="center"/>
            <w:hideMark/>
          </w:tcPr>
          <w:p w14:paraId="075A6725" w14:textId="77777777" w:rsidR="00222560" w:rsidRPr="00222560" w:rsidRDefault="00222560" w:rsidP="00456E56">
            <w:pPr>
              <w:jc w:val="center"/>
              <w:rPr>
                <w:rFonts w:eastAsia="Calibri" w:cs="Times New Roman"/>
                <w:color w:val="000000"/>
                <w:sz w:val="20"/>
                <w:szCs w:val="20"/>
              </w:rPr>
            </w:pPr>
            <w:r w:rsidRPr="00222560">
              <w:rPr>
                <w:rFonts w:eastAsia="Calibri" w:cs="Times New Roman"/>
                <w:color w:val="000000"/>
                <w:sz w:val="20"/>
                <w:szCs w:val="20"/>
              </w:rPr>
              <w:t>-3213.46</w:t>
            </w:r>
          </w:p>
        </w:tc>
        <w:tc>
          <w:tcPr>
            <w:tcW w:w="656" w:type="pct"/>
            <w:tcBorders>
              <w:top w:val="double" w:sz="4" w:space="0" w:color="auto"/>
            </w:tcBorders>
            <w:vAlign w:val="center"/>
          </w:tcPr>
          <w:p w14:paraId="3233ACEA" w14:textId="77777777" w:rsidR="00222560" w:rsidRPr="00222560" w:rsidRDefault="00222560" w:rsidP="00456E56">
            <w:pPr>
              <w:jc w:val="center"/>
              <w:rPr>
                <w:rFonts w:eastAsia="Calibri" w:cs="Times New Roman"/>
                <w:color w:val="000000"/>
                <w:sz w:val="20"/>
                <w:szCs w:val="20"/>
              </w:rPr>
            </w:pPr>
            <w:r w:rsidRPr="00222560">
              <w:rPr>
                <w:rFonts w:eastAsia="Calibri" w:cs="Times New Roman"/>
                <w:color w:val="000000"/>
                <w:sz w:val="20"/>
                <w:szCs w:val="20"/>
              </w:rPr>
              <w:t>-3211.29</w:t>
            </w:r>
          </w:p>
        </w:tc>
        <w:tc>
          <w:tcPr>
            <w:tcW w:w="724" w:type="pct"/>
            <w:tcBorders>
              <w:top w:val="double" w:sz="4" w:space="0" w:color="auto"/>
            </w:tcBorders>
            <w:vAlign w:val="center"/>
          </w:tcPr>
          <w:p w14:paraId="037D68E0" w14:textId="77777777" w:rsidR="00222560" w:rsidRPr="00222560" w:rsidRDefault="00222560" w:rsidP="00456E56">
            <w:pPr>
              <w:jc w:val="center"/>
              <w:rPr>
                <w:rFonts w:eastAsia="Calibri" w:cs="Times New Roman"/>
                <w:color w:val="000000"/>
                <w:sz w:val="20"/>
                <w:szCs w:val="20"/>
              </w:rPr>
            </w:pPr>
            <w:r w:rsidRPr="00222560">
              <w:rPr>
                <w:rFonts w:eastAsia="Calibri" w:cs="Times New Roman"/>
                <w:color w:val="000000"/>
                <w:sz w:val="20"/>
                <w:szCs w:val="20"/>
              </w:rPr>
              <w:t>-3207.49</w:t>
            </w:r>
          </w:p>
        </w:tc>
      </w:tr>
      <w:tr w:rsidR="00222560" w:rsidRPr="00222560" w14:paraId="08ECC771" w14:textId="77777777" w:rsidTr="00456E56">
        <w:trPr>
          <w:trHeight w:val="317"/>
        </w:trPr>
        <w:tc>
          <w:tcPr>
            <w:tcW w:w="511" w:type="pct"/>
            <w:vMerge/>
            <w:tcBorders>
              <w:top w:val="single" w:sz="4" w:space="0" w:color="auto"/>
              <w:bottom w:val="double" w:sz="4" w:space="0" w:color="auto"/>
              <w:right w:val="double" w:sz="4" w:space="0" w:color="auto"/>
            </w:tcBorders>
          </w:tcPr>
          <w:p w14:paraId="428CAD4D" w14:textId="77777777" w:rsidR="00222560" w:rsidRPr="00222560" w:rsidRDefault="00222560" w:rsidP="00456E56">
            <w:pPr>
              <w:rPr>
                <w:rFonts w:eastAsia="Times New Roman" w:cs="Times New Roman"/>
                <w:b/>
                <w:bCs/>
                <w:color w:val="000000"/>
                <w:sz w:val="20"/>
                <w:szCs w:val="20"/>
              </w:rPr>
            </w:pPr>
          </w:p>
        </w:tc>
        <w:tc>
          <w:tcPr>
            <w:tcW w:w="1796" w:type="pct"/>
            <w:gridSpan w:val="2"/>
            <w:tcBorders>
              <w:left w:val="double" w:sz="4" w:space="0" w:color="auto"/>
              <w:right w:val="double" w:sz="4" w:space="0" w:color="auto"/>
            </w:tcBorders>
            <w:shd w:val="clear" w:color="auto" w:fill="auto"/>
            <w:noWrap/>
            <w:vAlign w:val="center"/>
            <w:hideMark/>
          </w:tcPr>
          <w:p w14:paraId="29E13B51" w14:textId="77777777" w:rsidR="00222560" w:rsidRPr="00222560" w:rsidRDefault="00222560" w:rsidP="00456E56">
            <w:pPr>
              <w:rPr>
                <w:rFonts w:eastAsia="Times New Roman" w:cs="Times New Roman"/>
                <w:color w:val="000000"/>
                <w:sz w:val="20"/>
                <w:szCs w:val="20"/>
              </w:rPr>
            </w:pPr>
            <w:r w:rsidRPr="00222560">
              <w:rPr>
                <w:rFonts w:eastAsia="Times New Roman" w:cs="Times New Roman"/>
                <w:color w:val="000000"/>
                <w:sz w:val="20"/>
                <w:szCs w:val="20"/>
              </w:rPr>
              <w:t>Number of non-constant/non-threshold parameters</w:t>
            </w:r>
          </w:p>
        </w:tc>
        <w:tc>
          <w:tcPr>
            <w:tcW w:w="656" w:type="pct"/>
            <w:tcBorders>
              <w:left w:val="double" w:sz="4" w:space="0" w:color="auto"/>
            </w:tcBorders>
            <w:shd w:val="clear" w:color="auto" w:fill="auto"/>
            <w:noWrap/>
            <w:vAlign w:val="center"/>
            <w:hideMark/>
          </w:tcPr>
          <w:p w14:paraId="40AD4BD2" w14:textId="77777777" w:rsidR="00222560" w:rsidRPr="00222560" w:rsidRDefault="00222560" w:rsidP="00456E56">
            <w:pPr>
              <w:jc w:val="center"/>
              <w:rPr>
                <w:rFonts w:eastAsia="Calibri" w:cs="Times New Roman"/>
                <w:color w:val="000000"/>
                <w:sz w:val="20"/>
                <w:szCs w:val="20"/>
              </w:rPr>
            </w:pPr>
            <w:r w:rsidRPr="00222560">
              <w:rPr>
                <w:rFonts w:eastAsia="Calibri" w:cs="Times New Roman"/>
                <w:color w:val="000000"/>
                <w:sz w:val="20"/>
                <w:szCs w:val="20"/>
              </w:rPr>
              <w:t>15</w:t>
            </w:r>
          </w:p>
        </w:tc>
        <w:tc>
          <w:tcPr>
            <w:tcW w:w="657" w:type="pct"/>
            <w:shd w:val="clear" w:color="auto" w:fill="auto"/>
            <w:noWrap/>
            <w:vAlign w:val="center"/>
            <w:hideMark/>
          </w:tcPr>
          <w:p w14:paraId="5342965F" w14:textId="77777777" w:rsidR="00222560" w:rsidRPr="00222560" w:rsidRDefault="00222560" w:rsidP="00456E56">
            <w:pPr>
              <w:jc w:val="center"/>
              <w:rPr>
                <w:rFonts w:eastAsia="Calibri" w:cs="Times New Roman"/>
                <w:color w:val="000000"/>
                <w:sz w:val="20"/>
                <w:szCs w:val="20"/>
              </w:rPr>
            </w:pPr>
            <w:r w:rsidRPr="00222560">
              <w:rPr>
                <w:rFonts w:eastAsia="Calibri" w:cs="Times New Roman"/>
                <w:color w:val="000000"/>
                <w:sz w:val="20"/>
                <w:szCs w:val="20"/>
              </w:rPr>
              <w:t>16</w:t>
            </w:r>
          </w:p>
        </w:tc>
        <w:tc>
          <w:tcPr>
            <w:tcW w:w="656" w:type="pct"/>
            <w:vAlign w:val="center"/>
          </w:tcPr>
          <w:p w14:paraId="3C8FA79C" w14:textId="77777777" w:rsidR="00222560" w:rsidRPr="00222560" w:rsidRDefault="00222560" w:rsidP="00456E56">
            <w:pPr>
              <w:jc w:val="center"/>
              <w:rPr>
                <w:rFonts w:eastAsia="Calibri" w:cs="Times New Roman"/>
                <w:color w:val="000000"/>
                <w:sz w:val="20"/>
                <w:szCs w:val="20"/>
              </w:rPr>
            </w:pPr>
            <w:r w:rsidRPr="00222560">
              <w:rPr>
                <w:rFonts w:eastAsia="Calibri" w:cs="Times New Roman"/>
                <w:color w:val="000000"/>
                <w:sz w:val="20"/>
                <w:szCs w:val="20"/>
              </w:rPr>
              <w:t>16</w:t>
            </w:r>
          </w:p>
        </w:tc>
        <w:tc>
          <w:tcPr>
            <w:tcW w:w="724" w:type="pct"/>
            <w:vAlign w:val="center"/>
          </w:tcPr>
          <w:p w14:paraId="6E1DD121" w14:textId="77777777" w:rsidR="00222560" w:rsidRPr="00222560" w:rsidRDefault="00222560" w:rsidP="00456E56">
            <w:pPr>
              <w:jc w:val="center"/>
              <w:rPr>
                <w:rFonts w:eastAsia="Calibri" w:cs="Times New Roman"/>
                <w:color w:val="000000"/>
                <w:sz w:val="20"/>
                <w:szCs w:val="20"/>
              </w:rPr>
            </w:pPr>
            <w:r w:rsidRPr="00222560">
              <w:rPr>
                <w:rFonts w:eastAsia="Calibri" w:cs="Times New Roman"/>
                <w:color w:val="000000"/>
                <w:sz w:val="20"/>
                <w:szCs w:val="20"/>
              </w:rPr>
              <w:t>17</w:t>
            </w:r>
          </w:p>
        </w:tc>
      </w:tr>
      <w:tr w:rsidR="00222560" w:rsidRPr="00222560" w14:paraId="1F96ECE1" w14:textId="77777777" w:rsidTr="00456E56">
        <w:trPr>
          <w:trHeight w:val="317"/>
        </w:trPr>
        <w:tc>
          <w:tcPr>
            <w:tcW w:w="511" w:type="pct"/>
            <w:vMerge/>
            <w:tcBorders>
              <w:top w:val="single" w:sz="4" w:space="0" w:color="auto"/>
              <w:bottom w:val="double" w:sz="4" w:space="0" w:color="auto"/>
              <w:right w:val="double" w:sz="4" w:space="0" w:color="auto"/>
            </w:tcBorders>
          </w:tcPr>
          <w:p w14:paraId="7EABF59E" w14:textId="77777777" w:rsidR="00222560" w:rsidRPr="00222560" w:rsidRDefault="00222560" w:rsidP="00456E56">
            <w:pPr>
              <w:rPr>
                <w:rFonts w:eastAsia="Times New Roman" w:cs="Times New Roman"/>
                <w:b/>
                <w:bCs/>
                <w:color w:val="000000"/>
                <w:sz w:val="20"/>
                <w:szCs w:val="20"/>
              </w:rPr>
            </w:pPr>
          </w:p>
        </w:tc>
        <w:tc>
          <w:tcPr>
            <w:tcW w:w="1796" w:type="pct"/>
            <w:gridSpan w:val="2"/>
            <w:tcBorders>
              <w:left w:val="double" w:sz="4" w:space="0" w:color="auto"/>
              <w:right w:val="double" w:sz="4" w:space="0" w:color="auto"/>
            </w:tcBorders>
            <w:shd w:val="clear" w:color="auto" w:fill="auto"/>
            <w:noWrap/>
            <w:vAlign w:val="center"/>
            <w:hideMark/>
          </w:tcPr>
          <w:p w14:paraId="25FA97C0" w14:textId="77777777" w:rsidR="00222560" w:rsidRPr="00222560" w:rsidRDefault="00222560" w:rsidP="00456E56">
            <w:pPr>
              <w:rPr>
                <w:rFonts w:eastAsia="Times New Roman" w:cs="Times New Roman"/>
                <w:color w:val="000000"/>
                <w:sz w:val="20"/>
                <w:szCs w:val="20"/>
              </w:rPr>
            </w:pPr>
            <w:r w:rsidRPr="00222560">
              <w:rPr>
                <w:rFonts w:eastAsia="Times New Roman" w:cs="Times New Roman"/>
                <w:color w:val="000000"/>
                <w:sz w:val="20"/>
                <w:szCs w:val="20"/>
              </w:rPr>
              <w:t xml:space="preserve">Log-likelihood at constants and thresholds only </w:t>
            </w:r>
          </w:p>
        </w:tc>
        <w:tc>
          <w:tcPr>
            <w:tcW w:w="2693" w:type="pct"/>
            <w:gridSpan w:val="4"/>
            <w:tcBorders>
              <w:left w:val="double" w:sz="4" w:space="0" w:color="auto"/>
            </w:tcBorders>
            <w:shd w:val="clear" w:color="auto" w:fill="auto"/>
            <w:noWrap/>
            <w:vAlign w:val="center"/>
            <w:hideMark/>
          </w:tcPr>
          <w:p w14:paraId="199C6337" w14:textId="77777777" w:rsidR="00222560" w:rsidRPr="00222560" w:rsidRDefault="00222560" w:rsidP="00456E56">
            <w:pPr>
              <w:jc w:val="center"/>
              <w:rPr>
                <w:rFonts w:eastAsia="Calibri" w:cs="Times New Roman"/>
                <w:color w:val="000000"/>
                <w:sz w:val="20"/>
                <w:szCs w:val="20"/>
              </w:rPr>
            </w:pPr>
            <w:r w:rsidRPr="00222560">
              <w:rPr>
                <w:rFonts w:eastAsia="Calibri" w:cs="Times New Roman"/>
                <w:color w:val="000000"/>
                <w:sz w:val="20"/>
                <w:szCs w:val="20"/>
              </w:rPr>
              <w:t>-3353.17</w:t>
            </w:r>
          </w:p>
        </w:tc>
      </w:tr>
      <w:tr w:rsidR="00222560" w:rsidRPr="00222560" w14:paraId="6A40CBFC" w14:textId="77777777" w:rsidTr="00456E56">
        <w:trPr>
          <w:trHeight w:val="317"/>
        </w:trPr>
        <w:tc>
          <w:tcPr>
            <w:tcW w:w="511" w:type="pct"/>
            <w:vMerge/>
            <w:tcBorders>
              <w:top w:val="single" w:sz="4" w:space="0" w:color="auto"/>
              <w:bottom w:val="double" w:sz="4" w:space="0" w:color="auto"/>
              <w:right w:val="double" w:sz="4" w:space="0" w:color="auto"/>
            </w:tcBorders>
          </w:tcPr>
          <w:p w14:paraId="7C0A3A8B" w14:textId="77777777" w:rsidR="00222560" w:rsidRPr="00222560" w:rsidRDefault="00222560" w:rsidP="00456E56">
            <w:pPr>
              <w:rPr>
                <w:rFonts w:eastAsia="Times New Roman" w:cs="Times New Roman"/>
                <w:b/>
                <w:bCs/>
                <w:color w:val="000000"/>
                <w:sz w:val="20"/>
                <w:szCs w:val="20"/>
              </w:rPr>
            </w:pPr>
          </w:p>
        </w:tc>
        <w:tc>
          <w:tcPr>
            <w:tcW w:w="1796" w:type="pct"/>
            <w:gridSpan w:val="2"/>
            <w:tcBorders>
              <w:left w:val="double" w:sz="4" w:space="0" w:color="auto"/>
              <w:right w:val="double" w:sz="4" w:space="0" w:color="auto"/>
            </w:tcBorders>
            <w:shd w:val="clear" w:color="auto" w:fill="auto"/>
            <w:noWrap/>
            <w:vAlign w:val="center"/>
            <w:hideMark/>
          </w:tcPr>
          <w:p w14:paraId="2F74D94A" w14:textId="77777777" w:rsidR="00222560" w:rsidRPr="00222560" w:rsidRDefault="00222560" w:rsidP="00456E56">
            <w:pPr>
              <w:rPr>
                <w:rFonts w:eastAsia="Times New Roman" w:cs="Times New Roman"/>
                <w:color w:val="000000"/>
                <w:sz w:val="20"/>
                <w:szCs w:val="20"/>
              </w:rPr>
            </w:pPr>
            <w:r w:rsidRPr="00222560">
              <w:rPr>
                <w:rFonts w:eastAsia="Times New Roman" w:cs="Times New Roman"/>
                <w:color w:val="000000"/>
                <w:sz w:val="20"/>
                <w:szCs w:val="20"/>
              </w:rPr>
              <w:t>Log-likelihood at zero (equal shares)</w:t>
            </w:r>
          </w:p>
        </w:tc>
        <w:tc>
          <w:tcPr>
            <w:tcW w:w="2693" w:type="pct"/>
            <w:gridSpan w:val="4"/>
            <w:tcBorders>
              <w:left w:val="double" w:sz="4" w:space="0" w:color="auto"/>
            </w:tcBorders>
            <w:shd w:val="clear" w:color="auto" w:fill="auto"/>
            <w:noWrap/>
            <w:vAlign w:val="center"/>
            <w:hideMark/>
          </w:tcPr>
          <w:p w14:paraId="30C0A9DA" w14:textId="77777777" w:rsidR="00222560" w:rsidRPr="00222560" w:rsidRDefault="00222560" w:rsidP="00456E56">
            <w:pPr>
              <w:jc w:val="center"/>
              <w:rPr>
                <w:rFonts w:eastAsia="Calibri" w:cs="Times New Roman"/>
                <w:color w:val="000000"/>
                <w:sz w:val="20"/>
                <w:szCs w:val="20"/>
              </w:rPr>
            </w:pPr>
            <w:r w:rsidRPr="00222560">
              <w:rPr>
                <w:rFonts w:eastAsia="Calibri" w:cs="Times New Roman"/>
                <w:color w:val="000000"/>
                <w:sz w:val="20"/>
                <w:szCs w:val="20"/>
              </w:rPr>
              <w:t>-3893.67</w:t>
            </w:r>
          </w:p>
        </w:tc>
      </w:tr>
      <w:tr w:rsidR="00222560" w:rsidRPr="00222560" w14:paraId="392BA414" w14:textId="77777777" w:rsidTr="00456E56">
        <w:trPr>
          <w:trHeight w:val="317"/>
        </w:trPr>
        <w:tc>
          <w:tcPr>
            <w:tcW w:w="511" w:type="pct"/>
            <w:vMerge/>
            <w:tcBorders>
              <w:top w:val="single" w:sz="4" w:space="0" w:color="auto"/>
              <w:bottom w:val="double" w:sz="4" w:space="0" w:color="auto"/>
              <w:right w:val="double" w:sz="4" w:space="0" w:color="auto"/>
            </w:tcBorders>
          </w:tcPr>
          <w:p w14:paraId="52DE80CD" w14:textId="77777777" w:rsidR="00222560" w:rsidRPr="00222560" w:rsidRDefault="00222560" w:rsidP="00456E56">
            <w:pPr>
              <w:rPr>
                <w:rFonts w:eastAsia="Times New Roman" w:cs="Times New Roman"/>
                <w:b/>
                <w:bCs/>
                <w:color w:val="000000"/>
                <w:sz w:val="20"/>
                <w:szCs w:val="20"/>
              </w:rPr>
            </w:pPr>
          </w:p>
        </w:tc>
        <w:tc>
          <w:tcPr>
            <w:tcW w:w="1796" w:type="pct"/>
            <w:gridSpan w:val="2"/>
            <w:tcBorders>
              <w:left w:val="double" w:sz="4" w:space="0" w:color="auto"/>
              <w:right w:val="double" w:sz="4" w:space="0" w:color="auto"/>
            </w:tcBorders>
            <w:shd w:val="clear" w:color="auto" w:fill="auto"/>
            <w:noWrap/>
            <w:vAlign w:val="center"/>
            <w:hideMark/>
          </w:tcPr>
          <w:p w14:paraId="3D0014C9" w14:textId="77777777" w:rsidR="00222560" w:rsidRPr="00222560" w:rsidRDefault="00222560" w:rsidP="00456E56">
            <w:pPr>
              <w:rPr>
                <w:rFonts w:eastAsia="Times New Roman" w:cs="Times New Roman"/>
                <w:color w:val="000000"/>
                <w:sz w:val="20"/>
                <w:szCs w:val="20"/>
              </w:rPr>
            </w:pPr>
            <w:r w:rsidRPr="00222560">
              <w:rPr>
                <w:rFonts w:eastAsia="Times New Roman" w:cs="Times New Roman"/>
                <w:color w:val="000000"/>
                <w:sz w:val="20"/>
                <w:szCs w:val="20"/>
              </w:rPr>
              <w:t>LR test: Proposed Bivariate YJ vs Independent Normal</w:t>
            </w:r>
          </w:p>
        </w:tc>
        <w:tc>
          <w:tcPr>
            <w:tcW w:w="2693" w:type="pct"/>
            <w:gridSpan w:val="4"/>
            <w:tcBorders>
              <w:left w:val="double" w:sz="4" w:space="0" w:color="auto"/>
            </w:tcBorders>
            <w:shd w:val="clear" w:color="auto" w:fill="auto"/>
            <w:noWrap/>
            <w:vAlign w:val="center"/>
          </w:tcPr>
          <w:p w14:paraId="472A3477" w14:textId="77777777" w:rsidR="00222560" w:rsidRPr="00222560" w:rsidRDefault="00222560" w:rsidP="00456E56">
            <w:pPr>
              <w:jc w:val="center"/>
              <w:rPr>
                <w:rFonts w:eastAsia="Times New Roman" w:cs="Times New Roman"/>
                <w:i/>
                <w:color w:val="000000"/>
                <w:sz w:val="20"/>
                <w:szCs w:val="20"/>
              </w:rPr>
            </w:pPr>
            <w:r w:rsidRPr="00222560">
              <w:rPr>
                <w:rFonts w:eastAsia="Calibri" w:cs="Times New Roman"/>
                <w:sz w:val="20"/>
                <w:szCs w:val="20"/>
              </w:rPr>
              <w:t xml:space="preserve">LR = 16.1&gt; </w:t>
            </w:r>
            <m:oMath>
              <m:sSubSup>
                <m:sSubSupPr>
                  <m:ctrlPr>
                    <w:rPr>
                      <w:rFonts w:ascii="Cambria Math" w:eastAsia="Calibri" w:hAnsi="Cambria Math" w:cs="Times New Roman"/>
                      <w:i/>
                      <w:sz w:val="20"/>
                      <w:szCs w:val="20"/>
                    </w:rPr>
                  </m:ctrlPr>
                </m:sSubSupPr>
                <m:e>
                  <m:r>
                    <w:rPr>
                      <w:rFonts w:ascii="Cambria Math" w:eastAsia="Calibri" w:hAnsi="Cambria Math" w:cs="Times New Roman"/>
                      <w:sz w:val="20"/>
                      <w:szCs w:val="20"/>
                    </w:rPr>
                    <m:t>χ</m:t>
                  </m:r>
                </m:e>
                <m:sub>
                  <m:r>
                    <w:rPr>
                      <w:rFonts w:ascii="Cambria Math" w:eastAsia="Calibri" w:hAnsi="Cambria Math" w:cs="Times New Roman"/>
                      <w:sz w:val="20"/>
                      <w:szCs w:val="20"/>
                    </w:rPr>
                    <m:t>(2,  0.05)</m:t>
                  </m:r>
                </m:sub>
                <m:sup>
                  <m:r>
                    <w:rPr>
                      <w:rFonts w:ascii="Cambria Math" w:eastAsia="Calibri" w:hAnsi="Cambria Math" w:cs="Times New Roman"/>
                      <w:sz w:val="20"/>
                      <w:szCs w:val="20"/>
                    </w:rPr>
                    <m:t>2</m:t>
                  </m:r>
                </m:sup>
              </m:sSubSup>
              <m:r>
                <w:rPr>
                  <w:rFonts w:ascii="Cambria Math" w:eastAsia="Calibri" w:hAnsi="Cambria Math" w:cs="Times New Roman"/>
                  <w:sz w:val="20"/>
                  <w:szCs w:val="20"/>
                </w:rPr>
                <m:t>=5.99</m:t>
              </m:r>
            </m:oMath>
          </w:p>
        </w:tc>
      </w:tr>
      <w:tr w:rsidR="00222560" w:rsidRPr="00222560" w14:paraId="50F29728" w14:textId="77777777" w:rsidTr="00456E56">
        <w:trPr>
          <w:trHeight w:val="317"/>
        </w:trPr>
        <w:tc>
          <w:tcPr>
            <w:tcW w:w="511" w:type="pct"/>
            <w:vMerge/>
            <w:tcBorders>
              <w:top w:val="single" w:sz="4" w:space="0" w:color="auto"/>
              <w:bottom w:val="double" w:sz="4" w:space="0" w:color="auto"/>
              <w:right w:val="double" w:sz="4" w:space="0" w:color="auto"/>
            </w:tcBorders>
          </w:tcPr>
          <w:p w14:paraId="5A426DDA" w14:textId="77777777" w:rsidR="00222560" w:rsidRPr="00222560" w:rsidRDefault="00222560" w:rsidP="00456E56">
            <w:pPr>
              <w:rPr>
                <w:rFonts w:eastAsia="Times New Roman" w:cs="Times New Roman"/>
                <w:b/>
                <w:bCs/>
                <w:color w:val="000000"/>
                <w:sz w:val="20"/>
                <w:szCs w:val="20"/>
              </w:rPr>
            </w:pPr>
          </w:p>
        </w:tc>
        <w:tc>
          <w:tcPr>
            <w:tcW w:w="1796" w:type="pct"/>
            <w:gridSpan w:val="2"/>
            <w:tcBorders>
              <w:left w:val="double" w:sz="4" w:space="0" w:color="auto"/>
              <w:bottom w:val="single" w:sz="4" w:space="0" w:color="auto"/>
              <w:right w:val="double" w:sz="4" w:space="0" w:color="auto"/>
            </w:tcBorders>
            <w:shd w:val="clear" w:color="auto" w:fill="auto"/>
            <w:noWrap/>
            <w:vAlign w:val="center"/>
          </w:tcPr>
          <w:p w14:paraId="417D3530" w14:textId="77777777" w:rsidR="00222560" w:rsidRPr="00222560" w:rsidRDefault="00222560" w:rsidP="00456E56">
            <w:pPr>
              <w:rPr>
                <w:rFonts w:eastAsia="Times New Roman" w:cs="Times New Roman"/>
                <w:color w:val="000000"/>
                <w:sz w:val="20"/>
                <w:szCs w:val="20"/>
              </w:rPr>
            </w:pPr>
            <w:r w:rsidRPr="00222560">
              <w:rPr>
                <w:rFonts w:eastAsia="Times New Roman" w:cs="Times New Roman"/>
                <w:color w:val="000000"/>
                <w:sz w:val="20"/>
                <w:szCs w:val="20"/>
              </w:rPr>
              <w:t>LR test: Proposed Bivariate YJ vs Bivariate Normal</w:t>
            </w:r>
          </w:p>
        </w:tc>
        <w:tc>
          <w:tcPr>
            <w:tcW w:w="2693" w:type="pct"/>
            <w:gridSpan w:val="4"/>
            <w:tcBorders>
              <w:left w:val="double" w:sz="4" w:space="0" w:color="auto"/>
              <w:bottom w:val="single" w:sz="4" w:space="0" w:color="auto"/>
            </w:tcBorders>
            <w:shd w:val="clear" w:color="auto" w:fill="auto"/>
            <w:noWrap/>
            <w:vAlign w:val="center"/>
          </w:tcPr>
          <w:p w14:paraId="7B6E48FA" w14:textId="77777777" w:rsidR="00222560" w:rsidRPr="00222560" w:rsidRDefault="00222560" w:rsidP="00456E56">
            <w:pPr>
              <w:jc w:val="center"/>
              <w:rPr>
                <w:rFonts w:eastAsia="Times New Roman" w:cs="Times New Roman"/>
                <w:i/>
                <w:color w:val="000000"/>
                <w:sz w:val="20"/>
                <w:szCs w:val="20"/>
              </w:rPr>
            </w:pPr>
            <w:r w:rsidRPr="00222560">
              <w:rPr>
                <w:rFonts w:eastAsia="Calibri" w:cs="Times New Roman"/>
                <w:sz w:val="20"/>
                <w:szCs w:val="20"/>
              </w:rPr>
              <w:t xml:space="preserve">LR =11.94 &gt; </w:t>
            </w:r>
            <m:oMath>
              <m:sSubSup>
                <m:sSubSupPr>
                  <m:ctrlPr>
                    <w:rPr>
                      <w:rFonts w:ascii="Cambria Math" w:eastAsia="Calibri" w:hAnsi="Cambria Math" w:cs="Times New Roman"/>
                      <w:i/>
                      <w:sz w:val="20"/>
                      <w:szCs w:val="20"/>
                    </w:rPr>
                  </m:ctrlPr>
                </m:sSubSupPr>
                <m:e>
                  <m:r>
                    <w:rPr>
                      <w:rFonts w:ascii="Cambria Math" w:eastAsia="Calibri" w:hAnsi="Cambria Math" w:cs="Times New Roman"/>
                      <w:sz w:val="20"/>
                      <w:szCs w:val="20"/>
                    </w:rPr>
                    <m:t>χ</m:t>
                  </m:r>
                </m:e>
                <m:sub>
                  <m:r>
                    <w:rPr>
                      <w:rFonts w:ascii="Cambria Math" w:eastAsia="Calibri" w:hAnsi="Cambria Math" w:cs="Times New Roman"/>
                      <w:sz w:val="20"/>
                      <w:szCs w:val="20"/>
                    </w:rPr>
                    <m:t>(1,  0.05)</m:t>
                  </m:r>
                </m:sub>
                <m:sup>
                  <m:r>
                    <w:rPr>
                      <w:rFonts w:ascii="Cambria Math" w:eastAsia="Calibri" w:hAnsi="Cambria Math" w:cs="Times New Roman"/>
                      <w:sz w:val="20"/>
                      <w:szCs w:val="20"/>
                    </w:rPr>
                    <m:t>2</m:t>
                  </m:r>
                </m:sup>
              </m:sSubSup>
              <m:r>
                <w:rPr>
                  <w:rFonts w:ascii="Cambria Math" w:eastAsia="Calibri" w:hAnsi="Cambria Math" w:cs="Times New Roman"/>
                  <w:sz w:val="20"/>
                  <w:szCs w:val="20"/>
                </w:rPr>
                <m:t>=3.84</m:t>
              </m:r>
            </m:oMath>
          </w:p>
        </w:tc>
      </w:tr>
      <w:tr w:rsidR="00222560" w:rsidRPr="00222560" w14:paraId="16C3D743" w14:textId="77777777" w:rsidTr="00456E56">
        <w:trPr>
          <w:trHeight w:val="317"/>
        </w:trPr>
        <w:tc>
          <w:tcPr>
            <w:tcW w:w="511" w:type="pct"/>
            <w:vMerge/>
            <w:tcBorders>
              <w:top w:val="single" w:sz="4" w:space="0" w:color="auto"/>
              <w:bottom w:val="double" w:sz="4" w:space="0" w:color="auto"/>
              <w:right w:val="double" w:sz="4" w:space="0" w:color="auto"/>
            </w:tcBorders>
          </w:tcPr>
          <w:p w14:paraId="059DA896" w14:textId="77777777" w:rsidR="00222560" w:rsidRPr="00222560" w:rsidRDefault="00222560" w:rsidP="00456E56">
            <w:pPr>
              <w:rPr>
                <w:rFonts w:eastAsia="Times New Roman" w:cs="Times New Roman"/>
                <w:b/>
                <w:bCs/>
                <w:color w:val="000000"/>
                <w:sz w:val="20"/>
                <w:szCs w:val="20"/>
              </w:rPr>
            </w:pPr>
          </w:p>
        </w:tc>
        <w:tc>
          <w:tcPr>
            <w:tcW w:w="1796" w:type="pct"/>
            <w:gridSpan w:val="2"/>
            <w:tcBorders>
              <w:top w:val="single" w:sz="4" w:space="0" w:color="auto"/>
              <w:left w:val="double" w:sz="4" w:space="0" w:color="auto"/>
              <w:bottom w:val="double" w:sz="4" w:space="0" w:color="auto"/>
              <w:right w:val="double" w:sz="4" w:space="0" w:color="auto"/>
            </w:tcBorders>
            <w:shd w:val="clear" w:color="auto" w:fill="auto"/>
            <w:noWrap/>
            <w:vAlign w:val="center"/>
            <w:hideMark/>
          </w:tcPr>
          <w:p w14:paraId="0C5927CF" w14:textId="77777777" w:rsidR="00222560" w:rsidRPr="00222560" w:rsidRDefault="00222560" w:rsidP="00456E56">
            <w:pPr>
              <w:rPr>
                <w:rFonts w:eastAsia="Times New Roman" w:cs="Times New Roman"/>
                <w:color w:val="000000"/>
                <w:sz w:val="20"/>
                <w:szCs w:val="20"/>
              </w:rPr>
            </w:pPr>
            <w:r w:rsidRPr="00222560">
              <w:rPr>
                <w:rFonts w:eastAsia="Times New Roman" w:cs="Times New Roman"/>
                <w:color w:val="000000"/>
                <w:sz w:val="20"/>
                <w:szCs w:val="20"/>
              </w:rPr>
              <w:t>LR test: Proposed Bivariate YJ vs Independent YJ</w:t>
            </w:r>
          </w:p>
        </w:tc>
        <w:tc>
          <w:tcPr>
            <w:tcW w:w="2693" w:type="pct"/>
            <w:gridSpan w:val="4"/>
            <w:tcBorders>
              <w:top w:val="single" w:sz="4" w:space="0" w:color="auto"/>
              <w:left w:val="double" w:sz="4" w:space="0" w:color="auto"/>
              <w:bottom w:val="double" w:sz="4" w:space="0" w:color="auto"/>
            </w:tcBorders>
            <w:vAlign w:val="center"/>
          </w:tcPr>
          <w:p w14:paraId="5358F535" w14:textId="77777777" w:rsidR="00222560" w:rsidRPr="00222560" w:rsidRDefault="00222560" w:rsidP="00456E56">
            <w:pPr>
              <w:jc w:val="center"/>
              <w:rPr>
                <w:rFonts w:eastAsia="Calibri" w:cs="Times New Roman"/>
                <w:sz w:val="20"/>
                <w:szCs w:val="20"/>
              </w:rPr>
            </w:pPr>
            <w:r w:rsidRPr="00222560">
              <w:rPr>
                <w:rFonts w:eastAsia="Calibri" w:cs="Times New Roman"/>
                <w:sz w:val="20"/>
                <w:szCs w:val="20"/>
              </w:rPr>
              <w:t xml:space="preserve">LR = 7.6&gt; </w:t>
            </w:r>
            <m:oMath>
              <m:sSubSup>
                <m:sSubSupPr>
                  <m:ctrlPr>
                    <w:rPr>
                      <w:rFonts w:ascii="Cambria Math" w:eastAsia="Calibri" w:hAnsi="Cambria Math" w:cs="Times New Roman"/>
                      <w:i/>
                      <w:sz w:val="20"/>
                      <w:szCs w:val="20"/>
                    </w:rPr>
                  </m:ctrlPr>
                </m:sSubSupPr>
                <m:e>
                  <m:r>
                    <w:rPr>
                      <w:rFonts w:ascii="Cambria Math" w:eastAsia="Calibri" w:hAnsi="Cambria Math" w:cs="Times New Roman"/>
                      <w:sz w:val="20"/>
                      <w:szCs w:val="20"/>
                    </w:rPr>
                    <m:t>χ</m:t>
                  </m:r>
                </m:e>
                <m:sub>
                  <m:r>
                    <w:rPr>
                      <w:rFonts w:ascii="Cambria Math" w:eastAsia="Calibri" w:hAnsi="Cambria Math" w:cs="Times New Roman"/>
                      <w:sz w:val="20"/>
                      <w:szCs w:val="20"/>
                    </w:rPr>
                    <m:t>(1,  0.05)</m:t>
                  </m:r>
                </m:sub>
                <m:sup>
                  <m:r>
                    <w:rPr>
                      <w:rFonts w:ascii="Cambria Math" w:eastAsia="Calibri" w:hAnsi="Cambria Math" w:cs="Times New Roman"/>
                      <w:sz w:val="20"/>
                      <w:szCs w:val="20"/>
                    </w:rPr>
                    <m:t>2</m:t>
                  </m:r>
                </m:sup>
              </m:sSubSup>
              <m:r>
                <w:rPr>
                  <w:rFonts w:ascii="Cambria Math" w:eastAsia="Calibri" w:hAnsi="Cambria Math" w:cs="Times New Roman"/>
                  <w:sz w:val="20"/>
                  <w:szCs w:val="20"/>
                </w:rPr>
                <m:t>=3.84</m:t>
              </m:r>
            </m:oMath>
          </w:p>
        </w:tc>
      </w:tr>
      <w:tr w:rsidR="00222560" w:rsidRPr="00222560" w14:paraId="4517A3A5" w14:textId="77777777" w:rsidTr="00456E56">
        <w:trPr>
          <w:trHeight w:val="317"/>
        </w:trPr>
        <w:tc>
          <w:tcPr>
            <w:tcW w:w="511" w:type="pct"/>
            <w:vMerge w:val="restart"/>
            <w:tcBorders>
              <w:top w:val="double" w:sz="4" w:space="0" w:color="auto"/>
              <w:bottom w:val="double" w:sz="4" w:space="0" w:color="auto"/>
              <w:right w:val="double" w:sz="4" w:space="0" w:color="auto"/>
            </w:tcBorders>
          </w:tcPr>
          <w:p w14:paraId="7225D31E" w14:textId="77777777" w:rsidR="00222560" w:rsidRPr="00222560" w:rsidRDefault="00222560" w:rsidP="00456E56">
            <w:pPr>
              <w:rPr>
                <w:rFonts w:eastAsia="Times New Roman" w:cs="Times New Roman"/>
                <w:b/>
                <w:bCs/>
                <w:color w:val="000000"/>
                <w:sz w:val="20"/>
                <w:szCs w:val="20"/>
              </w:rPr>
            </w:pPr>
          </w:p>
          <w:p w14:paraId="3021256D" w14:textId="77777777" w:rsidR="00222560" w:rsidRPr="00222560" w:rsidRDefault="00222560" w:rsidP="00456E56">
            <w:pPr>
              <w:rPr>
                <w:rFonts w:eastAsia="Times New Roman" w:cs="Times New Roman"/>
                <w:b/>
                <w:bCs/>
                <w:color w:val="000000"/>
                <w:sz w:val="20"/>
                <w:szCs w:val="20"/>
              </w:rPr>
            </w:pPr>
          </w:p>
          <w:p w14:paraId="02A5A66F" w14:textId="77777777" w:rsidR="00222560" w:rsidRPr="00222560" w:rsidRDefault="00222560" w:rsidP="00456E56">
            <w:pPr>
              <w:rPr>
                <w:rFonts w:eastAsia="Times New Roman" w:cs="Times New Roman"/>
                <w:b/>
                <w:bCs/>
                <w:color w:val="000000"/>
                <w:sz w:val="20"/>
                <w:szCs w:val="20"/>
              </w:rPr>
            </w:pPr>
          </w:p>
          <w:p w14:paraId="27EEB004" w14:textId="77777777" w:rsidR="00222560" w:rsidRPr="00222560" w:rsidRDefault="00222560" w:rsidP="00456E56">
            <w:pPr>
              <w:rPr>
                <w:rFonts w:eastAsia="Times New Roman" w:cs="Times New Roman"/>
                <w:b/>
                <w:bCs/>
                <w:color w:val="000000"/>
                <w:sz w:val="20"/>
                <w:szCs w:val="20"/>
              </w:rPr>
            </w:pPr>
          </w:p>
          <w:p w14:paraId="0AE34C12" w14:textId="77777777" w:rsidR="00222560" w:rsidRPr="00222560" w:rsidRDefault="00222560" w:rsidP="00456E56">
            <w:pPr>
              <w:rPr>
                <w:rFonts w:eastAsia="Times New Roman" w:cs="Times New Roman"/>
                <w:b/>
                <w:bCs/>
                <w:color w:val="000000"/>
                <w:sz w:val="20"/>
                <w:szCs w:val="20"/>
              </w:rPr>
            </w:pPr>
          </w:p>
          <w:p w14:paraId="4CEA0503" w14:textId="77777777" w:rsidR="00222560" w:rsidRPr="00222560" w:rsidRDefault="00222560" w:rsidP="00456E56">
            <w:pPr>
              <w:rPr>
                <w:rFonts w:eastAsia="Times New Roman" w:cs="Times New Roman"/>
                <w:b/>
                <w:bCs/>
                <w:color w:val="000000"/>
                <w:sz w:val="20"/>
                <w:szCs w:val="20"/>
              </w:rPr>
            </w:pPr>
          </w:p>
          <w:p w14:paraId="48CF1FF4" w14:textId="77777777" w:rsidR="00222560" w:rsidRPr="00222560" w:rsidRDefault="00222560" w:rsidP="00456E56">
            <w:pPr>
              <w:rPr>
                <w:rFonts w:eastAsia="Times New Roman" w:cs="Times New Roman"/>
                <w:b/>
                <w:bCs/>
                <w:color w:val="000000"/>
                <w:sz w:val="20"/>
                <w:szCs w:val="20"/>
              </w:rPr>
            </w:pPr>
          </w:p>
          <w:p w14:paraId="4D09A1A4" w14:textId="77777777" w:rsidR="00222560" w:rsidRPr="00222560" w:rsidRDefault="00222560" w:rsidP="00456E56">
            <w:pPr>
              <w:rPr>
                <w:rFonts w:eastAsia="Times New Roman" w:cs="Times New Roman"/>
                <w:b/>
                <w:bCs/>
                <w:color w:val="000000"/>
                <w:sz w:val="20"/>
                <w:szCs w:val="20"/>
              </w:rPr>
            </w:pPr>
          </w:p>
          <w:p w14:paraId="058AEDCB" w14:textId="77777777" w:rsidR="00222560" w:rsidRPr="00222560" w:rsidRDefault="00222560" w:rsidP="00456E56">
            <w:pPr>
              <w:rPr>
                <w:rFonts w:eastAsia="Times New Roman" w:cs="Times New Roman"/>
                <w:b/>
                <w:bCs/>
                <w:color w:val="000000"/>
                <w:sz w:val="20"/>
                <w:szCs w:val="20"/>
              </w:rPr>
            </w:pPr>
            <w:r w:rsidRPr="00222560">
              <w:rPr>
                <w:rFonts w:eastAsia="Times New Roman" w:cs="Times New Roman"/>
                <w:b/>
                <w:bCs/>
                <w:color w:val="000000"/>
                <w:sz w:val="20"/>
                <w:szCs w:val="20"/>
              </w:rPr>
              <w:t xml:space="preserve">Non-likelihood Based Measures </w:t>
            </w:r>
          </w:p>
        </w:tc>
        <w:tc>
          <w:tcPr>
            <w:tcW w:w="1796" w:type="pct"/>
            <w:gridSpan w:val="2"/>
            <w:tcBorders>
              <w:top w:val="double" w:sz="4" w:space="0" w:color="auto"/>
              <w:left w:val="double" w:sz="4" w:space="0" w:color="auto"/>
              <w:right w:val="double" w:sz="4" w:space="0" w:color="auto"/>
            </w:tcBorders>
            <w:shd w:val="clear" w:color="auto" w:fill="auto"/>
            <w:noWrap/>
            <w:vAlign w:val="center"/>
          </w:tcPr>
          <w:p w14:paraId="3DD136B9" w14:textId="77777777" w:rsidR="00222560" w:rsidRPr="00222560" w:rsidRDefault="00222560" w:rsidP="00456E56">
            <w:pPr>
              <w:rPr>
                <w:rFonts w:eastAsia="Times New Roman" w:cs="Times New Roman"/>
                <w:color w:val="000000"/>
                <w:sz w:val="20"/>
                <w:szCs w:val="20"/>
              </w:rPr>
            </w:pPr>
            <w:r w:rsidRPr="00222560">
              <w:rPr>
                <w:rFonts w:eastAsia="Times New Roman" w:cs="Times New Roman"/>
                <w:color w:val="000000"/>
                <w:sz w:val="20"/>
                <w:szCs w:val="20"/>
              </w:rPr>
              <w:t xml:space="preserve">Average Probability of Correct Prediction (APCP) </w:t>
            </w:r>
          </w:p>
        </w:tc>
        <w:tc>
          <w:tcPr>
            <w:tcW w:w="656" w:type="pct"/>
            <w:tcBorders>
              <w:top w:val="double" w:sz="4" w:space="0" w:color="auto"/>
              <w:left w:val="double" w:sz="4" w:space="0" w:color="auto"/>
            </w:tcBorders>
            <w:vAlign w:val="center"/>
          </w:tcPr>
          <w:p w14:paraId="1E2D36F8" w14:textId="77777777" w:rsidR="00222560" w:rsidRPr="00222560" w:rsidRDefault="00222560" w:rsidP="00456E56">
            <w:pPr>
              <w:jc w:val="center"/>
              <w:rPr>
                <w:rFonts w:eastAsia="Calibri" w:cs="Times New Roman"/>
                <w:sz w:val="20"/>
                <w:szCs w:val="20"/>
              </w:rPr>
            </w:pPr>
            <w:r w:rsidRPr="00222560">
              <w:rPr>
                <w:rFonts w:eastAsia="Calibri" w:cs="Times New Roman"/>
                <w:sz w:val="20"/>
                <w:szCs w:val="20"/>
              </w:rPr>
              <w:t>0.1729</w:t>
            </w:r>
          </w:p>
        </w:tc>
        <w:tc>
          <w:tcPr>
            <w:tcW w:w="657" w:type="pct"/>
            <w:tcBorders>
              <w:top w:val="double" w:sz="4" w:space="0" w:color="auto"/>
            </w:tcBorders>
            <w:vAlign w:val="center"/>
          </w:tcPr>
          <w:p w14:paraId="47A280D0" w14:textId="77777777" w:rsidR="00222560" w:rsidRPr="00222560" w:rsidRDefault="00222560" w:rsidP="00456E56">
            <w:pPr>
              <w:jc w:val="center"/>
              <w:rPr>
                <w:rFonts w:eastAsia="Calibri" w:cs="Times New Roman"/>
                <w:sz w:val="20"/>
                <w:szCs w:val="20"/>
              </w:rPr>
            </w:pPr>
            <w:r w:rsidRPr="00222560">
              <w:rPr>
                <w:rFonts w:eastAsia="Calibri" w:cs="Times New Roman"/>
                <w:sz w:val="20"/>
                <w:szCs w:val="20"/>
              </w:rPr>
              <w:t>0.1731</w:t>
            </w:r>
          </w:p>
        </w:tc>
        <w:tc>
          <w:tcPr>
            <w:tcW w:w="656" w:type="pct"/>
            <w:tcBorders>
              <w:top w:val="double" w:sz="4" w:space="0" w:color="auto"/>
            </w:tcBorders>
            <w:vAlign w:val="center"/>
          </w:tcPr>
          <w:p w14:paraId="403498A9" w14:textId="77777777" w:rsidR="00222560" w:rsidRPr="00222560" w:rsidRDefault="00222560" w:rsidP="00456E56">
            <w:pPr>
              <w:jc w:val="center"/>
              <w:rPr>
                <w:rFonts w:eastAsia="Calibri" w:cs="Times New Roman"/>
                <w:sz w:val="20"/>
                <w:szCs w:val="20"/>
              </w:rPr>
            </w:pPr>
            <w:r w:rsidRPr="00222560">
              <w:rPr>
                <w:rFonts w:eastAsia="Calibri" w:cs="Times New Roman"/>
                <w:sz w:val="20"/>
                <w:szCs w:val="20"/>
              </w:rPr>
              <w:t>0.1741</w:t>
            </w:r>
          </w:p>
        </w:tc>
        <w:tc>
          <w:tcPr>
            <w:tcW w:w="724" w:type="pct"/>
            <w:tcBorders>
              <w:top w:val="double" w:sz="4" w:space="0" w:color="auto"/>
            </w:tcBorders>
            <w:vAlign w:val="center"/>
          </w:tcPr>
          <w:p w14:paraId="3CD150DB" w14:textId="77777777" w:rsidR="00222560" w:rsidRPr="00222560" w:rsidRDefault="00222560" w:rsidP="00456E56">
            <w:pPr>
              <w:jc w:val="center"/>
              <w:rPr>
                <w:rFonts w:eastAsia="Calibri" w:cs="Times New Roman"/>
                <w:sz w:val="20"/>
                <w:szCs w:val="20"/>
              </w:rPr>
            </w:pPr>
            <w:r w:rsidRPr="00222560">
              <w:rPr>
                <w:rFonts w:eastAsia="Calibri" w:cs="Times New Roman"/>
                <w:sz w:val="20"/>
                <w:szCs w:val="20"/>
              </w:rPr>
              <w:t>0.1748</w:t>
            </w:r>
          </w:p>
        </w:tc>
      </w:tr>
      <w:tr w:rsidR="00222560" w:rsidRPr="00222560" w14:paraId="0FAFA701" w14:textId="77777777" w:rsidTr="00456E56">
        <w:trPr>
          <w:trHeight w:val="317"/>
        </w:trPr>
        <w:tc>
          <w:tcPr>
            <w:tcW w:w="511" w:type="pct"/>
            <w:vMerge/>
            <w:tcBorders>
              <w:top w:val="single" w:sz="4" w:space="0" w:color="auto"/>
              <w:bottom w:val="double" w:sz="4" w:space="0" w:color="auto"/>
              <w:right w:val="double" w:sz="4" w:space="0" w:color="auto"/>
            </w:tcBorders>
          </w:tcPr>
          <w:p w14:paraId="36EDD2B9" w14:textId="77777777" w:rsidR="00222560" w:rsidRPr="00222560" w:rsidRDefault="00222560" w:rsidP="00456E56">
            <w:pPr>
              <w:rPr>
                <w:rFonts w:eastAsia="Times New Roman" w:cs="Times New Roman"/>
                <w:b/>
                <w:bCs/>
                <w:color w:val="000000"/>
                <w:sz w:val="20"/>
                <w:szCs w:val="20"/>
              </w:rPr>
            </w:pPr>
          </w:p>
        </w:tc>
        <w:tc>
          <w:tcPr>
            <w:tcW w:w="1796" w:type="pct"/>
            <w:gridSpan w:val="2"/>
            <w:tcBorders>
              <w:left w:val="double" w:sz="4" w:space="0" w:color="auto"/>
              <w:right w:val="double" w:sz="4" w:space="0" w:color="auto"/>
            </w:tcBorders>
            <w:shd w:val="clear" w:color="auto" w:fill="auto"/>
            <w:noWrap/>
            <w:vAlign w:val="center"/>
          </w:tcPr>
          <w:p w14:paraId="5CB9DE9E" w14:textId="77777777" w:rsidR="00222560" w:rsidRPr="00222560" w:rsidRDefault="00222560" w:rsidP="00456E56">
            <w:pPr>
              <w:rPr>
                <w:rFonts w:eastAsia="Times New Roman" w:cs="Times New Roman"/>
                <w:color w:val="000000"/>
                <w:sz w:val="20"/>
                <w:szCs w:val="20"/>
              </w:rPr>
            </w:pPr>
            <w:r w:rsidRPr="00222560">
              <w:rPr>
                <w:rFonts w:eastAsia="Times New Roman" w:cs="Times New Roman"/>
                <w:color w:val="000000"/>
                <w:sz w:val="20"/>
                <w:szCs w:val="20"/>
              </w:rPr>
              <w:t>Actual versus Predicted Number of Individuals</w:t>
            </w:r>
          </w:p>
        </w:tc>
        <w:tc>
          <w:tcPr>
            <w:tcW w:w="2693" w:type="pct"/>
            <w:gridSpan w:val="4"/>
            <w:vMerge w:val="restart"/>
            <w:tcBorders>
              <w:left w:val="double" w:sz="4" w:space="0" w:color="auto"/>
            </w:tcBorders>
            <w:vAlign w:val="center"/>
          </w:tcPr>
          <w:p w14:paraId="619E4450" w14:textId="77777777" w:rsidR="00222560" w:rsidRPr="00222560" w:rsidRDefault="00222560" w:rsidP="00456E56">
            <w:pPr>
              <w:jc w:val="center"/>
              <w:rPr>
                <w:rFonts w:eastAsia="Calibri" w:cs="Times New Roman"/>
                <w:sz w:val="20"/>
                <w:szCs w:val="20"/>
              </w:rPr>
            </w:pPr>
            <w:r w:rsidRPr="00222560">
              <w:rPr>
                <w:rFonts w:eastAsia="Calibri" w:cs="Times New Roman"/>
                <w:sz w:val="20"/>
                <w:szCs w:val="20"/>
              </w:rPr>
              <w:t>Predicted Number</w:t>
            </w:r>
          </w:p>
        </w:tc>
      </w:tr>
      <w:tr w:rsidR="00222560" w:rsidRPr="00222560" w14:paraId="6AB212B8" w14:textId="77777777" w:rsidTr="00456E56">
        <w:trPr>
          <w:trHeight w:val="317"/>
        </w:trPr>
        <w:tc>
          <w:tcPr>
            <w:tcW w:w="511" w:type="pct"/>
            <w:vMerge/>
            <w:tcBorders>
              <w:top w:val="single" w:sz="4" w:space="0" w:color="auto"/>
              <w:bottom w:val="double" w:sz="4" w:space="0" w:color="auto"/>
              <w:right w:val="double" w:sz="4" w:space="0" w:color="auto"/>
            </w:tcBorders>
          </w:tcPr>
          <w:p w14:paraId="60A68117" w14:textId="77777777" w:rsidR="00222560" w:rsidRPr="00222560" w:rsidRDefault="00222560" w:rsidP="00456E56">
            <w:pPr>
              <w:rPr>
                <w:rFonts w:eastAsia="Times New Roman" w:cs="Times New Roman"/>
                <w:b/>
                <w:bCs/>
                <w:color w:val="000000"/>
                <w:sz w:val="20"/>
                <w:szCs w:val="20"/>
              </w:rPr>
            </w:pPr>
          </w:p>
        </w:tc>
        <w:tc>
          <w:tcPr>
            <w:tcW w:w="1451" w:type="pct"/>
            <w:tcBorders>
              <w:left w:val="double" w:sz="4" w:space="0" w:color="auto"/>
            </w:tcBorders>
            <w:shd w:val="clear" w:color="auto" w:fill="auto"/>
            <w:noWrap/>
            <w:vAlign w:val="center"/>
          </w:tcPr>
          <w:p w14:paraId="6EB3443E" w14:textId="77777777" w:rsidR="00222560" w:rsidRPr="00222560" w:rsidRDefault="00222560" w:rsidP="00456E56">
            <w:pPr>
              <w:rPr>
                <w:rFonts w:eastAsia="Times New Roman" w:cs="Times New Roman"/>
                <w:color w:val="000000"/>
                <w:sz w:val="20"/>
                <w:szCs w:val="20"/>
              </w:rPr>
            </w:pPr>
            <w:r w:rsidRPr="00222560">
              <w:rPr>
                <w:rFonts w:eastAsia="Times New Roman" w:cs="Times New Roman"/>
                <w:color w:val="000000"/>
                <w:sz w:val="20"/>
                <w:szCs w:val="20"/>
              </w:rPr>
              <w:t>Combination Category</w:t>
            </w:r>
          </w:p>
        </w:tc>
        <w:tc>
          <w:tcPr>
            <w:tcW w:w="345" w:type="pct"/>
            <w:tcBorders>
              <w:right w:val="double" w:sz="4" w:space="0" w:color="auto"/>
            </w:tcBorders>
            <w:shd w:val="clear" w:color="auto" w:fill="auto"/>
            <w:vAlign w:val="center"/>
          </w:tcPr>
          <w:p w14:paraId="6E4DE626" w14:textId="77777777" w:rsidR="00222560" w:rsidRPr="00222560" w:rsidRDefault="00222560" w:rsidP="00456E56">
            <w:pPr>
              <w:jc w:val="center"/>
              <w:rPr>
                <w:rFonts w:eastAsia="Times New Roman" w:cs="Times New Roman"/>
                <w:color w:val="000000"/>
                <w:sz w:val="20"/>
                <w:szCs w:val="20"/>
              </w:rPr>
            </w:pPr>
            <w:r w:rsidRPr="00222560">
              <w:rPr>
                <w:rFonts w:eastAsia="Times New Roman" w:cs="Times New Roman"/>
                <w:color w:val="000000"/>
                <w:sz w:val="20"/>
                <w:szCs w:val="20"/>
              </w:rPr>
              <w:t>Actual Number</w:t>
            </w:r>
          </w:p>
        </w:tc>
        <w:tc>
          <w:tcPr>
            <w:tcW w:w="2693" w:type="pct"/>
            <w:gridSpan w:val="4"/>
            <w:vMerge/>
            <w:tcBorders>
              <w:left w:val="double" w:sz="4" w:space="0" w:color="auto"/>
            </w:tcBorders>
            <w:vAlign w:val="center"/>
          </w:tcPr>
          <w:p w14:paraId="3D8321BD" w14:textId="77777777" w:rsidR="00222560" w:rsidRPr="00222560" w:rsidRDefault="00222560" w:rsidP="00456E56">
            <w:pPr>
              <w:jc w:val="center"/>
              <w:rPr>
                <w:rFonts w:eastAsia="Calibri" w:cs="Times New Roman"/>
                <w:sz w:val="20"/>
                <w:szCs w:val="20"/>
              </w:rPr>
            </w:pPr>
          </w:p>
        </w:tc>
      </w:tr>
      <w:tr w:rsidR="00222560" w:rsidRPr="00222560" w14:paraId="36D6CF2B" w14:textId="77777777" w:rsidTr="00456E56">
        <w:trPr>
          <w:trHeight w:val="317"/>
        </w:trPr>
        <w:tc>
          <w:tcPr>
            <w:tcW w:w="511" w:type="pct"/>
            <w:vMerge/>
            <w:tcBorders>
              <w:top w:val="single" w:sz="4" w:space="0" w:color="auto"/>
              <w:bottom w:val="double" w:sz="4" w:space="0" w:color="auto"/>
              <w:right w:val="double" w:sz="4" w:space="0" w:color="auto"/>
            </w:tcBorders>
          </w:tcPr>
          <w:p w14:paraId="4C850C7D" w14:textId="77777777" w:rsidR="00222560" w:rsidRPr="00222560" w:rsidRDefault="00222560" w:rsidP="00456E56">
            <w:pPr>
              <w:rPr>
                <w:rFonts w:eastAsia="Times New Roman" w:cs="Times New Roman"/>
                <w:b/>
                <w:bCs/>
                <w:color w:val="000000"/>
                <w:sz w:val="20"/>
                <w:szCs w:val="20"/>
              </w:rPr>
            </w:pPr>
          </w:p>
        </w:tc>
        <w:tc>
          <w:tcPr>
            <w:tcW w:w="1451" w:type="pct"/>
            <w:tcBorders>
              <w:left w:val="double" w:sz="4" w:space="0" w:color="auto"/>
            </w:tcBorders>
            <w:shd w:val="clear" w:color="auto" w:fill="auto"/>
            <w:noWrap/>
            <w:vAlign w:val="center"/>
          </w:tcPr>
          <w:p w14:paraId="273CE39D" w14:textId="77777777" w:rsidR="00222560" w:rsidRPr="00222560" w:rsidRDefault="00222560" w:rsidP="00456E56">
            <w:pPr>
              <w:rPr>
                <w:rFonts w:eastAsia="Times New Roman" w:cs="Times New Roman"/>
                <w:color w:val="000000"/>
                <w:sz w:val="20"/>
                <w:szCs w:val="20"/>
              </w:rPr>
            </w:pPr>
            <w:r w:rsidRPr="00222560">
              <w:rPr>
                <w:rFonts w:eastAsia="Times New Roman" w:cs="Times New Roman"/>
                <w:color w:val="000000"/>
                <w:sz w:val="20"/>
                <w:szCs w:val="20"/>
              </w:rPr>
              <w:t>Non-urban residence and do not walk at all</w:t>
            </w:r>
          </w:p>
        </w:tc>
        <w:tc>
          <w:tcPr>
            <w:tcW w:w="345" w:type="pct"/>
            <w:tcBorders>
              <w:right w:val="double" w:sz="4" w:space="0" w:color="auto"/>
            </w:tcBorders>
            <w:shd w:val="clear" w:color="auto" w:fill="auto"/>
            <w:vAlign w:val="center"/>
          </w:tcPr>
          <w:p w14:paraId="65F4CD75" w14:textId="77777777" w:rsidR="00222560" w:rsidRPr="00222560" w:rsidRDefault="00222560" w:rsidP="00456E56">
            <w:pPr>
              <w:jc w:val="center"/>
              <w:rPr>
                <w:rFonts w:eastAsia="Times New Roman" w:cs="Times New Roman"/>
                <w:color w:val="000000"/>
                <w:sz w:val="20"/>
                <w:szCs w:val="20"/>
              </w:rPr>
            </w:pPr>
            <w:r w:rsidRPr="00222560">
              <w:rPr>
                <w:rFonts w:eastAsia="Times New Roman" w:cs="Times New Roman"/>
                <w:color w:val="000000"/>
                <w:sz w:val="20"/>
                <w:szCs w:val="20"/>
              </w:rPr>
              <w:t>57</w:t>
            </w:r>
          </w:p>
        </w:tc>
        <w:tc>
          <w:tcPr>
            <w:tcW w:w="656" w:type="pct"/>
            <w:tcBorders>
              <w:left w:val="double" w:sz="4" w:space="0" w:color="auto"/>
            </w:tcBorders>
            <w:vAlign w:val="center"/>
          </w:tcPr>
          <w:p w14:paraId="7B7AF005" w14:textId="77777777" w:rsidR="00222560" w:rsidRPr="00222560" w:rsidRDefault="00222560" w:rsidP="00456E56">
            <w:pPr>
              <w:jc w:val="center"/>
              <w:rPr>
                <w:rFonts w:eastAsia="Calibri" w:cs="Times New Roman"/>
                <w:sz w:val="20"/>
                <w:szCs w:val="20"/>
              </w:rPr>
            </w:pPr>
            <w:r w:rsidRPr="00222560">
              <w:rPr>
                <w:rFonts w:eastAsia="Calibri" w:cs="Times New Roman"/>
                <w:sz w:val="20"/>
                <w:szCs w:val="20"/>
              </w:rPr>
              <w:t>48.48</w:t>
            </w:r>
          </w:p>
        </w:tc>
        <w:tc>
          <w:tcPr>
            <w:tcW w:w="657" w:type="pct"/>
            <w:vAlign w:val="center"/>
          </w:tcPr>
          <w:p w14:paraId="3656ECF3" w14:textId="77777777" w:rsidR="00222560" w:rsidRPr="00222560" w:rsidRDefault="00222560" w:rsidP="00456E56">
            <w:pPr>
              <w:jc w:val="center"/>
              <w:rPr>
                <w:rFonts w:eastAsia="Calibri" w:cs="Times New Roman"/>
                <w:sz w:val="20"/>
                <w:szCs w:val="20"/>
              </w:rPr>
            </w:pPr>
            <w:r w:rsidRPr="00222560">
              <w:rPr>
                <w:rFonts w:eastAsia="Calibri" w:cs="Times New Roman"/>
                <w:sz w:val="20"/>
                <w:szCs w:val="20"/>
              </w:rPr>
              <w:t>48.34</w:t>
            </w:r>
          </w:p>
        </w:tc>
        <w:tc>
          <w:tcPr>
            <w:tcW w:w="656" w:type="pct"/>
            <w:vAlign w:val="center"/>
          </w:tcPr>
          <w:p w14:paraId="3FCCE6F1" w14:textId="77777777" w:rsidR="00222560" w:rsidRPr="00222560" w:rsidRDefault="00222560" w:rsidP="00456E56">
            <w:pPr>
              <w:jc w:val="center"/>
              <w:rPr>
                <w:rFonts w:eastAsia="Calibri" w:cs="Times New Roman"/>
                <w:sz w:val="20"/>
                <w:szCs w:val="20"/>
              </w:rPr>
            </w:pPr>
            <w:r w:rsidRPr="00222560">
              <w:rPr>
                <w:rFonts w:eastAsia="Calibri" w:cs="Times New Roman"/>
                <w:sz w:val="20"/>
                <w:szCs w:val="20"/>
              </w:rPr>
              <w:t>53.04</w:t>
            </w:r>
          </w:p>
        </w:tc>
        <w:tc>
          <w:tcPr>
            <w:tcW w:w="724" w:type="pct"/>
            <w:vAlign w:val="center"/>
          </w:tcPr>
          <w:p w14:paraId="32C47C06" w14:textId="77777777" w:rsidR="00222560" w:rsidRPr="00222560" w:rsidRDefault="00222560" w:rsidP="00456E56">
            <w:pPr>
              <w:jc w:val="center"/>
              <w:rPr>
                <w:rFonts w:eastAsia="Calibri" w:cs="Times New Roman"/>
                <w:sz w:val="20"/>
                <w:szCs w:val="20"/>
              </w:rPr>
            </w:pPr>
            <w:r w:rsidRPr="00222560">
              <w:rPr>
                <w:rFonts w:eastAsia="Times New Roman" w:cs="Times New Roman"/>
                <w:color w:val="000000"/>
                <w:sz w:val="20"/>
                <w:szCs w:val="20"/>
              </w:rPr>
              <w:t>56.16</w:t>
            </w:r>
          </w:p>
        </w:tc>
      </w:tr>
      <w:tr w:rsidR="00222560" w:rsidRPr="00222560" w14:paraId="2F3FFF14" w14:textId="77777777" w:rsidTr="00456E56">
        <w:trPr>
          <w:trHeight w:val="317"/>
        </w:trPr>
        <w:tc>
          <w:tcPr>
            <w:tcW w:w="511" w:type="pct"/>
            <w:vMerge/>
            <w:tcBorders>
              <w:top w:val="single" w:sz="4" w:space="0" w:color="auto"/>
              <w:bottom w:val="double" w:sz="4" w:space="0" w:color="auto"/>
              <w:right w:val="double" w:sz="4" w:space="0" w:color="auto"/>
            </w:tcBorders>
          </w:tcPr>
          <w:p w14:paraId="69D6680E" w14:textId="77777777" w:rsidR="00222560" w:rsidRPr="00222560" w:rsidRDefault="00222560" w:rsidP="00456E56">
            <w:pPr>
              <w:rPr>
                <w:rFonts w:eastAsia="Times New Roman" w:cs="Times New Roman"/>
                <w:b/>
                <w:bCs/>
                <w:color w:val="000000"/>
                <w:sz w:val="20"/>
                <w:szCs w:val="20"/>
              </w:rPr>
            </w:pPr>
          </w:p>
        </w:tc>
        <w:tc>
          <w:tcPr>
            <w:tcW w:w="1451" w:type="pct"/>
            <w:tcBorders>
              <w:left w:val="double" w:sz="4" w:space="0" w:color="auto"/>
            </w:tcBorders>
            <w:shd w:val="clear" w:color="auto" w:fill="auto"/>
            <w:noWrap/>
            <w:vAlign w:val="center"/>
          </w:tcPr>
          <w:p w14:paraId="6162CD35" w14:textId="77777777" w:rsidR="00222560" w:rsidRPr="00222560" w:rsidRDefault="00222560" w:rsidP="00456E56">
            <w:pPr>
              <w:rPr>
                <w:rFonts w:eastAsia="Times New Roman" w:cs="Times New Roman"/>
                <w:color w:val="000000"/>
                <w:sz w:val="20"/>
                <w:szCs w:val="20"/>
              </w:rPr>
            </w:pPr>
            <w:r w:rsidRPr="00222560">
              <w:rPr>
                <w:rFonts w:eastAsia="Times New Roman" w:cs="Times New Roman"/>
                <w:color w:val="000000"/>
                <w:sz w:val="20"/>
                <w:szCs w:val="20"/>
              </w:rPr>
              <w:t>Non-urban residence/walk 1-2 days a week</w:t>
            </w:r>
          </w:p>
        </w:tc>
        <w:tc>
          <w:tcPr>
            <w:tcW w:w="345" w:type="pct"/>
            <w:tcBorders>
              <w:right w:val="double" w:sz="4" w:space="0" w:color="auto"/>
            </w:tcBorders>
            <w:shd w:val="clear" w:color="auto" w:fill="auto"/>
            <w:vAlign w:val="center"/>
          </w:tcPr>
          <w:p w14:paraId="26674837" w14:textId="77777777" w:rsidR="00222560" w:rsidRPr="00222560" w:rsidRDefault="00222560" w:rsidP="00456E56">
            <w:pPr>
              <w:jc w:val="center"/>
              <w:rPr>
                <w:rFonts w:eastAsia="Times New Roman" w:cs="Times New Roman"/>
                <w:color w:val="000000"/>
                <w:sz w:val="20"/>
                <w:szCs w:val="20"/>
              </w:rPr>
            </w:pPr>
            <w:r w:rsidRPr="00222560">
              <w:rPr>
                <w:rFonts w:eastAsia="Times New Roman" w:cs="Times New Roman"/>
                <w:color w:val="000000"/>
                <w:sz w:val="20"/>
                <w:szCs w:val="20"/>
              </w:rPr>
              <w:t>36</w:t>
            </w:r>
          </w:p>
        </w:tc>
        <w:tc>
          <w:tcPr>
            <w:tcW w:w="656" w:type="pct"/>
            <w:tcBorders>
              <w:left w:val="double" w:sz="4" w:space="0" w:color="auto"/>
            </w:tcBorders>
            <w:vAlign w:val="center"/>
          </w:tcPr>
          <w:p w14:paraId="634A3747" w14:textId="77777777" w:rsidR="00222560" w:rsidRPr="00222560" w:rsidRDefault="00222560" w:rsidP="00456E56">
            <w:pPr>
              <w:jc w:val="center"/>
              <w:rPr>
                <w:rFonts w:eastAsia="Calibri" w:cs="Times New Roman"/>
                <w:sz w:val="20"/>
                <w:szCs w:val="20"/>
              </w:rPr>
            </w:pPr>
            <w:r w:rsidRPr="00222560">
              <w:rPr>
                <w:rFonts w:eastAsia="Calibri" w:cs="Times New Roman"/>
                <w:sz w:val="20"/>
                <w:szCs w:val="20"/>
              </w:rPr>
              <w:t>41.11</w:t>
            </w:r>
          </w:p>
        </w:tc>
        <w:tc>
          <w:tcPr>
            <w:tcW w:w="657" w:type="pct"/>
            <w:vAlign w:val="center"/>
          </w:tcPr>
          <w:p w14:paraId="31377BB5" w14:textId="77777777" w:rsidR="00222560" w:rsidRPr="00222560" w:rsidRDefault="00222560" w:rsidP="00456E56">
            <w:pPr>
              <w:jc w:val="center"/>
              <w:rPr>
                <w:rFonts w:eastAsia="Calibri" w:cs="Times New Roman"/>
                <w:sz w:val="20"/>
                <w:szCs w:val="20"/>
              </w:rPr>
            </w:pPr>
            <w:r w:rsidRPr="00222560">
              <w:rPr>
                <w:rFonts w:eastAsia="Calibri" w:cs="Times New Roman"/>
                <w:sz w:val="20"/>
                <w:szCs w:val="20"/>
              </w:rPr>
              <w:t>41.51</w:t>
            </w:r>
          </w:p>
        </w:tc>
        <w:tc>
          <w:tcPr>
            <w:tcW w:w="656" w:type="pct"/>
            <w:vAlign w:val="center"/>
          </w:tcPr>
          <w:p w14:paraId="38918B39" w14:textId="77777777" w:rsidR="00222560" w:rsidRPr="00222560" w:rsidRDefault="00222560" w:rsidP="00456E56">
            <w:pPr>
              <w:jc w:val="center"/>
              <w:rPr>
                <w:rFonts w:eastAsia="Calibri" w:cs="Times New Roman"/>
                <w:sz w:val="20"/>
                <w:szCs w:val="20"/>
              </w:rPr>
            </w:pPr>
            <w:r w:rsidRPr="00222560">
              <w:rPr>
                <w:rFonts w:eastAsia="Calibri" w:cs="Times New Roman"/>
                <w:sz w:val="20"/>
                <w:szCs w:val="20"/>
              </w:rPr>
              <w:t>40.89</w:t>
            </w:r>
          </w:p>
        </w:tc>
        <w:tc>
          <w:tcPr>
            <w:tcW w:w="724" w:type="pct"/>
            <w:vAlign w:val="center"/>
          </w:tcPr>
          <w:p w14:paraId="4296D396" w14:textId="77777777" w:rsidR="00222560" w:rsidRPr="00222560" w:rsidRDefault="00222560" w:rsidP="00456E56">
            <w:pPr>
              <w:jc w:val="center"/>
              <w:rPr>
                <w:rFonts w:eastAsia="Times New Roman" w:cs="Times New Roman"/>
                <w:color w:val="000000"/>
                <w:sz w:val="20"/>
                <w:szCs w:val="20"/>
              </w:rPr>
            </w:pPr>
            <w:r w:rsidRPr="00222560">
              <w:rPr>
                <w:rFonts w:eastAsia="Times New Roman" w:cs="Times New Roman"/>
                <w:color w:val="000000"/>
                <w:sz w:val="20"/>
                <w:szCs w:val="20"/>
              </w:rPr>
              <w:t>37.41</w:t>
            </w:r>
          </w:p>
        </w:tc>
      </w:tr>
      <w:tr w:rsidR="00222560" w:rsidRPr="00222560" w14:paraId="0F096EC7" w14:textId="77777777" w:rsidTr="00456E56">
        <w:trPr>
          <w:trHeight w:val="317"/>
        </w:trPr>
        <w:tc>
          <w:tcPr>
            <w:tcW w:w="511" w:type="pct"/>
            <w:vMerge/>
            <w:tcBorders>
              <w:top w:val="single" w:sz="4" w:space="0" w:color="auto"/>
              <w:bottom w:val="double" w:sz="4" w:space="0" w:color="auto"/>
              <w:right w:val="double" w:sz="4" w:space="0" w:color="auto"/>
            </w:tcBorders>
          </w:tcPr>
          <w:p w14:paraId="45297716" w14:textId="77777777" w:rsidR="00222560" w:rsidRPr="00222560" w:rsidRDefault="00222560" w:rsidP="00456E56">
            <w:pPr>
              <w:rPr>
                <w:rFonts w:eastAsia="Times New Roman" w:cs="Times New Roman"/>
                <w:b/>
                <w:bCs/>
                <w:color w:val="000000"/>
                <w:sz w:val="20"/>
                <w:szCs w:val="20"/>
              </w:rPr>
            </w:pPr>
          </w:p>
        </w:tc>
        <w:tc>
          <w:tcPr>
            <w:tcW w:w="1451" w:type="pct"/>
            <w:tcBorders>
              <w:left w:val="double" w:sz="4" w:space="0" w:color="auto"/>
            </w:tcBorders>
            <w:shd w:val="clear" w:color="auto" w:fill="auto"/>
            <w:noWrap/>
            <w:vAlign w:val="center"/>
          </w:tcPr>
          <w:p w14:paraId="62CA5225" w14:textId="77777777" w:rsidR="00222560" w:rsidRPr="00222560" w:rsidRDefault="00222560" w:rsidP="00456E56">
            <w:pPr>
              <w:rPr>
                <w:rFonts w:eastAsia="Times New Roman" w:cs="Times New Roman"/>
                <w:color w:val="000000"/>
                <w:sz w:val="20"/>
                <w:szCs w:val="20"/>
              </w:rPr>
            </w:pPr>
            <w:r w:rsidRPr="00222560">
              <w:rPr>
                <w:rFonts w:eastAsia="Times New Roman" w:cs="Times New Roman"/>
                <w:color w:val="000000"/>
                <w:sz w:val="20"/>
                <w:szCs w:val="20"/>
              </w:rPr>
              <w:t>Non-urban residence/walk 3-4 days a week</w:t>
            </w:r>
          </w:p>
        </w:tc>
        <w:tc>
          <w:tcPr>
            <w:tcW w:w="345" w:type="pct"/>
            <w:tcBorders>
              <w:right w:val="double" w:sz="4" w:space="0" w:color="auto"/>
            </w:tcBorders>
            <w:shd w:val="clear" w:color="auto" w:fill="auto"/>
            <w:vAlign w:val="center"/>
          </w:tcPr>
          <w:p w14:paraId="06BE3667" w14:textId="77777777" w:rsidR="00222560" w:rsidRPr="00222560" w:rsidRDefault="00222560" w:rsidP="00456E56">
            <w:pPr>
              <w:jc w:val="center"/>
              <w:rPr>
                <w:rFonts w:eastAsia="Times New Roman" w:cs="Times New Roman"/>
                <w:color w:val="000000"/>
                <w:sz w:val="20"/>
                <w:szCs w:val="20"/>
              </w:rPr>
            </w:pPr>
            <w:r w:rsidRPr="00222560">
              <w:rPr>
                <w:rFonts w:eastAsia="Times New Roman" w:cs="Times New Roman"/>
                <w:color w:val="000000"/>
                <w:sz w:val="20"/>
                <w:szCs w:val="20"/>
              </w:rPr>
              <w:t>56</w:t>
            </w:r>
          </w:p>
        </w:tc>
        <w:tc>
          <w:tcPr>
            <w:tcW w:w="656" w:type="pct"/>
            <w:tcBorders>
              <w:left w:val="double" w:sz="4" w:space="0" w:color="auto"/>
            </w:tcBorders>
            <w:vAlign w:val="center"/>
          </w:tcPr>
          <w:p w14:paraId="4A39C28B" w14:textId="77777777" w:rsidR="00222560" w:rsidRPr="00222560" w:rsidRDefault="00222560" w:rsidP="00456E56">
            <w:pPr>
              <w:jc w:val="center"/>
              <w:rPr>
                <w:rFonts w:eastAsia="Calibri" w:cs="Times New Roman"/>
                <w:sz w:val="20"/>
                <w:szCs w:val="20"/>
              </w:rPr>
            </w:pPr>
            <w:r w:rsidRPr="00222560">
              <w:rPr>
                <w:rFonts w:eastAsia="Calibri" w:cs="Times New Roman"/>
                <w:sz w:val="20"/>
                <w:szCs w:val="20"/>
              </w:rPr>
              <w:t>64.35</w:t>
            </w:r>
          </w:p>
        </w:tc>
        <w:tc>
          <w:tcPr>
            <w:tcW w:w="657" w:type="pct"/>
            <w:vAlign w:val="center"/>
          </w:tcPr>
          <w:p w14:paraId="24E92005" w14:textId="77777777" w:rsidR="00222560" w:rsidRPr="00222560" w:rsidRDefault="00222560" w:rsidP="00456E56">
            <w:pPr>
              <w:jc w:val="center"/>
              <w:rPr>
                <w:rFonts w:eastAsia="Calibri" w:cs="Times New Roman"/>
                <w:sz w:val="20"/>
                <w:szCs w:val="20"/>
              </w:rPr>
            </w:pPr>
            <w:r w:rsidRPr="00222560">
              <w:rPr>
                <w:rFonts w:eastAsia="Calibri" w:cs="Times New Roman"/>
                <w:sz w:val="20"/>
                <w:szCs w:val="20"/>
              </w:rPr>
              <w:t>64.93</w:t>
            </w:r>
          </w:p>
        </w:tc>
        <w:tc>
          <w:tcPr>
            <w:tcW w:w="656" w:type="pct"/>
            <w:vAlign w:val="center"/>
          </w:tcPr>
          <w:p w14:paraId="1E7E2B46" w14:textId="77777777" w:rsidR="00222560" w:rsidRPr="00222560" w:rsidRDefault="00222560" w:rsidP="00456E56">
            <w:pPr>
              <w:jc w:val="center"/>
              <w:rPr>
                <w:rFonts w:eastAsia="Calibri" w:cs="Times New Roman"/>
                <w:sz w:val="20"/>
                <w:szCs w:val="20"/>
              </w:rPr>
            </w:pPr>
            <w:r w:rsidRPr="00222560">
              <w:rPr>
                <w:rFonts w:eastAsia="Calibri" w:cs="Times New Roman"/>
                <w:sz w:val="20"/>
                <w:szCs w:val="20"/>
              </w:rPr>
              <w:t>61.44</w:t>
            </w:r>
          </w:p>
        </w:tc>
        <w:tc>
          <w:tcPr>
            <w:tcW w:w="724" w:type="pct"/>
            <w:vAlign w:val="center"/>
          </w:tcPr>
          <w:p w14:paraId="694ECC88" w14:textId="77777777" w:rsidR="00222560" w:rsidRPr="00222560" w:rsidRDefault="00222560" w:rsidP="00456E56">
            <w:pPr>
              <w:jc w:val="center"/>
              <w:rPr>
                <w:rFonts w:eastAsia="Times New Roman" w:cs="Times New Roman"/>
                <w:color w:val="000000"/>
                <w:sz w:val="20"/>
                <w:szCs w:val="20"/>
              </w:rPr>
            </w:pPr>
            <w:r w:rsidRPr="00222560">
              <w:rPr>
                <w:rFonts w:eastAsia="Times New Roman" w:cs="Times New Roman"/>
                <w:color w:val="000000"/>
                <w:sz w:val="20"/>
                <w:szCs w:val="20"/>
              </w:rPr>
              <w:t>55.63</w:t>
            </w:r>
          </w:p>
        </w:tc>
      </w:tr>
      <w:tr w:rsidR="00222560" w:rsidRPr="00222560" w14:paraId="64C6EA78" w14:textId="77777777" w:rsidTr="00456E56">
        <w:trPr>
          <w:trHeight w:val="317"/>
        </w:trPr>
        <w:tc>
          <w:tcPr>
            <w:tcW w:w="511" w:type="pct"/>
            <w:vMerge/>
            <w:tcBorders>
              <w:top w:val="single" w:sz="4" w:space="0" w:color="auto"/>
              <w:bottom w:val="double" w:sz="4" w:space="0" w:color="auto"/>
              <w:right w:val="double" w:sz="4" w:space="0" w:color="auto"/>
            </w:tcBorders>
          </w:tcPr>
          <w:p w14:paraId="77EB74F2" w14:textId="77777777" w:rsidR="00222560" w:rsidRPr="00222560" w:rsidRDefault="00222560" w:rsidP="00456E56">
            <w:pPr>
              <w:rPr>
                <w:rFonts w:eastAsia="Times New Roman" w:cs="Times New Roman"/>
                <w:b/>
                <w:bCs/>
                <w:color w:val="000000"/>
                <w:sz w:val="20"/>
                <w:szCs w:val="20"/>
              </w:rPr>
            </w:pPr>
          </w:p>
        </w:tc>
        <w:tc>
          <w:tcPr>
            <w:tcW w:w="1451" w:type="pct"/>
            <w:tcBorders>
              <w:left w:val="double" w:sz="4" w:space="0" w:color="auto"/>
            </w:tcBorders>
            <w:shd w:val="clear" w:color="auto" w:fill="auto"/>
            <w:noWrap/>
            <w:vAlign w:val="center"/>
          </w:tcPr>
          <w:p w14:paraId="1EF27202" w14:textId="77777777" w:rsidR="00222560" w:rsidRPr="00222560" w:rsidRDefault="00222560" w:rsidP="00456E56">
            <w:pPr>
              <w:rPr>
                <w:rFonts w:eastAsia="Times New Roman" w:cs="Times New Roman"/>
                <w:color w:val="000000"/>
                <w:sz w:val="20"/>
                <w:szCs w:val="20"/>
              </w:rPr>
            </w:pPr>
            <w:r w:rsidRPr="00222560">
              <w:rPr>
                <w:rFonts w:eastAsia="Times New Roman" w:cs="Times New Roman"/>
                <w:color w:val="000000"/>
                <w:sz w:val="20"/>
                <w:szCs w:val="20"/>
              </w:rPr>
              <w:t>Non-urban residence/walk 5-6 days a week</w:t>
            </w:r>
          </w:p>
        </w:tc>
        <w:tc>
          <w:tcPr>
            <w:tcW w:w="345" w:type="pct"/>
            <w:tcBorders>
              <w:right w:val="double" w:sz="4" w:space="0" w:color="auto"/>
            </w:tcBorders>
            <w:shd w:val="clear" w:color="auto" w:fill="auto"/>
            <w:vAlign w:val="center"/>
          </w:tcPr>
          <w:p w14:paraId="560C8793" w14:textId="77777777" w:rsidR="00222560" w:rsidRPr="00222560" w:rsidRDefault="00222560" w:rsidP="00456E56">
            <w:pPr>
              <w:jc w:val="center"/>
              <w:rPr>
                <w:rFonts w:eastAsia="Times New Roman" w:cs="Times New Roman"/>
                <w:color w:val="000000"/>
                <w:sz w:val="20"/>
                <w:szCs w:val="20"/>
              </w:rPr>
            </w:pPr>
            <w:r w:rsidRPr="00222560">
              <w:rPr>
                <w:rFonts w:eastAsia="Times New Roman" w:cs="Times New Roman"/>
                <w:color w:val="000000"/>
                <w:sz w:val="20"/>
                <w:szCs w:val="20"/>
              </w:rPr>
              <w:t>45</w:t>
            </w:r>
          </w:p>
        </w:tc>
        <w:tc>
          <w:tcPr>
            <w:tcW w:w="656" w:type="pct"/>
            <w:tcBorders>
              <w:left w:val="double" w:sz="4" w:space="0" w:color="auto"/>
            </w:tcBorders>
            <w:vAlign w:val="center"/>
          </w:tcPr>
          <w:p w14:paraId="39B9EBDE" w14:textId="77777777" w:rsidR="00222560" w:rsidRPr="00222560" w:rsidRDefault="00222560" w:rsidP="00456E56">
            <w:pPr>
              <w:jc w:val="center"/>
              <w:rPr>
                <w:rFonts w:eastAsia="Calibri" w:cs="Times New Roman"/>
                <w:sz w:val="20"/>
                <w:szCs w:val="20"/>
              </w:rPr>
            </w:pPr>
            <w:r w:rsidRPr="00222560">
              <w:rPr>
                <w:rFonts w:eastAsia="Calibri" w:cs="Times New Roman"/>
                <w:sz w:val="20"/>
                <w:szCs w:val="20"/>
              </w:rPr>
              <w:t>45.90</w:t>
            </w:r>
          </w:p>
        </w:tc>
        <w:tc>
          <w:tcPr>
            <w:tcW w:w="657" w:type="pct"/>
            <w:vAlign w:val="center"/>
          </w:tcPr>
          <w:p w14:paraId="2C9A78D8" w14:textId="77777777" w:rsidR="00222560" w:rsidRPr="00222560" w:rsidRDefault="00222560" w:rsidP="00456E56">
            <w:pPr>
              <w:jc w:val="center"/>
              <w:rPr>
                <w:rFonts w:eastAsia="Calibri" w:cs="Times New Roman"/>
                <w:sz w:val="20"/>
                <w:szCs w:val="20"/>
              </w:rPr>
            </w:pPr>
            <w:r w:rsidRPr="00222560">
              <w:rPr>
                <w:rFonts w:eastAsia="Calibri" w:cs="Times New Roman"/>
                <w:sz w:val="20"/>
                <w:szCs w:val="20"/>
              </w:rPr>
              <w:t>46.04</w:t>
            </w:r>
          </w:p>
        </w:tc>
        <w:tc>
          <w:tcPr>
            <w:tcW w:w="656" w:type="pct"/>
            <w:vAlign w:val="center"/>
          </w:tcPr>
          <w:p w14:paraId="3D1ABE1A" w14:textId="77777777" w:rsidR="00222560" w:rsidRPr="00222560" w:rsidRDefault="00222560" w:rsidP="00456E56">
            <w:pPr>
              <w:jc w:val="center"/>
              <w:rPr>
                <w:rFonts w:eastAsia="Calibri" w:cs="Times New Roman"/>
                <w:sz w:val="20"/>
                <w:szCs w:val="20"/>
              </w:rPr>
            </w:pPr>
            <w:r w:rsidRPr="00222560">
              <w:rPr>
                <w:rFonts w:eastAsia="Calibri" w:cs="Times New Roman"/>
                <w:sz w:val="20"/>
                <w:szCs w:val="20"/>
              </w:rPr>
              <w:t>44.39</w:t>
            </w:r>
          </w:p>
        </w:tc>
        <w:tc>
          <w:tcPr>
            <w:tcW w:w="724" w:type="pct"/>
            <w:vAlign w:val="center"/>
          </w:tcPr>
          <w:p w14:paraId="45FBB7CC" w14:textId="77777777" w:rsidR="00222560" w:rsidRPr="00222560" w:rsidRDefault="00222560" w:rsidP="00456E56">
            <w:pPr>
              <w:jc w:val="center"/>
              <w:rPr>
                <w:rFonts w:eastAsia="Times New Roman" w:cs="Times New Roman"/>
                <w:color w:val="000000"/>
                <w:sz w:val="20"/>
                <w:szCs w:val="20"/>
              </w:rPr>
            </w:pPr>
            <w:r w:rsidRPr="00222560">
              <w:rPr>
                <w:rFonts w:eastAsia="Times New Roman" w:cs="Times New Roman"/>
                <w:color w:val="000000"/>
                <w:sz w:val="20"/>
                <w:szCs w:val="20"/>
              </w:rPr>
              <w:t>44.61</w:t>
            </w:r>
          </w:p>
        </w:tc>
      </w:tr>
      <w:tr w:rsidR="00222560" w:rsidRPr="00222560" w14:paraId="52883BBF" w14:textId="77777777" w:rsidTr="00456E56">
        <w:trPr>
          <w:trHeight w:val="317"/>
        </w:trPr>
        <w:tc>
          <w:tcPr>
            <w:tcW w:w="511" w:type="pct"/>
            <w:vMerge/>
            <w:tcBorders>
              <w:top w:val="single" w:sz="4" w:space="0" w:color="auto"/>
              <w:bottom w:val="double" w:sz="4" w:space="0" w:color="auto"/>
              <w:right w:val="double" w:sz="4" w:space="0" w:color="auto"/>
            </w:tcBorders>
          </w:tcPr>
          <w:p w14:paraId="3E1DE3DF" w14:textId="77777777" w:rsidR="00222560" w:rsidRPr="00222560" w:rsidRDefault="00222560" w:rsidP="00456E56">
            <w:pPr>
              <w:rPr>
                <w:rFonts w:eastAsia="Times New Roman" w:cs="Times New Roman"/>
                <w:b/>
                <w:bCs/>
                <w:color w:val="000000"/>
                <w:sz w:val="20"/>
                <w:szCs w:val="20"/>
              </w:rPr>
            </w:pPr>
          </w:p>
        </w:tc>
        <w:tc>
          <w:tcPr>
            <w:tcW w:w="1451" w:type="pct"/>
            <w:tcBorders>
              <w:left w:val="double" w:sz="4" w:space="0" w:color="auto"/>
            </w:tcBorders>
            <w:shd w:val="clear" w:color="auto" w:fill="auto"/>
            <w:noWrap/>
            <w:vAlign w:val="center"/>
          </w:tcPr>
          <w:p w14:paraId="1BBBB988" w14:textId="77777777" w:rsidR="00222560" w:rsidRPr="00222560" w:rsidRDefault="00222560" w:rsidP="00456E56">
            <w:pPr>
              <w:rPr>
                <w:rFonts w:eastAsia="Times New Roman" w:cs="Times New Roman"/>
                <w:color w:val="000000"/>
                <w:sz w:val="20"/>
                <w:szCs w:val="20"/>
              </w:rPr>
            </w:pPr>
            <w:r w:rsidRPr="00222560">
              <w:rPr>
                <w:rFonts w:eastAsia="Times New Roman" w:cs="Times New Roman"/>
                <w:color w:val="000000"/>
                <w:sz w:val="20"/>
                <w:szCs w:val="20"/>
              </w:rPr>
              <w:t>Non-urban residence/walk 7 days a week</w:t>
            </w:r>
          </w:p>
        </w:tc>
        <w:tc>
          <w:tcPr>
            <w:tcW w:w="345" w:type="pct"/>
            <w:tcBorders>
              <w:right w:val="double" w:sz="4" w:space="0" w:color="auto"/>
            </w:tcBorders>
            <w:shd w:val="clear" w:color="auto" w:fill="auto"/>
            <w:vAlign w:val="center"/>
          </w:tcPr>
          <w:p w14:paraId="0BC94FE1" w14:textId="77777777" w:rsidR="00222560" w:rsidRPr="00222560" w:rsidRDefault="00222560" w:rsidP="00456E56">
            <w:pPr>
              <w:jc w:val="center"/>
              <w:rPr>
                <w:rFonts w:eastAsia="Times New Roman" w:cs="Times New Roman"/>
                <w:color w:val="000000"/>
                <w:sz w:val="20"/>
                <w:szCs w:val="20"/>
              </w:rPr>
            </w:pPr>
            <w:r w:rsidRPr="00222560">
              <w:rPr>
                <w:rFonts w:eastAsia="Times New Roman" w:cs="Times New Roman"/>
                <w:color w:val="000000"/>
                <w:sz w:val="20"/>
                <w:szCs w:val="20"/>
              </w:rPr>
              <w:t>36</w:t>
            </w:r>
          </w:p>
        </w:tc>
        <w:tc>
          <w:tcPr>
            <w:tcW w:w="656" w:type="pct"/>
            <w:tcBorders>
              <w:left w:val="double" w:sz="4" w:space="0" w:color="auto"/>
            </w:tcBorders>
            <w:vAlign w:val="center"/>
          </w:tcPr>
          <w:p w14:paraId="450A2A6D" w14:textId="77777777" w:rsidR="00222560" w:rsidRPr="00222560" w:rsidRDefault="00222560" w:rsidP="00456E56">
            <w:pPr>
              <w:jc w:val="center"/>
              <w:rPr>
                <w:rFonts w:eastAsia="Calibri" w:cs="Times New Roman"/>
                <w:sz w:val="20"/>
                <w:szCs w:val="20"/>
              </w:rPr>
            </w:pPr>
            <w:r w:rsidRPr="00222560">
              <w:rPr>
                <w:rFonts w:eastAsia="Calibri" w:cs="Times New Roman"/>
                <w:sz w:val="20"/>
                <w:szCs w:val="20"/>
              </w:rPr>
              <w:t>30.26</w:t>
            </w:r>
          </w:p>
        </w:tc>
        <w:tc>
          <w:tcPr>
            <w:tcW w:w="657" w:type="pct"/>
            <w:vAlign w:val="center"/>
          </w:tcPr>
          <w:p w14:paraId="320A8093" w14:textId="77777777" w:rsidR="00222560" w:rsidRPr="00222560" w:rsidRDefault="00222560" w:rsidP="00456E56">
            <w:pPr>
              <w:jc w:val="center"/>
              <w:rPr>
                <w:rFonts w:eastAsia="Calibri" w:cs="Times New Roman"/>
                <w:sz w:val="20"/>
                <w:szCs w:val="20"/>
              </w:rPr>
            </w:pPr>
            <w:r w:rsidRPr="00222560">
              <w:rPr>
                <w:rFonts w:eastAsia="Calibri" w:cs="Times New Roman"/>
                <w:sz w:val="20"/>
                <w:szCs w:val="20"/>
              </w:rPr>
              <w:t>30.04</w:t>
            </w:r>
          </w:p>
        </w:tc>
        <w:tc>
          <w:tcPr>
            <w:tcW w:w="656" w:type="pct"/>
            <w:vAlign w:val="center"/>
          </w:tcPr>
          <w:p w14:paraId="57F34D3C" w14:textId="77777777" w:rsidR="00222560" w:rsidRPr="00222560" w:rsidRDefault="00222560" w:rsidP="00456E56">
            <w:pPr>
              <w:jc w:val="center"/>
              <w:rPr>
                <w:rFonts w:eastAsia="Calibri" w:cs="Times New Roman"/>
                <w:sz w:val="20"/>
                <w:szCs w:val="20"/>
              </w:rPr>
            </w:pPr>
            <w:r w:rsidRPr="00222560">
              <w:rPr>
                <w:rFonts w:eastAsia="Calibri" w:cs="Times New Roman"/>
                <w:sz w:val="20"/>
                <w:szCs w:val="20"/>
              </w:rPr>
              <w:t>30.33</w:t>
            </w:r>
          </w:p>
        </w:tc>
        <w:tc>
          <w:tcPr>
            <w:tcW w:w="724" w:type="pct"/>
            <w:vAlign w:val="center"/>
          </w:tcPr>
          <w:p w14:paraId="2BE6DBBA" w14:textId="77777777" w:rsidR="00222560" w:rsidRPr="00222560" w:rsidRDefault="00222560" w:rsidP="00456E56">
            <w:pPr>
              <w:jc w:val="center"/>
              <w:rPr>
                <w:rFonts w:eastAsia="Times New Roman" w:cs="Times New Roman"/>
                <w:color w:val="000000"/>
                <w:sz w:val="20"/>
                <w:szCs w:val="20"/>
              </w:rPr>
            </w:pPr>
            <w:r w:rsidRPr="00222560">
              <w:rPr>
                <w:rFonts w:eastAsia="Times New Roman" w:cs="Times New Roman"/>
                <w:color w:val="000000"/>
                <w:sz w:val="20"/>
                <w:szCs w:val="20"/>
              </w:rPr>
              <w:t>36.82</w:t>
            </w:r>
          </w:p>
        </w:tc>
      </w:tr>
      <w:tr w:rsidR="00222560" w:rsidRPr="00222560" w14:paraId="210632B4" w14:textId="77777777" w:rsidTr="00456E56">
        <w:trPr>
          <w:trHeight w:val="317"/>
        </w:trPr>
        <w:tc>
          <w:tcPr>
            <w:tcW w:w="511" w:type="pct"/>
            <w:vMerge/>
            <w:tcBorders>
              <w:top w:val="single" w:sz="4" w:space="0" w:color="auto"/>
              <w:bottom w:val="double" w:sz="4" w:space="0" w:color="auto"/>
              <w:right w:val="double" w:sz="4" w:space="0" w:color="auto"/>
            </w:tcBorders>
          </w:tcPr>
          <w:p w14:paraId="4F68EBAC" w14:textId="77777777" w:rsidR="00222560" w:rsidRPr="00222560" w:rsidRDefault="00222560" w:rsidP="00456E56">
            <w:pPr>
              <w:rPr>
                <w:rFonts w:eastAsia="Times New Roman" w:cs="Times New Roman"/>
                <w:b/>
                <w:bCs/>
                <w:color w:val="000000"/>
                <w:sz w:val="20"/>
                <w:szCs w:val="20"/>
              </w:rPr>
            </w:pPr>
          </w:p>
        </w:tc>
        <w:tc>
          <w:tcPr>
            <w:tcW w:w="1451" w:type="pct"/>
            <w:tcBorders>
              <w:left w:val="double" w:sz="4" w:space="0" w:color="auto"/>
            </w:tcBorders>
            <w:shd w:val="clear" w:color="auto" w:fill="auto"/>
            <w:noWrap/>
            <w:vAlign w:val="center"/>
          </w:tcPr>
          <w:p w14:paraId="072604CC" w14:textId="77777777" w:rsidR="00222560" w:rsidRPr="00222560" w:rsidRDefault="00222560" w:rsidP="00456E56">
            <w:pPr>
              <w:rPr>
                <w:rFonts w:eastAsia="Times New Roman" w:cs="Times New Roman"/>
                <w:color w:val="000000"/>
                <w:sz w:val="20"/>
                <w:szCs w:val="20"/>
              </w:rPr>
            </w:pPr>
            <w:r w:rsidRPr="00222560">
              <w:rPr>
                <w:rFonts w:eastAsia="Times New Roman" w:cs="Times New Roman"/>
                <w:color w:val="000000"/>
                <w:sz w:val="20"/>
                <w:szCs w:val="20"/>
              </w:rPr>
              <w:t>Urban residence and do not walk at all</w:t>
            </w:r>
          </w:p>
        </w:tc>
        <w:tc>
          <w:tcPr>
            <w:tcW w:w="345" w:type="pct"/>
            <w:tcBorders>
              <w:right w:val="double" w:sz="4" w:space="0" w:color="auto"/>
            </w:tcBorders>
            <w:shd w:val="clear" w:color="auto" w:fill="auto"/>
            <w:vAlign w:val="center"/>
          </w:tcPr>
          <w:p w14:paraId="5892BB62" w14:textId="77777777" w:rsidR="00222560" w:rsidRPr="00222560" w:rsidRDefault="00222560" w:rsidP="00456E56">
            <w:pPr>
              <w:jc w:val="center"/>
              <w:rPr>
                <w:rFonts w:eastAsia="Times New Roman" w:cs="Times New Roman"/>
                <w:color w:val="000000"/>
                <w:sz w:val="20"/>
                <w:szCs w:val="20"/>
              </w:rPr>
            </w:pPr>
            <w:r w:rsidRPr="00222560">
              <w:rPr>
                <w:rFonts w:eastAsia="Times New Roman" w:cs="Times New Roman"/>
                <w:color w:val="000000"/>
                <w:sz w:val="20"/>
                <w:szCs w:val="20"/>
              </w:rPr>
              <w:t>268</w:t>
            </w:r>
          </w:p>
        </w:tc>
        <w:tc>
          <w:tcPr>
            <w:tcW w:w="656" w:type="pct"/>
            <w:tcBorders>
              <w:left w:val="double" w:sz="4" w:space="0" w:color="auto"/>
            </w:tcBorders>
            <w:vAlign w:val="center"/>
          </w:tcPr>
          <w:p w14:paraId="102B7E10" w14:textId="77777777" w:rsidR="00222560" w:rsidRPr="00222560" w:rsidRDefault="00222560" w:rsidP="00456E56">
            <w:pPr>
              <w:jc w:val="center"/>
              <w:rPr>
                <w:rFonts w:eastAsia="Calibri" w:cs="Times New Roman"/>
                <w:sz w:val="20"/>
                <w:szCs w:val="20"/>
              </w:rPr>
            </w:pPr>
            <w:r w:rsidRPr="00222560">
              <w:rPr>
                <w:rFonts w:eastAsia="Calibri" w:cs="Times New Roman"/>
                <w:sz w:val="20"/>
                <w:szCs w:val="20"/>
              </w:rPr>
              <w:t>276.62</w:t>
            </w:r>
          </w:p>
        </w:tc>
        <w:tc>
          <w:tcPr>
            <w:tcW w:w="657" w:type="pct"/>
            <w:vAlign w:val="center"/>
          </w:tcPr>
          <w:p w14:paraId="6F8FEF05" w14:textId="77777777" w:rsidR="00222560" w:rsidRPr="00222560" w:rsidRDefault="00222560" w:rsidP="00456E56">
            <w:pPr>
              <w:jc w:val="center"/>
              <w:rPr>
                <w:rFonts w:eastAsia="Calibri" w:cs="Times New Roman"/>
                <w:sz w:val="20"/>
                <w:szCs w:val="20"/>
              </w:rPr>
            </w:pPr>
            <w:r w:rsidRPr="00222560">
              <w:rPr>
                <w:rFonts w:eastAsia="Calibri" w:cs="Times New Roman"/>
                <w:sz w:val="20"/>
                <w:szCs w:val="20"/>
              </w:rPr>
              <w:t>276.76</w:t>
            </w:r>
          </w:p>
        </w:tc>
        <w:tc>
          <w:tcPr>
            <w:tcW w:w="656" w:type="pct"/>
            <w:vAlign w:val="center"/>
          </w:tcPr>
          <w:p w14:paraId="7FD19065" w14:textId="77777777" w:rsidR="00222560" w:rsidRPr="00222560" w:rsidRDefault="00222560" w:rsidP="00456E56">
            <w:pPr>
              <w:jc w:val="center"/>
              <w:rPr>
                <w:rFonts w:eastAsia="Calibri" w:cs="Times New Roman"/>
                <w:sz w:val="20"/>
                <w:szCs w:val="20"/>
              </w:rPr>
            </w:pPr>
            <w:r w:rsidRPr="00222560">
              <w:rPr>
                <w:rFonts w:eastAsia="Calibri" w:cs="Times New Roman"/>
                <w:sz w:val="20"/>
                <w:szCs w:val="20"/>
              </w:rPr>
              <w:t>272.84</w:t>
            </w:r>
          </w:p>
        </w:tc>
        <w:tc>
          <w:tcPr>
            <w:tcW w:w="724" w:type="pct"/>
            <w:vAlign w:val="center"/>
          </w:tcPr>
          <w:p w14:paraId="259D5D04" w14:textId="77777777" w:rsidR="00222560" w:rsidRPr="00222560" w:rsidRDefault="00222560" w:rsidP="00456E56">
            <w:pPr>
              <w:jc w:val="center"/>
              <w:rPr>
                <w:rFonts w:eastAsia="Times New Roman" w:cs="Times New Roman"/>
                <w:color w:val="000000"/>
                <w:sz w:val="20"/>
                <w:szCs w:val="20"/>
              </w:rPr>
            </w:pPr>
            <w:r w:rsidRPr="00222560">
              <w:rPr>
                <w:rFonts w:eastAsia="Times New Roman" w:cs="Times New Roman"/>
                <w:color w:val="000000"/>
                <w:sz w:val="20"/>
                <w:szCs w:val="20"/>
              </w:rPr>
              <w:t>269.62</w:t>
            </w:r>
          </w:p>
        </w:tc>
      </w:tr>
      <w:tr w:rsidR="00222560" w:rsidRPr="00222560" w14:paraId="2F02E541" w14:textId="77777777" w:rsidTr="00456E56">
        <w:trPr>
          <w:trHeight w:val="317"/>
        </w:trPr>
        <w:tc>
          <w:tcPr>
            <w:tcW w:w="511" w:type="pct"/>
            <w:vMerge/>
            <w:tcBorders>
              <w:top w:val="single" w:sz="4" w:space="0" w:color="auto"/>
              <w:bottom w:val="double" w:sz="4" w:space="0" w:color="auto"/>
              <w:right w:val="double" w:sz="4" w:space="0" w:color="auto"/>
            </w:tcBorders>
          </w:tcPr>
          <w:p w14:paraId="05D3EB7A" w14:textId="77777777" w:rsidR="00222560" w:rsidRPr="00222560" w:rsidRDefault="00222560" w:rsidP="00456E56">
            <w:pPr>
              <w:rPr>
                <w:rFonts w:eastAsia="Times New Roman" w:cs="Times New Roman"/>
                <w:b/>
                <w:bCs/>
                <w:color w:val="000000"/>
                <w:sz w:val="20"/>
                <w:szCs w:val="20"/>
              </w:rPr>
            </w:pPr>
          </w:p>
        </w:tc>
        <w:tc>
          <w:tcPr>
            <w:tcW w:w="1451" w:type="pct"/>
            <w:tcBorders>
              <w:left w:val="double" w:sz="4" w:space="0" w:color="auto"/>
            </w:tcBorders>
            <w:shd w:val="clear" w:color="auto" w:fill="auto"/>
            <w:noWrap/>
            <w:vAlign w:val="center"/>
          </w:tcPr>
          <w:p w14:paraId="2DFD50C2" w14:textId="77777777" w:rsidR="00222560" w:rsidRPr="00222560" w:rsidRDefault="00222560" w:rsidP="00456E56">
            <w:pPr>
              <w:rPr>
                <w:rFonts w:eastAsia="Times New Roman" w:cs="Times New Roman"/>
                <w:color w:val="000000"/>
                <w:sz w:val="20"/>
                <w:szCs w:val="20"/>
              </w:rPr>
            </w:pPr>
            <w:r w:rsidRPr="00222560">
              <w:rPr>
                <w:rFonts w:eastAsia="Times New Roman" w:cs="Times New Roman"/>
                <w:color w:val="000000"/>
                <w:sz w:val="20"/>
                <w:szCs w:val="20"/>
              </w:rPr>
              <w:t>Urban residence/walk 1-2 days a week</w:t>
            </w:r>
          </w:p>
        </w:tc>
        <w:tc>
          <w:tcPr>
            <w:tcW w:w="345" w:type="pct"/>
            <w:tcBorders>
              <w:right w:val="double" w:sz="4" w:space="0" w:color="auto"/>
            </w:tcBorders>
            <w:shd w:val="clear" w:color="auto" w:fill="auto"/>
            <w:vAlign w:val="center"/>
          </w:tcPr>
          <w:p w14:paraId="6A0FE71C" w14:textId="77777777" w:rsidR="00222560" w:rsidRPr="00222560" w:rsidRDefault="00222560" w:rsidP="00456E56">
            <w:pPr>
              <w:jc w:val="center"/>
              <w:rPr>
                <w:rFonts w:eastAsia="Times New Roman" w:cs="Times New Roman"/>
                <w:color w:val="000000"/>
                <w:sz w:val="20"/>
                <w:szCs w:val="20"/>
              </w:rPr>
            </w:pPr>
            <w:r w:rsidRPr="00222560">
              <w:rPr>
                <w:rFonts w:eastAsia="Times New Roman" w:cs="Times New Roman"/>
                <w:color w:val="000000"/>
                <w:sz w:val="20"/>
                <w:szCs w:val="20"/>
              </w:rPr>
              <w:t>252</w:t>
            </w:r>
          </w:p>
        </w:tc>
        <w:tc>
          <w:tcPr>
            <w:tcW w:w="656" w:type="pct"/>
            <w:tcBorders>
              <w:left w:val="double" w:sz="4" w:space="0" w:color="auto"/>
            </w:tcBorders>
            <w:vAlign w:val="center"/>
          </w:tcPr>
          <w:p w14:paraId="7F2205B1" w14:textId="77777777" w:rsidR="00222560" w:rsidRPr="00222560" w:rsidRDefault="00222560" w:rsidP="00456E56">
            <w:pPr>
              <w:jc w:val="center"/>
              <w:rPr>
                <w:rFonts w:eastAsia="Calibri" w:cs="Times New Roman"/>
                <w:sz w:val="20"/>
                <w:szCs w:val="20"/>
              </w:rPr>
            </w:pPr>
            <w:r w:rsidRPr="00222560">
              <w:rPr>
                <w:rFonts w:eastAsia="Calibri" w:cs="Times New Roman"/>
                <w:sz w:val="20"/>
                <w:szCs w:val="20"/>
              </w:rPr>
              <w:t>248.64</w:t>
            </w:r>
          </w:p>
        </w:tc>
        <w:tc>
          <w:tcPr>
            <w:tcW w:w="657" w:type="pct"/>
            <w:vAlign w:val="center"/>
          </w:tcPr>
          <w:p w14:paraId="5741666A" w14:textId="77777777" w:rsidR="00222560" w:rsidRPr="00222560" w:rsidRDefault="00222560" w:rsidP="00456E56">
            <w:pPr>
              <w:jc w:val="center"/>
              <w:rPr>
                <w:rFonts w:eastAsia="Calibri" w:cs="Times New Roman"/>
                <w:sz w:val="20"/>
                <w:szCs w:val="20"/>
              </w:rPr>
            </w:pPr>
            <w:r w:rsidRPr="00222560">
              <w:rPr>
                <w:rFonts w:eastAsia="Calibri" w:cs="Times New Roman"/>
                <w:sz w:val="20"/>
                <w:szCs w:val="20"/>
              </w:rPr>
              <w:t>248.74</w:t>
            </w:r>
          </w:p>
        </w:tc>
        <w:tc>
          <w:tcPr>
            <w:tcW w:w="656" w:type="pct"/>
            <w:vAlign w:val="center"/>
          </w:tcPr>
          <w:p w14:paraId="0302C7F4" w14:textId="77777777" w:rsidR="00222560" w:rsidRPr="00222560" w:rsidRDefault="00222560" w:rsidP="00456E56">
            <w:pPr>
              <w:jc w:val="center"/>
              <w:rPr>
                <w:rFonts w:eastAsia="Calibri" w:cs="Times New Roman"/>
                <w:sz w:val="20"/>
                <w:szCs w:val="20"/>
              </w:rPr>
            </w:pPr>
            <w:r w:rsidRPr="00222560">
              <w:rPr>
                <w:rFonts w:eastAsia="Calibri" w:cs="Times New Roman"/>
                <w:sz w:val="20"/>
                <w:szCs w:val="20"/>
              </w:rPr>
              <w:t>246.90</w:t>
            </w:r>
          </w:p>
        </w:tc>
        <w:tc>
          <w:tcPr>
            <w:tcW w:w="724" w:type="pct"/>
            <w:vAlign w:val="center"/>
          </w:tcPr>
          <w:p w14:paraId="1CBD8E25" w14:textId="77777777" w:rsidR="00222560" w:rsidRPr="00222560" w:rsidRDefault="00222560" w:rsidP="00456E56">
            <w:pPr>
              <w:jc w:val="center"/>
              <w:rPr>
                <w:rFonts w:eastAsia="Times New Roman" w:cs="Times New Roman"/>
                <w:color w:val="000000"/>
                <w:sz w:val="20"/>
                <w:szCs w:val="20"/>
              </w:rPr>
            </w:pPr>
            <w:r w:rsidRPr="00222560">
              <w:rPr>
                <w:rFonts w:eastAsia="Times New Roman" w:cs="Times New Roman"/>
                <w:color w:val="000000"/>
                <w:sz w:val="20"/>
                <w:szCs w:val="20"/>
              </w:rPr>
              <w:t>251.05</w:t>
            </w:r>
          </w:p>
        </w:tc>
      </w:tr>
      <w:tr w:rsidR="00222560" w:rsidRPr="00222560" w14:paraId="2019C348" w14:textId="77777777" w:rsidTr="00456E56">
        <w:trPr>
          <w:trHeight w:val="317"/>
        </w:trPr>
        <w:tc>
          <w:tcPr>
            <w:tcW w:w="511" w:type="pct"/>
            <w:vMerge/>
            <w:tcBorders>
              <w:top w:val="single" w:sz="4" w:space="0" w:color="auto"/>
              <w:bottom w:val="double" w:sz="4" w:space="0" w:color="auto"/>
              <w:right w:val="double" w:sz="4" w:space="0" w:color="auto"/>
            </w:tcBorders>
          </w:tcPr>
          <w:p w14:paraId="1D21C7DB" w14:textId="77777777" w:rsidR="00222560" w:rsidRPr="00222560" w:rsidRDefault="00222560" w:rsidP="00456E56">
            <w:pPr>
              <w:rPr>
                <w:rFonts w:eastAsia="Times New Roman" w:cs="Times New Roman"/>
                <w:b/>
                <w:bCs/>
                <w:color w:val="000000"/>
                <w:sz w:val="20"/>
                <w:szCs w:val="20"/>
              </w:rPr>
            </w:pPr>
          </w:p>
        </w:tc>
        <w:tc>
          <w:tcPr>
            <w:tcW w:w="1451" w:type="pct"/>
            <w:tcBorders>
              <w:left w:val="double" w:sz="4" w:space="0" w:color="auto"/>
            </w:tcBorders>
            <w:shd w:val="clear" w:color="auto" w:fill="auto"/>
            <w:noWrap/>
            <w:vAlign w:val="center"/>
          </w:tcPr>
          <w:p w14:paraId="33FCDCD9" w14:textId="77777777" w:rsidR="00222560" w:rsidRPr="00222560" w:rsidRDefault="00222560" w:rsidP="00456E56">
            <w:pPr>
              <w:rPr>
                <w:rFonts w:eastAsia="Times New Roman" w:cs="Times New Roman"/>
                <w:color w:val="000000"/>
                <w:sz w:val="20"/>
                <w:szCs w:val="20"/>
              </w:rPr>
            </w:pPr>
            <w:r w:rsidRPr="00222560">
              <w:rPr>
                <w:rFonts w:eastAsia="Times New Roman" w:cs="Times New Roman"/>
                <w:color w:val="000000"/>
                <w:sz w:val="20"/>
                <w:szCs w:val="20"/>
              </w:rPr>
              <w:t>Urban residence/walk 3-4 days a week</w:t>
            </w:r>
          </w:p>
        </w:tc>
        <w:tc>
          <w:tcPr>
            <w:tcW w:w="345" w:type="pct"/>
            <w:tcBorders>
              <w:right w:val="double" w:sz="4" w:space="0" w:color="auto"/>
            </w:tcBorders>
            <w:shd w:val="clear" w:color="auto" w:fill="auto"/>
            <w:vAlign w:val="center"/>
          </w:tcPr>
          <w:p w14:paraId="06B144D5" w14:textId="77777777" w:rsidR="00222560" w:rsidRPr="00222560" w:rsidRDefault="00222560" w:rsidP="00456E56">
            <w:pPr>
              <w:jc w:val="center"/>
              <w:rPr>
                <w:rFonts w:eastAsia="Times New Roman" w:cs="Times New Roman"/>
                <w:color w:val="000000"/>
                <w:sz w:val="20"/>
                <w:szCs w:val="20"/>
              </w:rPr>
            </w:pPr>
            <w:r w:rsidRPr="00222560">
              <w:rPr>
                <w:rFonts w:eastAsia="Times New Roman" w:cs="Times New Roman"/>
                <w:color w:val="000000"/>
                <w:sz w:val="20"/>
                <w:szCs w:val="20"/>
              </w:rPr>
              <w:t>416</w:t>
            </w:r>
          </w:p>
        </w:tc>
        <w:tc>
          <w:tcPr>
            <w:tcW w:w="656" w:type="pct"/>
            <w:tcBorders>
              <w:left w:val="double" w:sz="4" w:space="0" w:color="auto"/>
            </w:tcBorders>
            <w:vAlign w:val="center"/>
          </w:tcPr>
          <w:p w14:paraId="59AA443E" w14:textId="77777777" w:rsidR="00222560" w:rsidRPr="00222560" w:rsidRDefault="00222560" w:rsidP="00456E56">
            <w:pPr>
              <w:jc w:val="center"/>
              <w:rPr>
                <w:rFonts w:eastAsia="Calibri" w:cs="Times New Roman"/>
                <w:sz w:val="20"/>
                <w:szCs w:val="20"/>
              </w:rPr>
            </w:pPr>
            <w:r w:rsidRPr="00222560">
              <w:rPr>
                <w:rFonts w:eastAsia="Calibri" w:cs="Times New Roman"/>
                <w:sz w:val="20"/>
                <w:szCs w:val="20"/>
              </w:rPr>
              <w:t>407.94</w:t>
            </w:r>
          </w:p>
        </w:tc>
        <w:tc>
          <w:tcPr>
            <w:tcW w:w="657" w:type="pct"/>
            <w:vAlign w:val="center"/>
          </w:tcPr>
          <w:p w14:paraId="7408E672" w14:textId="77777777" w:rsidR="00222560" w:rsidRPr="00222560" w:rsidRDefault="00222560" w:rsidP="00456E56">
            <w:pPr>
              <w:jc w:val="center"/>
              <w:rPr>
                <w:rFonts w:eastAsia="Calibri" w:cs="Times New Roman"/>
                <w:sz w:val="20"/>
                <w:szCs w:val="20"/>
              </w:rPr>
            </w:pPr>
            <w:r w:rsidRPr="00222560">
              <w:rPr>
                <w:rFonts w:eastAsia="Calibri" w:cs="Times New Roman"/>
                <w:sz w:val="20"/>
                <w:szCs w:val="20"/>
              </w:rPr>
              <w:t>407.43</w:t>
            </w:r>
          </w:p>
        </w:tc>
        <w:tc>
          <w:tcPr>
            <w:tcW w:w="656" w:type="pct"/>
            <w:vAlign w:val="center"/>
          </w:tcPr>
          <w:p w14:paraId="147DA126" w14:textId="77777777" w:rsidR="00222560" w:rsidRPr="00222560" w:rsidRDefault="00222560" w:rsidP="00456E56">
            <w:pPr>
              <w:jc w:val="center"/>
              <w:rPr>
                <w:rFonts w:eastAsia="Calibri" w:cs="Times New Roman"/>
                <w:sz w:val="20"/>
                <w:szCs w:val="20"/>
              </w:rPr>
            </w:pPr>
            <w:r w:rsidRPr="00222560">
              <w:rPr>
                <w:rFonts w:eastAsia="Calibri" w:cs="Times New Roman"/>
                <w:sz w:val="20"/>
                <w:szCs w:val="20"/>
              </w:rPr>
              <w:t>410.00</w:t>
            </w:r>
          </w:p>
        </w:tc>
        <w:tc>
          <w:tcPr>
            <w:tcW w:w="724" w:type="pct"/>
            <w:vAlign w:val="center"/>
          </w:tcPr>
          <w:p w14:paraId="329BDA7D" w14:textId="77777777" w:rsidR="00222560" w:rsidRPr="00222560" w:rsidRDefault="00222560" w:rsidP="00456E56">
            <w:pPr>
              <w:jc w:val="center"/>
              <w:rPr>
                <w:rFonts w:eastAsia="Times New Roman" w:cs="Times New Roman"/>
                <w:color w:val="000000"/>
                <w:sz w:val="20"/>
                <w:szCs w:val="20"/>
              </w:rPr>
            </w:pPr>
            <w:r w:rsidRPr="00222560">
              <w:rPr>
                <w:rFonts w:eastAsia="Times New Roman" w:cs="Times New Roman"/>
                <w:color w:val="000000"/>
                <w:sz w:val="20"/>
                <w:szCs w:val="20"/>
              </w:rPr>
              <w:t>415.94</w:t>
            </w:r>
          </w:p>
        </w:tc>
      </w:tr>
      <w:tr w:rsidR="00222560" w:rsidRPr="00222560" w14:paraId="58638063" w14:textId="77777777" w:rsidTr="00456E56">
        <w:trPr>
          <w:trHeight w:val="317"/>
        </w:trPr>
        <w:tc>
          <w:tcPr>
            <w:tcW w:w="511" w:type="pct"/>
            <w:vMerge/>
            <w:tcBorders>
              <w:top w:val="single" w:sz="4" w:space="0" w:color="auto"/>
              <w:bottom w:val="double" w:sz="4" w:space="0" w:color="auto"/>
              <w:right w:val="double" w:sz="4" w:space="0" w:color="auto"/>
            </w:tcBorders>
          </w:tcPr>
          <w:p w14:paraId="17655AC7" w14:textId="77777777" w:rsidR="00222560" w:rsidRPr="00222560" w:rsidRDefault="00222560" w:rsidP="00456E56">
            <w:pPr>
              <w:rPr>
                <w:rFonts w:eastAsia="Times New Roman" w:cs="Times New Roman"/>
                <w:b/>
                <w:bCs/>
                <w:color w:val="000000"/>
                <w:sz w:val="20"/>
                <w:szCs w:val="20"/>
              </w:rPr>
            </w:pPr>
          </w:p>
        </w:tc>
        <w:tc>
          <w:tcPr>
            <w:tcW w:w="1451" w:type="pct"/>
            <w:tcBorders>
              <w:left w:val="double" w:sz="4" w:space="0" w:color="auto"/>
            </w:tcBorders>
            <w:shd w:val="clear" w:color="auto" w:fill="auto"/>
            <w:noWrap/>
            <w:vAlign w:val="center"/>
          </w:tcPr>
          <w:p w14:paraId="265851EC" w14:textId="77777777" w:rsidR="00222560" w:rsidRPr="00222560" w:rsidRDefault="00222560" w:rsidP="00456E56">
            <w:pPr>
              <w:rPr>
                <w:rFonts w:eastAsia="Times New Roman" w:cs="Times New Roman"/>
                <w:color w:val="000000"/>
                <w:sz w:val="20"/>
                <w:szCs w:val="20"/>
              </w:rPr>
            </w:pPr>
            <w:r w:rsidRPr="00222560">
              <w:rPr>
                <w:rFonts w:eastAsia="Times New Roman" w:cs="Times New Roman"/>
                <w:color w:val="000000"/>
                <w:sz w:val="20"/>
                <w:szCs w:val="20"/>
              </w:rPr>
              <w:t>Urban residence/walk 5-6 days a week</w:t>
            </w:r>
          </w:p>
        </w:tc>
        <w:tc>
          <w:tcPr>
            <w:tcW w:w="345" w:type="pct"/>
            <w:tcBorders>
              <w:right w:val="double" w:sz="4" w:space="0" w:color="auto"/>
            </w:tcBorders>
            <w:shd w:val="clear" w:color="auto" w:fill="auto"/>
            <w:vAlign w:val="center"/>
          </w:tcPr>
          <w:p w14:paraId="254B851B" w14:textId="77777777" w:rsidR="00222560" w:rsidRPr="00222560" w:rsidRDefault="00222560" w:rsidP="00456E56">
            <w:pPr>
              <w:jc w:val="center"/>
              <w:rPr>
                <w:rFonts w:eastAsia="Times New Roman" w:cs="Times New Roman"/>
                <w:color w:val="000000"/>
                <w:sz w:val="20"/>
                <w:szCs w:val="20"/>
              </w:rPr>
            </w:pPr>
            <w:r w:rsidRPr="00222560">
              <w:rPr>
                <w:rFonts w:eastAsia="Times New Roman" w:cs="Times New Roman"/>
                <w:color w:val="000000"/>
                <w:sz w:val="20"/>
                <w:szCs w:val="20"/>
              </w:rPr>
              <w:t>311</w:t>
            </w:r>
          </w:p>
        </w:tc>
        <w:tc>
          <w:tcPr>
            <w:tcW w:w="656" w:type="pct"/>
            <w:tcBorders>
              <w:left w:val="double" w:sz="4" w:space="0" w:color="auto"/>
            </w:tcBorders>
            <w:vAlign w:val="center"/>
          </w:tcPr>
          <w:p w14:paraId="5D3E2364" w14:textId="77777777" w:rsidR="00222560" w:rsidRPr="00222560" w:rsidRDefault="00222560" w:rsidP="00456E56">
            <w:pPr>
              <w:jc w:val="center"/>
              <w:rPr>
                <w:rFonts w:eastAsia="Calibri" w:cs="Times New Roman"/>
                <w:sz w:val="20"/>
                <w:szCs w:val="20"/>
              </w:rPr>
            </w:pPr>
            <w:r w:rsidRPr="00222560">
              <w:rPr>
                <w:rFonts w:eastAsia="Calibri" w:cs="Times New Roman"/>
                <w:sz w:val="20"/>
                <w:szCs w:val="20"/>
              </w:rPr>
              <w:t>307.77</w:t>
            </w:r>
          </w:p>
        </w:tc>
        <w:tc>
          <w:tcPr>
            <w:tcW w:w="657" w:type="pct"/>
            <w:vAlign w:val="center"/>
          </w:tcPr>
          <w:p w14:paraId="33E09137" w14:textId="77777777" w:rsidR="00222560" w:rsidRPr="00222560" w:rsidRDefault="00222560" w:rsidP="00456E56">
            <w:pPr>
              <w:jc w:val="center"/>
              <w:rPr>
                <w:rFonts w:eastAsia="Calibri" w:cs="Times New Roman"/>
                <w:sz w:val="20"/>
                <w:szCs w:val="20"/>
              </w:rPr>
            </w:pPr>
            <w:r w:rsidRPr="00222560">
              <w:rPr>
                <w:rFonts w:eastAsia="Calibri" w:cs="Times New Roman"/>
                <w:sz w:val="20"/>
                <w:szCs w:val="20"/>
              </w:rPr>
              <w:t>306.99</w:t>
            </w:r>
          </w:p>
        </w:tc>
        <w:tc>
          <w:tcPr>
            <w:tcW w:w="656" w:type="pct"/>
            <w:vAlign w:val="center"/>
          </w:tcPr>
          <w:p w14:paraId="492FB54F" w14:textId="77777777" w:rsidR="00222560" w:rsidRPr="00222560" w:rsidRDefault="00222560" w:rsidP="00456E56">
            <w:pPr>
              <w:jc w:val="center"/>
              <w:rPr>
                <w:rFonts w:eastAsia="Calibri" w:cs="Times New Roman"/>
                <w:sz w:val="20"/>
                <w:szCs w:val="20"/>
              </w:rPr>
            </w:pPr>
            <w:r w:rsidRPr="00222560">
              <w:rPr>
                <w:rFonts w:eastAsia="Calibri" w:cs="Times New Roman"/>
                <w:sz w:val="20"/>
                <w:szCs w:val="20"/>
              </w:rPr>
              <w:t>311.63</w:t>
            </w:r>
          </w:p>
        </w:tc>
        <w:tc>
          <w:tcPr>
            <w:tcW w:w="724" w:type="pct"/>
            <w:vAlign w:val="center"/>
          </w:tcPr>
          <w:p w14:paraId="464B78BB" w14:textId="77777777" w:rsidR="00222560" w:rsidRPr="00222560" w:rsidRDefault="00222560" w:rsidP="00456E56">
            <w:pPr>
              <w:jc w:val="center"/>
              <w:rPr>
                <w:rFonts w:eastAsia="Times New Roman" w:cs="Times New Roman"/>
                <w:color w:val="000000"/>
                <w:sz w:val="20"/>
                <w:szCs w:val="20"/>
              </w:rPr>
            </w:pPr>
            <w:r w:rsidRPr="00222560">
              <w:rPr>
                <w:rFonts w:eastAsia="Times New Roman" w:cs="Times New Roman"/>
                <w:color w:val="000000"/>
                <w:sz w:val="20"/>
                <w:szCs w:val="20"/>
              </w:rPr>
              <w:t>310.63</w:t>
            </w:r>
          </w:p>
        </w:tc>
      </w:tr>
      <w:tr w:rsidR="00222560" w:rsidRPr="00222560" w14:paraId="07DD19F1" w14:textId="77777777" w:rsidTr="00456E56">
        <w:trPr>
          <w:trHeight w:val="317"/>
        </w:trPr>
        <w:tc>
          <w:tcPr>
            <w:tcW w:w="511" w:type="pct"/>
            <w:vMerge/>
            <w:tcBorders>
              <w:top w:val="single" w:sz="4" w:space="0" w:color="auto"/>
              <w:bottom w:val="double" w:sz="4" w:space="0" w:color="auto"/>
              <w:right w:val="double" w:sz="4" w:space="0" w:color="auto"/>
            </w:tcBorders>
          </w:tcPr>
          <w:p w14:paraId="7C4149BA" w14:textId="77777777" w:rsidR="00222560" w:rsidRPr="00222560" w:rsidRDefault="00222560" w:rsidP="00456E56">
            <w:pPr>
              <w:rPr>
                <w:rFonts w:eastAsia="Times New Roman" w:cs="Times New Roman"/>
                <w:b/>
                <w:bCs/>
                <w:color w:val="000000"/>
                <w:sz w:val="20"/>
                <w:szCs w:val="20"/>
              </w:rPr>
            </w:pPr>
          </w:p>
        </w:tc>
        <w:tc>
          <w:tcPr>
            <w:tcW w:w="1451" w:type="pct"/>
            <w:tcBorders>
              <w:left w:val="double" w:sz="4" w:space="0" w:color="auto"/>
              <w:bottom w:val="single" w:sz="4" w:space="0" w:color="auto"/>
            </w:tcBorders>
            <w:shd w:val="clear" w:color="auto" w:fill="auto"/>
            <w:noWrap/>
            <w:vAlign w:val="center"/>
          </w:tcPr>
          <w:p w14:paraId="6FB656C2" w14:textId="77777777" w:rsidR="00222560" w:rsidRPr="00222560" w:rsidRDefault="00222560" w:rsidP="00456E56">
            <w:pPr>
              <w:rPr>
                <w:rFonts w:eastAsia="Times New Roman" w:cs="Times New Roman"/>
                <w:color w:val="000000"/>
                <w:sz w:val="20"/>
                <w:szCs w:val="20"/>
              </w:rPr>
            </w:pPr>
            <w:r w:rsidRPr="00222560">
              <w:rPr>
                <w:rFonts w:eastAsia="Times New Roman" w:cs="Times New Roman"/>
                <w:color w:val="000000"/>
                <w:sz w:val="20"/>
                <w:szCs w:val="20"/>
              </w:rPr>
              <w:t>Urban residence/walk 7 days a week</w:t>
            </w:r>
          </w:p>
        </w:tc>
        <w:tc>
          <w:tcPr>
            <w:tcW w:w="345" w:type="pct"/>
            <w:tcBorders>
              <w:bottom w:val="single" w:sz="4" w:space="0" w:color="auto"/>
              <w:right w:val="double" w:sz="4" w:space="0" w:color="auto"/>
            </w:tcBorders>
            <w:shd w:val="clear" w:color="auto" w:fill="auto"/>
            <w:vAlign w:val="center"/>
          </w:tcPr>
          <w:p w14:paraId="412B49C9" w14:textId="77777777" w:rsidR="00222560" w:rsidRPr="00222560" w:rsidRDefault="00222560" w:rsidP="00456E56">
            <w:pPr>
              <w:jc w:val="center"/>
              <w:rPr>
                <w:rFonts w:eastAsia="Times New Roman" w:cs="Times New Roman"/>
                <w:color w:val="000000"/>
                <w:sz w:val="20"/>
                <w:szCs w:val="20"/>
              </w:rPr>
            </w:pPr>
            <w:r w:rsidRPr="00222560">
              <w:rPr>
                <w:rFonts w:eastAsia="Times New Roman" w:cs="Times New Roman"/>
                <w:color w:val="000000"/>
                <w:sz w:val="20"/>
                <w:szCs w:val="20"/>
              </w:rPr>
              <w:t>214</w:t>
            </w:r>
          </w:p>
        </w:tc>
        <w:tc>
          <w:tcPr>
            <w:tcW w:w="656" w:type="pct"/>
            <w:tcBorders>
              <w:left w:val="double" w:sz="4" w:space="0" w:color="auto"/>
              <w:bottom w:val="single" w:sz="4" w:space="0" w:color="auto"/>
            </w:tcBorders>
            <w:vAlign w:val="center"/>
          </w:tcPr>
          <w:p w14:paraId="34BA80DB" w14:textId="77777777" w:rsidR="00222560" w:rsidRPr="00222560" w:rsidRDefault="00222560" w:rsidP="00456E56">
            <w:pPr>
              <w:jc w:val="center"/>
              <w:rPr>
                <w:rFonts w:eastAsia="Calibri" w:cs="Times New Roman"/>
                <w:sz w:val="20"/>
                <w:szCs w:val="20"/>
              </w:rPr>
            </w:pPr>
            <w:r w:rsidRPr="00222560">
              <w:rPr>
                <w:rFonts w:eastAsia="Calibri" w:cs="Times New Roman"/>
                <w:sz w:val="20"/>
                <w:szCs w:val="20"/>
              </w:rPr>
              <w:t>219.93</w:t>
            </w:r>
          </w:p>
        </w:tc>
        <w:tc>
          <w:tcPr>
            <w:tcW w:w="657" w:type="pct"/>
            <w:tcBorders>
              <w:bottom w:val="single" w:sz="4" w:space="0" w:color="auto"/>
            </w:tcBorders>
            <w:vAlign w:val="center"/>
          </w:tcPr>
          <w:p w14:paraId="71EE2D6B" w14:textId="77777777" w:rsidR="00222560" w:rsidRPr="00222560" w:rsidRDefault="00222560" w:rsidP="00456E56">
            <w:pPr>
              <w:jc w:val="center"/>
              <w:rPr>
                <w:rFonts w:eastAsia="Calibri" w:cs="Times New Roman"/>
                <w:sz w:val="20"/>
                <w:szCs w:val="20"/>
              </w:rPr>
            </w:pPr>
            <w:r w:rsidRPr="00222560">
              <w:rPr>
                <w:rFonts w:eastAsia="Calibri" w:cs="Times New Roman"/>
                <w:sz w:val="20"/>
                <w:szCs w:val="20"/>
              </w:rPr>
              <w:t>220.22</w:t>
            </w:r>
          </w:p>
        </w:tc>
        <w:tc>
          <w:tcPr>
            <w:tcW w:w="656" w:type="pct"/>
            <w:tcBorders>
              <w:bottom w:val="single" w:sz="4" w:space="0" w:color="auto"/>
            </w:tcBorders>
            <w:vAlign w:val="center"/>
          </w:tcPr>
          <w:p w14:paraId="5951563C" w14:textId="77777777" w:rsidR="00222560" w:rsidRPr="00222560" w:rsidRDefault="00222560" w:rsidP="00456E56">
            <w:pPr>
              <w:jc w:val="center"/>
              <w:rPr>
                <w:rFonts w:eastAsia="Calibri" w:cs="Times New Roman"/>
                <w:sz w:val="20"/>
                <w:szCs w:val="20"/>
              </w:rPr>
            </w:pPr>
            <w:r w:rsidRPr="00222560">
              <w:rPr>
                <w:rFonts w:eastAsia="Calibri" w:cs="Times New Roman"/>
                <w:sz w:val="20"/>
                <w:szCs w:val="20"/>
              </w:rPr>
              <w:t>219.54</w:t>
            </w:r>
          </w:p>
        </w:tc>
        <w:tc>
          <w:tcPr>
            <w:tcW w:w="724" w:type="pct"/>
            <w:tcBorders>
              <w:bottom w:val="single" w:sz="4" w:space="0" w:color="auto"/>
            </w:tcBorders>
            <w:vAlign w:val="center"/>
          </w:tcPr>
          <w:p w14:paraId="20661916" w14:textId="77777777" w:rsidR="00222560" w:rsidRPr="00222560" w:rsidRDefault="00222560" w:rsidP="00456E56">
            <w:pPr>
              <w:jc w:val="center"/>
              <w:rPr>
                <w:rFonts w:eastAsia="Calibri" w:cs="Times New Roman"/>
                <w:sz w:val="20"/>
                <w:szCs w:val="20"/>
              </w:rPr>
            </w:pPr>
            <w:r w:rsidRPr="00222560">
              <w:rPr>
                <w:rFonts w:eastAsia="Calibri" w:cs="Times New Roman"/>
                <w:sz w:val="20"/>
                <w:szCs w:val="20"/>
              </w:rPr>
              <w:t>213.13</w:t>
            </w:r>
          </w:p>
        </w:tc>
      </w:tr>
      <w:tr w:rsidR="00222560" w:rsidRPr="00222560" w14:paraId="13DF1283" w14:textId="77777777" w:rsidTr="00456E56">
        <w:trPr>
          <w:trHeight w:val="317"/>
        </w:trPr>
        <w:tc>
          <w:tcPr>
            <w:tcW w:w="511" w:type="pct"/>
            <w:vMerge/>
            <w:tcBorders>
              <w:top w:val="single" w:sz="4" w:space="0" w:color="auto"/>
              <w:bottom w:val="double" w:sz="4" w:space="0" w:color="auto"/>
              <w:right w:val="double" w:sz="4" w:space="0" w:color="auto"/>
            </w:tcBorders>
          </w:tcPr>
          <w:p w14:paraId="4838E7D3" w14:textId="77777777" w:rsidR="00222560" w:rsidRPr="00222560" w:rsidRDefault="00222560" w:rsidP="00456E56">
            <w:pPr>
              <w:rPr>
                <w:rFonts w:eastAsia="Times New Roman" w:cs="Times New Roman"/>
                <w:b/>
                <w:bCs/>
                <w:color w:val="000000"/>
                <w:sz w:val="20"/>
                <w:szCs w:val="20"/>
              </w:rPr>
            </w:pPr>
          </w:p>
        </w:tc>
        <w:tc>
          <w:tcPr>
            <w:tcW w:w="1796" w:type="pct"/>
            <w:gridSpan w:val="2"/>
            <w:tcBorders>
              <w:top w:val="single" w:sz="4" w:space="0" w:color="auto"/>
              <w:left w:val="double" w:sz="4" w:space="0" w:color="auto"/>
              <w:bottom w:val="double" w:sz="4" w:space="0" w:color="auto"/>
              <w:right w:val="double" w:sz="4" w:space="0" w:color="auto"/>
            </w:tcBorders>
            <w:shd w:val="clear" w:color="auto" w:fill="auto"/>
            <w:noWrap/>
            <w:vAlign w:val="center"/>
          </w:tcPr>
          <w:p w14:paraId="4A22691C" w14:textId="77777777" w:rsidR="00222560" w:rsidRPr="00222560" w:rsidRDefault="00222560" w:rsidP="00456E56">
            <w:pPr>
              <w:rPr>
                <w:rFonts w:eastAsia="Times New Roman" w:cs="Times New Roman"/>
                <w:color w:val="000000"/>
                <w:sz w:val="20"/>
                <w:szCs w:val="20"/>
              </w:rPr>
            </w:pPr>
            <w:r w:rsidRPr="00222560">
              <w:rPr>
                <w:rFonts w:eastAsia="Times New Roman" w:cs="Times New Roman"/>
                <w:color w:val="000000"/>
                <w:sz w:val="20"/>
                <w:szCs w:val="20"/>
              </w:rPr>
              <w:t>Weighted Average Percentage Error (WAPE)</w:t>
            </w:r>
          </w:p>
        </w:tc>
        <w:tc>
          <w:tcPr>
            <w:tcW w:w="656" w:type="pct"/>
            <w:tcBorders>
              <w:top w:val="single" w:sz="4" w:space="0" w:color="auto"/>
              <w:left w:val="double" w:sz="4" w:space="0" w:color="auto"/>
              <w:bottom w:val="double" w:sz="4" w:space="0" w:color="auto"/>
            </w:tcBorders>
            <w:vAlign w:val="center"/>
          </w:tcPr>
          <w:p w14:paraId="252740BF" w14:textId="77777777" w:rsidR="00222560" w:rsidRPr="00222560" w:rsidRDefault="00222560" w:rsidP="00456E56">
            <w:pPr>
              <w:jc w:val="center"/>
              <w:rPr>
                <w:rFonts w:eastAsia="Calibri" w:cs="Times New Roman"/>
                <w:sz w:val="20"/>
                <w:szCs w:val="20"/>
              </w:rPr>
            </w:pPr>
            <w:r w:rsidRPr="00222560">
              <w:rPr>
                <w:rFonts w:eastAsia="Calibri" w:cs="Times New Roman"/>
                <w:sz w:val="20"/>
                <w:szCs w:val="20"/>
              </w:rPr>
              <w:t>3.42%</w:t>
            </w:r>
          </w:p>
        </w:tc>
        <w:tc>
          <w:tcPr>
            <w:tcW w:w="657" w:type="pct"/>
            <w:tcBorders>
              <w:top w:val="single" w:sz="4" w:space="0" w:color="auto"/>
              <w:bottom w:val="double" w:sz="4" w:space="0" w:color="auto"/>
            </w:tcBorders>
            <w:vAlign w:val="center"/>
          </w:tcPr>
          <w:p w14:paraId="6DEBB69A" w14:textId="77777777" w:rsidR="00222560" w:rsidRPr="00222560" w:rsidRDefault="00222560" w:rsidP="00456E56">
            <w:pPr>
              <w:jc w:val="center"/>
              <w:rPr>
                <w:rFonts w:eastAsia="Calibri" w:cs="Times New Roman"/>
                <w:sz w:val="20"/>
                <w:szCs w:val="20"/>
              </w:rPr>
            </w:pPr>
            <w:r w:rsidRPr="00222560">
              <w:rPr>
                <w:rFonts w:eastAsia="Calibri" w:cs="Times New Roman"/>
                <w:sz w:val="20"/>
                <w:szCs w:val="20"/>
              </w:rPr>
              <w:t>3.60%</w:t>
            </w:r>
          </w:p>
        </w:tc>
        <w:tc>
          <w:tcPr>
            <w:tcW w:w="656" w:type="pct"/>
            <w:tcBorders>
              <w:top w:val="single" w:sz="4" w:space="0" w:color="auto"/>
              <w:bottom w:val="double" w:sz="4" w:space="0" w:color="auto"/>
            </w:tcBorders>
            <w:vAlign w:val="center"/>
          </w:tcPr>
          <w:p w14:paraId="06C91C46" w14:textId="77777777" w:rsidR="00222560" w:rsidRPr="00222560" w:rsidRDefault="00222560" w:rsidP="00456E56">
            <w:pPr>
              <w:jc w:val="center"/>
              <w:rPr>
                <w:rFonts w:eastAsia="Calibri" w:cs="Times New Roman"/>
                <w:sz w:val="20"/>
                <w:szCs w:val="20"/>
              </w:rPr>
            </w:pPr>
            <w:r w:rsidRPr="00222560">
              <w:rPr>
                <w:rFonts w:eastAsia="Calibri" w:cs="Times New Roman"/>
                <w:sz w:val="20"/>
                <w:szCs w:val="20"/>
              </w:rPr>
              <w:t>2.53%</w:t>
            </w:r>
          </w:p>
        </w:tc>
        <w:tc>
          <w:tcPr>
            <w:tcW w:w="724" w:type="pct"/>
            <w:tcBorders>
              <w:top w:val="single" w:sz="4" w:space="0" w:color="auto"/>
              <w:bottom w:val="double" w:sz="4" w:space="0" w:color="auto"/>
            </w:tcBorders>
            <w:vAlign w:val="center"/>
          </w:tcPr>
          <w:p w14:paraId="6C4E5350" w14:textId="77777777" w:rsidR="00222560" w:rsidRPr="00222560" w:rsidRDefault="00222560" w:rsidP="00456E56">
            <w:pPr>
              <w:jc w:val="center"/>
              <w:rPr>
                <w:rFonts w:eastAsia="Calibri" w:cs="Times New Roman"/>
                <w:sz w:val="20"/>
                <w:szCs w:val="20"/>
              </w:rPr>
            </w:pPr>
            <w:r w:rsidRPr="00222560">
              <w:rPr>
                <w:rFonts w:eastAsia="Calibri" w:cs="Times New Roman"/>
                <w:sz w:val="20"/>
                <w:szCs w:val="20"/>
              </w:rPr>
              <w:t>0.46%</w:t>
            </w:r>
          </w:p>
        </w:tc>
      </w:tr>
      <w:tr w:rsidR="00222560" w:rsidRPr="00222560" w14:paraId="54E9F57F" w14:textId="77777777" w:rsidTr="00456E56">
        <w:trPr>
          <w:trHeight w:val="317"/>
        </w:trPr>
        <w:tc>
          <w:tcPr>
            <w:tcW w:w="511" w:type="pct"/>
            <w:vMerge w:val="restart"/>
            <w:tcBorders>
              <w:top w:val="double" w:sz="4" w:space="0" w:color="auto"/>
              <w:bottom w:val="double" w:sz="4" w:space="0" w:color="auto"/>
              <w:right w:val="double" w:sz="4" w:space="0" w:color="auto"/>
            </w:tcBorders>
          </w:tcPr>
          <w:p w14:paraId="6FD5D52C" w14:textId="77777777" w:rsidR="00222560" w:rsidRPr="00222560" w:rsidRDefault="00222560" w:rsidP="00456E56">
            <w:pPr>
              <w:rPr>
                <w:rFonts w:eastAsia="Times New Roman" w:cs="Times New Roman"/>
                <w:b/>
                <w:bCs/>
                <w:color w:val="000000"/>
                <w:sz w:val="20"/>
                <w:szCs w:val="20"/>
              </w:rPr>
            </w:pPr>
            <w:r w:rsidRPr="00222560">
              <w:rPr>
                <w:rFonts w:eastAsia="Times New Roman" w:cs="Times New Roman"/>
                <w:b/>
                <w:bCs/>
                <w:color w:val="000000"/>
                <w:sz w:val="20"/>
                <w:szCs w:val="20"/>
              </w:rPr>
              <w:t>Estimated Urban ATE Effect</w:t>
            </w:r>
          </w:p>
        </w:tc>
        <w:tc>
          <w:tcPr>
            <w:tcW w:w="1796" w:type="pct"/>
            <w:gridSpan w:val="2"/>
            <w:tcBorders>
              <w:top w:val="double" w:sz="4" w:space="0" w:color="auto"/>
              <w:left w:val="double" w:sz="4" w:space="0" w:color="auto"/>
              <w:bottom w:val="single" w:sz="4" w:space="0" w:color="auto"/>
              <w:right w:val="double" w:sz="4" w:space="0" w:color="auto"/>
            </w:tcBorders>
            <w:shd w:val="clear" w:color="auto" w:fill="auto"/>
            <w:noWrap/>
            <w:vAlign w:val="center"/>
          </w:tcPr>
          <w:p w14:paraId="795FF1EA" w14:textId="77777777" w:rsidR="00222560" w:rsidRPr="00222560" w:rsidRDefault="00222560" w:rsidP="00456E56">
            <w:pPr>
              <w:rPr>
                <w:rFonts w:eastAsia="Times New Roman" w:cs="Times New Roman"/>
                <w:color w:val="000000"/>
                <w:sz w:val="20"/>
                <w:szCs w:val="20"/>
              </w:rPr>
            </w:pPr>
            <w:r w:rsidRPr="00222560">
              <w:rPr>
                <w:rFonts w:eastAsia="Times New Roman" w:cs="Times New Roman"/>
                <w:color w:val="000000"/>
                <w:sz w:val="20"/>
                <w:szCs w:val="20"/>
              </w:rPr>
              <w:t>ATE</w:t>
            </w:r>
          </w:p>
        </w:tc>
        <w:tc>
          <w:tcPr>
            <w:tcW w:w="656" w:type="pct"/>
            <w:tcBorders>
              <w:top w:val="double" w:sz="4" w:space="0" w:color="auto"/>
              <w:left w:val="double" w:sz="4" w:space="0" w:color="auto"/>
              <w:bottom w:val="single" w:sz="4" w:space="0" w:color="auto"/>
            </w:tcBorders>
            <w:vAlign w:val="center"/>
          </w:tcPr>
          <w:p w14:paraId="70D0A4CD" w14:textId="77777777" w:rsidR="00222560" w:rsidRPr="00222560" w:rsidRDefault="00222560" w:rsidP="00456E56">
            <w:pPr>
              <w:jc w:val="center"/>
              <w:rPr>
                <w:rFonts w:eastAsia="Calibri" w:cs="Times New Roman"/>
                <w:sz w:val="20"/>
                <w:szCs w:val="20"/>
              </w:rPr>
            </w:pPr>
            <w:r w:rsidRPr="00222560">
              <w:rPr>
                <w:rFonts w:eastAsia="Calibri" w:cs="Times New Roman"/>
                <w:sz w:val="20"/>
                <w:szCs w:val="20"/>
              </w:rPr>
              <w:t>0.062</w:t>
            </w:r>
          </w:p>
        </w:tc>
        <w:tc>
          <w:tcPr>
            <w:tcW w:w="657" w:type="pct"/>
            <w:tcBorders>
              <w:top w:val="double" w:sz="4" w:space="0" w:color="auto"/>
              <w:bottom w:val="single" w:sz="4" w:space="0" w:color="auto"/>
            </w:tcBorders>
            <w:vAlign w:val="center"/>
          </w:tcPr>
          <w:p w14:paraId="0F4F43FD" w14:textId="77777777" w:rsidR="00222560" w:rsidRPr="00222560" w:rsidRDefault="00222560" w:rsidP="00456E56">
            <w:pPr>
              <w:jc w:val="center"/>
              <w:rPr>
                <w:rFonts w:eastAsia="Calibri" w:cs="Times New Roman"/>
                <w:sz w:val="20"/>
                <w:szCs w:val="20"/>
              </w:rPr>
            </w:pPr>
            <w:r w:rsidRPr="00222560">
              <w:rPr>
                <w:rFonts w:eastAsia="Calibri" w:cs="Times New Roman"/>
                <w:sz w:val="20"/>
                <w:szCs w:val="20"/>
              </w:rPr>
              <w:t>0.812</w:t>
            </w:r>
          </w:p>
        </w:tc>
        <w:tc>
          <w:tcPr>
            <w:tcW w:w="656" w:type="pct"/>
            <w:tcBorders>
              <w:top w:val="double" w:sz="4" w:space="0" w:color="auto"/>
              <w:bottom w:val="single" w:sz="4" w:space="0" w:color="auto"/>
            </w:tcBorders>
            <w:vAlign w:val="center"/>
          </w:tcPr>
          <w:p w14:paraId="6EEFE998" w14:textId="77777777" w:rsidR="00222560" w:rsidRPr="00222560" w:rsidRDefault="00222560" w:rsidP="00456E56">
            <w:pPr>
              <w:jc w:val="center"/>
              <w:rPr>
                <w:rFonts w:eastAsia="Calibri" w:cs="Times New Roman"/>
                <w:sz w:val="20"/>
                <w:szCs w:val="20"/>
              </w:rPr>
            </w:pPr>
            <w:r w:rsidRPr="00222560">
              <w:rPr>
                <w:rFonts w:eastAsia="Calibri" w:cs="Times New Roman"/>
                <w:sz w:val="20"/>
                <w:szCs w:val="20"/>
              </w:rPr>
              <w:t>0.163</w:t>
            </w:r>
          </w:p>
        </w:tc>
        <w:tc>
          <w:tcPr>
            <w:tcW w:w="724" w:type="pct"/>
            <w:tcBorders>
              <w:top w:val="double" w:sz="4" w:space="0" w:color="auto"/>
              <w:bottom w:val="single" w:sz="4" w:space="0" w:color="auto"/>
            </w:tcBorders>
            <w:vAlign w:val="center"/>
          </w:tcPr>
          <w:p w14:paraId="04E15E43" w14:textId="77777777" w:rsidR="00222560" w:rsidRPr="00222560" w:rsidRDefault="00222560" w:rsidP="00456E56">
            <w:pPr>
              <w:jc w:val="center"/>
              <w:rPr>
                <w:rFonts w:eastAsia="Calibri" w:cs="Times New Roman"/>
                <w:sz w:val="20"/>
                <w:szCs w:val="20"/>
              </w:rPr>
            </w:pPr>
            <w:r w:rsidRPr="00222560">
              <w:rPr>
                <w:rFonts w:eastAsia="Calibri" w:cs="Times New Roman"/>
                <w:sz w:val="20"/>
                <w:szCs w:val="20"/>
              </w:rPr>
              <w:t>1.004</w:t>
            </w:r>
          </w:p>
        </w:tc>
      </w:tr>
      <w:tr w:rsidR="00222560" w:rsidRPr="00222560" w14:paraId="1260C668" w14:textId="77777777" w:rsidTr="00456E56">
        <w:trPr>
          <w:trHeight w:val="317"/>
        </w:trPr>
        <w:tc>
          <w:tcPr>
            <w:tcW w:w="511" w:type="pct"/>
            <w:vMerge/>
            <w:tcBorders>
              <w:top w:val="single" w:sz="4" w:space="0" w:color="auto"/>
              <w:bottom w:val="double" w:sz="4" w:space="0" w:color="auto"/>
              <w:right w:val="double" w:sz="4" w:space="0" w:color="auto"/>
            </w:tcBorders>
          </w:tcPr>
          <w:p w14:paraId="2E7BFC14" w14:textId="77777777" w:rsidR="00222560" w:rsidRPr="00222560" w:rsidRDefault="00222560" w:rsidP="00456E56">
            <w:pPr>
              <w:rPr>
                <w:rFonts w:eastAsia="Times New Roman" w:cs="Times New Roman"/>
                <w:b/>
                <w:bCs/>
                <w:color w:val="000000"/>
                <w:sz w:val="20"/>
                <w:szCs w:val="20"/>
              </w:rPr>
            </w:pPr>
          </w:p>
        </w:tc>
        <w:tc>
          <w:tcPr>
            <w:tcW w:w="1796" w:type="pct"/>
            <w:gridSpan w:val="2"/>
            <w:tcBorders>
              <w:top w:val="single" w:sz="4" w:space="0" w:color="auto"/>
              <w:left w:val="double" w:sz="4" w:space="0" w:color="auto"/>
              <w:bottom w:val="double" w:sz="4" w:space="0" w:color="auto"/>
              <w:right w:val="double" w:sz="4" w:space="0" w:color="auto"/>
            </w:tcBorders>
            <w:shd w:val="clear" w:color="auto" w:fill="auto"/>
            <w:noWrap/>
            <w:vAlign w:val="center"/>
          </w:tcPr>
          <w:p w14:paraId="6582572B" w14:textId="77777777" w:rsidR="00222560" w:rsidRPr="00222560" w:rsidRDefault="00222560" w:rsidP="00456E56">
            <w:pPr>
              <w:rPr>
                <w:rFonts w:eastAsia="Times New Roman" w:cs="Times New Roman"/>
                <w:color w:val="000000"/>
                <w:sz w:val="20"/>
                <w:szCs w:val="20"/>
              </w:rPr>
            </w:pPr>
            <w:r w:rsidRPr="00222560">
              <w:rPr>
                <w:rFonts w:eastAsia="Times New Roman" w:cs="Times New Roman"/>
                <w:color w:val="000000"/>
                <w:sz w:val="20"/>
                <w:szCs w:val="20"/>
              </w:rPr>
              <w:t>%ATE</w:t>
            </w:r>
          </w:p>
        </w:tc>
        <w:tc>
          <w:tcPr>
            <w:tcW w:w="656" w:type="pct"/>
            <w:tcBorders>
              <w:top w:val="single" w:sz="4" w:space="0" w:color="auto"/>
              <w:left w:val="double" w:sz="4" w:space="0" w:color="auto"/>
              <w:bottom w:val="double" w:sz="4" w:space="0" w:color="auto"/>
            </w:tcBorders>
            <w:vAlign w:val="center"/>
          </w:tcPr>
          <w:p w14:paraId="5456E689" w14:textId="77777777" w:rsidR="00222560" w:rsidRPr="00222560" w:rsidRDefault="00222560" w:rsidP="00456E56">
            <w:pPr>
              <w:jc w:val="center"/>
              <w:rPr>
                <w:rFonts w:eastAsia="Calibri" w:cs="Times New Roman"/>
                <w:sz w:val="20"/>
                <w:szCs w:val="20"/>
              </w:rPr>
            </w:pPr>
            <w:r w:rsidRPr="00222560">
              <w:rPr>
                <w:rFonts w:eastAsia="Calibri" w:cs="Times New Roman"/>
                <w:sz w:val="20"/>
                <w:szCs w:val="20"/>
              </w:rPr>
              <w:t>1.8%</w:t>
            </w:r>
          </w:p>
        </w:tc>
        <w:tc>
          <w:tcPr>
            <w:tcW w:w="657" w:type="pct"/>
            <w:tcBorders>
              <w:top w:val="single" w:sz="4" w:space="0" w:color="auto"/>
              <w:bottom w:val="double" w:sz="4" w:space="0" w:color="auto"/>
            </w:tcBorders>
            <w:vAlign w:val="center"/>
          </w:tcPr>
          <w:p w14:paraId="24D6EE69" w14:textId="77777777" w:rsidR="00222560" w:rsidRPr="00222560" w:rsidRDefault="00222560" w:rsidP="00456E56">
            <w:pPr>
              <w:jc w:val="center"/>
              <w:rPr>
                <w:rFonts w:eastAsia="Calibri" w:cs="Times New Roman"/>
                <w:sz w:val="20"/>
                <w:szCs w:val="20"/>
              </w:rPr>
            </w:pPr>
            <w:r w:rsidRPr="00222560">
              <w:rPr>
                <w:rFonts w:eastAsia="Calibri" w:cs="Times New Roman"/>
                <w:sz w:val="20"/>
                <w:szCs w:val="20"/>
              </w:rPr>
              <w:t>29.9%</w:t>
            </w:r>
          </w:p>
        </w:tc>
        <w:tc>
          <w:tcPr>
            <w:tcW w:w="656" w:type="pct"/>
            <w:tcBorders>
              <w:top w:val="single" w:sz="4" w:space="0" w:color="auto"/>
              <w:bottom w:val="double" w:sz="4" w:space="0" w:color="auto"/>
            </w:tcBorders>
            <w:vAlign w:val="center"/>
          </w:tcPr>
          <w:p w14:paraId="64850769" w14:textId="77777777" w:rsidR="00222560" w:rsidRPr="00222560" w:rsidRDefault="00222560" w:rsidP="00456E56">
            <w:pPr>
              <w:jc w:val="center"/>
              <w:rPr>
                <w:rFonts w:eastAsia="Calibri" w:cs="Times New Roman"/>
                <w:sz w:val="20"/>
                <w:szCs w:val="20"/>
              </w:rPr>
            </w:pPr>
            <w:r w:rsidRPr="00222560">
              <w:rPr>
                <w:rFonts w:eastAsia="Calibri" w:cs="Times New Roman"/>
                <w:sz w:val="20"/>
                <w:szCs w:val="20"/>
              </w:rPr>
              <w:t>5.0%</w:t>
            </w:r>
          </w:p>
        </w:tc>
        <w:tc>
          <w:tcPr>
            <w:tcW w:w="724" w:type="pct"/>
            <w:tcBorders>
              <w:top w:val="single" w:sz="4" w:space="0" w:color="auto"/>
              <w:bottom w:val="double" w:sz="4" w:space="0" w:color="auto"/>
            </w:tcBorders>
            <w:vAlign w:val="center"/>
          </w:tcPr>
          <w:p w14:paraId="5E7A3C1B" w14:textId="77777777" w:rsidR="00222560" w:rsidRPr="00222560" w:rsidRDefault="00222560" w:rsidP="00456E56">
            <w:pPr>
              <w:jc w:val="center"/>
              <w:rPr>
                <w:rFonts w:eastAsia="Calibri" w:cs="Times New Roman"/>
                <w:sz w:val="20"/>
                <w:szCs w:val="20"/>
              </w:rPr>
            </w:pPr>
            <w:r w:rsidRPr="00222560">
              <w:rPr>
                <w:rFonts w:eastAsia="Calibri" w:cs="Times New Roman"/>
                <w:sz w:val="20"/>
                <w:szCs w:val="20"/>
              </w:rPr>
              <w:t>39.2%</w:t>
            </w:r>
          </w:p>
        </w:tc>
      </w:tr>
    </w:tbl>
    <w:p w14:paraId="5E06D4E2" w14:textId="4721D245" w:rsidR="00222560" w:rsidRDefault="00222560" w:rsidP="00222560">
      <w:pPr>
        <w:spacing w:line="276" w:lineRule="auto"/>
        <w:jc w:val="both"/>
        <w:rPr>
          <w:rFonts w:cs="Times New Roman"/>
          <w:szCs w:val="24"/>
        </w:rPr>
      </w:pPr>
    </w:p>
    <w:p w14:paraId="21BA3B21" w14:textId="77777777" w:rsidR="00222560" w:rsidRDefault="00222560" w:rsidP="00222560">
      <w:pPr>
        <w:spacing w:line="276" w:lineRule="auto"/>
        <w:jc w:val="both"/>
        <w:rPr>
          <w:b/>
          <w:bCs/>
        </w:rPr>
        <w:sectPr w:rsidR="00222560" w:rsidSect="00222560">
          <w:pgSz w:w="15840" w:h="12240" w:orient="landscape"/>
          <w:pgMar w:top="1440" w:right="1440" w:bottom="1440" w:left="1440" w:header="720" w:footer="720" w:gutter="0"/>
          <w:cols w:space="720"/>
          <w:docGrid w:linePitch="360"/>
        </w:sectPr>
      </w:pPr>
    </w:p>
    <w:p w14:paraId="05268065" w14:textId="0B5A4949" w:rsidR="00FD768A" w:rsidRPr="00B4106B" w:rsidRDefault="00FD768A" w:rsidP="00504DC0">
      <w:pPr>
        <w:numPr>
          <w:ilvl w:val="1"/>
          <w:numId w:val="2"/>
        </w:numPr>
        <w:spacing w:line="276" w:lineRule="auto"/>
        <w:ind w:left="540" w:hanging="540"/>
        <w:jc w:val="both"/>
        <w:rPr>
          <w:b/>
          <w:bCs/>
        </w:rPr>
      </w:pPr>
      <w:r w:rsidRPr="00B4106B">
        <w:rPr>
          <w:b/>
          <w:bCs/>
        </w:rPr>
        <w:lastRenderedPageBreak/>
        <w:t>Estimated Causal Effect of Urban Area Residence</w:t>
      </w:r>
    </w:p>
    <w:p w14:paraId="34699132" w14:textId="664A6E99" w:rsidR="001756B0" w:rsidRPr="009376C1" w:rsidRDefault="00697D26" w:rsidP="00B4106B">
      <w:pPr>
        <w:spacing w:line="276" w:lineRule="auto"/>
        <w:jc w:val="both"/>
        <w:rPr>
          <w:rFonts w:cs="Times New Roman"/>
          <w:szCs w:val="24"/>
        </w:rPr>
      </w:pPr>
      <w:r w:rsidRPr="009376C1">
        <w:rPr>
          <w:rFonts w:cs="Times New Roman"/>
          <w:szCs w:val="24"/>
        </w:rPr>
        <w:t xml:space="preserve">The results from the previous section illustrate the better data fit of our proposed model, but does not </w:t>
      </w:r>
      <w:r w:rsidR="009376C1" w:rsidRPr="009376C1">
        <w:rPr>
          <w:rFonts w:cs="Times New Roman"/>
          <w:szCs w:val="24"/>
        </w:rPr>
        <w:t>provide an indication of the extent of mis-estimation (if at all) of the substantive “true” causal effect of urban residence on walk frequency. For this, we</w:t>
      </w:r>
      <w:r w:rsidR="00F770C9" w:rsidRPr="009376C1">
        <w:rPr>
          <w:rFonts w:cs="Times New Roman"/>
          <w:szCs w:val="24"/>
        </w:rPr>
        <w:t xml:space="preserve"> </w:t>
      </w:r>
      <w:r w:rsidR="009376C1" w:rsidRPr="009376C1">
        <w:rPr>
          <w:rFonts w:cs="Times New Roman"/>
          <w:szCs w:val="24"/>
        </w:rPr>
        <w:t>examine the impact</w:t>
      </w:r>
      <w:r w:rsidR="00F770C9" w:rsidRPr="009376C1">
        <w:rPr>
          <w:rFonts w:cs="Times New Roman"/>
          <w:szCs w:val="24"/>
        </w:rPr>
        <w:t xml:space="preserve"> of urban area residence using </w:t>
      </w:r>
      <w:r w:rsidR="009376C1" w:rsidRPr="009376C1">
        <w:rPr>
          <w:rFonts w:cs="Times New Roman"/>
          <w:szCs w:val="24"/>
        </w:rPr>
        <w:t xml:space="preserve">an average </w:t>
      </w:r>
      <w:r w:rsidR="006C4143" w:rsidRPr="009376C1">
        <w:rPr>
          <w:rFonts w:cs="Times New Roman"/>
          <w:szCs w:val="24"/>
        </w:rPr>
        <w:t>treatment effect</w:t>
      </w:r>
      <w:r w:rsidR="009376C1" w:rsidRPr="009376C1">
        <w:rPr>
          <w:rFonts w:cs="Times New Roman"/>
          <w:szCs w:val="24"/>
        </w:rPr>
        <w:t xml:space="preserve"> or ATE</w:t>
      </w:r>
      <w:r w:rsidR="006C4143" w:rsidRPr="009376C1">
        <w:rPr>
          <w:rFonts w:cs="Times New Roman"/>
          <w:szCs w:val="24"/>
        </w:rPr>
        <w:t xml:space="preserve"> (see </w:t>
      </w:r>
      <w:bookmarkStart w:id="18" w:name="_Hlk155435482"/>
      <w:r w:rsidR="006C4143" w:rsidRPr="009376C1">
        <w:rPr>
          <w:rFonts w:cs="Times New Roman"/>
          <w:szCs w:val="24"/>
        </w:rPr>
        <w:t>Heckman and Vytlacil, 2000</w:t>
      </w:r>
      <w:r w:rsidR="007B6985">
        <w:rPr>
          <w:rFonts w:cs="Times New Roman"/>
          <w:szCs w:val="24"/>
        </w:rPr>
        <w:t>;</w:t>
      </w:r>
      <w:r w:rsidR="006C4143" w:rsidRPr="009376C1">
        <w:rPr>
          <w:rFonts w:cs="Times New Roman"/>
          <w:szCs w:val="24"/>
        </w:rPr>
        <w:t xml:space="preserve"> Heckman </w:t>
      </w:r>
      <w:r w:rsidR="007B6985">
        <w:rPr>
          <w:rFonts w:cs="Times New Roman"/>
          <w:szCs w:val="24"/>
        </w:rPr>
        <w:t>and Vytlacil,</w:t>
      </w:r>
      <w:r w:rsidR="006C4143" w:rsidRPr="009376C1">
        <w:rPr>
          <w:rFonts w:cs="Times New Roman"/>
          <w:szCs w:val="24"/>
        </w:rPr>
        <w:t xml:space="preserve"> 2001</w:t>
      </w:r>
      <w:r w:rsidR="007B6985">
        <w:rPr>
          <w:rFonts w:cs="Times New Roman"/>
          <w:szCs w:val="24"/>
        </w:rPr>
        <w:t>;</w:t>
      </w:r>
      <w:r w:rsidR="006C4143" w:rsidRPr="009376C1">
        <w:rPr>
          <w:rFonts w:cs="Times New Roman"/>
          <w:szCs w:val="24"/>
        </w:rPr>
        <w:t xml:space="preserve"> and Bhat and  Eluru, 2008</w:t>
      </w:r>
      <w:bookmarkEnd w:id="18"/>
      <w:r w:rsidR="006C4143" w:rsidRPr="009376C1">
        <w:rPr>
          <w:rFonts w:cs="Times New Roman"/>
          <w:szCs w:val="24"/>
        </w:rPr>
        <w:t>).</w:t>
      </w:r>
      <w:r w:rsidR="00F76E97">
        <w:rPr>
          <w:rStyle w:val="FootnoteReference"/>
          <w:rFonts w:cs="Times New Roman"/>
          <w:szCs w:val="24"/>
        </w:rPr>
        <w:footnoteReference w:id="10"/>
      </w:r>
      <w:r w:rsidR="006C4143" w:rsidRPr="009376C1">
        <w:rPr>
          <w:rFonts w:cs="Times New Roman"/>
          <w:szCs w:val="24"/>
        </w:rPr>
        <w:t xml:space="preserve"> In the current empirical context, </w:t>
      </w:r>
      <w:r w:rsidR="00F4333F" w:rsidRPr="009376C1">
        <w:rPr>
          <w:rFonts w:cs="Times New Roman"/>
          <w:szCs w:val="24"/>
        </w:rPr>
        <w:t xml:space="preserve">the average treatment effect (ATE) refers to the expected walk frequency shift for a randomly picked household (from the entire pool of households independent of currently observed residential neighborhood) if it were to reside in an urban neighborhood relative to a non-urban neighborhood.  It represents the “true” causal effect of urban residence on walk frequency. </w:t>
      </w:r>
      <w:r w:rsidR="009376C1" w:rsidRPr="009376C1">
        <w:rPr>
          <w:rFonts w:cs="Times New Roman"/>
          <w:szCs w:val="24"/>
        </w:rPr>
        <w:t>F</w:t>
      </w:r>
      <w:r w:rsidR="00373F0B" w:rsidRPr="009376C1">
        <w:rPr>
          <w:rFonts w:cs="Times New Roman"/>
          <w:szCs w:val="24"/>
        </w:rPr>
        <w:t>or ease in the computation of th</w:t>
      </w:r>
      <w:r w:rsidR="009376C1" w:rsidRPr="009376C1">
        <w:rPr>
          <w:rFonts w:cs="Times New Roman"/>
          <w:szCs w:val="24"/>
        </w:rPr>
        <w:t>is ATE effect</w:t>
      </w:r>
      <w:r w:rsidR="00373F0B" w:rsidRPr="009376C1">
        <w:rPr>
          <w:rFonts w:cs="Times New Roman"/>
          <w:szCs w:val="24"/>
        </w:rPr>
        <w:t xml:space="preserve">, we assign a cardinal value </w:t>
      </w:r>
      <w:r w:rsidR="00E214AA" w:rsidRPr="009376C1">
        <w:rPr>
          <w:rFonts w:cs="Times New Roman"/>
          <w:position w:val="-12"/>
          <w:szCs w:val="24"/>
        </w:rPr>
        <w:object w:dxaOrig="260" w:dyaOrig="360" w14:anchorId="0140A6CB">
          <v:shape id="_x0000_i1150" type="#_x0000_t75" style="width:13.3pt;height:18pt" o:ole="" o:preferrelative="f">
            <v:imagedata r:id="rId228" o:title=""/>
            <o:lock v:ext="edit" aspectratio="f"/>
          </v:shape>
          <o:OLEObject Type="Embed" ProgID="Equation.DSMT4" ShapeID="_x0000_i1150" DrawAspect="Content" ObjectID="_1768995625" r:id="rId229"/>
        </w:object>
      </w:r>
      <w:r w:rsidR="00F4333F" w:rsidRPr="009376C1">
        <w:rPr>
          <w:rFonts w:cs="Times New Roman"/>
          <w:szCs w:val="24"/>
        </w:rPr>
        <w:t xml:space="preserve"> </w:t>
      </w:r>
      <w:r w:rsidR="00373F0B" w:rsidRPr="009376C1">
        <w:rPr>
          <w:rFonts w:cs="Times New Roman"/>
          <w:szCs w:val="24"/>
        </w:rPr>
        <w:t>to each ordinal walk frequency category</w:t>
      </w:r>
      <w:r w:rsidR="001756B0" w:rsidRPr="009376C1">
        <w:rPr>
          <w:rFonts w:cs="Times New Roman"/>
          <w:szCs w:val="24"/>
        </w:rPr>
        <w:t xml:space="preserve"> </w:t>
      </w:r>
      <w:r w:rsidR="00F4333F" w:rsidRPr="009376C1">
        <w:rPr>
          <w:rFonts w:cs="Times New Roman"/>
          <w:i/>
          <w:iCs/>
          <w:szCs w:val="24"/>
        </w:rPr>
        <w:t>k</w:t>
      </w:r>
      <w:r w:rsidR="00F4333F" w:rsidRPr="009376C1">
        <w:rPr>
          <w:rFonts w:cs="Times New Roman"/>
          <w:szCs w:val="24"/>
        </w:rPr>
        <w:t xml:space="preserve"> </w:t>
      </w:r>
      <w:r w:rsidR="001756B0" w:rsidRPr="009376C1">
        <w:rPr>
          <w:rFonts w:cs="Times New Roman"/>
          <w:szCs w:val="24"/>
        </w:rPr>
        <w:t xml:space="preserve">as follows: </w:t>
      </w:r>
      <w:bookmarkStart w:id="19" w:name="_Hlk155098531"/>
      <w:r w:rsidR="001756B0" w:rsidRPr="009376C1">
        <w:rPr>
          <w:rFonts w:cs="Times New Roman"/>
          <w:szCs w:val="24"/>
        </w:rPr>
        <w:t>(a) Do not walk any day (</w:t>
      </w:r>
      <w:r w:rsidR="00F4333F" w:rsidRPr="009376C1">
        <w:rPr>
          <w:rFonts w:cs="Times New Roman"/>
          <w:i/>
          <w:iCs/>
          <w:szCs w:val="24"/>
        </w:rPr>
        <w:t>k</w:t>
      </w:r>
      <w:r w:rsidR="00F4333F" w:rsidRPr="009376C1">
        <w:rPr>
          <w:rFonts w:cs="Times New Roman"/>
          <w:szCs w:val="24"/>
        </w:rPr>
        <w:t xml:space="preserve">=1, </w:t>
      </w:r>
      <w:r w:rsidR="00F4333F" w:rsidRPr="009376C1">
        <w:rPr>
          <w:rFonts w:cs="Times New Roman"/>
          <w:position w:val="-12"/>
          <w:szCs w:val="24"/>
        </w:rPr>
        <w:object w:dxaOrig="680" w:dyaOrig="360" w14:anchorId="53353B35">
          <v:shape id="_x0000_i1151" type="#_x0000_t75" style="width:34.7pt;height:18pt" o:ole="">
            <v:imagedata r:id="rId230" o:title=""/>
          </v:shape>
          <o:OLEObject Type="Embed" ProgID="Equation.DSMT4" ShapeID="_x0000_i1151" DrawAspect="Content" ObjectID="_1768995626" r:id="rId231"/>
        </w:object>
      </w:r>
      <w:r w:rsidR="001756B0" w:rsidRPr="009376C1">
        <w:rPr>
          <w:rFonts w:cs="Times New Roman"/>
          <w:szCs w:val="24"/>
        </w:rPr>
        <w:t xml:space="preserve">, (b) Walk 1-2 days per week </w:t>
      </w:r>
      <w:r w:rsidR="00F4333F" w:rsidRPr="009376C1">
        <w:rPr>
          <w:rFonts w:cs="Times New Roman"/>
          <w:szCs w:val="24"/>
        </w:rPr>
        <w:t>(</w:t>
      </w:r>
      <w:r w:rsidR="00F4333F" w:rsidRPr="009376C1">
        <w:rPr>
          <w:rFonts w:cs="Times New Roman"/>
          <w:i/>
          <w:iCs/>
          <w:szCs w:val="24"/>
        </w:rPr>
        <w:t>k</w:t>
      </w:r>
      <w:r w:rsidR="00F4333F" w:rsidRPr="009376C1">
        <w:rPr>
          <w:rFonts w:cs="Times New Roman"/>
          <w:szCs w:val="24"/>
        </w:rPr>
        <w:t xml:space="preserve">=2, </w:t>
      </w:r>
      <w:r w:rsidR="00F4333F" w:rsidRPr="009376C1">
        <w:rPr>
          <w:rFonts w:cs="Times New Roman"/>
          <w:position w:val="-12"/>
          <w:szCs w:val="24"/>
        </w:rPr>
        <w:object w:dxaOrig="859" w:dyaOrig="360" w14:anchorId="61D03852">
          <v:shape id="_x0000_i1152" type="#_x0000_t75" style="width:43.7pt;height:18pt" o:ole="">
            <v:imagedata r:id="rId232" o:title=""/>
          </v:shape>
          <o:OLEObject Type="Embed" ProgID="Equation.DSMT4" ShapeID="_x0000_i1152" DrawAspect="Content" ObjectID="_1768995627" r:id="rId233"/>
        </w:object>
      </w:r>
      <w:r w:rsidR="001756B0" w:rsidRPr="009376C1">
        <w:rPr>
          <w:rFonts w:cs="Times New Roman"/>
          <w:szCs w:val="24"/>
        </w:rPr>
        <w:t xml:space="preserve">, (c) Walk 3-4 days per week </w:t>
      </w:r>
      <w:r w:rsidR="00F4333F" w:rsidRPr="009376C1">
        <w:rPr>
          <w:rFonts w:cs="Times New Roman"/>
          <w:szCs w:val="24"/>
        </w:rPr>
        <w:t>(</w:t>
      </w:r>
      <w:r w:rsidR="00F4333F" w:rsidRPr="009376C1">
        <w:rPr>
          <w:rFonts w:cs="Times New Roman"/>
          <w:i/>
          <w:iCs/>
          <w:szCs w:val="24"/>
        </w:rPr>
        <w:t>k</w:t>
      </w:r>
      <w:r w:rsidR="00F4333F" w:rsidRPr="009376C1">
        <w:rPr>
          <w:rFonts w:cs="Times New Roman"/>
          <w:szCs w:val="24"/>
        </w:rPr>
        <w:t xml:space="preserve">=3, </w:t>
      </w:r>
      <w:r w:rsidR="00F4333F" w:rsidRPr="009376C1">
        <w:rPr>
          <w:rFonts w:cs="Times New Roman"/>
          <w:position w:val="-12"/>
          <w:szCs w:val="24"/>
        </w:rPr>
        <w:object w:dxaOrig="880" w:dyaOrig="360" w14:anchorId="3D5A9F6A">
          <v:shape id="_x0000_i1153" type="#_x0000_t75" style="width:43.7pt;height:18pt" o:ole="">
            <v:imagedata r:id="rId234" o:title=""/>
          </v:shape>
          <o:OLEObject Type="Embed" ProgID="Equation.DSMT4" ShapeID="_x0000_i1153" DrawAspect="Content" ObjectID="_1768995628" r:id="rId235"/>
        </w:object>
      </w:r>
      <w:r w:rsidR="001756B0" w:rsidRPr="009376C1">
        <w:rPr>
          <w:rFonts w:cs="Times New Roman"/>
          <w:szCs w:val="24"/>
        </w:rPr>
        <w:t>, (d) Walk 5-6 days per week (</w:t>
      </w:r>
      <w:r w:rsidR="00F4333F" w:rsidRPr="009376C1">
        <w:rPr>
          <w:rFonts w:cs="Times New Roman"/>
          <w:i/>
          <w:iCs/>
          <w:szCs w:val="24"/>
        </w:rPr>
        <w:t>k</w:t>
      </w:r>
      <w:r w:rsidR="00F4333F" w:rsidRPr="009376C1">
        <w:rPr>
          <w:rFonts w:cs="Times New Roman"/>
          <w:szCs w:val="24"/>
        </w:rPr>
        <w:t xml:space="preserve">=4, </w:t>
      </w:r>
      <w:r w:rsidR="00E214AA" w:rsidRPr="009376C1">
        <w:rPr>
          <w:rFonts w:cs="Times New Roman"/>
          <w:position w:val="-12"/>
          <w:szCs w:val="24"/>
        </w:rPr>
        <w:object w:dxaOrig="940" w:dyaOrig="360" w14:anchorId="008ECD66">
          <v:shape id="_x0000_i1154" type="#_x0000_t75" style="width:46.3pt;height:18pt" o:ole="">
            <v:imagedata r:id="rId236" o:title=""/>
          </v:shape>
          <o:OLEObject Type="Embed" ProgID="Equation.DSMT4" ShapeID="_x0000_i1154" DrawAspect="Content" ObjectID="_1768995629" r:id="rId237"/>
        </w:object>
      </w:r>
      <w:r w:rsidR="001756B0" w:rsidRPr="009376C1">
        <w:rPr>
          <w:rFonts w:cs="Times New Roman"/>
          <w:szCs w:val="24"/>
        </w:rPr>
        <w:t xml:space="preserve"> and (e) Walk 7 days per week </w:t>
      </w:r>
      <w:r w:rsidR="00F4333F" w:rsidRPr="009376C1">
        <w:rPr>
          <w:rFonts w:cs="Times New Roman"/>
          <w:szCs w:val="24"/>
        </w:rPr>
        <w:t>(</w:t>
      </w:r>
      <w:r w:rsidR="00F4333F" w:rsidRPr="009376C1">
        <w:rPr>
          <w:rFonts w:cs="Times New Roman"/>
          <w:i/>
          <w:iCs/>
          <w:szCs w:val="24"/>
        </w:rPr>
        <w:t>k</w:t>
      </w:r>
      <w:r w:rsidR="00F4333F" w:rsidRPr="009376C1">
        <w:rPr>
          <w:rFonts w:cs="Times New Roman"/>
          <w:szCs w:val="24"/>
        </w:rPr>
        <w:t xml:space="preserve">=5, </w:t>
      </w:r>
      <w:r w:rsidR="00F4333F" w:rsidRPr="009376C1">
        <w:rPr>
          <w:rFonts w:cs="Times New Roman"/>
          <w:position w:val="-12"/>
          <w:szCs w:val="24"/>
        </w:rPr>
        <w:object w:dxaOrig="700" w:dyaOrig="360" w14:anchorId="3E29AA4D">
          <v:shape id="_x0000_i1155" type="#_x0000_t75" style="width:34.7pt;height:18pt" o:ole="">
            <v:imagedata r:id="rId238" o:title=""/>
          </v:shape>
          <o:OLEObject Type="Embed" ProgID="Equation.DSMT4" ShapeID="_x0000_i1155" DrawAspect="Content" ObjectID="_1768995630" r:id="rId239"/>
        </w:object>
      </w:r>
      <w:r w:rsidR="001756B0" w:rsidRPr="009376C1">
        <w:rPr>
          <w:rFonts w:cs="Times New Roman"/>
          <w:szCs w:val="24"/>
        </w:rPr>
        <w:t xml:space="preserve">. </w:t>
      </w:r>
      <w:bookmarkEnd w:id="19"/>
      <w:r w:rsidR="00D35ABF" w:rsidRPr="009376C1">
        <w:rPr>
          <w:rFonts w:cs="Times New Roman"/>
          <w:szCs w:val="24"/>
        </w:rPr>
        <w:t>Then, the ATE</w:t>
      </w:r>
      <w:r w:rsidR="00304F9F" w:rsidRPr="009376C1">
        <w:rPr>
          <w:rFonts w:cs="Times New Roman"/>
          <w:szCs w:val="24"/>
        </w:rPr>
        <w:t xml:space="preserve"> </w:t>
      </w:r>
      <w:r w:rsidR="00D35ABF" w:rsidRPr="009376C1">
        <w:rPr>
          <w:rFonts w:cs="Times New Roman"/>
          <w:szCs w:val="24"/>
        </w:rPr>
        <w:t xml:space="preserve">metric </w:t>
      </w:r>
      <w:r w:rsidR="009376C1" w:rsidRPr="009376C1">
        <w:rPr>
          <w:rFonts w:cs="Times New Roman"/>
          <w:szCs w:val="24"/>
        </w:rPr>
        <w:t xml:space="preserve">is </w:t>
      </w:r>
      <w:r w:rsidR="00D35ABF" w:rsidRPr="009376C1">
        <w:rPr>
          <w:rFonts w:cs="Times New Roman"/>
          <w:szCs w:val="24"/>
        </w:rPr>
        <w:t xml:space="preserve">computed </w:t>
      </w:r>
      <w:r w:rsidR="009376C1" w:rsidRPr="009376C1">
        <w:rPr>
          <w:rFonts w:cs="Times New Roman"/>
          <w:szCs w:val="24"/>
        </w:rPr>
        <w:t xml:space="preserve">for our proposed model </w:t>
      </w:r>
      <w:r w:rsidR="00D35ABF" w:rsidRPr="009376C1">
        <w:rPr>
          <w:rFonts w:cs="Times New Roman"/>
          <w:szCs w:val="24"/>
        </w:rPr>
        <w:t>as follows</w:t>
      </w:r>
      <w:r w:rsidR="00B94402" w:rsidRPr="009376C1">
        <w:rPr>
          <w:rFonts w:cs="Times New Roman"/>
          <w:szCs w:val="24"/>
        </w:rPr>
        <w:t xml:space="preserve"> (using the same notations as earlier)</w:t>
      </w:r>
      <w:r w:rsidR="00D35ABF" w:rsidRPr="009376C1">
        <w:rPr>
          <w:rFonts w:cs="Times New Roman"/>
          <w:szCs w:val="24"/>
        </w:rPr>
        <w:t>:</w:t>
      </w:r>
    </w:p>
    <w:p w14:paraId="64F5BB6B" w14:textId="66C8F6F0" w:rsidR="00D35ABF" w:rsidRPr="009376C1" w:rsidRDefault="00504DC0" w:rsidP="00D40E00">
      <w:pPr>
        <w:spacing w:before="60" w:after="60" w:line="276" w:lineRule="auto"/>
        <w:jc w:val="both"/>
        <w:rPr>
          <w:rFonts w:cs="Times New Roman"/>
          <w:szCs w:val="24"/>
        </w:rPr>
      </w:pPr>
      <w:r w:rsidRPr="009376C1">
        <w:rPr>
          <w:rFonts w:cs="Times New Roman"/>
          <w:position w:val="-68"/>
          <w:szCs w:val="24"/>
        </w:rPr>
        <w:object w:dxaOrig="8720" w:dyaOrig="1480" w14:anchorId="4223F693">
          <v:shape id="_x0000_i1156" type="#_x0000_t75" style="width:435.45pt;height:74.15pt" o:ole="" fillcolor="window">
            <v:imagedata r:id="rId240" o:title=""/>
          </v:shape>
          <o:OLEObject Type="Embed" ProgID="Equation.DSMT4" ShapeID="_x0000_i1156" DrawAspect="Content" ObjectID="_1768995631" r:id="rId241"/>
        </w:object>
      </w:r>
      <w:r w:rsidR="0051631C">
        <w:rPr>
          <w:rFonts w:cs="Times New Roman"/>
          <w:szCs w:val="24"/>
        </w:rPr>
        <w:t xml:space="preserve">    (12)</w:t>
      </w:r>
    </w:p>
    <w:p w14:paraId="0AAEFE70" w14:textId="5ACBBC73" w:rsidR="00D35ABF" w:rsidRPr="009376C1" w:rsidRDefault="009376C1" w:rsidP="00B4106B">
      <w:pPr>
        <w:spacing w:line="276" w:lineRule="auto"/>
        <w:jc w:val="both"/>
        <w:rPr>
          <w:rFonts w:cs="Times New Roman"/>
          <w:szCs w:val="24"/>
        </w:rPr>
      </w:pPr>
      <w:r>
        <w:rPr>
          <w:rFonts w:cs="Times New Roman"/>
          <w:szCs w:val="24"/>
        </w:rPr>
        <w:t>For the more restrictive bivariate normal model, after estimation, we compute the ATE effect</w:t>
      </w:r>
      <w:r w:rsidR="00FB6F52">
        <w:rPr>
          <w:rFonts w:cs="Times New Roman"/>
          <w:szCs w:val="24"/>
        </w:rPr>
        <w:t xml:space="preserve"> without the YJ transformations appearing in the equation above. For the independent YJ model, the ATE takes the same form as </w:t>
      </w:r>
      <w:r w:rsidR="00FB6F52" w:rsidRPr="0051631C">
        <w:rPr>
          <w:rFonts w:cs="Times New Roman"/>
          <w:szCs w:val="24"/>
        </w:rPr>
        <w:t>Equation (</w:t>
      </w:r>
      <w:r w:rsidR="0051631C" w:rsidRPr="0051631C">
        <w:rPr>
          <w:rFonts w:cs="Times New Roman"/>
          <w:szCs w:val="24"/>
        </w:rPr>
        <w:t>12</w:t>
      </w:r>
      <w:r w:rsidR="00FB6F52" w:rsidRPr="0051631C">
        <w:rPr>
          <w:rFonts w:cs="Times New Roman"/>
          <w:szCs w:val="24"/>
        </w:rPr>
        <w:t>)</w:t>
      </w:r>
      <w:r w:rsidR="00FB6F52">
        <w:rPr>
          <w:rFonts w:cs="Times New Roman"/>
          <w:szCs w:val="24"/>
        </w:rPr>
        <w:t xml:space="preserve"> after estimation, while, for the independent normal model, the ATE takes the same form as for the bivariate normal model except that the coefficients correspond to the case when the error correlation is ignored.</w:t>
      </w:r>
      <w:r>
        <w:rPr>
          <w:rFonts w:cs="Times New Roman"/>
          <w:szCs w:val="24"/>
        </w:rPr>
        <w:t xml:space="preserve"> </w:t>
      </w:r>
      <w:r w:rsidR="00BF0FAD">
        <w:rPr>
          <w:rFonts w:cs="Times New Roman"/>
          <w:szCs w:val="24"/>
        </w:rPr>
        <w:t xml:space="preserve">In addition, we also compute the % ATE effect, considering the walk frequency predicted by our proposed model for a random household if it were located in an urban location as the base. To be noted here is that we do not observe the walk frequency for a random household if were in an urban location; this is a counterfactual scenario that can be obtained only through prediction. </w:t>
      </w:r>
      <w:r w:rsidR="001A4A42">
        <w:rPr>
          <w:rFonts w:cs="Times New Roman"/>
          <w:szCs w:val="24"/>
        </w:rPr>
        <w:t>T</w:t>
      </w:r>
      <w:r w:rsidR="00BF0FAD">
        <w:rPr>
          <w:rFonts w:cs="Times New Roman"/>
          <w:szCs w:val="24"/>
        </w:rPr>
        <w:t>his counterfactual prediction</w:t>
      </w:r>
      <w:r w:rsidR="001A4A42">
        <w:rPr>
          <w:rFonts w:cs="Times New Roman"/>
          <w:szCs w:val="24"/>
        </w:rPr>
        <w:t xml:space="preserve"> is obtained from each model and used as </w:t>
      </w:r>
      <w:r w:rsidR="00BF0FAD">
        <w:rPr>
          <w:rFonts w:cs="Times New Roman"/>
          <w:szCs w:val="24"/>
        </w:rPr>
        <w:t xml:space="preserve">the basis to compute the %ATE for </w:t>
      </w:r>
      <w:r w:rsidR="001A4A42">
        <w:rPr>
          <w:rFonts w:cs="Times New Roman"/>
          <w:szCs w:val="24"/>
        </w:rPr>
        <w:t xml:space="preserve">the </w:t>
      </w:r>
      <w:r w:rsidR="00BF0FAD">
        <w:rPr>
          <w:rFonts w:cs="Times New Roman"/>
          <w:szCs w:val="24"/>
        </w:rPr>
        <w:t>model</w:t>
      </w:r>
      <w:r w:rsidR="001A4A42">
        <w:rPr>
          <w:rFonts w:cs="Times New Roman"/>
          <w:szCs w:val="24"/>
        </w:rPr>
        <w:t xml:space="preserve"> </w:t>
      </w:r>
      <w:r w:rsidR="00A632BD">
        <w:rPr>
          <w:rFonts w:cs="Times New Roman"/>
          <w:szCs w:val="24"/>
        </w:rPr>
        <w:t>(this counterfactual walk frequency prediction</w:t>
      </w:r>
      <w:r w:rsidR="001A4A42">
        <w:rPr>
          <w:rFonts w:cs="Times New Roman"/>
          <w:szCs w:val="24"/>
        </w:rPr>
        <w:t xml:space="preserve">, in days of walk per week, for a random household if located in a non-urban area </w:t>
      </w:r>
      <w:r w:rsidR="00A632BD">
        <w:rPr>
          <w:rFonts w:cs="Times New Roman"/>
          <w:szCs w:val="24"/>
        </w:rPr>
        <w:t xml:space="preserve">is </w:t>
      </w:r>
      <w:r w:rsidR="001A4A42">
        <w:rPr>
          <w:rFonts w:cs="Times New Roman"/>
          <w:szCs w:val="24"/>
        </w:rPr>
        <w:t xml:space="preserve">3.37 for the independent normal model; 2.72 for the bivariate normal model; 3.28 for the independent YJ model, and </w:t>
      </w:r>
      <w:r w:rsidR="00A632BD">
        <w:rPr>
          <w:rFonts w:cs="Times New Roman"/>
          <w:szCs w:val="24"/>
        </w:rPr>
        <w:t xml:space="preserve">2.55 </w:t>
      </w:r>
      <w:r w:rsidR="001A4A42">
        <w:rPr>
          <w:rFonts w:cs="Times New Roman"/>
          <w:szCs w:val="24"/>
        </w:rPr>
        <w:t>for the bivariate YJ model</w:t>
      </w:r>
      <w:r w:rsidR="00A632BD">
        <w:rPr>
          <w:rFonts w:cs="Times New Roman"/>
          <w:szCs w:val="24"/>
        </w:rPr>
        <w:t>)</w:t>
      </w:r>
      <w:r w:rsidR="00BF0FAD">
        <w:rPr>
          <w:rFonts w:cs="Times New Roman"/>
          <w:szCs w:val="24"/>
        </w:rPr>
        <w:t xml:space="preserve">. </w:t>
      </w:r>
    </w:p>
    <w:p w14:paraId="0CFE07FF" w14:textId="0CFEADD1" w:rsidR="00754F89" w:rsidRDefault="00E76311" w:rsidP="00B4106B">
      <w:pPr>
        <w:spacing w:line="276" w:lineRule="auto"/>
        <w:ind w:firstLine="720"/>
        <w:jc w:val="both"/>
        <w:rPr>
          <w:rFonts w:cs="Times New Roman"/>
          <w:szCs w:val="24"/>
        </w:rPr>
      </w:pPr>
      <w:r>
        <w:rPr>
          <w:rFonts w:cs="Times New Roman"/>
          <w:szCs w:val="24"/>
        </w:rPr>
        <w:t xml:space="preserve">The bottom panel of </w:t>
      </w:r>
      <w:r w:rsidR="0047288A">
        <w:rPr>
          <w:rFonts w:cs="Times New Roman"/>
          <w:szCs w:val="24"/>
        </w:rPr>
        <w:t xml:space="preserve">Table </w:t>
      </w:r>
      <w:r>
        <w:rPr>
          <w:rFonts w:cs="Times New Roman"/>
          <w:szCs w:val="24"/>
        </w:rPr>
        <w:t xml:space="preserve">2 </w:t>
      </w:r>
      <w:r w:rsidR="0047288A">
        <w:rPr>
          <w:rFonts w:cs="Times New Roman"/>
          <w:szCs w:val="24"/>
        </w:rPr>
        <w:t>presents these ATE effects</w:t>
      </w:r>
      <w:r w:rsidR="0010778A">
        <w:rPr>
          <w:rFonts w:cs="Times New Roman"/>
          <w:szCs w:val="24"/>
        </w:rPr>
        <w:t xml:space="preserve"> for each of the four models</w:t>
      </w:r>
      <w:r w:rsidR="0047288A">
        <w:rPr>
          <w:rFonts w:cs="Times New Roman"/>
          <w:szCs w:val="24"/>
        </w:rPr>
        <w:t xml:space="preserve">. </w:t>
      </w:r>
      <w:r w:rsidR="00A632BD">
        <w:rPr>
          <w:rFonts w:cs="Times New Roman"/>
          <w:szCs w:val="24"/>
        </w:rPr>
        <w:t xml:space="preserve">The first numeric </w:t>
      </w:r>
      <w:r>
        <w:rPr>
          <w:rFonts w:cs="Times New Roman"/>
          <w:szCs w:val="24"/>
        </w:rPr>
        <w:t xml:space="preserve">value </w:t>
      </w:r>
      <w:r w:rsidR="00A632BD">
        <w:rPr>
          <w:rFonts w:cs="Times New Roman"/>
          <w:szCs w:val="24"/>
        </w:rPr>
        <w:t>(0.062) indicates that a random household would walk an additional 0.062 days per week if in an urban setting rather than a non-urban setting</w:t>
      </w:r>
      <w:r w:rsidR="001A4A42">
        <w:rPr>
          <w:rFonts w:cs="Times New Roman"/>
          <w:szCs w:val="24"/>
        </w:rPr>
        <w:t xml:space="preserve">, corresponding to a </w:t>
      </w:r>
      <w:r w:rsidR="00A632BD">
        <w:rPr>
          <w:rFonts w:cs="Times New Roman"/>
          <w:szCs w:val="24"/>
        </w:rPr>
        <w:t xml:space="preserve">%ATE effect </w:t>
      </w:r>
      <w:r w:rsidR="001A4A42">
        <w:rPr>
          <w:rFonts w:cs="Times New Roman"/>
          <w:szCs w:val="24"/>
        </w:rPr>
        <w:t xml:space="preserve">of </w:t>
      </w:r>
      <w:r w:rsidR="001A4A42">
        <w:rPr>
          <w:rFonts w:cs="Times New Roman"/>
          <w:szCs w:val="24"/>
        </w:rPr>
        <w:lastRenderedPageBreak/>
        <w:t xml:space="preserve">1.8% (that is, the independent normal model predicts that a random household </w:t>
      </w:r>
      <w:r w:rsidR="000E2A5D">
        <w:rPr>
          <w:rFonts w:cs="Times New Roman"/>
          <w:szCs w:val="24"/>
        </w:rPr>
        <w:t xml:space="preserve">would have 1.8% additional walk days if in an urban environment relative to a non-urban </w:t>
      </w:r>
      <w:r w:rsidR="00563765">
        <w:rPr>
          <w:rFonts w:cs="Times New Roman"/>
          <w:szCs w:val="24"/>
        </w:rPr>
        <w:t>environment)</w:t>
      </w:r>
      <w:r w:rsidR="000E2A5D">
        <w:rPr>
          <w:rFonts w:cs="Times New Roman"/>
          <w:szCs w:val="24"/>
        </w:rPr>
        <w:t xml:space="preserve">. The difference in ATE effects across the many models is rather clear. For the independent models, the ATE effect is substantially underestimated because of the negative correlation in the error terms of the urban residence equation and the walk frequency equation (that is, the fact that individuals with a high walk frequency propensity tend to locate themselves in non-urban areas gets comingled with the true “causal” effect, lowering the ATE substantially). The bivariate models disentangle the correlation effect from the “true” causal effect, which shows up as a much higher ATE effect. </w:t>
      </w:r>
      <w:r w:rsidR="007461E4">
        <w:rPr>
          <w:rFonts w:cs="Times New Roman"/>
          <w:szCs w:val="24"/>
        </w:rPr>
        <w:t>Even so, the bivariate normal model does underestimate the “true” causal effect (</w:t>
      </w:r>
      <w:r w:rsidR="00E25A25">
        <w:rPr>
          <w:rFonts w:cs="Times New Roman"/>
          <w:szCs w:val="24"/>
        </w:rPr>
        <w:t xml:space="preserve">an ATE of 0.812 or about </w:t>
      </w:r>
      <w:r w:rsidR="007461E4">
        <w:rPr>
          <w:rFonts w:cs="Times New Roman"/>
          <w:szCs w:val="24"/>
        </w:rPr>
        <w:t xml:space="preserve">30% ATE in the bivariate normal relative to </w:t>
      </w:r>
      <w:r w:rsidR="00E25A25">
        <w:rPr>
          <w:rFonts w:cs="Times New Roman"/>
          <w:szCs w:val="24"/>
        </w:rPr>
        <w:t xml:space="preserve">an ATE of 1.004 or </w:t>
      </w:r>
      <w:r w:rsidR="007461E4">
        <w:rPr>
          <w:rFonts w:cs="Times New Roman"/>
          <w:szCs w:val="24"/>
        </w:rPr>
        <w:t>about 40% ATE in the bivariate YJ model). This underestimation of the “true” causal</w:t>
      </w:r>
      <w:r w:rsidR="00E25A25">
        <w:rPr>
          <w:rFonts w:cs="Times New Roman"/>
          <w:szCs w:val="24"/>
        </w:rPr>
        <w:t xml:space="preserve"> ATE</w:t>
      </w:r>
      <w:r w:rsidR="007461E4">
        <w:rPr>
          <w:rFonts w:cs="Times New Roman"/>
          <w:szCs w:val="24"/>
        </w:rPr>
        <w:t xml:space="preserve"> effect of urban residence on walk frequency in the bivariate normal model is due to the asymmetry and rightward skew of the error term of the walk frequency propensity (as correctly recognized by the bivariate YJ model but ignored by the bivariate normal model). </w:t>
      </w:r>
      <w:r w:rsidR="00DD6400" w:rsidRPr="00DD6400">
        <w:rPr>
          <w:rFonts w:cs="Times New Roman"/>
          <w:szCs w:val="24"/>
        </w:rPr>
        <w:t xml:space="preserve">Of course, </w:t>
      </w:r>
      <w:r w:rsidR="00DD6400">
        <w:rPr>
          <w:rFonts w:cs="Times New Roman"/>
          <w:szCs w:val="24"/>
        </w:rPr>
        <w:t>the extent of differences in the ATE</w:t>
      </w:r>
      <w:r w:rsidR="00BA53CB">
        <w:rPr>
          <w:rFonts w:cs="Times New Roman"/>
          <w:szCs w:val="24"/>
        </w:rPr>
        <w:t>s</w:t>
      </w:r>
      <w:r w:rsidR="00DD6400">
        <w:rPr>
          <w:rFonts w:cs="Times New Roman"/>
          <w:szCs w:val="24"/>
        </w:rPr>
        <w:t xml:space="preserve"> </w:t>
      </w:r>
      <w:r w:rsidR="00BA53CB">
        <w:rPr>
          <w:rFonts w:cs="Times New Roman"/>
          <w:szCs w:val="24"/>
        </w:rPr>
        <w:t xml:space="preserve">between a </w:t>
      </w:r>
      <w:r w:rsidR="00DD6400">
        <w:rPr>
          <w:rFonts w:cs="Times New Roman"/>
          <w:szCs w:val="24"/>
        </w:rPr>
        <w:t xml:space="preserve">restrictive </w:t>
      </w:r>
      <w:r w:rsidR="00BA53CB">
        <w:rPr>
          <w:rFonts w:cs="Times New Roman"/>
          <w:szCs w:val="24"/>
        </w:rPr>
        <w:t xml:space="preserve">distribution </w:t>
      </w:r>
      <w:r w:rsidR="00DD6400">
        <w:rPr>
          <w:rFonts w:cs="Times New Roman"/>
          <w:szCs w:val="24"/>
        </w:rPr>
        <w:t xml:space="preserve">model and the proposed more general </w:t>
      </w:r>
      <w:r w:rsidR="00BA53CB">
        <w:rPr>
          <w:rFonts w:cs="Times New Roman"/>
          <w:szCs w:val="24"/>
        </w:rPr>
        <w:t xml:space="preserve">distribution </w:t>
      </w:r>
      <w:r w:rsidR="00DD6400">
        <w:rPr>
          <w:rFonts w:cs="Times New Roman"/>
          <w:szCs w:val="24"/>
        </w:rPr>
        <w:t xml:space="preserve">model will be </w:t>
      </w:r>
      <w:r w:rsidR="00DD6400" w:rsidRPr="00DD6400">
        <w:rPr>
          <w:rFonts w:cs="Times New Roman"/>
          <w:szCs w:val="24"/>
        </w:rPr>
        <w:t xml:space="preserve">specific to </w:t>
      </w:r>
      <w:r w:rsidR="00DD6400">
        <w:rPr>
          <w:rFonts w:cs="Times New Roman"/>
          <w:szCs w:val="24"/>
        </w:rPr>
        <w:t xml:space="preserve">each </w:t>
      </w:r>
      <w:r w:rsidR="00DD6400" w:rsidRPr="00DD6400">
        <w:rPr>
          <w:rFonts w:cs="Times New Roman"/>
          <w:szCs w:val="24"/>
        </w:rPr>
        <w:t>empirical context</w:t>
      </w:r>
      <w:r w:rsidR="00DD6400">
        <w:rPr>
          <w:rFonts w:cs="Times New Roman"/>
          <w:szCs w:val="24"/>
        </w:rPr>
        <w:t xml:space="preserve"> considered</w:t>
      </w:r>
      <w:r w:rsidR="00DD6400" w:rsidRPr="00DD6400">
        <w:rPr>
          <w:rFonts w:cs="Times New Roman"/>
          <w:szCs w:val="24"/>
        </w:rPr>
        <w:t xml:space="preserve">, </w:t>
      </w:r>
      <w:r w:rsidR="00DD6400">
        <w:rPr>
          <w:rFonts w:cs="Times New Roman"/>
          <w:szCs w:val="24"/>
        </w:rPr>
        <w:t xml:space="preserve">which implies that it is best to estimate the </w:t>
      </w:r>
      <w:r w:rsidR="00BA53CB">
        <w:rPr>
          <w:rFonts w:cs="Times New Roman"/>
          <w:szCs w:val="24"/>
        </w:rPr>
        <w:t xml:space="preserve">proposed </w:t>
      </w:r>
      <w:r w:rsidR="00DD6400">
        <w:rPr>
          <w:rFonts w:cs="Times New Roman"/>
          <w:szCs w:val="24"/>
        </w:rPr>
        <w:t xml:space="preserve">model proposed </w:t>
      </w:r>
      <w:r w:rsidR="00BA53CB">
        <w:rPr>
          <w:rFonts w:cs="Times New Roman"/>
          <w:szCs w:val="24"/>
        </w:rPr>
        <w:t xml:space="preserve">rather than </w:t>
      </w:r>
      <w:r w:rsidR="00BA53CB" w:rsidRPr="00BA53CB">
        <w:rPr>
          <w:rFonts w:cs="Times New Roman"/>
          <w:i/>
          <w:iCs/>
          <w:szCs w:val="24"/>
        </w:rPr>
        <w:t>a priori</w:t>
      </w:r>
      <w:r w:rsidR="00BA53CB">
        <w:rPr>
          <w:rFonts w:cs="Times New Roman"/>
          <w:szCs w:val="24"/>
        </w:rPr>
        <w:t xml:space="preserve"> settling for a restrictive structure that may provide inaccurate results. </w:t>
      </w:r>
    </w:p>
    <w:p w14:paraId="4444B59D" w14:textId="7C2E6E60" w:rsidR="006559C3" w:rsidRDefault="00603200" w:rsidP="00B4106B">
      <w:pPr>
        <w:autoSpaceDE w:val="0"/>
        <w:autoSpaceDN w:val="0"/>
        <w:adjustRightInd w:val="0"/>
        <w:spacing w:line="276" w:lineRule="auto"/>
        <w:jc w:val="both"/>
        <w:rPr>
          <w:rFonts w:cs="Times New Roman"/>
          <w:szCs w:val="24"/>
        </w:rPr>
      </w:pPr>
      <w:r>
        <w:rPr>
          <w:rFonts w:cs="Times New Roman"/>
          <w:szCs w:val="24"/>
        </w:rPr>
        <w:tab/>
        <w:t xml:space="preserve">Finally, in terms of the residential self-selection effect, one may estimate this from the realization that any model that ignores the correlation between the urban residence and walk frequency equations comingles the associative effect of urban residence and the “true causal” effect of urban residence. Thus, considering the two YJ-based models, the ATE for the independent YJ model </w:t>
      </w:r>
      <w:r w:rsidRPr="009376C1">
        <w:rPr>
          <w:rFonts w:cs="Times New Roman"/>
          <w:szCs w:val="24"/>
        </w:rPr>
        <w:t>c</w:t>
      </w:r>
      <w:r>
        <w:rPr>
          <w:rFonts w:cs="Times New Roman"/>
          <w:szCs w:val="24"/>
        </w:rPr>
        <w:t>omingles</w:t>
      </w:r>
      <w:r w:rsidRPr="009376C1">
        <w:rPr>
          <w:rFonts w:cs="Times New Roman"/>
          <w:szCs w:val="24"/>
        </w:rPr>
        <w:t xml:space="preserve"> the </w:t>
      </w:r>
      <w:r>
        <w:rPr>
          <w:rFonts w:cs="Times New Roman"/>
          <w:szCs w:val="24"/>
        </w:rPr>
        <w:t>“</w:t>
      </w:r>
      <w:r w:rsidRPr="009376C1">
        <w:rPr>
          <w:rFonts w:cs="Times New Roman"/>
          <w:szCs w:val="24"/>
        </w:rPr>
        <w:t>spurious</w:t>
      </w:r>
      <w:r>
        <w:rPr>
          <w:rFonts w:cs="Times New Roman"/>
          <w:szCs w:val="24"/>
        </w:rPr>
        <w:t>”</w:t>
      </w:r>
      <w:r w:rsidRPr="009376C1">
        <w:rPr>
          <w:rFonts w:cs="Times New Roman"/>
          <w:szCs w:val="24"/>
        </w:rPr>
        <w:t xml:space="preserve"> </w:t>
      </w:r>
      <w:r>
        <w:rPr>
          <w:rFonts w:cs="Times New Roman"/>
          <w:szCs w:val="24"/>
        </w:rPr>
        <w:t xml:space="preserve">self-selection and </w:t>
      </w:r>
      <w:r w:rsidRPr="009376C1">
        <w:rPr>
          <w:rFonts w:cs="Times New Roman"/>
          <w:szCs w:val="24"/>
        </w:rPr>
        <w:t xml:space="preserve">“true” causal </w:t>
      </w:r>
      <w:r>
        <w:rPr>
          <w:rFonts w:cs="Times New Roman"/>
          <w:szCs w:val="24"/>
        </w:rPr>
        <w:t xml:space="preserve">urban residence effects, while the ATE for the bivariate model estimates the “true” causal effect. From the ATEs, one may then estimate the </w:t>
      </w:r>
      <w:r w:rsidR="008D5A84">
        <w:rPr>
          <w:rFonts w:cs="Times New Roman"/>
          <w:szCs w:val="24"/>
        </w:rPr>
        <w:t>total of the two effects to be 1.004+(1.004-0</w:t>
      </w:r>
      <w:r w:rsidR="00E25A25">
        <w:rPr>
          <w:rFonts w:cs="Times New Roman"/>
          <w:szCs w:val="24"/>
        </w:rPr>
        <w:t>.163</w:t>
      </w:r>
      <w:r w:rsidR="008D5A84">
        <w:rPr>
          <w:rFonts w:cs="Times New Roman"/>
          <w:szCs w:val="24"/>
        </w:rPr>
        <w:t>)=</w:t>
      </w:r>
      <w:r w:rsidR="00E25A25">
        <w:rPr>
          <w:rFonts w:cs="Times New Roman"/>
          <w:szCs w:val="24"/>
        </w:rPr>
        <w:t>1.845</w:t>
      </w:r>
      <w:r w:rsidR="008D5A84">
        <w:rPr>
          <w:rFonts w:cs="Times New Roman"/>
          <w:szCs w:val="24"/>
        </w:rPr>
        <w:t>.</w:t>
      </w:r>
      <w:r w:rsidR="00E25A25">
        <w:rPr>
          <w:rFonts w:cs="Times New Roman"/>
          <w:szCs w:val="24"/>
        </w:rPr>
        <w:t xml:space="preserve"> Then, the self-selection effect amounts to 45.6% and the “true” causal effect amounts to 54.4%.</w:t>
      </w:r>
    </w:p>
    <w:p w14:paraId="1C4D4E97" w14:textId="06773DE5" w:rsidR="00E25A25" w:rsidRDefault="00E25A25" w:rsidP="00B4106B">
      <w:pPr>
        <w:autoSpaceDE w:val="0"/>
        <w:autoSpaceDN w:val="0"/>
        <w:adjustRightInd w:val="0"/>
        <w:spacing w:line="276" w:lineRule="auto"/>
        <w:jc w:val="both"/>
        <w:rPr>
          <w:rFonts w:cs="Times New Roman"/>
          <w:szCs w:val="24"/>
        </w:rPr>
      </w:pPr>
    </w:p>
    <w:p w14:paraId="278E214E" w14:textId="01CFFDBB" w:rsidR="00991A71" w:rsidRPr="00504DC0" w:rsidRDefault="00991A71" w:rsidP="00504DC0">
      <w:pPr>
        <w:numPr>
          <w:ilvl w:val="0"/>
          <w:numId w:val="2"/>
        </w:numPr>
        <w:autoSpaceDE w:val="0"/>
        <w:autoSpaceDN w:val="0"/>
        <w:adjustRightInd w:val="0"/>
        <w:spacing w:line="276" w:lineRule="auto"/>
        <w:ind w:left="540" w:hanging="540"/>
        <w:jc w:val="both"/>
        <w:rPr>
          <w:b/>
          <w:bCs/>
          <w:caps/>
        </w:rPr>
      </w:pPr>
      <w:r w:rsidRPr="00504DC0">
        <w:rPr>
          <w:b/>
          <w:bCs/>
          <w:caps/>
        </w:rPr>
        <w:t>Conclusions</w:t>
      </w:r>
    </w:p>
    <w:p w14:paraId="2C189DE9" w14:textId="33276C5F" w:rsidR="00CF1271" w:rsidRPr="00967572" w:rsidRDefault="00991A71" w:rsidP="00B4106B">
      <w:pPr>
        <w:spacing w:line="276" w:lineRule="auto"/>
        <w:jc w:val="both"/>
        <w:rPr>
          <w:rFonts w:cs="Times New Roman"/>
          <w:szCs w:val="24"/>
        </w:rPr>
      </w:pPr>
      <w:r>
        <w:rPr>
          <w:rFonts w:cs="Times New Roman"/>
          <w:szCs w:val="24"/>
        </w:rPr>
        <w:t xml:space="preserve">In this paper, we have shown the promise of </w:t>
      </w:r>
      <w:r w:rsidRPr="0065493C">
        <w:rPr>
          <w:rFonts w:cs="Times New Roman"/>
          <w:szCs w:val="24"/>
        </w:rPr>
        <w:t xml:space="preserve">the YJ transformation </w:t>
      </w:r>
      <w:r>
        <w:rPr>
          <w:rFonts w:cs="Times New Roman"/>
          <w:szCs w:val="24"/>
        </w:rPr>
        <w:t>to accommodate</w:t>
      </w:r>
      <w:r w:rsidRPr="0065493C">
        <w:rPr>
          <w:rFonts w:cs="Times New Roman"/>
          <w:szCs w:val="24"/>
        </w:rPr>
        <w:t xml:space="preserve"> flexible specification</w:t>
      </w:r>
      <w:r>
        <w:rPr>
          <w:rFonts w:cs="Times New Roman"/>
          <w:szCs w:val="24"/>
        </w:rPr>
        <w:t>s</w:t>
      </w:r>
      <w:r w:rsidRPr="0065493C">
        <w:rPr>
          <w:rFonts w:cs="Times New Roman"/>
          <w:szCs w:val="24"/>
        </w:rPr>
        <w:t xml:space="preserve"> of stochastic terms in multivariate mixed data models</w:t>
      </w:r>
      <w:r>
        <w:rPr>
          <w:rFonts w:cs="Times New Roman"/>
          <w:szCs w:val="24"/>
        </w:rPr>
        <w:t xml:space="preserve"> in general, and ordered-</w:t>
      </w:r>
      <w:r w:rsidRPr="00967572">
        <w:rPr>
          <w:rFonts w:cs="Times New Roman"/>
          <w:szCs w:val="24"/>
        </w:rPr>
        <w:t>response models with discrete EEVs in particular. To our knowledge, this is the first such formulation and application</w:t>
      </w:r>
      <w:r w:rsidR="0051631C">
        <w:rPr>
          <w:rFonts w:cs="Times New Roman"/>
          <w:szCs w:val="24"/>
        </w:rPr>
        <w:t xml:space="preserve"> in the econometric literature</w:t>
      </w:r>
      <w:r w:rsidRPr="00967572">
        <w:rPr>
          <w:rFonts w:cs="Times New Roman"/>
          <w:szCs w:val="24"/>
        </w:rPr>
        <w:t xml:space="preserve">. </w:t>
      </w:r>
      <w:r w:rsidR="00090396" w:rsidRPr="00967572">
        <w:rPr>
          <w:rFonts w:cs="Times New Roman"/>
          <w:szCs w:val="24"/>
        </w:rPr>
        <w:t xml:space="preserve">The use of such a flexible parametric distribution leads to added robustness of the maximum likelihood (ML) estimator. </w:t>
      </w:r>
      <w:r w:rsidR="00CF1271" w:rsidRPr="00967572">
        <w:rPr>
          <w:rFonts w:cs="Times New Roman"/>
          <w:szCs w:val="24"/>
        </w:rPr>
        <w:t>The resulting bivariate YJ model is as easy to estimate as a bivariate normal model.</w:t>
      </w:r>
      <w:r w:rsidR="00E76311" w:rsidRPr="00967572">
        <w:rPr>
          <w:rFonts w:cs="Times New Roman"/>
          <w:szCs w:val="24"/>
        </w:rPr>
        <w:t xml:space="preserve"> More generally, the YJ transformation is an efficient way to capture flexible marginal error distributions, which then can be bound together using an implicit copula approach. The proposed approach can be applied to a number of different univariate and multivariate mixed modeling structures, including sample selection models, endogenous switching models, multivariate mixed data models, and revealed preference-stated preference models. It can also be employed for empirical analysis in</w:t>
      </w:r>
      <w:r w:rsidR="00967572" w:rsidRPr="00967572">
        <w:rPr>
          <w:rFonts w:cs="Times New Roman"/>
          <w:szCs w:val="24"/>
        </w:rPr>
        <w:t xml:space="preserve"> a variety of </w:t>
      </w:r>
      <w:r w:rsidR="00E76311" w:rsidRPr="00967572">
        <w:rPr>
          <w:rFonts w:cs="Times New Roman"/>
          <w:szCs w:val="24"/>
        </w:rPr>
        <w:t xml:space="preserve">travel behavior, traffic safety, urban planning, education, </w:t>
      </w:r>
      <w:r w:rsidR="00967572" w:rsidRPr="00967572">
        <w:rPr>
          <w:rFonts w:cs="Times New Roman"/>
          <w:szCs w:val="24"/>
        </w:rPr>
        <w:t xml:space="preserve">public </w:t>
      </w:r>
      <w:r w:rsidR="00E76311" w:rsidRPr="00967572">
        <w:rPr>
          <w:rFonts w:cs="Times New Roman"/>
          <w:szCs w:val="24"/>
        </w:rPr>
        <w:t>health</w:t>
      </w:r>
      <w:r w:rsidR="00967572" w:rsidRPr="00967572">
        <w:rPr>
          <w:rFonts w:cs="Times New Roman"/>
          <w:szCs w:val="24"/>
        </w:rPr>
        <w:t xml:space="preserve">, geography, and </w:t>
      </w:r>
      <w:r w:rsidR="00E76311" w:rsidRPr="00967572">
        <w:rPr>
          <w:rFonts w:cs="Times New Roman"/>
          <w:szCs w:val="24"/>
        </w:rPr>
        <w:t xml:space="preserve"> </w:t>
      </w:r>
      <w:r w:rsidR="00967572" w:rsidRPr="00967572">
        <w:rPr>
          <w:rFonts w:cs="Times New Roman"/>
          <w:szCs w:val="24"/>
        </w:rPr>
        <w:t xml:space="preserve">environmental economics </w:t>
      </w:r>
      <w:r w:rsidR="00E76311" w:rsidRPr="00967572">
        <w:rPr>
          <w:rFonts w:cs="Times New Roman"/>
          <w:szCs w:val="24"/>
        </w:rPr>
        <w:t>fields</w:t>
      </w:r>
      <w:r w:rsidR="00967572" w:rsidRPr="00967572">
        <w:rPr>
          <w:rFonts w:cs="Times New Roman"/>
          <w:szCs w:val="24"/>
        </w:rPr>
        <w:t>, among other fields</w:t>
      </w:r>
      <w:r w:rsidR="00E76311" w:rsidRPr="00967572">
        <w:rPr>
          <w:rFonts w:cs="Times New Roman"/>
          <w:szCs w:val="24"/>
        </w:rPr>
        <w:t xml:space="preserve">. </w:t>
      </w:r>
    </w:p>
    <w:p w14:paraId="060E617E" w14:textId="05A6AEB8" w:rsidR="00F26ACC" w:rsidRPr="00967572" w:rsidRDefault="00991A71" w:rsidP="00B4106B">
      <w:pPr>
        <w:autoSpaceDE w:val="0"/>
        <w:autoSpaceDN w:val="0"/>
        <w:adjustRightInd w:val="0"/>
        <w:spacing w:line="276" w:lineRule="auto"/>
        <w:ind w:firstLine="720"/>
        <w:jc w:val="both"/>
        <w:rPr>
          <w:rFonts w:cs="Times New Roman"/>
          <w:szCs w:val="24"/>
        </w:rPr>
      </w:pPr>
      <w:r w:rsidRPr="00967572">
        <w:rPr>
          <w:rFonts w:cs="Times New Roman"/>
          <w:szCs w:val="24"/>
        </w:rPr>
        <w:lastRenderedPageBreak/>
        <w:t xml:space="preserve">The </w:t>
      </w:r>
      <w:r w:rsidR="00967572" w:rsidRPr="00967572">
        <w:rPr>
          <w:rFonts w:cs="Times New Roman"/>
          <w:szCs w:val="24"/>
        </w:rPr>
        <w:t xml:space="preserve">proposed </w:t>
      </w:r>
      <w:r w:rsidRPr="00967572">
        <w:rPr>
          <w:rFonts w:cs="Times New Roman"/>
          <w:szCs w:val="24"/>
        </w:rPr>
        <w:t xml:space="preserve">model is applied </w:t>
      </w:r>
      <w:r w:rsidR="00967572" w:rsidRPr="00967572">
        <w:rPr>
          <w:rFonts w:cs="Times New Roman"/>
          <w:szCs w:val="24"/>
        </w:rPr>
        <w:t xml:space="preserve">in the current paper </w:t>
      </w:r>
      <w:r w:rsidRPr="00967572">
        <w:rPr>
          <w:rFonts w:cs="Times New Roman"/>
          <w:szCs w:val="24"/>
        </w:rPr>
        <w:t xml:space="preserve">to investigate the effect of urban living on walking frequency, considering the choice of urban living as being endogenous to walking frequency. While this endogeneity has been attributed in the past to unobserved individual factors such as green consciousness, </w:t>
      </w:r>
      <w:r w:rsidR="00090396" w:rsidRPr="00967572">
        <w:rPr>
          <w:rFonts w:cs="Times New Roman"/>
          <w:szCs w:val="24"/>
        </w:rPr>
        <w:t>our results</w:t>
      </w:r>
      <w:r w:rsidR="00D77719" w:rsidRPr="00967572">
        <w:rPr>
          <w:rFonts w:cs="Times New Roman"/>
          <w:szCs w:val="24"/>
        </w:rPr>
        <w:t xml:space="preserve">, in the context of a post-pandemic world, </w:t>
      </w:r>
      <w:r w:rsidRPr="00967572">
        <w:rPr>
          <w:rFonts w:cs="Times New Roman"/>
          <w:szCs w:val="24"/>
        </w:rPr>
        <w:t xml:space="preserve">suggest that lower level </w:t>
      </w:r>
      <w:r w:rsidR="00090396" w:rsidRPr="00967572">
        <w:rPr>
          <w:rFonts w:cs="Times New Roman"/>
          <w:szCs w:val="24"/>
        </w:rPr>
        <w:t>needs of walking feasibility and safety related to health and virus spread consideration</w:t>
      </w:r>
      <w:r w:rsidR="00D77719" w:rsidRPr="00967572">
        <w:rPr>
          <w:rFonts w:cs="Times New Roman"/>
          <w:szCs w:val="24"/>
        </w:rPr>
        <w:t xml:space="preserve">s </w:t>
      </w:r>
      <w:r w:rsidR="00090396" w:rsidRPr="00967572">
        <w:rPr>
          <w:rFonts w:cs="Times New Roman"/>
          <w:color w:val="000000" w:themeColor="text1"/>
          <w:szCs w:val="24"/>
        </w:rPr>
        <w:t xml:space="preserve">may be the more dominant individual factors affecting walking frequency </w:t>
      </w:r>
      <w:r w:rsidR="00CE2760" w:rsidRPr="00967572">
        <w:rPr>
          <w:rFonts w:cs="Times New Roman"/>
          <w:color w:val="000000" w:themeColor="text1"/>
          <w:szCs w:val="24"/>
        </w:rPr>
        <w:t xml:space="preserve">today </w:t>
      </w:r>
      <w:r w:rsidR="00D77719" w:rsidRPr="00967572">
        <w:rPr>
          <w:rFonts w:cs="Times New Roman"/>
          <w:color w:val="000000" w:themeColor="text1"/>
          <w:szCs w:val="24"/>
        </w:rPr>
        <w:t>and also leading to a generic predisposition of those with a high walking propensity to locate themselves in non-</w:t>
      </w:r>
      <w:r w:rsidR="00762E93">
        <w:rPr>
          <w:rFonts w:cs="Times New Roman"/>
          <w:color w:val="000000" w:themeColor="text1"/>
          <w:szCs w:val="24"/>
        </w:rPr>
        <w:t>crowded non-</w:t>
      </w:r>
      <w:r w:rsidR="00D77719" w:rsidRPr="00967572">
        <w:rPr>
          <w:rFonts w:cs="Times New Roman"/>
          <w:color w:val="000000" w:themeColor="text1"/>
          <w:szCs w:val="24"/>
        </w:rPr>
        <w:t xml:space="preserve">urban areas. This is consistent with the findings from </w:t>
      </w:r>
      <w:r w:rsidR="00341D17" w:rsidRPr="00967572">
        <w:rPr>
          <w:rFonts w:cs="Times New Roman"/>
          <w:color w:val="000000" w:themeColor="text1"/>
          <w:szCs w:val="24"/>
        </w:rPr>
        <w:t xml:space="preserve">Payd and Fard </w:t>
      </w:r>
      <w:r w:rsidR="00D77719" w:rsidRPr="00967572">
        <w:rPr>
          <w:rFonts w:cs="Times New Roman"/>
          <w:color w:val="000000" w:themeColor="text1"/>
          <w:szCs w:val="24"/>
        </w:rPr>
        <w:t xml:space="preserve">who </w:t>
      </w:r>
      <w:r w:rsidR="00341D17" w:rsidRPr="00967572">
        <w:rPr>
          <w:rFonts w:cs="Times New Roman"/>
          <w:color w:val="000000" w:themeColor="text1"/>
          <w:szCs w:val="24"/>
        </w:rPr>
        <w:t xml:space="preserve">note that high-density cities have been more vulnerable to the spread of COVID and so </w:t>
      </w:r>
      <w:r w:rsidR="00D77719" w:rsidRPr="00967572">
        <w:rPr>
          <w:rFonts w:cs="Times New Roman"/>
          <w:szCs w:val="24"/>
        </w:rPr>
        <w:t>“more basic walking needs may play a</w:t>
      </w:r>
      <w:r w:rsidR="00341D17" w:rsidRPr="00967572">
        <w:rPr>
          <w:rFonts w:cs="Times New Roman"/>
          <w:szCs w:val="24"/>
        </w:rPr>
        <w:t xml:space="preserve"> </w:t>
      </w:r>
      <w:r w:rsidR="00D77719" w:rsidRPr="00967572">
        <w:rPr>
          <w:rFonts w:cs="Times New Roman"/>
          <w:szCs w:val="24"/>
        </w:rPr>
        <w:t>more important role in the daily walking patterns of inhabitants</w:t>
      </w:r>
      <w:r w:rsidR="00341D17" w:rsidRPr="00967572">
        <w:rPr>
          <w:rFonts w:cs="Times New Roman"/>
          <w:szCs w:val="24"/>
        </w:rPr>
        <w:t xml:space="preserve">”. This is particularly so for the “not-so-young”, because of the increased vulnerability of older individuals to COVID. </w:t>
      </w:r>
      <w:r w:rsidR="00CE2760" w:rsidRPr="00967572">
        <w:rPr>
          <w:rFonts w:cs="Times New Roman"/>
          <w:szCs w:val="24"/>
        </w:rPr>
        <w:t xml:space="preserve">The net result is a need to understand how best to design walking infrastructure that not only </w:t>
      </w:r>
      <w:r w:rsidR="005F651B" w:rsidRPr="00967572">
        <w:rPr>
          <w:rFonts w:cs="Times New Roman"/>
          <w:szCs w:val="24"/>
        </w:rPr>
        <w:t xml:space="preserve">adheres to the </w:t>
      </w:r>
      <w:r w:rsidR="00CE2760" w:rsidRPr="00967572">
        <w:rPr>
          <w:rFonts w:cs="Times New Roman"/>
          <w:szCs w:val="24"/>
        </w:rPr>
        <w:t xml:space="preserve">traditional notions of pedestrian friendliness (such as narrow streets, continuity in walkways, frequent crossing points, </w:t>
      </w:r>
      <w:r w:rsidR="005F651B" w:rsidRPr="00967572">
        <w:rPr>
          <w:rFonts w:cs="Times New Roman"/>
          <w:szCs w:val="24"/>
        </w:rPr>
        <w:t>and low speed limits), but also</w:t>
      </w:r>
      <w:r w:rsidR="00CE2760" w:rsidRPr="00967572">
        <w:rPr>
          <w:rFonts w:cs="Times New Roman"/>
          <w:szCs w:val="24"/>
        </w:rPr>
        <w:t xml:space="preserve"> provides a sense of </w:t>
      </w:r>
      <w:r w:rsidR="00762E93">
        <w:rPr>
          <w:rFonts w:cs="Times New Roman"/>
          <w:szCs w:val="24"/>
        </w:rPr>
        <w:t xml:space="preserve">health safety from </w:t>
      </w:r>
      <w:r w:rsidR="005F651B" w:rsidRPr="00967572">
        <w:rPr>
          <w:rFonts w:cs="Times New Roman"/>
          <w:szCs w:val="24"/>
        </w:rPr>
        <w:t>contagion spread</w:t>
      </w:r>
      <w:r w:rsidR="00F26ACC" w:rsidRPr="00967572">
        <w:rPr>
          <w:rFonts w:cs="Times New Roman"/>
          <w:szCs w:val="24"/>
        </w:rPr>
        <w:t xml:space="preserve">. Doing so proactively would be beneficial in preparation for future pandemics. </w:t>
      </w:r>
      <w:r w:rsidR="005F651B" w:rsidRPr="00967572">
        <w:rPr>
          <w:rFonts w:cs="Times New Roman"/>
          <w:szCs w:val="24"/>
        </w:rPr>
        <w:t>The takeaway also is that</w:t>
      </w:r>
      <w:r w:rsidR="00CF1271" w:rsidRPr="00967572">
        <w:rPr>
          <w:rFonts w:cs="Times New Roman"/>
          <w:szCs w:val="24"/>
        </w:rPr>
        <w:t>, with shifting residential choices, improved walking infrastructure (as proxied by the “urban” variable in our analysis) can elevate walking frequency across the board in all geographic areas</w:t>
      </w:r>
      <w:r w:rsidR="00F26ACC" w:rsidRPr="00967572">
        <w:rPr>
          <w:rFonts w:cs="Times New Roman"/>
          <w:szCs w:val="24"/>
        </w:rPr>
        <w:t xml:space="preserve">, </w:t>
      </w:r>
      <w:r w:rsidR="00C63C09" w:rsidRPr="00967572">
        <w:rPr>
          <w:rFonts w:cs="Times New Roman"/>
          <w:szCs w:val="24"/>
        </w:rPr>
        <w:t xml:space="preserve">pointing to the importance of </w:t>
      </w:r>
      <w:r w:rsidR="00F26ACC" w:rsidRPr="00967572">
        <w:rPr>
          <w:rFonts w:cs="Times New Roman"/>
          <w:szCs w:val="24"/>
        </w:rPr>
        <w:t xml:space="preserve">supporting </w:t>
      </w:r>
      <w:r w:rsidR="00A83387" w:rsidRPr="00967572">
        <w:rPr>
          <w:rFonts w:cs="Times New Roman"/>
          <w:szCs w:val="24"/>
        </w:rPr>
        <w:t>policies to invest in walk-friendly environments</w:t>
      </w:r>
      <w:r w:rsidR="00C63C09" w:rsidRPr="00967572">
        <w:rPr>
          <w:rFonts w:cs="Times New Roman"/>
          <w:szCs w:val="24"/>
        </w:rPr>
        <w:t xml:space="preserve"> in a post-pandemic world</w:t>
      </w:r>
      <w:r w:rsidR="00A83387" w:rsidRPr="00967572">
        <w:rPr>
          <w:rFonts w:cs="Times New Roman"/>
          <w:szCs w:val="24"/>
        </w:rPr>
        <w:t>.</w:t>
      </w:r>
    </w:p>
    <w:p w14:paraId="30E49F8E" w14:textId="70BEE4FB" w:rsidR="00CF1271" w:rsidRPr="00167144" w:rsidRDefault="00CF1271" w:rsidP="00167144"/>
    <w:p w14:paraId="1984A031" w14:textId="12ACB238" w:rsidR="00167144" w:rsidRPr="00167144" w:rsidRDefault="00167144" w:rsidP="00F76E97">
      <w:pPr>
        <w:spacing w:line="276" w:lineRule="auto"/>
        <w:rPr>
          <w:b/>
          <w:bCs/>
          <w:szCs w:val="24"/>
        </w:rPr>
      </w:pPr>
      <w:r>
        <w:rPr>
          <w:b/>
          <w:bCs/>
          <w:szCs w:val="24"/>
        </w:rPr>
        <w:t>ACKNOWLEDGMENTS</w:t>
      </w:r>
    </w:p>
    <w:p w14:paraId="738A0F5B" w14:textId="77777777" w:rsidR="00222560" w:rsidRDefault="00BA53CB" w:rsidP="00F76E97">
      <w:pPr>
        <w:spacing w:line="276" w:lineRule="auto"/>
        <w:jc w:val="both"/>
      </w:pPr>
      <w:r>
        <w:t>T</w:t>
      </w:r>
      <w:r w:rsidR="00C735DA">
        <w:t>his research was partially supported by the U.S. Department of Transportation through the Center for Understanding Future Travel Behavior and Demand (TBD) (Grant No. 69A3552344815 and No. 69A3552348320). The author is grateful to Lisa Macias for help in formatting this document.</w:t>
      </w:r>
    </w:p>
    <w:p w14:paraId="5DE42FBC" w14:textId="07F8EC33" w:rsidR="00E50B7B" w:rsidRPr="00167144" w:rsidRDefault="00C735DA" w:rsidP="00F76E97">
      <w:pPr>
        <w:spacing w:line="276" w:lineRule="auto"/>
        <w:jc w:val="both"/>
      </w:pPr>
      <w:r>
        <w:t xml:space="preserve"> </w:t>
      </w:r>
    </w:p>
    <w:p w14:paraId="47AAFBE1" w14:textId="77777777" w:rsidR="00167144" w:rsidRPr="00167144" w:rsidRDefault="00167144" w:rsidP="00167144"/>
    <w:p w14:paraId="52A9832C" w14:textId="77777777" w:rsidR="00167144" w:rsidRDefault="00167144">
      <w:pPr>
        <w:spacing w:after="160" w:line="259" w:lineRule="auto"/>
        <w:rPr>
          <w:rFonts w:cs="Times New Roman"/>
          <w:b/>
          <w:bCs/>
          <w:szCs w:val="24"/>
        </w:rPr>
      </w:pPr>
      <w:r>
        <w:rPr>
          <w:rFonts w:cs="Times New Roman"/>
          <w:b/>
          <w:bCs/>
          <w:szCs w:val="24"/>
        </w:rPr>
        <w:br w:type="page"/>
      </w:r>
    </w:p>
    <w:p w14:paraId="33736460" w14:textId="364A1236" w:rsidR="00944E80" w:rsidRPr="00137EA9" w:rsidRDefault="00944E80" w:rsidP="00B4106B">
      <w:pPr>
        <w:autoSpaceDE w:val="0"/>
        <w:autoSpaceDN w:val="0"/>
        <w:adjustRightInd w:val="0"/>
        <w:spacing w:line="276" w:lineRule="auto"/>
        <w:rPr>
          <w:rFonts w:cs="Times New Roman"/>
          <w:b/>
          <w:bCs/>
          <w:szCs w:val="24"/>
        </w:rPr>
      </w:pPr>
      <w:r w:rsidRPr="00E50B7B">
        <w:rPr>
          <w:rFonts w:cs="Times New Roman"/>
          <w:b/>
          <w:bCs/>
          <w:szCs w:val="24"/>
        </w:rPr>
        <w:lastRenderedPageBreak/>
        <w:t>REFERENCES</w:t>
      </w:r>
    </w:p>
    <w:p w14:paraId="6CDE90A3" w14:textId="77777777" w:rsidR="00944E80" w:rsidRPr="00137EA9" w:rsidRDefault="00944E80" w:rsidP="00B4106B">
      <w:pPr>
        <w:ind w:left="540" w:hanging="540"/>
        <w:jc w:val="both"/>
        <w:rPr>
          <w:rFonts w:cs="Times New Roman"/>
          <w:szCs w:val="24"/>
        </w:rPr>
      </w:pPr>
      <w:r w:rsidRPr="00137EA9">
        <w:rPr>
          <w:rFonts w:cs="Times New Roman"/>
          <w:szCs w:val="24"/>
        </w:rPr>
        <w:t xml:space="preserve">Alfonzo, M.A. (2005). To walk or not to walk? The hierarchy of walking needs. </w:t>
      </w:r>
      <w:r w:rsidRPr="00137EA9">
        <w:rPr>
          <w:rFonts w:cs="Times New Roman"/>
          <w:i/>
          <w:iCs/>
          <w:color w:val="333333"/>
          <w:szCs w:val="24"/>
          <w:shd w:val="clear" w:color="auto" w:fill="FFFFFF"/>
        </w:rPr>
        <w:t>Environment and Behavior</w:t>
      </w:r>
      <w:r w:rsidRPr="00137EA9">
        <w:rPr>
          <w:rFonts w:cs="Times New Roman"/>
          <w:color w:val="333333"/>
          <w:szCs w:val="24"/>
          <w:shd w:val="clear" w:color="auto" w:fill="FFFFFF"/>
        </w:rPr>
        <w:t>, 37(6), 808-836</w:t>
      </w:r>
      <w:r w:rsidRPr="00137EA9">
        <w:rPr>
          <w:rFonts w:cs="Times New Roman"/>
          <w:szCs w:val="24"/>
        </w:rPr>
        <w:t>.</w:t>
      </w:r>
    </w:p>
    <w:p w14:paraId="315FAE48" w14:textId="77777777" w:rsidR="00944E80" w:rsidRPr="00137EA9" w:rsidRDefault="00944E80" w:rsidP="00B4106B">
      <w:pPr>
        <w:autoSpaceDE w:val="0"/>
        <w:autoSpaceDN w:val="0"/>
        <w:adjustRightInd w:val="0"/>
        <w:ind w:left="540" w:hanging="540"/>
        <w:jc w:val="both"/>
        <w:rPr>
          <w:rFonts w:cs="Times New Roman"/>
          <w:szCs w:val="24"/>
        </w:rPr>
      </w:pPr>
      <w:r w:rsidRPr="00137EA9">
        <w:rPr>
          <w:rFonts w:cs="Times New Roman"/>
          <w:szCs w:val="24"/>
        </w:rPr>
        <w:t xml:space="preserve">Amemiya, T. (1978). The estimation of a simultaneous equation generalized probit model. </w:t>
      </w:r>
      <w:r w:rsidRPr="00137EA9">
        <w:rPr>
          <w:rFonts w:cs="Times New Roman"/>
          <w:i/>
          <w:iCs/>
          <w:szCs w:val="24"/>
        </w:rPr>
        <w:t>Econometrica</w:t>
      </w:r>
      <w:r w:rsidRPr="00137EA9">
        <w:rPr>
          <w:rFonts w:cs="Times New Roman"/>
          <w:szCs w:val="24"/>
        </w:rPr>
        <w:t>, 46(5), 1193-1205.</w:t>
      </w:r>
    </w:p>
    <w:p w14:paraId="46A1FB44" w14:textId="77777777" w:rsidR="00222560" w:rsidRPr="00137EA9" w:rsidRDefault="00222560" w:rsidP="00222560">
      <w:pPr>
        <w:autoSpaceDE w:val="0"/>
        <w:autoSpaceDN w:val="0"/>
        <w:adjustRightInd w:val="0"/>
        <w:ind w:left="540" w:hanging="540"/>
        <w:jc w:val="both"/>
        <w:rPr>
          <w:rFonts w:cs="Times New Roman"/>
          <w:szCs w:val="24"/>
        </w:rPr>
      </w:pPr>
      <w:r w:rsidRPr="00137EA9">
        <w:rPr>
          <w:rFonts w:cs="Times New Roman"/>
          <w:szCs w:val="24"/>
        </w:rPr>
        <w:t xml:space="preserve">Asmussen, K.E., Mondal, A., and Bhat, C.R. (2023). The interplay between teleworking choice and commute distance. Technical paper, Department of Civil, Architectural and Environmental Engineering, The University of Texas at Austin. </w:t>
      </w:r>
    </w:p>
    <w:p w14:paraId="3EADDDBE" w14:textId="413D2476" w:rsidR="00944E80" w:rsidRPr="00137EA9" w:rsidRDefault="00944E80" w:rsidP="00B4106B">
      <w:pPr>
        <w:autoSpaceDE w:val="0"/>
        <w:autoSpaceDN w:val="0"/>
        <w:adjustRightInd w:val="0"/>
        <w:ind w:left="540" w:hanging="540"/>
        <w:jc w:val="both"/>
        <w:rPr>
          <w:rFonts w:cs="Times New Roman"/>
          <w:szCs w:val="24"/>
        </w:rPr>
      </w:pPr>
      <w:r w:rsidRPr="00137EA9">
        <w:rPr>
          <w:rFonts w:cs="Times New Roman"/>
          <w:szCs w:val="24"/>
        </w:rPr>
        <w:t>Asmussen, K.E., Mondal, A., Batur, I., Dirks, A., Pendyala, R.M., and Bhat, C.R. (202</w:t>
      </w:r>
      <w:r w:rsidR="00222560">
        <w:rPr>
          <w:rFonts w:cs="Times New Roman"/>
          <w:szCs w:val="24"/>
        </w:rPr>
        <w:t>4</w:t>
      </w:r>
      <w:r w:rsidRPr="00137EA9">
        <w:rPr>
          <w:rFonts w:cs="Times New Roman"/>
          <w:szCs w:val="24"/>
        </w:rPr>
        <w:t>). An investigation of individual-level telework arrangements in the COVID-era. </w:t>
      </w:r>
      <w:r w:rsidRPr="00137EA9">
        <w:rPr>
          <w:rFonts w:cs="Times New Roman"/>
          <w:i/>
          <w:iCs/>
          <w:szCs w:val="24"/>
        </w:rPr>
        <w:t>Transportation Research Part A</w:t>
      </w:r>
      <w:r w:rsidRPr="00137EA9">
        <w:rPr>
          <w:rFonts w:cs="Times New Roman"/>
          <w:szCs w:val="24"/>
        </w:rPr>
        <w:t xml:space="preserve">, </w:t>
      </w:r>
      <w:r w:rsidR="00222560">
        <w:rPr>
          <w:rFonts w:cs="Times New Roman"/>
          <w:szCs w:val="24"/>
        </w:rPr>
        <w:t xml:space="preserve">179, </w:t>
      </w:r>
      <w:r w:rsidR="00222560" w:rsidRPr="00222560">
        <w:rPr>
          <w:rFonts w:cs="Times New Roman"/>
          <w:szCs w:val="24"/>
        </w:rPr>
        <w:t>103888</w:t>
      </w:r>
      <w:r w:rsidRPr="00137EA9">
        <w:rPr>
          <w:rFonts w:cs="Times New Roman"/>
          <w:szCs w:val="24"/>
        </w:rPr>
        <w:t>. </w:t>
      </w:r>
    </w:p>
    <w:p w14:paraId="65D60E61" w14:textId="4D69EB8E" w:rsidR="006355B9" w:rsidRPr="006355B9" w:rsidRDefault="006355B9" w:rsidP="00B4106B">
      <w:pPr>
        <w:pStyle w:val="Heading2"/>
        <w:spacing w:before="0"/>
        <w:ind w:left="540" w:hanging="540"/>
        <w:jc w:val="both"/>
        <w:rPr>
          <w:rFonts w:ascii="Times New Roman" w:eastAsia="Times New Roman" w:hAnsi="Times New Roman" w:cs="Times New Roman"/>
          <w:color w:val="auto"/>
          <w:sz w:val="24"/>
          <w:szCs w:val="24"/>
        </w:rPr>
      </w:pPr>
      <w:r w:rsidRPr="006355B9">
        <w:rPr>
          <w:rStyle w:val="linkbluetoblue"/>
          <w:rFonts w:ascii="Times New Roman" w:hAnsi="Times New Roman" w:cs="Times New Roman"/>
          <w:color w:val="auto"/>
          <w:sz w:val="24"/>
          <w:szCs w:val="24"/>
          <w:shd w:val="clear" w:color="auto" w:fill="FFFFFF"/>
        </w:rPr>
        <w:t>Atkinson</w:t>
      </w:r>
      <w:r>
        <w:rPr>
          <w:rStyle w:val="linkbluetoblue"/>
          <w:rFonts w:ascii="Times New Roman" w:hAnsi="Times New Roman" w:cs="Times New Roman"/>
          <w:color w:val="auto"/>
          <w:sz w:val="24"/>
          <w:szCs w:val="24"/>
          <w:shd w:val="clear" w:color="auto" w:fill="FFFFFF"/>
        </w:rPr>
        <w:t>, A.C.,</w:t>
      </w:r>
      <w:r w:rsidRPr="006355B9">
        <w:rPr>
          <w:rFonts w:ascii="Times New Roman" w:hAnsi="Times New Roman" w:cs="Times New Roman"/>
          <w:color w:val="auto"/>
          <w:sz w:val="24"/>
          <w:szCs w:val="24"/>
          <w:shd w:val="clear" w:color="auto" w:fill="FFFFFF"/>
        </w:rPr>
        <w:t> </w:t>
      </w:r>
      <w:r w:rsidRPr="006355B9">
        <w:rPr>
          <w:rStyle w:val="linkbluetoblue"/>
          <w:rFonts w:ascii="Times New Roman" w:hAnsi="Times New Roman" w:cs="Times New Roman"/>
          <w:color w:val="auto"/>
          <w:sz w:val="24"/>
          <w:szCs w:val="24"/>
          <w:shd w:val="clear" w:color="auto" w:fill="FFFFFF"/>
        </w:rPr>
        <w:t>Riani</w:t>
      </w:r>
      <w:r>
        <w:rPr>
          <w:rStyle w:val="linkbluetoblue"/>
          <w:rFonts w:ascii="Times New Roman" w:hAnsi="Times New Roman" w:cs="Times New Roman"/>
          <w:color w:val="auto"/>
          <w:sz w:val="24"/>
          <w:szCs w:val="24"/>
          <w:shd w:val="clear" w:color="auto" w:fill="FFFFFF"/>
        </w:rPr>
        <w:t xml:space="preserve">, M., and </w:t>
      </w:r>
      <w:r w:rsidRPr="006355B9">
        <w:rPr>
          <w:rStyle w:val="linkbluetoblue"/>
          <w:rFonts w:ascii="Times New Roman" w:hAnsi="Times New Roman" w:cs="Times New Roman"/>
          <w:color w:val="auto"/>
          <w:sz w:val="24"/>
          <w:szCs w:val="24"/>
          <w:shd w:val="clear" w:color="auto" w:fill="FFFFFF"/>
        </w:rPr>
        <w:t>Corbellini</w:t>
      </w:r>
      <w:r>
        <w:rPr>
          <w:rStyle w:val="linkbluetoblue"/>
          <w:rFonts w:ascii="Times New Roman" w:hAnsi="Times New Roman" w:cs="Times New Roman"/>
          <w:color w:val="auto"/>
          <w:sz w:val="24"/>
          <w:szCs w:val="24"/>
          <w:shd w:val="clear" w:color="auto" w:fill="FFFFFF"/>
        </w:rPr>
        <w:t>, A.</w:t>
      </w:r>
      <w:r w:rsidR="00222560">
        <w:rPr>
          <w:rStyle w:val="linkbluetoblue"/>
          <w:rFonts w:ascii="Times New Roman" w:hAnsi="Times New Roman" w:cs="Times New Roman"/>
          <w:color w:val="auto"/>
          <w:sz w:val="24"/>
          <w:szCs w:val="24"/>
          <w:shd w:val="clear" w:color="auto" w:fill="FFFFFF"/>
        </w:rPr>
        <w:t xml:space="preserve"> (2021).</w:t>
      </w:r>
      <w:r w:rsidRPr="006355B9">
        <w:rPr>
          <w:rFonts w:ascii="Times New Roman" w:hAnsi="Times New Roman" w:cs="Times New Roman"/>
          <w:color w:val="auto"/>
          <w:sz w:val="24"/>
          <w:szCs w:val="24"/>
          <w:shd w:val="clear" w:color="auto" w:fill="FFFFFF"/>
        </w:rPr>
        <w:t xml:space="preserve"> The Box–Cox </w:t>
      </w:r>
      <w:r>
        <w:rPr>
          <w:rFonts w:ascii="Times New Roman" w:hAnsi="Times New Roman" w:cs="Times New Roman"/>
          <w:color w:val="auto"/>
          <w:sz w:val="24"/>
          <w:szCs w:val="24"/>
          <w:shd w:val="clear" w:color="auto" w:fill="FFFFFF"/>
        </w:rPr>
        <w:t>t</w:t>
      </w:r>
      <w:r w:rsidRPr="006355B9">
        <w:rPr>
          <w:rFonts w:ascii="Times New Roman" w:hAnsi="Times New Roman" w:cs="Times New Roman"/>
          <w:color w:val="auto"/>
          <w:sz w:val="24"/>
          <w:szCs w:val="24"/>
          <w:shd w:val="clear" w:color="auto" w:fill="FFFFFF"/>
        </w:rPr>
        <w:t xml:space="preserve">ransformation: </w:t>
      </w:r>
      <w:r w:rsidR="00222560">
        <w:rPr>
          <w:rFonts w:ascii="Times New Roman" w:hAnsi="Times New Roman" w:cs="Times New Roman"/>
          <w:color w:val="auto"/>
          <w:sz w:val="24"/>
          <w:szCs w:val="24"/>
          <w:shd w:val="clear" w:color="auto" w:fill="FFFFFF"/>
        </w:rPr>
        <w:t>R</w:t>
      </w:r>
      <w:r w:rsidRPr="006355B9">
        <w:rPr>
          <w:rFonts w:ascii="Times New Roman" w:hAnsi="Times New Roman" w:cs="Times New Roman"/>
          <w:color w:val="auto"/>
          <w:sz w:val="24"/>
          <w:szCs w:val="24"/>
          <w:shd w:val="clear" w:color="auto" w:fill="FFFFFF"/>
        </w:rPr>
        <w:t xml:space="preserve">eview and </w:t>
      </w:r>
      <w:r>
        <w:rPr>
          <w:rFonts w:ascii="Times New Roman" w:hAnsi="Times New Roman" w:cs="Times New Roman"/>
          <w:color w:val="auto"/>
          <w:sz w:val="24"/>
          <w:szCs w:val="24"/>
          <w:shd w:val="clear" w:color="auto" w:fill="FFFFFF"/>
        </w:rPr>
        <w:t>e</w:t>
      </w:r>
      <w:r w:rsidRPr="006355B9">
        <w:rPr>
          <w:rFonts w:ascii="Times New Roman" w:hAnsi="Times New Roman" w:cs="Times New Roman"/>
          <w:color w:val="auto"/>
          <w:sz w:val="24"/>
          <w:szCs w:val="24"/>
          <w:shd w:val="clear" w:color="auto" w:fill="FFFFFF"/>
        </w:rPr>
        <w:t>xtensions. Statist</w:t>
      </w:r>
      <w:r w:rsidR="00222560">
        <w:rPr>
          <w:rFonts w:ascii="Times New Roman" w:hAnsi="Times New Roman" w:cs="Times New Roman"/>
          <w:color w:val="auto"/>
          <w:sz w:val="24"/>
          <w:szCs w:val="24"/>
          <w:shd w:val="clear" w:color="auto" w:fill="FFFFFF"/>
        </w:rPr>
        <w:t>ical</w:t>
      </w:r>
      <w:r w:rsidRPr="006355B9">
        <w:rPr>
          <w:rFonts w:ascii="Times New Roman" w:hAnsi="Times New Roman" w:cs="Times New Roman"/>
          <w:color w:val="auto"/>
          <w:sz w:val="24"/>
          <w:szCs w:val="24"/>
          <w:shd w:val="clear" w:color="auto" w:fill="FFFFFF"/>
        </w:rPr>
        <w:t xml:space="preserve"> Sci</w:t>
      </w:r>
      <w:r w:rsidR="00222560">
        <w:rPr>
          <w:rFonts w:ascii="Times New Roman" w:hAnsi="Times New Roman" w:cs="Times New Roman"/>
          <w:color w:val="auto"/>
          <w:sz w:val="24"/>
          <w:szCs w:val="24"/>
          <w:shd w:val="clear" w:color="auto" w:fill="FFFFFF"/>
        </w:rPr>
        <w:t>ence,</w:t>
      </w:r>
      <w:r w:rsidRPr="006355B9">
        <w:rPr>
          <w:rFonts w:ascii="Times New Roman" w:hAnsi="Times New Roman" w:cs="Times New Roman"/>
          <w:color w:val="auto"/>
          <w:sz w:val="24"/>
          <w:szCs w:val="24"/>
          <w:shd w:val="clear" w:color="auto" w:fill="FFFFFF"/>
        </w:rPr>
        <w:t> 36(2) 239-255</w:t>
      </w:r>
      <w:r w:rsidR="00222560">
        <w:rPr>
          <w:rFonts w:ascii="Times New Roman" w:hAnsi="Times New Roman" w:cs="Times New Roman"/>
          <w:color w:val="auto"/>
          <w:sz w:val="24"/>
          <w:szCs w:val="24"/>
          <w:shd w:val="clear" w:color="auto" w:fill="FFFFFF"/>
        </w:rPr>
        <w:t>.</w:t>
      </w:r>
      <w:r>
        <w:rPr>
          <w:rFonts w:ascii="Times New Roman" w:hAnsi="Times New Roman" w:cs="Times New Roman"/>
          <w:color w:val="auto"/>
          <w:sz w:val="24"/>
          <w:szCs w:val="24"/>
          <w:shd w:val="clear" w:color="auto" w:fill="FFFFFF"/>
        </w:rPr>
        <w:t xml:space="preserve"> </w:t>
      </w:r>
      <w:r w:rsidRPr="006355B9">
        <w:rPr>
          <w:rFonts w:ascii="Times New Roman" w:hAnsi="Times New Roman" w:cs="Times New Roman"/>
          <w:color w:val="auto"/>
          <w:sz w:val="24"/>
          <w:szCs w:val="24"/>
          <w:shd w:val="clear" w:color="auto" w:fill="FFFFFF"/>
        </w:rPr>
        <w:t>https://doi.org/10.1214/20-STS778</w:t>
      </w:r>
    </w:p>
    <w:p w14:paraId="1047A7A0" w14:textId="75FC29A1" w:rsidR="00944E80" w:rsidRPr="00504DC0" w:rsidRDefault="00944E80" w:rsidP="00B4106B">
      <w:pPr>
        <w:pStyle w:val="Heading2"/>
        <w:spacing w:before="0"/>
        <w:ind w:left="540" w:hanging="540"/>
        <w:jc w:val="both"/>
        <w:rPr>
          <w:rFonts w:ascii="Times New Roman" w:hAnsi="Times New Roman" w:cs="Times New Roman"/>
          <w:color w:val="auto"/>
          <w:sz w:val="24"/>
          <w:szCs w:val="24"/>
        </w:rPr>
      </w:pPr>
      <w:r w:rsidRPr="00137EA9">
        <w:rPr>
          <w:rFonts w:ascii="Times New Roman" w:eastAsia="Times New Roman" w:hAnsi="Times New Roman" w:cs="Times New Roman"/>
          <w:color w:val="1F1F1F"/>
          <w:sz w:val="24"/>
          <w:szCs w:val="24"/>
        </w:rPr>
        <w:t>Baillien, J., Gijbels, I., and Verhasselt, A. (2022). </w:t>
      </w:r>
      <w:r w:rsidRPr="00137EA9">
        <w:rPr>
          <w:rFonts w:ascii="Times New Roman" w:eastAsia="Times New Roman" w:hAnsi="Times New Roman" w:cs="Times New Roman"/>
          <w:color w:val="1F1F1F"/>
          <w:kern w:val="36"/>
          <w:sz w:val="24"/>
          <w:szCs w:val="24"/>
        </w:rPr>
        <w:t xml:space="preserve">Estimation in copula models with two-piece skewed margins using the inference for margins method. </w:t>
      </w:r>
      <w:hyperlink r:id="rId242" w:tooltip="Go to Econometrics and Statistics on ScienceDirect" w:history="1">
        <w:r w:rsidRPr="00137EA9">
          <w:rPr>
            <w:rStyle w:val="title-text"/>
            <w:rFonts w:ascii="Times New Roman" w:hAnsi="Times New Roman" w:cs="Times New Roman"/>
            <w:i/>
            <w:iCs/>
            <w:color w:val="1F1F1F"/>
            <w:sz w:val="24"/>
            <w:szCs w:val="24"/>
          </w:rPr>
          <w:t>Econometrics and Statistics</w:t>
        </w:r>
      </w:hyperlink>
      <w:r w:rsidRPr="00137EA9">
        <w:rPr>
          <w:rFonts w:ascii="Times New Roman" w:hAnsi="Times New Roman" w:cs="Times New Roman"/>
          <w:color w:val="1F1F1F"/>
          <w:sz w:val="24"/>
          <w:szCs w:val="24"/>
        </w:rPr>
        <w:t xml:space="preserve">, </w:t>
      </w:r>
      <w:hyperlink r:id="rId243" w:history="1">
        <w:r w:rsidRPr="00504DC0">
          <w:rPr>
            <w:rFonts w:ascii="Times New Roman" w:hAnsi="Times New Roman" w:cs="Times New Roman"/>
            <w:color w:val="auto"/>
            <w:sz w:val="24"/>
            <w:szCs w:val="24"/>
          </w:rPr>
          <w:t>https://doi.org/10.1016/j.ecosta.2022.05.002</w:t>
        </w:r>
      </w:hyperlink>
      <w:r w:rsidRPr="00504DC0">
        <w:rPr>
          <w:rFonts w:ascii="Times New Roman" w:hAnsi="Times New Roman" w:cs="Times New Roman"/>
          <w:color w:val="auto"/>
          <w:sz w:val="24"/>
          <w:szCs w:val="24"/>
        </w:rPr>
        <w:t>.</w:t>
      </w:r>
    </w:p>
    <w:p w14:paraId="27F65FB9" w14:textId="77777777" w:rsidR="00944E80" w:rsidRPr="00137EA9" w:rsidRDefault="00944E80" w:rsidP="00B4106B">
      <w:pPr>
        <w:ind w:left="540" w:hanging="540"/>
        <w:jc w:val="both"/>
        <w:rPr>
          <w:rFonts w:cs="Times New Roman"/>
          <w:szCs w:val="24"/>
        </w:rPr>
      </w:pPr>
      <w:r w:rsidRPr="00137EA9">
        <w:rPr>
          <w:rFonts w:cs="Times New Roman"/>
          <w:szCs w:val="24"/>
        </w:rPr>
        <w:t xml:space="preserve">Bernardo, C., Paleti, R., Hoklas, M., and Bhat, C.R. (2015). An empirical investigation into the time-use and activity patterns of dual-earner couples with and without young children. </w:t>
      </w:r>
      <w:r w:rsidRPr="00137EA9">
        <w:rPr>
          <w:rFonts w:cs="Times New Roman"/>
          <w:i/>
          <w:iCs/>
          <w:szCs w:val="24"/>
        </w:rPr>
        <w:t>Transportation Research Part A</w:t>
      </w:r>
      <w:r w:rsidRPr="00137EA9">
        <w:rPr>
          <w:rFonts w:cs="Times New Roman"/>
          <w:szCs w:val="24"/>
        </w:rPr>
        <w:t>, 76, 71-91.</w:t>
      </w:r>
    </w:p>
    <w:p w14:paraId="31C2F155" w14:textId="77777777" w:rsidR="00944E80" w:rsidRPr="00137EA9" w:rsidRDefault="00944E80" w:rsidP="00B4106B">
      <w:pPr>
        <w:ind w:left="540" w:hanging="540"/>
        <w:jc w:val="both"/>
        <w:rPr>
          <w:rFonts w:cs="Times New Roman"/>
          <w:szCs w:val="24"/>
        </w:rPr>
      </w:pPr>
      <w:r w:rsidRPr="00137EA9">
        <w:rPr>
          <w:rFonts w:cs="Times New Roman"/>
          <w:szCs w:val="24"/>
        </w:rPr>
        <w:t xml:space="preserve">Bhat, A.C., Almeida, D.M., Fenelon, A., Santos-Lozada, A.R. (2022). A longitudinal analysis of the relationship between housing insecurity and physical health among midlife and aging adults in the United States. </w:t>
      </w:r>
      <w:r w:rsidRPr="00137EA9">
        <w:rPr>
          <w:rFonts w:cs="Times New Roman"/>
          <w:i/>
          <w:iCs/>
          <w:szCs w:val="24"/>
        </w:rPr>
        <w:t>SSM - Population Health</w:t>
      </w:r>
      <w:r w:rsidRPr="00137EA9">
        <w:rPr>
          <w:rFonts w:cs="Times New Roman"/>
          <w:szCs w:val="24"/>
        </w:rPr>
        <w:t xml:space="preserve">, 18, 101128. </w:t>
      </w:r>
      <w:hyperlink r:id="rId244" w:history="1">
        <w:r w:rsidRPr="00137EA9">
          <w:rPr>
            <w:rFonts w:cs="Times New Roman"/>
            <w:szCs w:val="24"/>
          </w:rPr>
          <w:t>https://doi.org/10.1016/j.ssmph.2022.101128</w:t>
        </w:r>
      </w:hyperlink>
    </w:p>
    <w:p w14:paraId="1EB11B67" w14:textId="77777777" w:rsidR="00944E80" w:rsidRDefault="00944E80" w:rsidP="00B4106B">
      <w:pPr>
        <w:ind w:left="540" w:hanging="540"/>
        <w:jc w:val="both"/>
        <w:rPr>
          <w:rFonts w:cs="Times New Roman"/>
          <w:szCs w:val="24"/>
        </w:rPr>
      </w:pPr>
      <w:r w:rsidRPr="00137EA9">
        <w:rPr>
          <w:rFonts w:cs="Times New Roman"/>
          <w:szCs w:val="24"/>
        </w:rPr>
        <w:t>Bhat, C.R. (1997). Work travel mode choice and number of nonwork commute stops. </w:t>
      </w:r>
      <w:r w:rsidRPr="00137EA9">
        <w:rPr>
          <w:rFonts w:cs="Times New Roman"/>
          <w:i/>
          <w:iCs/>
          <w:szCs w:val="24"/>
        </w:rPr>
        <w:t>Transportation Research Part B</w:t>
      </w:r>
      <w:r w:rsidRPr="00137EA9">
        <w:rPr>
          <w:rFonts w:cs="Times New Roman"/>
          <w:szCs w:val="24"/>
        </w:rPr>
        <w:t>, 31(1), 41-54. </w:t>
      </w:r>
    </w:p>
    <w:p w14:paraId="2408867B" w14:textId="686AE9B6" w:rsidR="00944E80" w:rsidRPr="00137EA9" w:rsidRDefault="00944E80" w:rsidP="00B4106B">
      <w:pPr>
        <w:ind w:left="540" w:hanging="540"/>
        <w:jc w:val="both"/>
        <w:rPr>
          <w:rFonts w:cs="Times New Roman"/>
          <w:szCs w:val="24"/>
        </w:rPr>
      </w:pPr>
      <w:r w:rsidRPr="00137EA9">
        <w:rPr>
          <w:rFonts w:cs="Times New Roman"/>
          <w:szCs w:val="24"/>
        </w:rPr>
        <w:t>Bhat, C.R. (2015). A new generalized heterogeneous data model (GHDM) to jointly model mixed types of dependent variables. </w:t>
      </w:r>
      <w:r w:rsidRPr="00137EA9">
        <w:rPr>
          <w:rFonts w:cs="Times New Roman"/>
          <w:i/>
          <w:iCs/>
          <w:szCs w:val="24"/>
        </w:rPr>
        <w:t>Transportation Research Part B</w:t>
      </w:r>
      <w:r w:rsidRPr="00137EA9">
        <w:rPr>
          <w:rFonts w:cs="Times New Roman"/>
          <w:szCs w:val="24"/>
        </w:rPr>
        <w:t xml:space="preserve">, 79, 50-77. </w:t>
      </w:r>
    </w:p>
    <w:p w14:paraId="761BE7AF" w14:textId="77777777" w:rsidR="00944E80" w:rsidRPr="00137EA9" w:rsidRDefault="00944E80" w:rsidP="00B4106B">
      <w:pPr>
        <w:ind w:left="540" w:hanging="540"/>
        <w:jc w:val="both"/>
        <w:rPr>
          <w:rFonts w:cs="Times New Roman"/>
          <w:szCs w:val="24"/>
        </w:rPr>
      </w:pPr>
      <w:r w:rsidRPr="00137EA9">
        <w:rPr>
          <w:rFonts w:cs="Times New Roman"/>
          <w:szCs w:val="24"/>
        </w:rPr>
        <w:t xml:space="preserve">Bhat, C.R., and Eluru, N. (2009). </w:t>
      </w:r>
      <w:r w:rsidRPr="00137EA9">
        <w:rPr>
          <w:rFonts w:eastAsia="MS Mincho" w:cs="Times New Roman"/>
          <w:szCs w:val="24"/>
        </w:rPr>
        <w:t>A copula-based approach to accommodate residential self-selection effects in travel behavior modeling</w:t>
      </w:r>
      <w:r w:rsidRPr="00137EA9">
        <w:rPr>
          <w:rFonts w:cs="Times New Roman"/>
          <w:szCs w:val="24"/>
        </w:rPr>
        <w:t xml:space="preserve">. </w:t>
      </w:r>
      <w:r w:rsidRPr="00137EA9">
        <w:rPr>
          <w:rFonts w:cs="Times New Roman"/>
          <w:i/>
          <w:iCs/>
          <w:szCs w:val="24"/>
        </w:rPr>
        <w:t>Transportation Research Part B</w:t>
      </w:r>
      <w:r w:rsidRPr="00137EA9">
        <w:rPr>
          <w:rFonts w:cs="Times New Roman"/>
          <w:szCs w:val="24"/>
        </w:rPr>
        <w:t>, 43(7), 749-765.</w:t>
      </w:r>
    </w:p>
    <w:p w14:paraId="27941DF6" w14:textId="77777777" w:rsidR="00944E80" w:rsidRPr="00137EA9" w:rsidRDefault="00944E80" w:rsidP="00B4106B">
      <w:pPr>
        <w:ind w:left="540" w:hanging="540"/>
        <w:jc w:val="both"/>
        <w:rPr>
          <w:rFonts w:cs="Times New Roman"/>
          <w:noProof/>
          <w:szCs w:val="24"/>
        </w:rPr>
      </w:pPr>
      <w:r w:rsidRPr="00137EA9">
        <w:rPr>
          <w:rFonts w:cs="Times New Roman"/>
          <w:noProof/>
          <w:szCs w:val="24"/>
        </w:rPr>
        <w:t xml:space="preserve">Bhat, C.R., and Guo, J.Y. (2007). A comprehensive analysis of built environment characteristics on household residential choice and auto ownership levels. </w:t>
      </w:r>
      <w:r w:rsidRPr="00137EA9">
        <w:rPr>
          <w:rFonts w:cs="Times New Roman"/>
          <w:i/>
          <w:iCs/>
          <w:noProof/>
          <w:szCs w:val="24"/>
        </w:rPr>
        <w:t>Transportation Research Part B</w:t>
      </w:r>
      <w:r w:rsidRPr="00137EA9">
        <w:rPr>
          <w:rFonts w:cs="Times New Roman"/>
          <w:noProof/>
          <w:szCs w:val="24"/>
        </w:rPr>
        <w:t xml:space="preserve">, 41(5), 506-526. </w:t>
      </w:r>
    </w:p>
    <w:p w14:paraId="784E23BB" w14:textId="77777777" w:rsidR="00944E80" w:rsidRPr="00137EA9" w:rsidRDefault="00944E80" w:rsidP="00B4106B">
      <w:pPr>
        <w:ind w:left="540" w:hanging="540"/>
        <w:jc w:val="both"/>
        <w:rPr>
          <w:rFonts w:cs="Times New Roman"/>
          <w:szCs w:val="24"/>
        </w:rPr>
      </w:pPr>
      <w:r w:rsidRPr="00137EA9">
        <w:rPr>
          <w:rFonts w:cs="Times New Roman"/>
          <w:szCs w:val="24"/>
        </w:rPr>
        <w:t>Bhat, C.R., and Mondal, A. (2022). A new flexible generalized heterogeneous data model (GHDM) with an application to examine the effect of high density neighborhood living on bicycling frequency. </w:t>
      </w:r>
      <w:r w:rsidRPr="00137EA9">
        <w:rPr>
          <w:rFonts w:cs="Times New Roman"/>
          <w:i/>
          <w:iCs/>
          <w:szCs w:val="24"/>
        </w:rPr>
        <w:t>Transportation Research Part B</w:t>
      </w:r>
      <w:r w:rsidRPr="00137EA9">
        <w:rPr>
          <w:rFonts w:cs="Times New Roman"/>
          <w:szCs w:val="24"/>
        </w:rPr>
        <w:t>, 164, 244-266.</w:t>
      </w:r>
      <w:r w:rsidRPr="00137EA9">
        <w:rPr>
          <w:rFonts w:cs="Times New Roman"/>
          <w:szCs w:val="24"/>
        </w:rPr>
        <w:tab/>
        <w:t xml:space="preserve"> </w:t>
      </w:r>
    </w:p>
    <w:p w14:paraId="68BDB411" w14:textId="77777777" w:rsidR="00944E80" w:rsidRPr="00137EA9" w:rsidRDefault="00944E80" w:rsidP="00B4106B">
      <w:pPr>
        <w:ind w:left="540" w:hanging="540"/>
        <w:jc w:val="both"/>
        <w:rPr>
          <w:rFonts w:cs="Times New Roman"/>
          <w:szCs w:val="24"/>
        </w:rPr>
      </w:pPr>
      <w:r w:rsidRPr="00137EA9">
        <w:rPr>
          <w:rFonts w:cs="Times New Roman"/>
          <w:szCs w:val="24"/>
        </w:rPr>
        <w:t>Bhat, C.R., and Sardesai, R. (2006). The impact of stop-making and travel time reliability on commute mode choice. </w:t>
      </w:r>
      <w:r w:rsidRPr="00137EA9">
        <w:rPr>
          <w:rFonts w:cs="Times New Roman"/>
          <w:i/>
          <w:iCs/>
          <w:szCs w:val="24"/>
        </w:rPr>
        <w:t>Transportation Research Part B</w:t>
      </w:r>
      <w:r w:rsidRPr="00137EA9">
        <w:rPr>
          <w:rFonts w:cs="Times New Roman"/>
          <w:szCs w:val="24"/>
        </w:rPr>
        <w:t>, 40(9), 709-730.</w:t>
      </w:r>
    </w:p>
    <w:p w14:paraId="50B1E92F" w14:textId="5658F3D9" w:rsidR="00944E80" w:rsidRDefault="00944E80" w:rsidP="00B4106B">
      <w:pPr>
        <w:ind w:left="540" w:hanging="540"/>
        <w:jc w:val="both"/>
        <w:rPr>
          <w:rFonts w:cs="Times New Roman"/>
          <w:szCs w:val="24"/>
        </w:rPr>
      </w:pPr>
      <w:r w:rsidRPr="00137EA9">
        <w:rPr>
          <w:rFonts w:cs="Times New Roman"/>
          <w:szCs w:val="24"/>
        </w:rPr>
        <w:t>Bhat, C.R., and Singh, S.K.</w:t>
      </w:r>
      <w:r w:rsidR="00222560">
        <w:rPr>
          <w:rFonts w:cs="Times New Roman"/>
          <w:szCs w:val="24"/>
        </w:rPr>
        <w:t xml:space="preserve"> </w:t>
      </w:r>
      <w:r w:rsidRPr="00137EA9">
        <w:rPr>
          <w:rFonts w:cs="Times New Roman"/>
          <w:szCs w:val="24"/>
        </w:rPr>
        <w:t xml:space="preserve">(2000). A comprehensive daily activity-travel generation model system for workers. </w:t>
      </w:r>
      <w:r w:rsidRPr="00137EA9">
        <w:rPr>
          <w:rFonts w:cs="Times New Roman"/>
          <w:i/>
          <w:iCs/>
          <w:szCs w:val="24"/>
        </w:rPr>
        <w:t>Transportation Research Part A</w:t>
      </w:r>
      <w:r w:rsidRPr="00137EA9">
        <w:rPr>
          <w:rFonts w:cs="Times New Roman"/>
          <w:szCs w:val="24"/>
        </w:rPr>
        <w:t>, 34(1), 1-22.</w:t>
      </w:r>
    </w:p>
    <w:p w14:paraId="544B9753" w14:textId="77777777" w:rsidR="00944E80" w:rsidRPr="00137EA9" w:rsidRDefault="00944E80" w:rsidP="00B4106B">
      <w:pPr>
        <w:ind w:left="540" w:hanging="540"/>
        <w:jc w:val="both"/>
        <w:rPr>
          <w:rFonts w:cs="Times New Roman"/>
          <w:szCs w:val="24"/>
        </w:rPr>
      </w:pPr>
      <w:r w:rsidRPr="00137EA9">
        <w:rPr>
          <w:rFonts w:cs="Times New Roman"/>
          <w:szCs w:val="24"/>
        </w:rPr>
        <w:t>Bhat, C.R., Astroza, S., Sidharthan, R., Jobair Bin Alam, M., and Khushefati, W.H. (2014). A joint count-continuous model of travel behavior with selection based on a multinomial probit residential density choice model. </w:t>
      </w:r>
      <w:r w:rsidRPr="00137EA9">
        <w:rPr>
          <w:rFonts w:cs="Times New Roman"/>
          <w:i/>
          <w:iCs/>
          <w:szCs w:val="24"/>
        </w:rPr>
        <w:t>Transportation Research Part B</w:t>
      </w:r>
      <w:r w:rsidRPr="00137EA9">
        <w:rPr>
          <w:rFonts w:cs="Times New Roman"/>
          <w:szCs w:val="24"/>
        </w:rPr>
        <w:t>, 68, 31-51.</w:t>
      </w:r>
    </w:p>
    <w:p w14:paraId="72F93087" w14:textId="77777777" w:rsidR="00944E80" w:rsidRPr="00137EA9" w:rsidRDefault="00944E80" w:rsidP="00222560">
      <w:pPr>
        <w:keepLines/>
        <w:ind w:left="547" w:hanging="547"/>
        <w:jc w:val="both"/>
        <w:rPr>
          <w:rFonts w:cs="Times New Roman"/>
          <w:szCs w:val="24"/>
        </w:rPr>
      </w:pPr>
      <w:r w:rsidRPr="00137EA9">
        <w:rPr>
          <w:rFonts w:cs="Times New Roman"/>
          <w:szCs w:val="24"/>
        </w:rPr>
        <w:lastRenderedPageBreak/>
        <w:t>Bhat, C.R., Astroza, S., Bhat, A.C., and Nagel, K. (2016). Incorporating a multiple discrete-continuous outcome in the generalized heterogeneous data model: Application to residential self-selection effects analysis in an activity time-use behavior model. </w:t>
      </w:r>
      <w:r w:rsidRPr="00137EA9">
        <w:rPr>
          <w:rFonts w:cs="Times New Roman"/>
          <w:i/>
          <w:iCs/>
          <w:szCs w:val="24"/>
        </w:rPr>
        <w:t>Transportation Research Part B</w:t>
      </w:r>
      <w:r w:rsidRPr="00137EA9">
        <w:rPr>
          <w:rFonts w:cs="Times New Roman"/>
          <w:szCs w:val="24"/>
        </w:rPr>
        <w:t>, 91, 52-76. </w:t>
      </w:r>
    </w:p>
    <w:p w14:paraId="5CC7A207" w14:textId="77777777" w:rsidR="00944E80" w:rsidRPr="00137EA9" w:rsidRDefault="00944E80" w:rsidP="00B4106B">
      <w:pPr>
        <w:autoSpaceDE w:val="0"/>
        <w:autoSpaceDN w:val="0"/>
        <w:adjustRightInd w:val="0"/>
        <w:ind w:left="540" w:hanging="540"/>
        <w:jc w:val="both"/>
        <w:rPr>
          <w:rFonts w:cs="Times New Roman"/>
          <w:szCs w:val="24"/>
        </w:rPr>
      </w:pPr>
      <w:r w:rsidRPr="00137EA9">
        <w:rPr>
          <w:rFonts w:cs="Times New Roman"/>
          <w:szCs w:val="24"/>
        </w:rPr>
        <w:t xml:space="preserve">Blumenberg, E., and Wander, M. (2023). Housing affordability and commute distance. </w:t>
      </w:r>
      <w:r w:rsidRPr="00137EA9">
        <w:rPr>
          <w:rFonts w:cs="Times New Roman"/>
          <w:i/>
          <w:iCs/>
          <w:szCs w:val="24"/>
        </w:rPr>
        <w:t>Urban Geography</w:t>
      </w:r>
      <w:r w:rsidRPr="00137EA9">
        <w:rPr>
          <w:rFonts w:cs="Times New Roman"/>
          <w:szCs w:val="24"/>
        </w:rPr>
        <w:t>, 44(7), 1454-1473.</w:t>
      </w:r>
    </w:p>
    <w:p w14:paraId="719FD177" w14:textId="77777777" w:rsidR="00944E80" w:rsidRPr="00137EA9" w:rsidRDefault="00944E80" w:rsidP="00B4106B">
      <w:pPr>
        <w:autoSpaceDE w:val="0"/>
        <w:autoSpaceDN w:val="0"/>
        <w:adjustRightInd w:val="0"/>
        <w:ind w:left="540" w:hanging="540"/>
        <w:jc w:val="both"/>
        <w:rPr>
          <w:rFonts w:cs="Times New Roman"/>
          <w:szCs w:val="24"/>
        </w:rPr>
      </w:pPr>
      <w:r w:rsidRPr="00137EA9">
        <w:rPr>
          <w:rFonts w:cs="Times New Roman"/>
          <w:szCs w:val="24"/>
        </w:rPr>
        <w:t xml:space="preserve">Blundell, R., and Powell, J. (2004). Endogeneity in semiparametric binary response models. </w:t>
      </w:r>
      <w:r w:rsidRPr="00137EA9">
        <w:rPr>
          <w:rFonts w:cs="Times New Roman"/>
          <w:i/>
          <w:iCs/>
          <w:szCs w:val="24"/>
        </w:rPr>
        <w:t>The Review of Economic Studies</w:t>
      </w:r>
      <w:r w:rsidRPr="00137EA9">
        <w:rPr>
          <w:rFonts w:cs="Times New Roman"/>
          <w:szCs w:val="24"/>
        </w:rPr>
        <w:t>, 71(3), 655-679.</w:t>
      </w:r>
    </w:p>
    <w:p w14:paraId="1B33A3CA" w14:textId="77777777" w:rsidR="00944E80" w:rsidRPr="00137EA9" w:rsidRDefault="00944E80" w:rsidP="00B4106B">
      <w:pPr>
        <w:autoSpaceDE w:val="0"/>
        <w:autoSpaceDN w:val="0"/>
        <w:adjustRightInd w:val="0"/>
        <w:ind w:left="540" w:hanging="540"/>
        <w:jc w:val="both"/>
        <w:rPr>
          <w:rFonts w:cs="Times New Roman"/>
          <w:szCs w:val="24"/>
        </w:rPr>
      </w:pPr>
      <w:r w:rsidRPr="00137EA9">
        <w:rPr>
          <w:rFonts w:cs="Times New Roman"/>
          <w:szCs w:val="24"/>
        </w:rPr>
        <w:t xml:space="preserve">Bontemps, C., and Nauges, C. (2017). Endogenous variables in binary choice models: Some insights for practitioners. Working paper # 17-855, Toulouse School of Economics, </w:t>
      </w:r>
      <w:hyperlink r:id="rId245" w:history="1">
        <w:r w:rsidRPr="00137EA9">
          <w:rPr>
            <w:rFonts w:cs="Times New Roman"/>
            <w:szCs w:val="24"/>
          </w:rPr>
          <w:t>https://publications.ut-capitole.fr/id/eprint/25726/1/wp_tse_855.pdf</w:t>
        </w:r>
      </w:hyperlink>
      <w:r w:rsidRPr="00137EA9">
        <w:rPr>
          <w:rFonts w:cs="Times New Roman"/>
          <w:szCs w:val="24"/>
        </w:rPr>
        <w:t>, accessed January 7, 2024.</w:t>
      </w:r>
    </w:p>
    <w:p w14:paraId="271F430B" w14:textId="77777777" w:rsidR="00944E80" w:rsidRPr="00137EA9" w:rsidRDefault="00944E80" w:rsidP="00B4106B">
      <w:pPr>
        <w:keepLines/>
        <w:ind w:left="540" w:hanging="540"/>
        <w:jc w:val="both"/>
        <w:rPr>
          <w:rFonts w:cs="Times New Roman"/>
          <w:szCs w:val="24"/>
        </w:rPr>
      </w:pPr>
      <w:r w:rsidRPr="00137EA9">
        <w:rPr>
          <w:rFonts w:cs="Times New Roman"/>
          <w:color w:val="131413"/>
          <w:szCs w:val="24"/>
        </w:rPr>
        <w:t xml:space="preserve">Box, G.E.P., and Cox, D.R. (1964). An analysis of transformations. </w:t>
      </w:r>
      <w:r w:rsidRPr="00137EA9">
        <w:rPr>
          <w:rFonts w:cs="Times New Roman"/>
          <w:i/>
          <w:iCs/>
          <w:color w:val="000000"/>
          <w:spacing w:val="-5"/>
          <w:szCs w:val="24"/>
          <w:shd w:val="clear" w:color="auto" w:fill="FFFFFF"/>
        </w:rPr>
        <w:t>Journal of the Royal Statistical Society. Series B (Methodological)</w:t>
      </w:r>
      <w:r w:rsidRPr="00137EA9">
        <w:rPr>
          <w:rFonts w:cs="Times New Roman"/>
          <w:color w:val="000000"/>
          <w:spacing w:val="-5"/>
          <w:szCs w:val="24"/>
          <w:shd w:val="clear" w:color="auto" w:fill="FFFFFF"/>
        </w:rPr>
        <w:t>,</w:t>
      </w:r>
      <w:r w:rsidRPr="00137EA9">
        <w:rPr>
          <w:rFonts w:cs="Times New Roman"/>
          <w:color w:val="131413"/>
          <w:szCs w:val="24"/>
        </w:rPr>
        <w:t xml:space="preserve"> </w:t>
      </w:r>
      <w:r w:rsidRPr="00137EA9">
        <w:rPr>
          <w:rFonts w:cs="Times New Roman"/>
          <w:color w:val="000000"/>
          <w:spacing w:val="-5"/>
          <w:szCs w:val="24"/>
          <w:shd w:val="clear" w:color="auto" w:fill="FFFFFF"/>
        </w:rPr>
        <w:t>26(2), 211-252.</w:t>
      </w:r>
    </w:p>
    <w:p w14:paraId="755BBB7C" w14:textId="77777777" w:rsidR="00944E80" w:rsidRPr="00137EA9" w:rsidRDefault="00944E80" w:rsidP="00B4106B">
      <w:pPr>
        <w:keepLines/>
        <w:ind w:left="540" w:hanging="540"/>
        <w:jc w:val="both"/>
        <w:rPr>
          <w:rFonts w:cs="Times New Roman"/>
          <w:szCs w:val="24"/>
        </w:rPr>
      </w:pPr>
      <w:r w:rsidRPr="00137EA9">
        <w:rPr>
          <w:rFonts w:cs="Times New Roman"/>
          <w:szCs w:val="24"/>
        </w:rPr>
        <w:t xml:space="preserve">Brownstone, D., and Fang, H. (2014). A vehicle ownership and utilization choice model with endogenous residential density. </w:t>
      </w:r>
      <w:r w:rsidRPr="00137EA9">
        <w:rPr>
          <w:rFonts w:cs="Times New Roman"/>
          <w:i/>
          <w:iCs/>
          <w:szCs w:val="24"/>
        </w:rPr>
        <w:t>Journal of Transport and Land Use</w:t>
      </w:r>
      <w:r w:rsidRPr="00137EA9">
        <w:rPr>
          <w:rFonts w:cs="Times New Roman"/>
          <w:szCs w:val="24"/>
        </w:rPr>
        <w:t>, 7(2), 135-151.</w:t>
      </w:r>
    </w:p>
    <w:p w14:paraId="5B34709E" w14:textId="77777777" w:rsidR="00944E80" w:rsidRPr="00137EA9" w:rsidRDefault="00944E80" w:rsidP="00B4106B">
      <w:pPr>
        <w:ind w:left="540" w:hanging="540"/>
        <w:jc w:val="both"/>
        <w:rPr>
          <w:rFonts w:cs="Times New Roman"/>
          <w:szCs w:val="24"/>
        </w:rPr>
      </w:pPr>
      <w:r w:rsidRPr="00137EA9">
        <w:rPr>
          <w:rFonts w:cs="Times New Roman"/>
          <w:szCs w:val="24"/>
        </w:rPr>
        <w:t xml:space="preserve">Cao, X., and Fan, Y. (2012). Exploring the influences of density on travel behavior using propensity score matching. </w:t>
      </w:r>
      <w:r w:rsidRPr="00137EA9">
        <w:rPr>
          <w:rFonts w:cs="Times New Roman"/>
          <w:i/>
          <w:iCs/>
          <w:szCs w:val="24"/>
        </w:rPr>
        <w:t>Environment and Planning B</w:t>
      </w:r>
      <w:r w:rsidRPr="00137EA9">
        <w:rPr>
          <w:rFonts w:cs="Times New Roman"/>
          <w:szCs w:val="24"/>
        </w:rPr>
        <w:t>, 39(3), 459-470.</w:t>
      </w:r>
    </w:p>
    <w:p w14:paraId="05D13EE2" w14:textId="77777777" w:rsidR="00944E80" w:rsidRPr="00137EA9" w:rsidRDefault="00944E80" w:rsidP="00B4106B">
      <w:pPr>
        <w:ind w:left="540" w:hanging="540"/>
        <w:jc w:val="both"/>
        <w:rPr>
          <w:rFonts w:cs="Times New Roman"/>
          <w:szCs w:val="24"/>
        </w:rPr>
      </w:pPr>
      <w:r w:rsidRPr="00137EA9">
        <w:rPr>
          <w:rFonts w:cs="Times New Roman"/>
          <w:szCs w:val="24"/>
        </w:rPr>
        <w:t xml:space="preserve">Cerrato, J., and Cifre, E. (2018). Gender inequality in household chores and work-family conflict. </w:t>
      </w:r>
      <w:r w:rsidRPr="00137EA9">
        <w:rPr>
          <w:rFonts w:cs="Times New Roman"/>
          <w:i/>
          <w:iCs/>
          <w:szCs w:val="24"/>
        </w:rPr>
        <w:t>Frontiers in Psychology</w:t>
      </w:r>
      <w:r w:rsidRPr="00137EA9">
        <w:rPr>
          <w:rFonts w:cs="Times New Roman"/>
          <w:szCs w:val="24"/>
        </w:rPr>
        <w:t>, 9, 1330.</w:t>
      </w:r>
    </w:p>
    <w:p w14:paraId="476623A4" w14:textId="77777777" w:rsidR="00944E80" w:rsidRPr="00137EA9" w:rsidRDefault="00944E80" w:rsidP="00B4106B">
      <w:pPr>
        <w:ind w:left="540" w:hanging="540"/>
        <w:jc w:val="both"/>
        <w:rPr>
          <w:rFonts w:cs="Times New Roman"/>
          <w:szCs w:val="24"/>
        </w:rPr>
      </w:pPr>
      <w:r w:rsidRPr="00137EA9">
        <w:rPr>
          <w:rFonts w:cs="Times New Roman"/>
          <w:szCs w:val="24"/>
        </w:rPr>
        <w:t xml:space="preserve">Chen, X., Fan, Y., and Tsyrennikov, V. (2006). Efficient estimation of semiparametric multivariate copula models. </w:t>
      </w:r>
      <w:r w:rsidRPr="00137EA9">
        <w:rPr>
          <w:rFonts w:cs="Times New Roman"/>
          <w:i/>
          <w:iCs/>
          <w:szCs w:val="24"/>
        </w:rPr>
        <w:t>Journal of the American Statistical Association</w:t>
      </w:r>
      <w:r w:rsidRPr="00137EA9">
        <w:rPr>
          <w:rFonts w:cs="Times New Roman"/>
          <w:szCs w:val="24"/>
        </w:rPr>
        <w:t>, 101(475), 1228-1240.</w:t>
      </w:r>
    </w:p>
    <w:p w14:paraId="3472259E" w14:textId="77777777" w:rsidR="00944E80" w:rsidRPr="00137EA9" w:rsidRDefault="00944E80" w:rsidP="00B4106B">
      <w:pPr>
        <w:autoSpaceDE w:val="0"/>
        <w:autoSpaceDN w:val="0"/>
        <w:adjustRightInd w:val="0"/>
        <w:ind w:left="540" w:hanging="540"/>
        <w:jc w:val="both"/>
        <w:rPr>
          <w:rFonts w:cs="Times New Roman"/>
          <w:szCs w:val="24"/>
        </w:rPr>
      </w:pPr>
      <w:r w:rsidRPr="00137EA9">
        <w:rPr>
          <w:rFonts w:cs="Times New Roman"/>
          <w:szCs w:val="24"/>
        </w:rPr>
        <w:t xml:space="preserve">Chesher, A., and Rosen, A. (2013). What do instrumental variable models deliver with discrete dependent variables? </w:t>
      </w:r>
      <w:r w:rsidRPr="00137EA9">
        <w:rPr>
          <w:rFonts w:cs="Times New Roman"/>
          <w:i/>
          <w:iCs/>
          <w:szCs w:val="24"/>
        </w:rPr>
        <w:t>American Economic Review</w:t>
      </w:r>
      <w:r w:rsidRPr="00137EA9">
        <w:rPr>
          <w:rFonts w:cs="Times New Roman"/>
          <w:szCs w:val="24"/>
        </w:rPr>
        <w:t>, 103(3), 557-62.</w:t>
      </w:r>
    </w:p>
    <w:p w14:paraId="1A19EC7A" w14:textId="77777777" w:rsidR="00944E80" w:rsidRPr="00137EA9" w:rsidRDefault="00944E80" w:rsidP="00B4106B">
      <w:pPr>
        <w:autoSpaceDE w:val="0"/>
        <w:autoSpaceDN w:val="0"/>
        <w:adjustRightInd w:val="0"/>
        <w:ind w:left="540" w:hanging="540"/>
        <w:jc w:val="both"/>
        <w:rPr>
          <w:rFonts w:cs="Times New Roman"/>
          <w:szCs w:val="24"/>
        </w:rPr>
      </w:pPr>
      <w:r w:rsidRPr="00137EA9">
        <w:rPr>
          <w:rFonts w:cs="Times New Roman"/>
          <w:szCs w:val="24"/>
        </w:rPr>
        <w:t xml:space="preserve">Choe, E.Y., Du. Y., and Sun, G. (2022). Decline in older adults’ daily mobility during the COVID‑19 pandemic: The role of individual and built environment factors. </w:t>
      </w:r>
      <w:r w:rsidRPr="00137EA9">
        <w:rPr>
          <w:rFonts w:cs="Times New Roman"/>
          <w:i/>
          <w:iCs/>
          <w:szCs w:val="24"/>
        </w:rPr>
        <w:t>BMC Public Health</w:t>
      </w:r>
      <w:r w:rsidRPr="00137EA9">
        <w:rPr>
          <w:rFonts w:cs="Times New Roman"/>
          <w:szCs w:val="24"/>
        </w:rPr>
        <w:t xml:space="preserve">, 22, 2317. </w:t>
      </w:r>
    </w:p>
    <w:p w14:paraId="6F91C222" w14:textId="77777777" w:rsidR="00944E80" w:rsidRPr="00137EA9" w:rsidRDefault="00944E80" w:rsidP="00B4106B">
      <w:pPr>
        <w:pStyle w:val="Heading1"/>
        <w:shd w:val="clear" w:color="auto" w:fill="FFFFFF"/>
        <w:spacing w:before="0" w:beforeAutospacing="0" w:after="0" w:afterAutospacing="0"/>
        <w:ind w:left="540" w:hanging="540"/>
        <w:jc w:val="both"/>
        <w:rPr>
          <w:b w:val="0"/>
          <w:bCs w:val="0"/>
          <w:color w:val="191919"/>
          <w:sz w:val="24"/>
          <w:szCs w:val="24"/>
        </w:rPr>
      </w:pPr>
      <w:r w:rsidRPr="00137EA9">
        <w:rPr>
          <w:b w:val="0"/>
          <w:bCs w:val="0"/>
          <w:color w:val="000000" w:themeColor="text1"/>
          <w:sz w:val="24"/>
          <w:szCs w:val="24"/>
        </w:rPr>
        <w:t xml:space="preserve">Choi, K., and Denice, P. (2022). </w:t>
      </w:r>
      <w:r w:rsidRPr="00137EA9">
        <w:rPr>
          <w:b w:val="0"/>
          <w:bCs w:val="0"/>
          <w:sz w:val="24"/>
          <w:szCs w:val="24"/>
        </w:rPr>
        <w:t>Inclusion, walkability will be key to rebuilding cities after the COVID-19 pandemic</w:t>
      </w:r>
      <w:r w:rsidRPr="00137EA9">
        <w:rPr>
          <w:b w:val="0"/>
          <w:bCs w:val="0"/>
          <w:color w:val="191919"/>
          <w:sz w:val="24"/>
          <w:szCs w:val="24"/>
        </w:rPr>
        <w:t xml:space="preserve">. </w:t>
      </w:r>
      <w:r w:rsidRPr="00137EA9">
        <w:rPr>
          <w:b w:val="0"/>
          <w:bCs w:val="0"/>
          <w:i/>
          <w:iCs/>
          <w:color w:val="191919"/>
          <w:sz w:val="24"/>
          <w:szCs w:val="24"/>
        </w:rPr>
        <w:t>The Conversation</w:t>
      </w:r>
      <w:r w:rsidRPr="00137EA9">
        <w:rPr>
          <w:b w:val="0"/>
          <w:bCs w:val="0"/>
          <w:color w:val="191919"/>
          <w:sz w:val="24"/>
          <w:szCs w:val="24"/>
        </w:rPr>
        <w:t xml:space="preserve">, </w:t>
      </w:r>
      <w:hyperlink r:id="rId246" w:history="1">
        <w:r w:rsidRPr="00137EA9">
          <w:rPr>
            <w:b w:val="0"/>
            <w:bCs w:val="0"/>
            <w:sz w:val="24"/>
            <w:szCs w:val="24"/>
          </w:rPr>
          <w:t>https://theconversation.com/inclusion-walkability-will-be-key-to-rebuilding-cities-after-the-covid-19-pandemic-174313</w:t>
        </w:r>
      </w:hyperlink>
      <w:r w:rsidRPr="00137EA9">
        <w:rPr>
          <w:b w:val="0"/>
          <w:bCs w:val="0"/>
          <w:color w:val="191919"/>
          <w:sz w:val="24"/>
          <w:szCs w:val="24"/>
        </w:rPr>
        <w:t>, accessed January 7, 2024.</w:t>
      </w:r>
    </w:p>
    <w:p w14:paraId="45D18CEF" w14:textId="77777777" w:rsidR="00944E80" w:rsidRPr="00137EA9" w:rsidRDefault="00944E80" w:rsidP="00B4106B">
      <w:pPr>
        <w:ind w:left="540" w:hanging="540"/>
        <w:jc w:val="both"/>
        <w:rPr>
          <w:rFonts w:cs="Times New Roman"/>
          <w:szCs w:val="24"/>
        </w:rPr>
      </w:pPr>
      <w:r w:rsidRPr="00137EA9">
        <w:rPr>
          <w:rFonts w:cs="Times New Roman"/>
          <w:szCs w:val="24"/>
        </w:rPr>
        <w:t xml:space="preserve">de Haas, M., Faber, R., and Hamersma, M. (2020). How COVID-19 and the Dutch ‘intelligent lockdown’ change activities, work and travel behaviour: Evidence from longitudinal data in the Netherlands. </w:t>
      </w:r>
      <w:r w:rsidRPr="00137EA9">
        <w:rPr>
          <w:rFonts w:cs="Times New Roman"/>
          <w:i/>
          <w:iCs/>
          <w:szCs w:val="24"/>
        </w:rPr>
        <w:t>Transportation Research Interdisciplinary Perspectives</w:t>
      </w:r>
      <w:r w:rsidRPr="00137EA9">
        <w:rPr>
          <w:rFonts w:cs="Times New Roman"/>
          <w:szCs w:val="24"/>
        </w:rPr>
        <w:t>, 6, 100150.</w:t>
      </w:r>
    </w:p>
    <w:p w14:paraId="13188CF6" w14:textId="77777777" w:rsidR="00944E80" w:rsidRPr="00137EA9" w:rsidRDefault="00944E80" w:rsidP="00B4106B">
      <w:pPr>
        <w:autoSpaceDE w:val="0"/>
        <w:autoSpaceDN w:val="0"/>
        <w:adjustRightInd w:val="0"/>
        <w:ind w:left="540" w:hanging="540"/>
        <w:jc w:val="both"/>
        <w:rPr>
          <w:rFonts w:cs="Times New Roman"/>
          <w:color w:val="000000"/>
          <w:szCs w:val="24"/>
        </w:rPr>
      </w:pPr>
      <w:r w:rsidRPr="00137EA9">
        <w:rPr>
          <w:rFonts w:cs="Times New Roman"/>
          <w:szCs w:val="24"/>
        </w:rPr>
        <w:t xml:space="preserve">Denzer, M. (2019). Estimating causal effects in binary response models with binary endogenous explanatory variables: A comparison of possible estimators. Discussion paper number 1916, </w:t>
      </w:r>
      <w:r w:rsidRPr="00137EA9">
        <w:rPr>
          <w:rFonts w:cs="Times New Roman"/>
          <w:color w:val="000000"/>
          <w:szCs w:val="24"/>
        </w:rPr>
        <w:t>Gutenberg School of Management and Economics, Johannes Gutenberg University Mainz, Germany.</w:t>
      </w:r>
    </w:p>
    <w:p w14:paraId="2FE46E91" w14:textId="77777777" w:rsidR="00944E80" w:rsidRPr="00137EA9" w:rsidRDefault="00944E80" w:rsidP="00B4106B">
      <w:pPr>
        <w:ind w:left="540" w:hanging="540"/>
        <w:jc w:val="both"/>
        <w:rPr>
          <w:rFonts w:cs="Times New Roman"/>
          <w:color w:val="222222"/>
          <w:szCs w:val="24"/>
          <w:shd w:val="clear" w:color="auto" w:fill="FFFFFF"/>
        </w:rPr>
      </w:pPr>
      <w:r w:rsidRPr="00137EA9">
        <w:rPr>
          <w:rFonts w:cs="Times New Roman"/>
          <w:color w:val="222222"/>
          <w:szCs w:val="24"/>
          <w:shd w:val="clear" w:color="auto" w:fill="FFFFFF"/>
        </w:rPr>
        <w:t>Dias, F.F., Lavieri, P.S., Sharda, S., Khoeini, S., Bhat, C.R., Pendyala, R.M., Pinjari, A.R., Ramadurai, G., and Srinivasan, K.K. (2020). A comparison of online and in-person activity engagement: The case of shopping and eating meals. </w:t>
      </w:r>
      <w:r w:rsidRPr="00137EA9">
        <w:rPr>
          <w:rFonts w:cs="Times New Roman"/>
          <w:i/>
          <w:iCs/>
          <w:color w:val="222222"/>
          <w:szCs w:val="24"/>
          <w:shd w:val="clear" w:color="auto" w:fill="FFFFFF"/>
        </w:rPr>
        <w:t>Transportation Research Part C</w:t>
      </w:r>
      <w:r w:rsidRPr="00137EA9">
        <w:rPr>
          <w:rFonts w:cs="Times New Roman"/>
          <w:color w:val="222222"/>
          <w:szCs w:val="24"/>
          <w:shd w:val="clear" w:color="auto" w:fill="FFFFFF"/>
        </w:rPr>
        <w:t>, 114, 643-656.</w:t>
      </w:r>
    </w:p>
    <w:p w14:paraId="6972892A" w14:textId="77777777" w:rsidR="00944E80" w:rsidRPr="00137EA9" w:rsidRDefault="00944E80" w:rsidP="00B4106B">
      <w:pPr>
        <w:autoSpaceDE w:val="0"/>
        <w:autoSpaceDN w:val="0"/>
        <w:adjustRightInd w:val="0"/>
        <w:ind w:left="540" w:hanging="540"/>
        <w:jc w:val="both"/>
        <w:rPr>
          <w:rFonts w:cs="Times New Roman"/>
          <w:szCs w:val="24"/>
        </w:rPr>
      </w:pPr>
      <w:r w:rsidRPr="00137EA9">
        <w:rPr>
          <w:rFonts w:cs="Times New Roman"/>
          <w:szCs w:val="24"/>
        </w:rPr>
        <w:t xml:space="preserve">Dong, Y., and Lewbel, A. (2015). A simple estimator for binary choice models with endogenous regressors. </w:t>
      </w:r>
      <w:r w:rsidRPr="00137EA9">
        <w:rPr>
          <w:rFonts w:cs="Times New Roman"/>
          <w:i/>
          <w:iCs/>
          <w:szCs w:val="24"/>
        </w:rPr>
        <w:t>Econometric Reviews</w:t>
      </w:r>
      <w:r w:rsidRPr="00137EA9">
        <w:rPr>
          <w:rFonts w:cs="Times New Roman"/>
          <w:szCs w:val="24"/>
        </w:rPr>
        <w:t>, 34(1-2), 82-105.</w:t>
      </w:r>
    </w:p>
    <w:p w14:paraId="6A04FDF3" w14:textId="77777777" w:rsidR="00944E80" w:rsidRPr="00137EA9" w:rsidRDefault="00944E80" w:rsidP="00B4106B">
      <w:pPr>
        <w:autoSpaceDE w:val="0"/>
        <w:autoSpaceDN w:val="0"/>
        <w:adjustRightInd w:val="0"/>
        <w:ind w:left="540" w:hanging="540"/>
        <w:jc w:val="both"/>
        <w:rPr>
          <w:rFonts w:cs="Times New Roman"/>
          <w:szCs w:val="24"/>
        </w:rPr>
      </w:pPr>
      <w:r w:rsidRPr="00137EA9">
        <w:rPr>
          <w:rFonts w:cs="Times New Roman"/>
          <w:szCs w:val="24"/>
        </w:rPr>
        <w:t xml:space="preserve">Duque, M. (2021). Performing healthy ageing through images: From broadcasting to silence. </w:t>
      </w:r>
      <w:r w:rsidRPr="00137EA9">
        <w:rPr>
          <w:rFonts w:cs="Times New Roman"/>
          <w:i/>
          <w:iCs/>
          <w:szCs w:val="24"/>
        </w:rPr>
        <w:t>Global Media and China</w:t>
      </w:r>
      <w:r w:rsidRPr="00137EA9">
        <w:rPr>
          <w:rFonts w:cs="Times New Roman"/>
          <w:szCs w:val="24"/>
        </w:rPr>
        <w:t xml:space="preserve">, 6(3), </w:t>
      </w:r>
      <w:r w:rsidRPr="00137EA9">
        <w:rPr>
          <w:rFonts w:ascii="Tahoma" w:hAnsi="Tahoma" w:cs="Tahoma"/>
          <w:szCs w:val="24"/>
        </w:rPr>
        <w:t>﻿</w:t>
      </w:r>
      <w:r w:rsidRPr="00137EA9">
        <w:rPr>
          <w:rFonts w:cs="Times New Roman"/>
          <w:szCs w:val="24"/>
        </w:rPr>
        <w:t>303-324.</w:t>
      </w:r>
    </w:p>
    <w:p w14:paraId="5C8F507B" w14:textId="77777777" w:rsidR="00944E80" w:rsidRPr="00137EA9" w:rsidRDefault="00944E80" w:rsidP="00B4106B">
      <w:pPr>
        <w:ind w:left="540" w:hanging="540"/>
        <w:jc w:val="both"/>
        <w:rPr>
          <w:rFonts w:cs="Times New Roman"/>
          <w:szCs w:val="24"/>
        </w:rPr>
      </w:pPr>
      <w:r w:rsidRPr="00137EA9">
        <w:rPr>
          <w:rFonts w:cs="Times New Roman"/>
          <w:szCs w:val="24"/>
        </w:rPr>
        <w:lastRenderedPageBreak/>
        <w:t xml:space="preserve">Ewing, R., and Cervero, R. (2010). Travel and the built environment. </w:t>
      </w:r>
      <w:r w:rsidRPr="00137EA9">
        <w:rPr>
          <w:rFonts w:cs="Times New Roman"/>
          <w:i/>
          <w:iCs/>
          <w:szCs w:val="24"/>
        </w:rPr>
        <w:t>Journal of the American Planning Association</w:t>
      </w:r>
      <w:r w:rsidRPr="00137EA9">
        <w:rPr>
          <w:rFonts w:cs="Times New Roman"/>
          <w:szCs w:val="24"/>
        </w:rPr>
        <w:t>, 76(3), 265-294.</w:t>
      </w:r>
    </w:p>
    <w:p w14:paraId="010F6C88" w14:textId="77777777" w:rsidR="00944E80" w:rsidRPr="00137EA9" w:rsidRDefault="00944E80" w:rsidP="00B4106B">
      <w:pPr>
        <w:ind w:left="540" w:hanging="540"/>
        <w:jc w:val="both"/>
        <w:rPr>
          <w:rFonts w:cs="Times New Roman"/>
          <w:szCs w:val="24"/>
        </w:rPr>
      </w:pPr>
      <w:r w:rsidRPr="00137EA9">
        <w:rPr>
          <w:rFonts w:cs="Times New Roman"/>
          <w:szCs w:val="24"/>
        </w:rPr>
        <w:t xml:space="preserve">Faber, J.W. (2020). We built this: Consequences of new deal era intervention in America’s racial geography. </w:t>
      </w:r>
      <w:r w:rsidRPr="00137EA9">
        <w:rPr>
          <w:rFonts w:cs="Times New Roman"/>
          <w:i/>
          <w:iCs/>
          <w:szCs w:val="24"/>
          <w:shd w:val="clear" w:color="auto" w:fill="FFFFFF"/>
        </w:rPr>
        <w:t>American Sociological Review</w:t>
      </w:r>
      <w:r w:rsidRPr="00137EA9">
        <w:rPr>
          <w:rFonts w:cs="Times New Roman"/>
          <w:szCs w:val="24"/>
          <w:shd w:val="clear" w:color="auto" w:fill="FFFFFF"/>
        </w:rPr>
        <w:t>, 85(5), 739-775</w:t>
      </w:r>
      <w:r w:rsidRPr="00137EA9">
        <w:rPr>
          <w:rFonts w:cs="Times New Roman"/>
          <w:szCs w:val="24"/>
        </w:rPr>
        <w:t>.</w:t>
      </w:r>
    </w:p>
    <w:p w14:paraId="47C35BD2" w14:textId="77777777" w:rsidR="00944E80" w:rsidRPr="00137EA9" w:rsidRDefault="00944E80" w:rsidP="00B4106B">
      <w:pPr>
        <w:ind w:left="540" w:hanging="540"/>
        <w:jc w:val="both"/>
        <w:rPr>
          <w:rFonts w:cs="Times New Roman"/>
          <w:szCs w:val="24"/>
        </w:rPr>
      </w:pPr>
      <w:r w:rsidRPr="00137EA9">
        <w:rPr>
          <w:rFonts w:cs="Times New Roman"/>
          <w:szCs w:val="24"/>
        </w:rPr>
        <w:t xml:space="preserve">Gallant, A.R., and Nychka, D.W. (1987). Semi-nonparametric maximum likelihood estimation. </w:t>
      </w:r>
      <w:r w:rsidRPr="00137EA9">
        <w:rPr>
          <w:rFonts w:cs="Times New Roman"/>
          <w:i/>
          <w:iCs/>
          <w:szCs w:val="24"/>
        </w:rPr>
        <w:t>Econometrica</w:t>
      </w:r>
      <w:r w:rsidRPr="00137EA9">
        <w:rPr>
          <w:rFonts w:cs="Times New Roman"/>
          <w:szCs w:val="24"/>
        </w:rPr>
        <w:t>, 55(2), 363-390.</w:t>
      </w:r>
    </w:p>
    <w:p w14:paraId="2CA66CE5" w14:textId="77777777" w:rsidR="00944E80" w:rsidRPr="00137EA9" w:rsidRDefault="00944E80" w:rsidP="00B4106B">
      <w:pPr>
        <w:ind w:left="540" w:hanging="540"/>
        <w:jc w:val="both"/>
        <w:rPr>
          <w:rFonts w:cs="Times New Roman"/>
          <w:color w:val="000000"/>
          <w:szCs w:val="24"/>
        </w:rPr>
      </w:pPr>
      <w:r w:rsidRPr="00137EA9">
        <w:rPr>
          <w:rFonts w:eastAsia="CMR12" w:cs="Times New Roman"/>
          <w:szCs w:val="24"/>
        </w:rPr>
        <w:t xml:space="preserve">Gallaugher, M.P.B, McNicholas, P.D., Melnykov, V., Zhu, X. (2020). </w:t>
      </w:r>
      <w:r w:rsidRPr="00137EA9">
        <w:rPr>
          <w:rFonts w:cs="Times New Roman"/>
          <w:color w:val="000000"/>
          <w:szCs w:val="24"/>
        </w:rPr>
        <w:t>Skewed distributions or transformations? Modelling skewness for a cluster analysis.</w:t>
      </w:r>
      <w:r w:rsidRPr="00137EA9">
        <w:rPr>
          <w:rStyle w:val="arxivid"/>
          <w:rFonts w:cs="Times New Roman"/>
          <w:color w:val="000000"/>
          <w:szCs w:val="24"/>
        </w:rPr>
        <w:t xml:space="preserve"> </w:t>
      </w:r>
      <w:hyperlink r:id="rId247" w:history="1">
        <w:r w:rsidRPr="00137EA9">
          <w:rPr>
            <w:rFonts w:cs="Times New Roman"/>
            <w:szCs w:val="24"/>
          </w:rPr>
          <w:t>https://doi.org/10.48550/arXiv.2011.09152</w:t>
        </w:r>
      </w:hyperlink>
      <w:r w:rsidRPr="00137EA9">
        <w:rPr>
          <w:rFonts w:cs="Times New Roman"/>
          <w:color w:val="000000"/>
          <w:szCs w:val="24"/>
        </w:rPr>
        <w:t>, accessed January 7, 2024</w:t>
      </w:r>
    </w:p>
    <w:p w14:paraId="07AC57D3" w14:textId="6DC3778B" w:rsidR="00944E80" w:rsidRDefault="00944E80" w:rsidP="00B4106B">
      <w:pPr>
        <w:autoSpaceDE w:val="0"/>
        <w:autoSpaceDN w:val="0"/>
        <w:adjustRightInd w:val="0"/>
        <w:ind w:left="540" w:hanging="540"/>
        <w:jc w:val="both"/>
        <w:rPr>
          <w:rFonts w:eastAsia="FrutigerLTPro-LightCn" w:cs="Times New Roman"/>
          <w:szCs w:val="24"/>
        </w:rPr>
      </w:pPr>
      <w:r w:rsidRPr="00137EA9">
        <w:rPr>
          <w:rFonts w:cs="Times New Roman"/>
          <w:color w:val="212121"/>
          <w:szCs w:val="24"/>
          <w:shd w:val="clear" w:color="auto" w:fill="FFFFFF"/>
        </w:rPr>
        <w:t>Garcia, L., Pearce, M., Abbas, A., Mok, A., Strain, T., Ali, S., Crippa, A., Dempsey, P.C., Golubic, R., Kelly, P., Laird, Y., McNamara, E., Moore, S., de Sa, T.H., Smith, A.D., Wijndaele, K., Woodcock, J., and Brage, S. (2023). Non-occupational physical activity and risk of cardiovascular disease, cancer and mortality outcomes: A dose-response meta-analysis of large prospective studies. </w:t>
      </w:r>
      <w:r w:rsidRPr="00137EA9">
        <w:rPr>
          <w:rFonts w:cs="Times New Roman"/>
          <w:i/>
          <w:iCs/>
          <w:color w:val="212121"/>
          <w:szCs w:val="24"/>
          <w:shd w:val="clear" w:color="auto" w:fill="FFFFFF"/>
        </w:rPr>
        <w:t>British Journal of Sports Medicine</w:t>
      </w:r>
      <w:r w:rsidRPr="00137EA9">
        <w:rPr>
          <w:rFonts w:cs="Times New Roman"/>
          <w:color w:val="212121"/>
          <w:szCs w:val="24"/>
          <w:shd w:val="clear" w:color="auto" w:fill="FFFFFF"/>
        </w:rPr>
        <w:t>, 57(15), 979-989</w:t>
      </w:r>
      <w:r w:rsidRPr="00137EA9">
        <w:rPr>
          <w:rFonts w:eastAsia="FrutigerLTPro-LightCn" w:cs="Times New Roman"/>
          <w:szCs w:val="24"/>
        </w:rPr>
        <w:t>.</w:t>
      </w:r>
    </w:p>
    <w:p w14:paraId="7ECE1384" w14:textId="18819911" w:rsidR="00902FAA" w:rsidRPr="00902FAA" w:rsidRDefault="00902FAA" w:rsidP="00B4106B">
      <w:pPr>
        <w:autoSpaceDE w:val="0"/>
        <w:autoSpaceDN w:val="0"/>
        <w:adjustRightInd w:val="0"/>
        <w:ind w:left="540" w:hanging="540"/>
        <w:jc w:val="both"/>
        <w:rPr>
          <w:rFonts w:cs="Times New Roman"/>
          <w:color w:val="000000" w:themeColor="text1"/>
          <w:szCs w:val="24"/>
        </w:rPr>
      </w:pPr>
      <w:r w:rsidRPr="00902FAA">
        <w:rPr>
          <w:rFonts w:cs="Times New Roman"/>
          <w:szCs w:val="24"/>
        </w:rPr>
        <w:t xml:space="preserve">Guerrero, V.M. and Johnson, R.A. (1982). Use of the Box-Cox </w:t>
      </w:r>
      <w:r w:rsidR="00A8718B">
        <w:rPr>
          <w:rFonts w:cs="Times New Roman"/>
          <w:szCs w:val="24"/>
        </w:rPr>
        <w:t>t</w:t>
      </w:r>
      <w:r w:rsidRPr="00902FAA">
        <w:rPr>
          <w:rFonts w:cs="Times New Roman"/>
          <w:szCs w:val="24"/>
        </w:rPr>
        <w:t xml:space="preserve">ransformation with </w:t>
      </w:r>
      <w:r w:rsidR="00A8718B">
        <w:rPr>
          <w:rFonts w:cs="Times New Roman"/>
          <w:szCs w:val="24"/>
        </w:rPr>
        <w:t>b</w:t>
      </w:r>
      <w:r w:rsidRPr="00902FAA">
        <w:rPr>
          <w:rFonts w:cs="Times New Roman"/>
          <w:szCs w:val="24"/>
        </w:rPr>
        <w:t xml:space="preserve">inary </w:t>
      </w:r>
      <w:r w:rsidR="00A8718B">
        <w:rPr>
          <w:rFonts w:cs="Times New Roman"/>
          <w:szCs w:val="24"/>
        </w:rPr>
        <w:t>r</w:t>
      </w:r>
      <w:r w:rsidRPr="00902FAA">
        <w:rPr>
          <w:rFonts w:cs="Times New Roman"/>
          <w:szCs w:val="24"/>
        </w:rPr>
        <w:t xml:space="preserve">esponse </w:t>
      </w:r>
      <w:r w:rsidR="00A8718B">
        <w:rPr>
          <w:rFonts w:cs="Times New Roman"/>
          <w:szCs w:val="24"/>
        </w:rPr>
        <w:t>m</w:t>
      </w:r>
      <w:r w:rsidRPr="00902FAA">
        <w:rPr>
          <w:rFonts w:cs="Times New Roman"/>
          <w:szCs w:val="24"/>
        </w:rPr>
        <w:t>odels</w:t>
      </w:r>
      <w:r w:rsidR="00A8718B">
        <w:rPr>
          <w:rFonts w:cs="Times New Roman"/>
          <w:szCs w:val="24"/>
        </w:rPr>
        <w:t xml:space="preserve">. </w:t>
      </w:r>
      <w:r w:rsidRPr="00A8718B">
        <w:rPr>
          <w:rFonts w:cs="Times New Roman"/>
          <w:i/>
          <w:iCs/>
          <w:szCs w:val="24"/>
        </w:rPr>
        <w:t>Biometrika</w:t>
      </w:r>
      <w:r w:rsidRPr="00902FAA">
        <w:rPr>
          <w:rFonts w:cs="Times New Roman"/>
          <w:szCs w:val="24"/>
        </w:rPr>
        <w:t>, 69(2), 309-314.</w:t>
      </w:r>
    </w:p>
    <w:p w14:paraId="79B1E9D4" w14:textId="77777777" w:rsidR="00944E80" w:rsidRPr="00137EA9" w:rsidRDefault="00944E80" w:rsidP="00B4106B">
      <w:pPr>
        <w:ind w:left="540" w:hanging="540"/>
        <w:jc w:val="both"/>
        <w:rPr>
          <w:rFonts w:cs="Times New Roman"/>
          <w:szCs w:val="24"/>
        </w:rPr>
      </w:pPr>
      <w:r w:rsidRPr="00137EA9">
        <w:rPr>
          <w:rFonts w:cs="Times New Roman"/>
          <w:szCs w:val="24"/>
        </w:rPr>
        <w:t xml:space="preserve">Greene, W.H. (2017). </w:t>
      </w:r>
      <w:r w:rsidRPr="00137EA9">
        <w:rPr>
          <w:rFonts w:cs="Times New Roman"/>
          <w:i/>
          <w:iCs/>
          <w:szCs w:val="24"/>
        </w:rPr>
        <w:t>Econometric Analysis</w:t>
      </w:r>
      <w:r w:rsidRPr="00137EA9">
        <w:rPr>
          <w:rFonts w:cs="Times New Roman"/>
          <w:szCs w:val="24"/>
        </w:rPr>
        <w:t xml:space="preserve"> (8th edition). Pearson Education.</w:t>
      </w:r>
    </w:p>
    <w:p w14:paraId="3964625A" w14:textId="77777777" w:rsidR="00944E80" w:rsidRPr="00137EA9" w:rsidRDefault="00944E80" w:rsidP="00B4106B">
      <w:pPr>
        <w:ind w:left="540" w:hanging="540"/>
        <w:jc w:val="both"/>
        <w:rPr>
          <w:rFonts w:cs="Times New Roman"/>
          <w:szCs w:val="24"/>
        </w:rPr>
      </w:pPr>
      <w:r w:rsidRPr="00137EA9">
        <w:rPr>
          <w:rFonts w:eastAsia="STIX-Regular" w:cs="Times New Roman"/>
          <w:szCs w:val="24"/>
        </w:rPr>
        <w:t xml:space="preserve">Greene, W.H., and Hensher, D.A. (2010). </w:t>
      </w:r>
      <w:r w:rsidRPr="00137EA9">
        <w:rPr>
          <w:rFonts w:eastAsia="STIX-Italic" w:cs="Times New Roman"/>
          <w:i/>
          <w:iCs/>
          <w:szCs w:val="24"/>
        </w:rPr>
        <w:t>Modeling Ordered Choices: A Primer</w:t>
      </w:r>
      <w:r w:rsidRPr="00137EA9">
        <w:rPr>
          <w:rFonts w:eastAsia="STIX-Regular" w:cs="Times New Roman"/>
          <w:szCs w:val="24"/>
        </w:rPr>
        <w:t>. Cambridge University Press.</w:t>
      </w:r>
    </w:p>
    <w:p w14:paraId="5B1DE5BE" w14:textId="77777777" w:rsidR="00944E80" w:rsidRPr="00137EA9" w:rsidRDefault="00944E80" w:rsidP="00B4106B">
      <w:pPr>
        <w:ind w:left="540" w:hanging="540"/>
        <w:jc w:val="both"/>
        <w:rPr>
          <w:rFonts w:cs="Times New Roman"/>
          <w:szCs w:val="24"/>
        </w:rPr>
      </w:pPr>
      <w:r w:rsidRPr="00137EA9">
        <w:rPr>
          <w:rFonts w:cs="Times New Roman"/>
          <w:szCs w:val="24"/>
        </w:rPr>
        <w:t xml:space="preserve">Guan, X., Wang, D., and Cao, X.J. </w:t>
      </w:r>
      <w:r w:rsidRPr="00137EA9">
        <w:rPr>
          <w:rFonts w:cs="Times New Roman"/>
          <w:color w:val="222222"/>
          <w:szCs w:val="24"/>
          <w:shd w:val="clear" w:color="auto" w:fill="FFFFFF"/>
        </w:rPr>
        <w:t>(2020)</w:t>
      </w:r>
      <w:r w:rsidRPr="00137EA9">
        <w:rPr>
          <w:rFonts w:cs="Times New Roman"/>
          <w:szCs w:val="24"/>
        </w:rPr>
        <w:t>. The role of residential self-selection in land use-travel research: A review of recent findings. </w:t>
      </w:r>
      <w:r w:rsidRPr="00137EA9">
        <w:rPr>
          <w:rFonts w:cs="Times New Roman"/>
          <w:i/>
          <w:iCs/>
          <w:szCs w:val="24"/>
        </w:rPr>
        <w:t>Transport Reviews</w:t>
      </w:r>
      <w:r w:rsidRPr="00137EA9">
        <w:rPr>
          <w:rFonts w:cs="Times New Roman"/>
          <w:szCs w:val="24"/>
        </w:rPr>
        <w:t>, 40(3), 267</w:t>
      </w:r>
      <w:r w:rsidRPr="00137EA9">
        <w:rPr>
          <w:rFonts w:cs="Times New Roman"/>
          <w:color w:val="222222"/>
          <w:szCs w:val="24"/>
          <w:shd w:val="clear" w:color="auto" w:fill="FFFFFF"/>
        </w:rPr>
        <w:t>-</w:t>
      </w:r>
      <w:r w:rsidRPr="00137EA9">
        <w:rPr>
          <w:rFonts w:cs="Times New Roman"/>
          <w:szCs w:val="24"/>
        </w:rPr>
        <w:t>287.</w:t>
      </w:r>
    </w:p>
    <w:p w14:paraId="25039C11" w14:textId="77777777" w:rsidR="00944E80" w:rsidRPr="00137EA9" w:rsidRDefault="00944E80" w:rsidP="00B4106B">
      <w:pPr>
        <w:ind w:left="540" w:hanging="540"/>
        <w:jc w:val="both"/>
        <w:rPr>
          <w:rFonts w:cs="Times New Roman"/>
          <w:szCs w:val="24"/>
        </w:rPr>
      </w:pPr>
      <w:r w:rsidRPr="00137EA9">
        <w:rPr>
          <w:rFonts w:cs="Times New Roman"/>
          <w:szCs w:val="24"/>
        </w:rPr>
        <w:t>Haddad, A.J., Mondal, A., and Bhat, C.R. (2023). Eat-in or eat-out? A joint model to analyze the new landscape of dinner meal preferences. </w:t>
      </w:r>
      <w:r w:rsidRPr="00137EA9">
        <w:rPr>
          <w:rFonts w:cs="Times New Roman"/>
          <w:i/>
          <w:iCs/>
          <w:szCs w:val="24"/>
        </w:rPr>
        <w:t>Transportation Research Part C</w:t>
      </w:r>
      <w:r w:rsidRPr="00137EA9">
        <w:rPr>
          <w:rFonts w:cs="Times New Roman"/>
          <w:szCs w:val="24"/>
        </w:rPr>
        <w:t xml:space="preserve">, 147, 104016.  </w:t>
      </w:r>
    </w:p>
    <w:p w14:paraId="1686FD30" w14:textId="77777777" w:rsidR="00944E80" w:rsidRPr="00137EA9" w:rsidRDefault="00944E80" w:rsidP="00B4106B">
      <w:pPr>
        <w:numPr>
          <w:ilvl w:val="12"/>
          <w:numId w:val="0"/>
        </w:numPr>
        <w:ind w:left="540" w:hanging="540"/>
        <w:jc w:val="both"/>
        <w:rPr>
          <w:rFonts w:cs="Times New Roman"/>
          <w:szCs w:val="24"/>
        </w:rPr>
      </w:pPr>
      <w:r w:rsidRPr="00137EA9">
        <w:rPr>
          <w:rFonts w:cs="Times New Roman"/>
          <w:szCs w:val="24"/>
        </w:rPr>
        <w:t xml:space="preserve">Hamed, M.M., and Mannering, F.L. (1993). Modeling travelers' postwork activity involvement: toward a new methodology. </w:t>
      </w:r>
      <w:r w:rsidRPr="00137EA9">
        <w:rPr>
          <w:rFonts w:cs="Times New Roman"/>
          <w:i/>
          <w:iCs/>
          <w:szCs w:val="24"/>
        </w:rPr>
        <w:t>Transportation Science</w:t>
      </w:r>
      <w:r w:rsidRPr="00137EA9">
        <w:rPr>
          <w:rFonts w:cs="Times New Roman"/>
          <w:szCs w:val="24"/>
        </w:rPr>
        <w:t>, 27(4), 381-394.</w:t>
      </w:r>
    </w:p>
    <w:p w14:paraId="53ABD914" w14:textId="77777777" w:rsidR="00944E80" w:rsidRPr="00137EA9" w:rsidRDefault="00944E80" w:rsidP="00B4106B">
      <w:pPr>
        <w:autoSpaceDE w:val="0"/>
        <w:autoSpaceDN w:val="0"/>
        <w:adjustRightInd w:val="0"/>
        <w:ind w:left="540" w:hanging="540"/>
        <w:jc w:val="both"/>
        <w:rPr>
          <w:rFonts w:cs="Times New Roman"/>
          <w:color w:val="0000FF"/>
          <w:szCs w:val="24"/>
        </w:rPr>
      </w:pPr>
      <w:r w:rsidRPr="00137EA9">
        <w:rPr>
          <w:rFonts w:cs="Times New Roman"/>
          <w:color w:val="000000"/>
          <w:szCs w:val="24"/>
        </w:rPr>
        <w:t xml:space="preserve">Han, S., and Lee, S. (2019). Estimation in a generalization of bivariate probit models with dummy endogenous regressors. </w:t>
      </w:r>
      <w:r w:rsidRPr="00137EA9">
        <w:rPr>
          <w:rFonts w:cs="Times New Roman"/>
          <w:i/>
          <w:iCs/>
          <w:color w:val="000000"/>
          <w:szCs w:val="24"/>
        </w:rPr>
        <w:t>Journal of Applied Econometrics</w:t>
      </w:r>
      <w:r w:rsidRPr="00137EA9">
        <w:rPr>
          <w:rFonts w:cs="Times New Roman"/>
          <w:color w:val="000000"/>
          <w:szCs w:val="24"/>
        </w:rPr>
        <w:t xml:space="preserve">, 34(6), 994-1015. </w:t>
      </w:r>
    </w:p>
    <w:p w14:paraId="02B3A86A" w14:textId="77777777" w:rsidR="00944E80" w:rsidRPr="00137EA9" w:rsidRDefault="00944E80" w:rsidP="00B4106B">
      <w:pPr>
        <w:autoSpaceDE w:val="0"/>
        <w:autoSpaceDN w:val="0"/>
        <w:adjustRightInd w:val="0"/>
        <w:ind w:left="540" w:hanging="540"/>
        <w:jc w:val="both"/>
        <w:rPr>
          <w:rFonts w:cs="Times New Roman"/>
          <w:szCs w:val="24"/>
        </w:rPr>
      </w:pPr>
      <w:r w:rsidRPr="00137EA9">
        <w:rPr>
          <w:rFonts w:cs="Times New Roman"/>
          <w:szCs w:val="24"/>
        </w:rPr>
        <w:t xml:space="preserve">Heckman, J.J. (1978). Dummy endogenous variables in a simultaneous equation system. </w:t>
      </w:r>
      <w:r w:rsidRPr="00137EA9">
        <w:rPr>
          <w:rFonts w:cs="Times New Roman"/>
          <w:i/>
          <w:iCs/>
          <w:szCs w:val="24"/>
        </w:rPr>
        <w:t>Econometrica</w:t>
      </w:r>
      <w:r w:rsidRPr="00137EA9">
        <w:rPr>
          <w:rFonts w:cs="Times New Roman"/>
          <w:szCs w:val="24"/>
        </w:rPr>
        <w:t>, 46(4), 931-959.</w:t>
      </w:r>
    </w:p>
    <w:p w14:paraId="41509D4F" w14:textId="77777777" w:rsidR="00944E80" w:rsidRPr="00137EA9" w:rsidRDefault="00944E80" w:rsidP="00B4106B">
      <w:pPr>
        <w:ind w:left="540" w:hanging="540"/>
        <w:jc w:val="both"/>
        <w:rPr>
          <w:rFonts w:cs="Times New Roman"/>
          <w:szCs w:val="24"/>
        </w:rPr>
      </w:pPr>
      <w:r w:rsidRPr="00137EA9">
        <w:rPr>
          <w:rFonts w:cs="Times New Roman"/>
          <w:szCs w:val="24"/>
        </w:rPr>
        <w:t xml:space="preserve">Heckman, J.J., and Vytlacil, E.J. (2000). The relationship between treatment parameters within a latent variable framework. </w:t>
      </w:r>
      <w:r w:rsidRPr="00137EA9">
        <w:rPr>
          <w:rFonts w:cs="Times New Roman"/>
          <w:i/>
          <w:iCs/>
          <w:szCs w:val="24"/>
        </w:rPr>
        <w:t>Economics Letters</w:t>
      </w:r>
      <w:r w:rsidRPr="00137EA9">
        <w:rPr>
          <w:rFonts w:cs="Times New Roman"/>
          <w:szCs w:val="24"/>
        </w:rPr>
        <w:t xml:space="preserve">, 66(1), 33-39. </w:t>
      </w:r>
    </w:p>
    <w:p w14:paraId="4CAFBF62" w14:textId="77777777" w:rsidR="00944E80" w:rsidRPr="00137EA9" w:rsidRDefault="00944E80" w:rsidP="00B4106B">
      <w:pPr>
        <w:pStyle w:val="Heading1"/>
        <w:spacing w:before="0" w:beforeAutospacing="0" w:after="0" w:afterAutospacing="0"/>
        <w:ind w:left="540" w:hanging="540"/>
        <w:jc w:val="both"/>
        <w:rPr>
          <w:b w:val="0"/>
          <w:bCs w:val="0"/>
          <w:color w:val="000000"/>
          <w:spacing w:val="-5"/>
          <w:sz w:val="24"/>
          <w:szCs w:val="24"/>
        </w:rPr>
      </w:pPr>
      <w:r w:rsidRPr="00137EA9">
        <w:rPr>
          <w:b w:val="0"/>
          <w:bCs w:val="0"/>
          <w:sz w:val="24"/>
          <w:szCs w:val="24"/>
        </w:rPr>
        <w:t xml:space="preserve">Heckman, J.J., and Vytlacil, E.J. (2001). </w:t>
      </w:r>
      <w:r w:rsidRPr="00137EA9">
        <w:rPr>
          <w:b w:val="0"/>
          <w:bCs w:val="0"/>
          <w:color w:val="000000"/>
          <w:spacing w:val="-5"/>
          <w:sz w:val="24"/>
          <w:szCs w:val="24"/>
        </w:rPr>
        <w:t xml:space="preserve">Policy-relevant treatment effects. </w:t>
      </w:r>
      <w:r w:rsidRPr="00137EA9">
        <w:rPr>
          <w:b w:val="0"/>
          <w:bCs w:val="0"/>
          <w:i/>
          <w:iCs/>
          <w:sz w:val="24"/>
          <w:szCs w:val="24"/>
        </w:rPr>
        <w:t>The American Economic Review</w:t>
      </w:r>
      <w:r w:rsidRPr="00137EA9">
        <w:rPr>
          <w:rStyle w:val="src"/>
          <w:b w:val="0"/>
          <w:bCs w:val="0"/>
          <w:spacing w:val="-5"/>
          <w:sz w:val="24"/>
          <w:szCs w:val="24"/>
        </w:rPr>
        <w:t xml:space="preserve">, 91,  107-111 </w:t>
      </w:r>
    </w:p>
    <w:p w14:paraId="0D4E01B9" w14:textId="77777777" w:rsidR="00944E80" w:rsidRPr="00137EA9" w:rsidRDefault="00944E80" w:rsidP="00B4106B">
      <w:pPr>
        <w:autoSpaceDE w:val="0"/>
        <w:autoSpaceDN w:val="0"/>
        <w:adjustRightInd w:val="0"/>
        <w:ind w:left="540" w:hanging="540"/>
        <w:jc w:val="both"/>
        <w:rPr>
          <w:rFonts w:cs="Times New Roman"/>
          <w:szCs w:val="24"/>
        </w:rPr>
      </w:pPr>
      <w:r w:rsidRPr="00137EA9">
        <w:rPr>
          <w:rFonts w:cs="Times New Roman"/>
          <w:color w:val="000000"/>
          <w:szCs w:val="24"/>
        </w:rPr>
        <w:t xml:space="preserve">Heydari, S., Miranda-Moreno, L., and Hickford, A.J. (2020). On the causal effect of proximity to school on pedestrian safety at signalized intersections: A heterogeneous endogenous econometric model. </w:t>
      </w:r>
      <w:r w:rsidRPr="00137EA9">
        <w:rPr>
          <w:rFonts w:cs="Times New Roman"/>
          <w:i/>
          <w:iCs/>
          <w:szCs w:val="24"/>
        </w:rPr>
        <w:t>Analytic Methods in Accident Research</w:t>
      </w:r>
      <w:r w:rsidRPr="00137EA9">
        <w:rPr>
          <w:rFonts w:cs="Times New Roman"/>
          <w:szCs w:val="24"/>
        </w:rPr>
        <w:t>, 26, 100115.</w:t>
      </w:r>
    </w:p>
    <w:p w14:paraId="04A4D7FF" w14:textId="77777777" w:rsidR="00944E80" w:rsidRPr="00137EA9" w:rsidRDefault="00944E80" w:rsidP="00B4106B">
      <w:pPr>
        <w:autoSpaceDE w:val="0"/>
        <w:autoSpaceDN w:val="0"/>
        <w:adjustRightInd w:val="0"/>
        <w:ind w:left="540" w:hanging="540"/>
        <w:jc w:val="both"/>
        <w:rPr>
          <w:rFonts w:cs="Times New Roman"/>
          <w:szCs w:val="24"/>
        </w:rPr>
      </w:pPr>
      <w:r w:rsidRPr="00137EA9">
        <w:rPr>
          <w:rFonts w:cs="Times New Roman"/>
          <w:szCs w:val="24"/>
        </w:rPr>
        <w:t xml:space="preserve">Hogan, C.L., Mata, J., and Carstensen, L.L. (2013). Exercise holds immediate benefits for affect and cognition in older and younger adults. </w:t>
      </w:r>
      <w:r w:rsidRPr="00137EA9">
        <w:rPr>
          <w:rFonts w:cs="Times New Roman"/>
          <w:i/>
          <w:iCs/>
          <w:szCs w:val="24"/>
        </w:rPr>
        <w:t>Psychology and Aging</w:t>
      </w:r>
      <w:r w:rsidRPr="00137EA9">
        <w:rPr>
          <w:rFonts w:cs="Times New Roman"/>
          <w:szCs w:val="24"/>
        </w:rPr>
        <w:t>, 28(2), 587-594.</w:t>
      </w:r>
    </w:p>
    <w:p w14:paraId="42FF178C" w14:textId="77777777" w:rsidR="00944E80" w:rsidRPr="00137EA9" w:rsidRDefault="00944E80" w:rsidP="00B4106B">
      <w:pPr>
        <w:autoSpaceDE w:val="0"/>
        <w:autoSpaceDN w:val="0"/>
        <w:adjustRightInd w:val="0"/>
        <w:ind w:left="540" w:hanging="540"/>
        <w:jc w:val="both"/>
        <w:rPr>
          <w:rFonts w:cs="Times New Roman"/>
          <w:szCs w:val="24"/>
        </w:rPr>
      </w:pPr>
      <w:r w:rsidRPr="00137EA9">
        <w:rPr>
          <w:rFonts w:cs="Times New Roman"/>
          <w:szCs w:val="24"/>
        </w:rPr>
        <w:t xml:space="preserve">Huang, X., and Xu, J. (2022). Nonparametric sieve maximum likelihood estimation of semi-competing risks data. </w:t>
      </w:r>
      <w:r w:rsidRPr="00137EA9">
        <w:rPr>
          <w:rFonts w:cs="Times New Roman"/>
          <w:i/>
          <w:iCs/>
          <w:szCs w:val="24"/>
        </w:rPr>
        <w:t>Mathematics</w:t>
      </w:r>
      <w:r w:rsidRPr="00137EA9">
        <w:rPr>
          <w:rFonts w:cs="Times New Roman"/>
          <w:szCs w:val="24"/>
        </w:rPr>
        <w:t>, 10(13), 2248.</w:t>
      </w:r>
    </w:p>
    <w:p w14:paraId="4F371B64" w14:textId="77777777" w:rsidR="00944E80" w:rsidRPr="00137EA9" w:rsidRDefault="00944E80" w:rsidP="00B4106B">
      <w:pPr>
        <w:autoSpaceDE w:val="0"/>
        <w:autoSpaceDN w:val="0"/>
        <w:adjustRightInd w:val="0"/>
        <w:ind w:left="540" w:hanging="540"/>
        <w:jc w:val="both"/>
        <w:rPr>
          <w:rFonts w:cs="Times New Roman"/>
          <w:color w:val="000000" w:themeColor="text1"/>
          <w:szCs w:val="24"/>
        </w:rPr>
      </w:pPr>
      <w:r w:rsidRPr="00137EA9">
        <w:rPr>
          <w:rFonts w:cs="Times New Roman"/>
          <w:szCs w:val="24"/>
        </w:rPr>
        <w:t>Hwang, H., Haddad, A., Batur, I., Saxena, S., Pendyala, R.M., and Bhat, C.R. (2023). An analysis of walking frequency before and after the pandemic. Technical paper, Department of Civil, Architectural and Environmental Engineering, The University of Texas at Austin.</w:t>
      </w:r>
    </w:p>
    <w:p w14:paraId="6FC6F576" w14:textId="77777777" w:rsidR="00A8718B" w:rsidRDefault="00944E80" w:rsidP="00A8718B">
      <w:pPr>
        <w:keepLines/>
        <w:autoSpaceDE w:val="0"/>
        <w:autoSpaceDN w:val="0"/>
        <w:adjustRightInd w:val="0"/>
        <w:ind w:left="547" w:hanging="547"/>
        <w:jc w:val="both"/>
        <w:rPr>
          <w:rFonts w:cs="Times New Roman"/>
          <w:szCs w:val="24"/>
        </w:rPr>
      </w:pPr>
      <w:r w:rsidRPr="00137EA9">
        <w:rPr>
          <w:rFonts w:cs="Times New Roman"/>
          <w:szCs w:val="24"/>
        </w:rPr>
        <w:lastRenderedPageBreak/>
        <w:t xml:space="preserve">Jadhav, A., Dhaulakhandi, D., Kumar, S., Malviya, L., and Mewada, A. (2023). Data transformation: A preprocessing stage in machine learning regression problems. In </w:t>
      </w:r>
      <w:r w:rsidRPr="00137EA9">
        <w:rPr>
          <w:rFonts w:cs="Times New Roman"/>
          <w:i/>
          <w:iCs/>
          <w:szCs w:val="24"/>
        </w:rPr>
        <w:t>Artificial Intelligence Techniques in Power Systems Operations and Analysis</w:t>
      </w:r>
      <w:r w:rsidRPr="00137EA9">
        <w:rPr>
          <w:rFonts w:cs="Times New Roman"/>
          <w:szCs w:val="24"/>
        </w:rPr>
        <w:t xml:space="preserve">, Singh, N., Tamrakar, S., Mewada, A., </w:t>
      </w:r>
      <w:r w:rsidR="00A8718B">
        <w:rPr>
          <w:rFonts w:cs="Times New Roman"/>
          <w:szCs w:val="24"/>
        </w:rPr>
        <w:t>and</w:t>
      </w:r>
      <w:r w:rsidRPr="00137EA9">
        <w:rPr>
          <w:rFonts w:cs="Times New Roman"/>
          <w:szCs w:val="24"/>
        </w:rPr>
        <w:t xml:space="preserve"> Gupta, S.K. (Eds.). Auerbach Publications</w:t>
      </w:r>
      <w:r w:rsidR="00A8718B">
        <w:rPr>
          <w:rFonts w:cs="Times New Roman"/>
          <w:szCs w:val="24"/>
        </w:rPr>
        <w:t>,</w:t>
      </w:r>
    </w:p>
    <w:p w14:paraId="1022BAC0" w14:textId="4F374AE9" w:rsidR="00944E80" w:rsidRPr="00137EA9" w:rsidRDefault="00944E80" w:rsidP="00A8718B">
      <w:pPr>
        <w:keepLines/>
        <w:autoSpaceDE w:val="0"/>
        <w:autoSpaceDN w:val="0"/>
        <w:adjustRightInd w:val="0"/>
        <w:ind w:left="547" w:hanging="547"/>
        <w:rPr>
          <w:rFonts w:cs="Times New Roman"/>
          <w:color w:val="000000" w:themeColor="text1"/>
          <w:szCs w:val="24"/>
        </w:rPr>
      </w:pPr>
      <w:r w:rsidRPr="00137EA9">
        <w:rPr>
          <w:rFonts w:cs="Times New Roman"/>
          <w:szCs w:val="24"/>
        </w:rPr>
        <w:t xml:space="preserve"> </w:t>
      </w:r>
      <w:r w:rsidR="00A8718B">
        <w:rPr>
          <w:rFonts w:cs="Times New Roman"/>
          <w:szCs w:val="24"/>
        </w:rPr>
        <w:tab/>
      </w:r>
      <w:r w:rsidR="00A8718B" w:rsidRPr="00D40E00">
        <w:rPr>
          <w:rFonts w:cs="Times New Roman"/>
          <w:szCs w:val="24"/>
        </w:rPr>
        <w:t>https://doi.org/10.1201/9781003301820</w:t>
      </w:r>
      <w:r w:rsidRPr="00137EA9">
        <w:rPr>
          <w:rFonts w:cs="Times New Roman"/>
          <w:szCs w:val="24"/>
        </w:rPr>
        <w:t xml:space="preserve"> </w:t>
      </w:r>
    </w:p>
    <w:p w14:paraId="1F630F0D" w14:textId="77777777" w:rsidR="00944E80" w:rsidRPr="00137EA9" w:rsidRDefault="00944E80" w:rsidP="00B4106B">
      <w:pPr>
        <w:autoSpaceDE w:val="0"/>
        <w:autoSpaceDN w:val="0"/>
        <w:adjustRightInd w:val="0"/>
        <w:ind w:left="540" w:hanging="540"/>
        <w:jc w:val="both"/>
        <w:rPr>
          <w:rFonts w:cs="Times New Roman"/>
          <w:szCs w:val="24"/>
        </w:rPr>
      </w:pPr>
      <w:r w:rsidRPr="00137EA9">
        <w:rPr>
          <w:rFonts w:cs="Times New Roman"/>
          <w:szCs w:val="24"/>
        </w:rPr>
        <w:t xml:space="preserve">Jimenez, M.P., DeVille, N.V., Elliott, E.G., Schiff, J.E., Wilt, G.E., Hart, J.E., and James, P. (2021). Associations between nature exposure and health: A review of the evidence. </w:t>
      </w:r>
      <w:r w:rsidRPr="00137EA9">
        <w:rPr>
          <w:rFonts w:cs="Times New Roman"/>
          <w:i/>
          <w:iCs/>
          <w:szCs w:val="24"/>
        </w:rPr>
        <w:t>International Journal of Environmental Research and Public Health</w:t>
      </w:r>
      <w:r w:rsidRPr="00137EA9">
        <w:rPr>
          <w:rFonts w:cs="Times New Roman"/>
          <w:szCs w:val="24"/>
        </w:rPr>
        <w:t xml:space="preserve">, 18(9), 4790. </w:t>
      </w:r>
    </w:p>
    <w:p w14:paraId="36451B26" w14:textId="77777777" w:rsidR="00944E80" w:rsidRPr="00137EA9" w:rsidRDefault="00944E80" w:rsidP="00B4106B">
      <w:pPr>
        <w:ind w:left="540" w:hanging="540"/>
        <w:jc w:val="both"/>
        <w:rPr>
          <w:rFonts w:cs="Times New Roman"/>
          <w:color w:val="222222"/>
          <w:szCs w:val="24"/>
          <w:shd w:val="clear" w:color="auto" w:fill="FFFFFF"/>
        </w:rPr>
      </w:pPr>
      <w:r w:rsidRPr="00137EA9">
        <w:rPr>
          <w:rFonts w:cs="Times New Roman"/>
          <w:color w:val="222222"/>
          <w:szCs w:val="24"/>
          <w:shd w:val="clear" w:color="auto" w:fill="FFFFFF"/>
        </w:rPr>
        <w:t>Jiryaie, F., and Khodadadi, A. (2019). Simultaneous optimization of multiple responses that involve correlated continuous and ordinal responses according to the Gaussian copula models. </w:t>
      </w:r>
      <w:r w:rsidRPr="00137EA9">
        <w:rPr>
          <w:rFonts w:cs="Times New Roman"/>
          <w:i/>
          <w:iCs/>
          <w:color w:val="222222"/>
          <w:szCs w:val="24"/>
          <w:shd w:val="clear" w:color="auto" w:fill="FFFFFF"/>
        </w:rPr>
        <w:t>Journal of Statistical Theory and Applications</w:t>
      </w:r>
      <w:r w:rsidRPr="00137EA9">
        <w:rPr>
          <w:rFonts w:cs="Times New Roman"/>
          <w:color w:val="222222"/>
          <w:szCs w:val="24"/>
          <w:shd w:val="clear" w:color="auto" w:fill="FFFFFF"/>
        </w:rPr>
        <w:t>, 18(3), 212-221.</w:t>
      </w:r>
    </w:p>
    <w:p w14:paraId="142F47D7" w14:textId="77777777" w:rsidR="00944E80" w:rsidRPr="00137EA9" w:rsidRDefault="00944E80" w:rsidP="00B4106B">
      <w:pPr>
        <w:ind w:left="540" w:hanging="540"/>
        <w:jc w:val="both"/>
        <w:rPr>
          <w:rFonts w:cs="Times New Roman"/>
          <w:szCs w:val="24"/>
        </w:rPr>
      </w:pPr>
      <w:r w:rsidRPr="00137EA9">
        <w:rPr>
          <w:rFonts w:cs="Times New Roman"/>
          <w:szCs w:val="24"/>
        </w:rPr>
        <w:t xml:space="preserve">Joe, H., (1997). </w:t>
      </w:r>
      <w:r w:rsidRPr="00137EA9">
        <w:rPr>
          <w:rStyle w:val="booktitle"/>
          <w:rFonts w:cs="Times New Roman"/>
          <w:i/>
          <w:iCs/>
          <w:szCs w:val="24"/>
        </w:rPr>
        <w:t>Multivariate Models and Dependence Concepts</w:t>
      </w:r>
      <w:r w:rsidRPr="00137EA9">
        <w:rPr>
          <w:rFonts w:cs="Times New Roman"/>
          <w:szCs w:val="24"/>
        </w:rPr>
        <w:t xml:space="preserve">. Chapman and Hall, London. </w:t>
      </w:r>
    </w:p>
    <w:p w14:paraId="74E3BE12" w14:textId="77777777" w:rsidR="00944E80" w:rsidRPr="00137EA9" w:rsidRDefault="00944E80" w:rsidP="00B4106B">
      <w:pPr>
        <w:autoSpaceDE w:val="0"/>
        <w:autoSpaceDN w:val="0"/>
        <w:adjustRightInd w:val="0"/>
        <w:ind w:left="540" w:hanging="540"/>
        <w:jc w:val="both"/>
        <w:rPr>
          <w:rFonts w:cs="Times New Roman"/>
          <w:szCs w:val="24"/>
        </w:rPr>
      </w:pPr>
      <w:r w:rsidRPr="00137EA9">
        <w:rPr>
          <w:rFonts w:cs="Times New Roman"/>
          <w:szCs w:val="24"/>
        </w:rPr>
        <w:t xml:space="preserve">Kang, C., and Lee, M.-J. (2014). Estimation of binary response models with endogenous regressors. </w:t>
      </w:r>
      <w:r w:rsidRPr="00137EA9">
        <w:rPr>
          <w:rFonts w:cs="Times New Roman"/>
          <w:i/>
          <w:iCs/>
          <w:szCs w:val="24"/>
        </w:rPr>
        <w:t>Pacific Economic Review</w:t>
      </w:r>
      <w:r w:rsidRPr="00137EA9">
        <w:rPr>
          <w:rFonts w:cs="Times New Roman"/>
          <w:szCs w:val="24"/>
        </w:rPr>
        <w:t>, 19(4), 502-530.</w:t>
      </w:r>
    </w:p>
    <w:p w14:paraId="5FFFB6DE" w14:textId="77777777" w:rsidR="00944E80" w:rsidRPr="00137EA9" w:rsidRDefault="00944E80" w:rsidP="00B4106B">
      <w:pPr>
        <w:ind w:left="540" w:hanging="540"/>
        <w:jc w:val="both"/>
        <w:rPr>
          <w:rFonts w:cs="Times New Roman"/>
          <w:color w:val="222222"/>
          <w:szCs w:val="24"/>
          <w:shd w:val="clear" w:color="auto" w:fill="FFFFFF"/>
        </w:rPr>
      </w:pPr>
      <w:r w:rsidRPr="00137EA9">
        <w:rPr>
          <w:rFonts w:cs="Times New Roman"/>
          <w:color w:val="222222"/>
          <w:szCs w:val="24"/>
          <w:shd w:val="clear" w:color="auto" w:fill="FFFFFF"/>
        </w:rPr>
        <w:t>Kang, S., Mondal, A., Bhat, A.C., and Bhat, C.R. (2021). Pooled versus private ride-hailing: A joint revealed and stated preference analysis recognizing psycho-social factors. </w:t>
      </w:r>
      <w:r w:rsidRPr="00137EA9">
        <w:rPr>
          <w:rFonts w:cs="Times New Roman"/>
          <w:i/>
          <w:iCs/>
          <w:color w:val="222222"/>
          <w:szCs w:val="24"/>
          <w:shd w:val="clear" w:color="auto" w:fill="FFFFFF"/>
        </w:rPr>
        <w:t>Transportation Research Part C</w:t>
      </w:r>
      <w:r w:rsidRPr="00137EA9">
        <w:rPr>
          <w:rFonts w:cs="Times New Roman"/>
          <w:color w:val="222222"/>
          <w:szCs w:val="24"/>
          <w:shd w:val="clear" w:color="auto" w:fill="FFFFFF"/>
        </w:rPr>
        <w:t>, 124, 102906.</w:t>
      </w:r>
    </w:p>
    <w:p w14:paraId="70174613" w14:textId="77777777" w:rsidR="00944E80" w:rsidRPr="00137EA9" w:rsidRDefault="00944E80" w:rsidP="00B4106B">
      <w:pPr>
        <w:pStyle w:val="NormalWeb"/>
        <w:spacing w:before="0" w:beforeAutospacing="0" w:after="0" w:afterAutospacing="0"/>
        <w:ind w:left="540" w:hanging="540"/>
        <w:jc w:val="both"/>
        <w:rPr>
          <w:color w:val="000000"/>
        </w:rPr>
      </w:pPr>
      <w:r w:rsidRPr="00137EA9">
        <w:t>Kim</w:t>
      </w:r>
      <w:r w:rsidRPr="00137EA9">
        <w:rPr>
          <w:color w:val="000000"/>
        </w:rPr>
        <w:t>, J. and </w:t>
      </w:r>
      <w:r w:rsidRPr="00137EA9">
        <w:t>Brownstone</w:t>
      </w:r>
      <w:r w:rsidRPr="00137EA9">
        <w:rPr>
          <w:color w:val="000000"/>
        </w:rPr>
        <w:t xml:space="preserve">, D. (2013). </w:t>
      </w:r>
      <w:r w:rsidRPr="00137EA9">
        <w:t xml:space="preserve">The impact of residential density on vehicle usage and fuel consumption: Evidence from national samples. </w:t>
      </w:r>
      <w:hyperlink r:id="rId248" w:history="1">
        <w:r w:rsidRPr="00137EA9">
          <w:rPr>
            <w:i/>
            <w:iCs/>
          </w:rPr>
          <w:t>Energy Economics</w:t>
        </w:r>
      </w:hyperlink>
      <w:r w:rsidRPr="00137EA9">
        <w:t xml:space="preserve">, </w:t>
      </w:r>
      <w:r w:rsidRPr="00137EA9">
        <w:rPr>
          <w:color w:val="000000"/>
        </w:rPr>
        <w:t>40, 196-206.</w:t>
      </w:r>
    </w:p>
    <w:p w14:paraId="47E84887" w14:textId="77777777" w:rsidR="00944E80" w:rsidRPr="00137EA9" w:rsidRDefault="00944E80" w:rsidP="00B4106B">
      <w:pPr>
        <w:ind w:left="540" w:hanging="540"/>
        <w:jc w:val="both"/>
        <w:rPr>
          <w:rFonts w:cs="Times New Roman"/>
          <w:color w:val="222222"/>
          <w:szCs w:val="24"/>
          <w:shd w:val="clear" w:color="auto" w:fill="FFFFFF"/>
        </w:rPr>
      </w:pPr>
      <w:r w:rsidRPr="00137EA9">
        <w:rPr>
          <w:rFonts w:cs="Times New Roman"/>
          <w:color w:val="222222"/>
          <w:szCs w:val="24"/>
          <w:shd w:val="clear" w:color="auto" w:fill="FFFFFF"/>
        </w:rPr>
        <w:t>Kwon, S., Ha, I.D., Shih, J.H., and Emura, T. (2022). Flexible parametric copula modeling approaches for clustered survival data. </w:t>
      </w:r>
      <w:r w:rsidRPr="00137EA9">
        <w:rPr>
          <w:rFonts w:cs="Times New Roman"/>
          <w:i/>
          <w:iCs/>
          <w:color w:val="222222"/>
          <w:szCs w:val="24"/>
          <w:shd w:val="clear" w:color="auto" w:fill="FFFFFF"/>
        </w:rPr>
        <w:t>Pharmaceutical Statistics</w:t>
      </w:r>
      <w:r w:rsidRPr="00137EA9">
        <w:rPr>
          <w:rFonts w:cs="Times New Roman"/>
          <w:color w:val="222222"/>
          <w:szCs w:val="24"/>
          <w:shd w:val="clear" w:color="auto" w:fill="FFFFFF"/>
        </w:rPr>
        <w:t>, 21(1), 69-88.</w:t>
      </w:r>
    </w:p>
    <w:p w14:paraId="3533462D" w14:textId="77777777" w:rsidR="00944E80" w:rsidRPr="00137EA9" w:rsidRDefault="00944E80" w:rsidP="00B4106B">
      <w:pPr>
        <w:ind w:left="540" w:hanging="540"/>
        <w:jc w:val="both"/>
      </w:pPr>
      <w:r w:rsidRPr="00137EA9">
        <w:t xml:space="preserve">Kyan, A., and Takakura, M. (2022). Socio-economic inequalities in physical activity among Japanese adults during the COVID-19 pandemic. </w:t>
      </w:r>
      <w:r w:rsidRPr="00137EA9">
        <w:rPr>
          <w:i/>
          <w:iCs/>
        </w:rPr>
        <w:t>Public Health</w:t>
      </w:r>
      <w:r w:rsidRPr="00137EA9">
        <w:t xml:space="preserve">, 207, 7-13. </w:t>
      </w:r>
    </w:p>
    <w:p w14:paraId="0B17EBBE" w14:textId="77777777" w:rsidR="00944E80" w:rsidRPr="00137EA9" w:rsidRDefault="00944E80" w:rsidP="00B4106B">
      <w:pPr>
        <w:numPr>
          <w:ilvl w:val="12"/>
          <w:numId w:val="0"/>
        </w:numPr>
        <w:ind w:left="540" w:hanging="540"/>
        <w:jc w:val="both"/>
        <w:rPr>
          <w:rFonts w:cs="Times New Roman"/>
          <w:szCs w:val="24"/>
        </w:rPr>
      </w:pPr>
      <w:r w:rsidRPr="00137EA9">
        <w:rPr>
          <w:rFonts w:cs="Times New Roman"/>
          <w:szCs w:val="24"/>
        </w:rPr>
        <w:t xml:space="preserve">Lee, L.F. (1983). Generalized econometric models with selectivity. </w:t>
      </w:r>
      <w:r w:rsidRPr="00137EA9">
        <w:rPr>
          <w:rFonts w:cs="Times New Roman"/>
          <w:i/>
          <w:iCs/>
          <w:szCs w:val="24"/>
        </w:rPr>
        <w:t>Econometrica</w:t>
      </w:r>
      <w:r w:rsidRPr="00137EA9">
        <w:rPr>
          <w:rFonts w:cs="Times New Roman"/>
          <w:szCs w:val="24"/>
        </w:rPr>
        <w:t>, 51(2), 507-512.</w:t>
      </w:r>
    </w:p>
    <w:p w14:paraId="2FBB7EC3" w14:textId="77777777" w:rsidR="00944E80" w:rsidRPr="00137EA9" w:rsidRDefault="00944E80" w:rsidP="00B4106B">
      <w:pPr>
        <w:autoSpaceDE w:val="0"/>
        <w:autoSpaceDN w:val="0"/>
        <w:adjustRightInd w:val="0"/>
        <w:ind w:left="540" w:hanging="540"/>
        <w:jc w:val="both"/>
        <w:rPr>
          <w:rFonts w:cs="Times New Roman"/>
          <w:szCs w:val="24"/>
        </w:rPr>
      </w:pPr>
      <w:r w:rsidRPr="00137EA9">
        <w:rPr>
          <w:rFonts w:cs="Times New Roman"/>
          <w:szCs w:val="24"/>
        </w:rPr>
        <w:t xml:space="preserve">Lee, S.X., and McLachlan, G.L. (2022). </w:t>
      </w:r>
      <w:r w:rsidRPr="00137EA9">
        <w:rPr>
          <w:rFonts w:cs="Times New Roman"/>
          <w:color w:val="000000"/>
          <w:szCs w:val="24"/>
        </w:rPr>
        <w:t xml:space="preserve">An overview of skew distributions in model-based clustering. </w:t>
      </w:r>
      <w:r w:rsidRPr="00137EA9">
        <w:rPr>
          <w:rFonts w:cs="Times New Roman"/>
          <w:i/>
          <w:iCs/>
          <w:szCs w:val="24"/>
        </w:rPr>
        <w:t>Journal of Multivariate Analysis</w:t>
      </w:r>
      <w:r w:rsidRPr="00137EA9">
        <w:rPr>
          <w:rFonts w:cs="Times New Roman"/>
          <w:szCs w:val="24"/>
        </w:rPr>
        <w:t>, 188, 104853.</w:t>
      </w:r>
    </w:p>
    <w:p w14:paraId="46FAD528" w14:textId="77777777" w:rsidR="00944E80" w:rsidRPr="00137EA9" w:rsidRDefault="00944E80" w:rsidP="00B4106B">
      <w:pPr>
        <w:autoSpaceDE w:val="0"/>
        <w:autoSpaceDN w:val="0"/>
        <w:adjustRightInd w:val="0"/>
        <w:ind w:left="540" w:hanging="540"/>
        <w:jc w:val="both"/>
        <w:rPr>
          <w:rFonts w:cs="Times New Roman"/>
          <w:szCs w:val="24"/>
        </w:rPr>
      </w:pPr>
      <w:r w:rsidRPr="00137EA9">
        <w:rPr>
          <w:rFonts w:cs="Times New Roman"/>
          <w:szCs w:val="24"/>
        </w:rPr>
        <w:t xml:space="preserve">Lewbel, A. (2000). Semiparametric qualitative response model estimation with unknown heteroscedasticity or instrumental variables. </w:t>
      </w:r>
      <w:r w:rsidRPr="00137EA9">
        <w:rPr>
          <w:rFonts w:cs="Times New Roman"/>
          <w:i/>
          <w:iCs/>
          <w:szCs w:val="24"/>
        </w:rPr>
        <w:t>Journal of Econometrics</w:t>
      </w:r>
      <w:r w:rsidRPr="00137EA9">
        <w:rPr>
          <w:rFonts w:cs="Times New Roman"/>
          <w:szCs w:val="24"/>
        </w:rPr>
        <w:t>, 97(1), 145-177.</w:t>
      </w:r>
    </w:p>
    <w:p w14:paraId="1FD042F7" w14:textId="77777777" w:rsidR="00944E80" w:rsidRPr="00137EA9" w:rsidRDefault="00944E80" w:rsidP="00B4106B">
      <w:pPr>
        <w:autoSpaceDE w:val="0"/>
        <w:autoSpaceDN w:val="0"/>
        <w:adjustRightInd w:val="0"/>
        <w:ind w:left="540" w:hanging="540"/>
        <w:jc w:val="both"/>
        <w:rPr>
          <w:rFonts w:cs="Times New Roman"/>
          <w:szCs w:val="24"/>
        </w:rPr>
      </w:pPr>
      <w:r w:rsidRPr="00137EA9">
        <w:rPr>
          <w:rFonts w:cs="Times New Roman"/>
          <w:szCs w:val="24"/>
        </w:rPr>
        <w:t xml:space="preserve">Lima, F.T., Brown, N.C., Duarte, J.P. (2021). Understanding the impact of walkability, population density, and population size on COVID-19 spread: A pilot study of the early contagion in the United States. </w:t>
      </w:r>
      <w:r w:rsidRPr="00137EA9">
        <w:rPr>
          <w:rFonts w:cs="Times New Roman"/>
          <w:i/>
          <w:iCs/>
          <w:szCs w:val="24"/>
        </w:rPr>
        <w:t>Entropy</w:t>
      </w:r>
      <w:r w:rsidRPr="00137EA9">
        <w:rPr>
          <w:rFonts w:cs="Times New Roman"/>
          <w:szCs w:val="24"/>
        </w:rPr>
        <w:t xml:space="preserve">, 23(11), 1512. </w:t>
      </w:r>
    </w:p>
    <w:p w14:paraId="139A1E92" w14:textId="2DE26056" w:rsidR="0051631C" w:rsidRPr="0051631C" w:rsidRDefault="0051631C" w:rsidP="00B4106B">
      <w:pPr>
        <w:ind w:left="540" w:hanging="540"/>
        <w:jc w:val="both"/>
        <w:rPr>
          <w:rFonts w:cs="Times New Roman"/>
          <w:szCs w:val="24"/>
          <w:bdr w:val="none" w:sz="0" w:space="0" w:color="auto" w:frame="1"/>
          <w:shd w:val="clear" w:color="auto" w:fill="FFFFFF"/>
        </w:rPr>
      </w:pPr>
      <w:r w:rsidRPr="0051631C">
        <w:rPr>
          <w:rFonts w:cs="Times New Roman"/>
          <w:szCs w:val="24"/>
          <w:bdr w:val="none" w:sz="0" w:space="0" w:color="auto" w:frame="1"/>
          <w:shd w:val="clear" w:color="auto" w:fill="FFFFFF"/>
        </w:rPr>
        <w:t xml:space="preserve">Longo, A., Hutchinson, W. G., Hunter, R. F., Tully, M. A., </w:t>
      </w:r>
      <w:r w:rsidR="00A8718B">
        <w:rPr>
          <w:rFonts w:cs="Times New Roman"/>
          <w:szCs w:val="24"/>
          <w:bdr w:val="none" w:sz="0" w:space="0" w:color="auto" w:frame="1"/>
          <w:shd w:val="clear" w:color="auto" w:fill="FFFFFF"/>
        </w:rPr>
        <w:t>and</w:t>
      </w:r>
      <w:r w:rsidRPr="0051631C">
        <w:rPr>
          <w:rFonts w:cs="Times New Roman"/>
          <w:szCs w:val="24"/>
          <w:bdr w:val="none" w:sz="0" w:space="0" w:color="auto" w:frame="1"/>
          <w:shd w:val="clear" w:color="auto" w:fill="FFFFFF"/>
        </w:rPr>
        <w:t xml:space="preserve"> Kee, F. (2015). Demand response to improved</w:t>
      </w:r>
      <w:r>
        <w:rPr>
          <w:rFonts w:cs="Times New Roman"/>
          <w:szCs w:val="24"/>
          <w:bdr w:val="none" w:sz="0" w:space="0" w:color="auto" w:frame="1"/>
          <w:shd w:val="clear" w:color="auto" w:fill="FFFFFF"/>
        </w:rPr>
        <w:t xml:space="preserve"> </w:t>
      </w:r>
      <w:r w:rsidRPr="0051631C">
        <w:rPr>
          <w:rFonts w:cs="Times New Roman"/>
          <w:szCs w:val="24"/>
          <w:bdr w:val="none" w:sz="0" w:space="0" w:color="auto" w:frame="1"/>
          <w:shd w:val="clear" w:color="auto" w:fill="FFFFFF"/>
        </w:rPr>
        <w:t xml:space="preserve">walking infrastructure: A study into the economics of walking and health behaviour change. </w:t>
      </w:r>
      <w:r w:rsidRPr="0051631C">
        <w:rPr>
          <w:rFonts w:cs="Times New Roman"/>
          <w:i/>
          <w:iCs/>
          <w:szCs w:val="24"/>
          <w:bdr w:val="none" w:sz="0" w:space="0" w:color="auto" w:frame="1"/>
          <w:shd w:val="clear" w:color="auto" w:fill="FFFFFF"/>
        </w:rPr>
        <w:t>Social Science &amp;</w:t>
      </w:r>
      <w:r w:rsidR="00A8718B">
        <w:rPr>
          <w:rFonts w:cs="Times New Roman"/>
          <w:i/>
          <w:iCs/>
          <w:szCs w:val="24"/>
          <w:bdr w:val="none" w:sz="0" w:space="0" w:color="auto" w:frame="1"/>
          <w:shd w:val="clear" w:color="auto" w:fill="FFFFFF"/>
        </w:rPr>
        <w:t xml:space="preserve"> </w:t>
      </w:r>
      <w:r w:rsidRPr="0051631C">
        <w:rPr>
          <w:rFonts w:cs="Times New Roman"/>
          <w:i/>
          <w:iCs/>
          <w:szCs w:val="24"/>
          <w:bdr w:val="none" w:sz="0" w:space="0" w:color="auto" w:frame="1"/>
          <w:shd w:val="clear" w:color="auto" w:fill="FFFFFF"/>
        </w:rPr>
        <w:t>Medicine</w:t>
      </w:r>
      <w:r w:rsidRPr="0051631C">
        <w:rPr>
          <w:rFonts w:cs="Times New Roman"/>
          <w:szCs w:val="24"/>
          <w:bdr w:val="none" w:sz="0" w:space="0" w:color="auto" w:frame="1"/>
          <w:shd w:val="clear" w:color="auto" w:fill="FFFFFF"/>
        </w:rPr>
        <w:t>, 143, 107-116.</w:t>
      </w:r>
    </w:p>
    <w:p w14:paraId="13A5B2A2" w14:textId="349357C0" w:rsidR="00944E80" w:rsidRPr="00137EA9" w:rsidRDefault="00944E80" w:rsidP="00B4106B">
      <w:pPr>
        <w:ind w:left="540" w:hanging="540"/>
        <w:jc w:val="both"/>
        <w:rPr>
          <w:rFonts w:cs="Times New Roman"/>
          <w:szCs w:val="24"/>
        </w:rPr>
      </w:pPr>
      <w:r w:rsidRPr="00137EA9">
        <w:rPr>
          <w:rFonts w:cs="Times New Roman"/>
          <w:szCs w:val="24"/>
        </w:rPr>
        <w:t xml:space="preserve">Lotfata, A., Gemci, A., and Ferah, B. (2022). The changing context of walking behavior: Coping with the COVID-19 pandemic in urban neighborhoods. </w:t>
      </w:r>
      <w:r w:rsidRPr="00137EA9">
        <w:rPr>
          <w:rFonts w:cs="Times New Roman"/>
          <w:i/>
          <w:iCs/>
          <w:szCs w:val="24"/>
        </w:rPr>
        <w:t>Archnet-IJAR: International Journal of Architectural Research</w:t>
      </w:r>
      <w:r w:rsidRPr="00137EA9">
        <w:rPr>
          <w:rFonts w:cs="Times New Roman"/>
          <w:szCs w:val="24"/>
        </w:rPr>
        <w:t>, 16(3), 495-516.</w:t>
      </w:r>
    </w:p>
    <w:p w14:paraId="624D32FE" w14:textId="3AA21BD9" w:rsidR="00C90BC5" w:rsidRPr="00C90BC5" w:rsidRDefault="00C90BC5" w:rsidP="00C90BC5">
      <w:pPr>
        <w:autoSpaceDE w:val="0"/>
        <w:autoSpaceDN w:val="0"/>
        <w:adjustRightInd w:val="0"/>
        <w:ind w:left="630" w:hanging="630"/>
        <w:jc w:val="both"/>
        <w:rPr>
          <w:rFonts w:cs="Times New Roman"/>
          <w:szCs w:val="24"/>
        </w:rPr>
      </w:pPr>
      <w:r w:rsidRPr="00C90BC5">
        <w:rPr>
          <w:rFonts w:cs="Times New Roman"/>
          <w:szCs w:val="24"/>
        </w:rPr>
        <w:t xml:space="preserve">Makela, M. and Aktas, B.M. (2023). Learning with the </w:t>
      </w:r>
      <w:r>
        <w:rPr>
          <w:rFonts w:cs="Times New Roman"/>
          <w:szCs w:val="24"/>
        </w:rPr>
        <w:t>n</w:t>
      </w:r>
      <w:r w:rsidRPr="00C90BC5">
        <w:rPr>
          <w:rFonts w:cs="Times New Roman"/>
          <w:szCs w:val="24"/>
        </w:rPr>
        <w:t>atural</w:t>
      </w:r>
      <w:r>
        <w:rPr>
          <w:rFonts w:cs="Times New Roman"/>
          <w:szCs w:val="24"/>
        </w:rPr>
        <w:t xml:space="preserve"> e</w:t>
      </w:r>
      <w:r w:rsidRPr="00C90BC5">
        <w:rPr>
          <w:rFonts w:cs="Times New Roman"/>
          <w:szCs w:val="24"/>
        </w:rPr>
        <w:t xml:space="preserve">nvironment: </w:t>
      </w:r>
      <w:r w:rsidR="00A8718B">
        <w:rPr>
          <w:rFonts w:cs="Times New Roman"/>
          <w:szCs w:val="24"/>
        </w:rPr>
        <w:t>H</w:t>
      </w:r>
      <w:r w:rsidRPr="00C90BC5">
        <w:rPr>
          <w:rFonts w:cs="Times New Roman"/>
          <w:szCs w:val="24"/>
        </w:rPr>
        <w:t xml:space="preserve">ow </w:t>
      </w:r>
      <w:r>
        <w:rPr>
          <w:rFonts w:cs="Times New Roman"/>
          <w:szCs w:val="24"/>
        </w:rPr>
        <w:t>w</w:t>
      </w:r>
      <w:r w:rsidRPr="00C90BC5">
        <w:rPr>
          <w:rFonts w:cs="Times New Roman"/>
          <w:szCs w:val="24"/>
        </w:rPr>
        <w:t>alking</w:t>
      </w:r>
      <w:r>
        <w:rPr>
          <w:rFonts w:cs="Times New Roman"/>
          <w:szCs w:val="24"/>
        </w:rPr>
        <w:t xml:space="preserve"> </w:t>
      </w:r>
      <w:r w:rsidRPr="00C90BC5">
        <w:rPr>
          <w:rFonts w:cs="Times New Roman"/>
          <w:szCs w:val="24"/>
        </w:rPr>
        <w:t xml:space="preserve">with </w:t>
      </w:r>
      <w:r>
        <w:rPr>
          <w:rFonts w:cs="Times New Roman"/>
          <w:szCs w:val="24"/>
        </w:rPr>
        <w:t>n</w:t>
      </w:r>
      <w:r w:rsidRPr="00C90BC5">
        <w:rPr>
          <w:rFonts w:cs="Times New Roman"/>
          <w:szCs w:val="24"/>
        </w:rPr>
        <w:t xml:space="preserve">ature </w:t>
      </w:r>
      <w:r>
        <w:rPr>
          <w:rFonts w:cs="Times New Roman"/>
          <w:szCs w:val="24"/>
        </w:rPr>
        <w:t>c</w:t>
      </w:r>
      <w:r w:rsidRPr="00C90BC5">
        <w:rPr>
          <w:rFonts w:cs="Times New Roman"/>
          <w:szCs w:val="24"/>
        </w:rPr>
        <w:t xml:space="preserve">an </w:t>
      </w:r>
      <w:r>
        <w:rPr>
          <w:rFonts w:cs="Times New Roman"/>
          <w:szCs w:val="24"/>
        </w:rPr>
        <w:t>a</w:t>
      </w:r>
      <w:r w:rsidRPr="00C90BC5">
        <w:rPr>
          <w:rFonts w:cs="Times New Roman"/>
          <w:szCs w:val="24"/>
        </w:rPr>
        <w:t>ctively</w:t>
      </w:r>
      <w:r>
        <w:rPr>
          <w:rFonts w:cs="Times New Roman"/>
          <w:szCs w:val="24"/>
        </w:rPr>
        <w:t xml:space="preserve"> s</w:t>
      </w:r>
      <w:r w:rsidRPr="00C90BC5">
        <w:rPr>
          <w:rFonts w:cs="Times New Roman"/>
          <w:szCs w:val="24"/>
        </w:rPr>
        <w:t xml:space="preserve">hape </w:t>
      </w:r>
      <w:r>
        <w:rPr>
          <w:rFonts w:cs="Times New Roman"/>
          <w:szCs w:val="24"/>
        </w:rPr>
        <w:t>c</w:t>
      </w:r>
      <w:r w:rsidRPr="00C90BC5">
        <w:rPr>
          <w:rFonts w:cs="Times New Roman"/>
          <w:szCs w:val="24"/>
        </w:rPr>
        <w:t>reativity and</w:t>
      </w:r>
      <w:r>
        <w:rPr>
          <w:rFonts w:cs="Times New Roman"/>
          <w:szCs w:val="24"/>
        </w:rPr>
        <w:t xml:space="preserve"> c</w:t>
      </w:r>
      <w:r w:rsidRPr="00C90BC5">
        <w:rPr>
          <w:rFonts w:cs="Times New Roman"/>
          <w:szCs w:val="24"/>
        </w:rPr>
        <w:t xml:space="preserve">ontribute to </w:t>
      </w:r>
      <w:r>
        <w:rPr>
          <w:rFonts w:cs="Times New Roman"/>
          <w:szCs w:val="24"/>
        </w:rPr>
        <w:t>h</w:t>
      </w:r>
      <w:r w:rsidRPr="00C90BC5">
        <w:rPr>
          <w:rFonts w:cs="Times New Roman"/>
          <w:szCs w:val="24"/>
        </w:rPr>
        <w:t>olistic</w:t>
      </w:r>
      <w:r>
        <w:rPr>
          <w:rFonts w:cs="Times New Roman"/>
          <w:szCs w:val="24"/>
        </w:rPr>
        <w:t xml:space="preserve"> l</w:t>
      </w:r>
      <w:r w:rsidRPr="00C90BC5">
        <w:rPr>
          <w:rFonts w:cs="Times New Roman"/>
          <w:szCs w:val="24"/>
        </w:rPr>
        <w:t>earning</w:t>
      </w:r>
      <w:r w:rsidR="00A8718B" w:rsidRPr="00A8718B">
        <w:rPr>
          <w:rFonts w:cs="Times New Roman"/>
          <w:szCs w:val="24"/>
        </w:rPr>
        <w:t>.</w:t>
      </w:r>
      <w:r w:rsidRPr="00A8718B">
        <w:rPr>
          <w:rFonts w:cs="Times New Roman"/>
          <w:szCs w:val="24"/>
        </w:rPr>
        <w:t xml:space="preserve"> </w:t>
      </w:r>
      <w:r w:rsidRPr="00A8718B">
        <w:rPr>
          <w:rFonts w:cs="Times New Roman"/>
          <w:i/>
          <w:iCs/>
          <w:szCs w:val="24"/>
        </w:rPr>
        <w:t>International Journal of Art &amp; Design Education</w:t>
      </w:r>
      <w:r w:rsidRPr="00A8718B">
        <w:rPr>
          <w:rFonts w:cs="Times New Roman"/>
          <w:szCs w:val="24"/>
        </w:rPr>
        <w:t xml:space="preserve">, </w:t>
      </w:r>
      <w:r w:rsidRPr="00C90BC5">
        <w:rPr>
          <w:rFonts w:cs="Times New Roman"/>
          <w:szCs w:val="24"/>
          <w:shd w:val="clear" w:color="auto" w:fill="FFFFFF"/>
        </w:rPr>
        <w:t>DOI: 10.1111/jade.12447</w:t>
      </w:r>
    </w:p>
    <w:p w14:paraId="56C2AD78" w14:textId="238CBC0F" w:rsidR="00944E80" w:rsidRPr="00137EA9" w:rsidRDefault="00944E80" w:rsidP="00C90BC5">
      <w:pPr>
        <w:ind w:left="540" w:hanging="540"/>
        <w:jc w:val="both"/>
        <w:rPr>
          <w:rFonts w:eastAsia="CMR12" w:cs="Times New Roman"/>
          <w:szCs w:val="24"/>
        </w:rPr>
      </w:pPr>
      <w:r w:rsidRPr="00137EA9">
        <w:rPr>
          <w:rFonts w:eastAsia="CMR12" w:cs="Times New Roman"/>
          <w:szCs w:val="24"/>
        </w:rPr>
        <w:t xml:space="preserve">Mardia, K.V. (1970). Measures of multivariate skewness and kurtosis with applications. </w:t>
      </w:r>
      <w:r w:rsidRPr="00137EA9">
        <w:rPr>
          <w:rFonts w:eastAsia="CMR12" w:cs="Times New Roman"/>
          <w:i/>
          <w:iCs/>
          <w:szCs w:val="24"/>
        </w:rPr>
        <w:t>Biometrika</w:t>
      </w:r>
      <w:r w:rsidRPr="00137EA9">
        <w:rPr>
          <w:rFonts w:eastAsia="CMR12" w:cs="Times New Roman"/>
          <w:szCs w:val="24"/>
        </w:rPr>
        <w:t>, 57(3), 519-530.</w:t>
      </w:r>
    </w:p>
    <w:p w14:paraId="0585AC6A" w14:textId="77777777" w:rsidR="00944E80" w:rsidRPr="00137EA9" w:rsidRDefault="00944E80" w:rsidP="00B4106B">
      <w:pPr>
        <w:ind w:left="540" w:hanging="540"/>
        <w:jc w:val="both"/>
      </w:pPr>
      <w:r w:rsidRPr="00137EA9">
        <w:t>Marimuthu, S., Mani, T., Sudarsanam, T.D., George, S., Jeyaseelan, L. (2022).</w:t>
      </w:r>
      <w:r w:rsidRPr="00137EA9">
        <w:rPr>
          <w:rFonts w:eastAsia="CMR12"/>
        </w:rPr>
        <w:t xml:space="preserve"> </w:t>
      </w:r>
      <w:r w:rsidRPr="00137EA9">
        <w:t xml:space="preserve">Preferring Box-Cox transformation, instead of log transformation to convert skewed distribution of outcomes to normal in medical research. </w:t>
      </w:r>
      <w:r w:rsidRPr="00137EA9">
        <w:rPr>
          <w:i/>
          <w:iCs/>
        </w:rPr>
        <w:t>Clinical Epidemiology and Global Health</w:t>
      </w:r>
      <w:r w:rsidRPr="00137EA9">
        <w:t>, 15, 101043.</w:t>
      </w:r>
    </w:p>
    <w:p w14:paraId="74340D7C" w14:textId="77777777" w:rsidR="00944E80" w:rsidRPr="00137EA9" w:rsidRDefault="00944E80" w:rsidP="00B4106B">
      <w:pPr>
        <w:numPr>
          <w:ilvl w:val="12"/>
          <w:numId w:val="0"/>
        </w:numPr>
        <w:ind w:left="540" w:hanging="540"/>
        <w:jc w:val="both"/>
        <w:rPr>
          <w:rFonts w:cs="Times New Roman"/>
          <w:szCs w:val="24"/>
        </w:rPr>
      </w:pPr>
      <w:r w:rsidRPr="00137EA9">
        <w:rPr>
          <w:rFonts w:cs="Times New Roman"/>
          <w:szCs w:val="24"/>
        </w:rPr>
        <w:lastRenderedPageBreak/>
        <w:t>McKelvey, R.D., and Zavoina, W. (1975). A statistical model for the analysis of ordinal level dependent variables</w:t>
      </w:r>
      <w:r w:rsidRPr="00137EA9">
        <w:rPr>
          <w:rFonts w:cs="Times New Roman"/>
          <w:i/>
          <w:iCs/>
          <w:szCs w:val="24"/>
        </w:rPr>
        <w:t>. Journal of Mathematical Sociology</w:t>
      </w:r>
      <w:r w:rsidRPr="00137EA9">
        <w:rPr>
          <w:rFonts w:cs="Times New Roman"/>
          <w:szCs w:val="24"/>
        </w:rPr>
        <w:t>, 4, 103-120.</w:t>
      </w:r>
    </w:p>
    <w:p w14:paraId="0BF649FB" w14:textId="77777777" w:rsidR="00944E80" w:rsidRPr="00137EA9" w:rsidRDefault="00944E80" w:rsidP="00B4106B">
      <w:pPr>
        <w:autoSpaceDE w:val="0"/>
        <w:autoSpaceDN w:val="0"/>
        <w:adjustRightInd w:val="0"/>
        <w:ind w:left="540" w:hanging="540"/>
        <w:jc w:val="both"/>
        <w:rPr>
          <w:rFonts w:cs="Times New Roman"/>
          <w:color w:val="131413"/>
          <w:szCs w:val="24"/>
        </w:rPr>
      </w:pPr>
      <w:r w:rsidRPr="00137EA9">
        <w:rPr>
          <w:rFonts w:cs="Times New Roman"/>
          <w:color w:val="000000"/>
          <w:szCs w:val="24"/>
        </w:rPr>
        <w:t xml:space="preserve">Melnykov, Y.,  Zhu, X., and Melnykov, V. (2021). Transformation mixture modeling for skewed data groups with heavy tails and scatter. </w:t>
      </w:r>
      <w:r w:rsidRPr="00137EA9">
        <w:rPr>
          <w:rFonts w:cs="Times New Roman"/>
          <w:i/>
          <w:iCs/>
          <w:color w:val="131413"/>
          <w:szCs w:val="24"/>
        </w:rPr>
        <w:t>Computational Statistics</w:t>
      </w:r>
      <w:r w:rsidRPr="00137EA9">
        <w:rPr>
          <w:rFonts w:cs="Times New Roman"/>
          <w:color w:val="131413"/>
          <w:szCs w:val="24"/>
        </w:rPr>
        <w:t>, 36, 61-78</w:t>
      </w:r>
      <w:r w:rsidRPr="00137EA9">
        <w:rPr>
          <w:rFonts w:cs="Times New Roman"/>
          <w:color w:val="000000"/>
          <w:szCs w:val="24"/>
        </w:rPr>
        <w:t>.</w:t>
      </w:r>
    </w:p>
    <w:p w14:paraId="0280E673" w14:textId="77777777" w:rsidR="00944E80" w:rsidRDefault="00944E80" w:rsidP="00B4106B">
      <w:pPr>
        <w:autoSpaceDE w:val="0"/>
        <w:autoSpaceDN w:val="0"/>
        <w:adjustRightInd w:val="0"/>
        <w:ind w:left="540" w:hanging="540"/>
        <w:jc w:val="both"/>
        <w:rPr>
          <w:rFonts w:cs="Times New Roman"/>
          <w:szCs w:val="24"/>
        </w:rPr>
      </w:pPr>
      <w:r w:rsidRPr="00137EA9">
        <w:rPr>
          <w:rFonts w:cs="Times New Roman"/>
          <w:szCs w:val="24"/>
        </w:rPr>
        <w:t>Mondal, A., and Bhat, C.R. (2021). A new closed form multiple discrete-continuous extreme value (MDCEV) choice model with multiple linear constraints. </w:t>
      </w:r>
      <w:r w:rsidRPr="00A8718B">
        <w:rPr>
          <w:rFonts w:cs="Times New Roman"/>
          <w:i/>
          <w:iCs/>
          <w:szCs w:val="24"/>
        </w:rPr>
        <w:t>Transportation Research Part B</w:t>
      </w:r>
      <w:r w:rsidRPr="00137EA9">
        <w:rPr>
          <w:rFonts w:cs="Times New Roman"/>
          <w:szCs w:val="24"/>
        </w:rPr>
        <w:t>, 147, 42-66.</w:t>
      </w:r>
    </w:p>
    <w:p w14:paraId="26156919" w14:textId="77777777" w:rsidR="00944E80" w:rsidRPr="00137EA9" w:rsidRDefault="00944E80" w:rsidP="00B4106B">
      <w:pPr>
        <w:autoSpaceDE w:val="0"/>
        <w:autoSpaceDN w:val="0"/>
        <w:adjustRightInd w:val="0"/>
        <w:ind w:left="540" w:hanging="540"/>
        <w:jc w:val="both"/>
        <w:rPr>
          <w:rFonts w:cs="Times New Roman"/>
          <w:szCs w:val="24"/>
        </w:rPr>
      </w:pPr>
      <w:r w:rsidRPr="00137EA9">
        <w:rPr>
          <w:rFonts w:cs="Times New Roman"/>
          <w:szCs w:val="24"/>
        </w:rPr>
        <w:t xml:space="preserve">Mu, B., and Zhang, Z. (2018). Identification and estimation of heteroscedastic binary choice models with endogenous dummy regressors. </w:t>
      </w:r>
      <w:r w:rsidRPr="00137EA9">
        <w:rPr>
          <w:rFonts w:cs="Times New Roman"/>
          <w:i/>
          <w:iCs/>
          <w:szCs w:val="24"/>
        </w:rPr>
        <w:t>Econometrics Journal</w:t>
      </w:r>
      <w:r w:rsidRPr="00137EA9">
        <w:rPr>
          <w:rFonts w:cs="Times New Roman"/>
          <w:szCs w:val="24"/>
        </w:rPr>
        <w:t>, 21(2), 218-246.</w:t>
      </w:r>
    </w:p>
    <w:p w14:paraId="1E6DBB14" w14:textId="77777777" w:rsidR="00944E80" w:rsidRPr="00137EA9" w:rsidRDefault="00944E80" w:rsidP="00B4106B">
      <w:pPr>
        <w:ind w:left="540" w:hanging="540"/>
        <w:jc w:val="both"/>
        <w:rPr>
          <w:rFonts w:cs="Times New Roman"/>
          <w:color w:val="222222"/>
          <w:szCs w:val="24"/>
          <w:shd w:val="clear" w:color="auto" w:fill="FFFFFF"/>
        </w:rPr>
      </w:pPr>
      <w:r w:rsidRPr="00137EA9">
        <w:rPr>
          <w:rFonts w:cs="Times New Roman"/>
          <w:color w:val="222222"/>
          <w:szCs w:val="24"/>
          <w:shd w:val="clear" w:color="auto" w:fill="FFFFFF"/>
        </w:rPr>
        <w:t>Müller, D., and Czado, C. (2018). Representing sparse Gaussian DAGs as sparse R-vines allowing for non-Gaussian dependence. </w:t>
      </w:r>
      <w:r w:rsidRPr="00137EA9">
        <w:rPr>
          <w:rFonts w:cs="Times New Roman"/>
          <w:i/>
          <w:iCs/>
          <w:color w:val="222222"/>
          <w:szCs w:val="24"/>
          <w:shd w:val="clear" w:color="auto" w:fill="FFFFFF"/>
        </w:rPr>
        <w:t>Journal of Computational and Graphical Statistics</w:t>
      </w:r>
      <w:r w:rsidRPr="00137EA9">
        <w:rPr>
          <w:rFonts w:cs="Times New Roman"/>
          <w:color w:val="222222"/>
          <w:szCs w:val="24"/>
          <w:shd w:val="clear" w:color="auto" w:fill="FFFFFF"/>
        </w:rPr>
        <w:t>, 27(2), 334-344.</w:t>
      </w:r>
    </w:p>
    <w:p w14:paraId="72AEB452" w14:textId="77777777" w:rsidR="00944E80" w:rsidRPr="00137EA9" w:rsidRDefault="00944E80" w:rsidP="00B4106B">
      <w:pPr>
        <w:ind w:left="540" w:hanging="540"/>
        <w:jc w:val="both"/>
        <w:rPr>
          <w:rFonts w:cs="Times New Roman"/>
          <w:color w:val="222222"/>
          <w:szCs w:val="24"/>
          <w:shd w:val="clear" w:color="auto" w:fill="FFFFFF"/>
        </w:rPr>
      </w:pPr>
      <w:r w:rsidRPr="00137EA9">
        <w:rPr>
          <w:rFonts w:cs="Times New Roman"/>
          <w:color w:val="222222"/>
          <w:szCs w:val="24"/>
          <w:shd w:val="clear" w:color="auto" w:fill="FFFFFF"/>
        </w:rPr>
        <w:t>Ong, V.M.H., Nott, D.J., and Smith, M.S. (2018). Gaussian variational approximation with a factor covariance structure. </w:t>
      </w:r>
      <w:r w:rsidRPr="00137EA9">
        <w:rPr>
          <w:rFonts w:cs="Times New Roman"/>
          <w:i/>
          <w:iCs/>
          <w:color w:val="222222"/>
          <w:szCs w:val="24"/>
          <w:shd w:val="clear" w:color="auto" w:fill="FFFFFF"/>
        </w:rPr>
        <w:t>Journal of Computational and Graphical Statistics</w:t>
      </w:r>
      <w:r w:rsidRPr="00137EA9">
        <w:rPr>
          <w:rFonts w:cs="Times New Roman"/>
          <w:color w:val="222222"/>
          <w:szCs w:val="24"/>
          <w:shd w:val="clear" w:color="auto" w:fill="FFFFFF"/>
        </w:rPr>
        <w:t>, 27(3), 465-478.</w:t>
      </w:r>
    </w:p>
    <w:p w14:paraId="3348A7A0" w14:textId="77777777" w:rsidR="00944E80" w:rsidRPr="00137EA9" w:rsidRDefault="00944E80" w:rsidP="00B4106B">
      <w:pPr>
        <w:ind w:left="540" w:hanging="540"/>
        <w:jc w:val="both"/>
      </w:pPr>
      <w:r w:rsidRPr="00137EA9">
        <w:t xml:space="preserve">Osborne, J. (2010). Improving your data transformations: Applying the Box-Cox transformation. </w:t>
      </w:r>
      <w:r w:rsidRPr="00137EA9">
        <w:rPr>
          <w:i/>
          <w:iCs/>
        </w:rPr>
        <w:t>Practical Assessment, Research, and Evaluation</w:t>
      </w:r>
      <w:r w:rsidRPr="00137EA9">
        <w:t xml:space="preserve">, 15, Article 12.  </w:t>
      </w:r>
    </w:p>
    <w:p w14:paraId="05536617" w14:textId="77777777" w:rsidR="00944E80" w:rsidRPr="00137EA9" w:rsidRDefault="00944E80" w:rsidP="00B4106B">
      <w:pPr>
        <w:ind w:left="540" w:hanging="540"/>
        <w:jc w:val="both"/>
      </w:pPr>
      <w:r w:rsidRPr="00137EA9">
        <w:rPr>
          <w:color w:val="212121"/>
          <w:shd w:val="clear" w:color="auto" w:fill="FFFFFF"/>
        </w:rPr>
        <w:t>Paluch, A.E., Bajpai, S., Bassett, D.R., Carnethon, M.R., Ekelund, U., Evenson, K.R., Galuska, D. A., Jefferis, B.J., Kraus, W.E., Lee, I.M., Matthews, C.E., Omura, J.D., Patel, A.V., Pieper, C.F., Rees-Punia, E., Dallmeier, D., Klenk, J., Whincup, P.H., Dooley, E.E., Pettee Gabriel, K., … Steps for Health Collaborative</w:t>
      </w:r>
      <w:r w:rsidRPr="00137EA9">
        <w:t xml:space="preserve"> (2022). Daily steps and all-cause mortality: a meta-analysis of 15 international cohorts. </w:t>
      </w:r>
      <w:r w:rsidRPr="00137EA9">
        <w:rPr>
          <w:i/>
          <w:iCs/>
        </w:rPr>
        <w:t>The Lancet: Public Health</w:t>
      </w:r>
      <w:r w:rsidRPr="00137EA9">
        <w:t xml:space="preserve">, 7(3), e219-e228.  </w:t>
      </w:r>
    </w:p>
    <w:p w14:paraId="6B804656" w14:textId="77777777" w:rsidR="00944E80" w:rsidRPr="00137EA9" w:rsidRDefault="00944E80" w:rsidP="00B4106B">
      <w:pPr>
        <w:ind w:left="540" w:hanging="540"/>
        <w:jc w:val="both"/>
      </w:pPr>
      <w:r w:rsidRPr="00F8238F">
        <w:rPr>
          <w:rFonts w:eastAsia="Times New Roman"/>
          <w:color w:val="212121"/>
        </w:rPr>
        <w:t>Paluch, A.E., Bajpai, S., Ballin, M., Bassett, D.R., Buford, T.W., Carnethon, M.R., Chernofsky, A., Dooley, E.E., Ekelund, U., Evenson, K.R., Galuska, D.A., Jefferis, B.J., Kong, L., Kraus, W.E., Larson, M.G., Lee, I.M., Matthews, C.E., Newton, R.L., Jr, Nordström, A., Nordström, P., … Steps for Health Collaborative</w:t>
      </w:r>
      <w:r w:rsidRPr="00137EA9">
        <w:rPr>
          <w:rFonts w:eastAsia="Times New Roman"/>
          <w:color w:val="212121"/>
        </w:rPr>
        <w:t xml:space="preserve"> </w:t>
      </w:r>
      <w:r w:rsidRPr="00137EA9">
        <w:t>(2023).</w:t>
      </w:r>
      <w:r w:rsidRPr="00137EA9">
        <w:rPr>
          <w:bdr w:val="none" w:sz="0" w:space="0" w:color="auto" w:frame="1"/>
          <w:shd w:val="clear" w:color="auto" w:fill="FFFFFF"/>
        </w:rPr>
        <w:t xml:space="preserve"> </w:t>
      </w:r>
      <w:r w:rsidRPr="00137EA9">
        <w:t xml:space="preserve">Prospective association of daily steps with cardiovascular disease: A harmonized meta-analysis. </w:t>
      </w:r>
      <w:r w:rsidRPr="00137EA9">
        <w:rPr>
          <w:i/>
          <w:iCs/>
        </w:rPr>
        <w:t>Circulation</w:t>
      </w:r>
      <w:r w:rsidRPr="00137EA9">
        <w:t xml:space="preserve">, 147(2), 122-131. </w:t>
      </w:r>
    </w:p>
    <w:p w14:paraId="3317441C" w14:textId="77777777" w:rsidR="00944E80" w:rsidRPr="00137EA9" w:rsidRDefault="00944E80" w:rsidP="00B4106B">
      <w:pPr>
        <w:autoSpaceDE w:val="0"/>
        <w:autoSpaceDN w:val="0"/>
        <w:adjustRightInd w:val="0"/>
        <w:ind w:left="540" w:hanging="540"/>
        <w:jc w:val="both"/>
        <w:rPr>
          <w:rFonts w:cs="Times New Roman"/>
          <w:szCs w:val="24"/>
        </w:rPr>
      </w:pPr>
      <w:r w:rsidRPr="00137EA9">
        <w:rPr>
          <w:rFonts w:cs="Times New Roman"/>
          <w:szCs w:val="24"/>
        </w:rPr>
        <w:t xml:space="preserve">Paydar, M., and Kamani Fard, A. (2021). The hierarchy of walking needs and the COVID-19 pandemic. </w:t>
      </w:r>
      <w:r w:rsidRPr="00137EA9">
        <w:rPr>
          <w:rFonts w:cs="Times New Roman"/>
          <w:i/>
          <w:iCs/>
          <w:szCs w:val="24"/>
        </w:rPr>
        <w:t>International Journal of Environmental Research and Public Health</w:t>
      </w:r>
      <w:r w:rsidRPr="00137EA9">
        <w:rPr>
          <w:rFonts w:cs="Times New Roman"/>
          <w:szCs w:val="24"/>
        </w:rPr>
        <w:t xml:space="preserve">, 18(14), 7461. </w:t>
      </w:r>
    </w:p>
    <w:p w14:paraId="1E9CAB2F" w14:textId="77777777" w:rsidR="00944E80" w:rsidRPr="00137EA9" w:rsidRDefault="00944E80" w:rsidP="00B4106B">
      <w:pPr>
        <w:autoSpaceDE w:val="0"/>
        <w:autoSpaceDN w:val="0"/>
        <w:adjustRightInd w:val="0"/>
        <w:ind w:left="540" w:hanging="540"/>
        <w:jc w:val="both"/>
        <w:rPr>
          <w:rFonts w:cs="Times New Roman"/>
          <w:szCs w:val="24"/>
        </w:rPr>
      </w:pPr>
      <w:r w:rsidRPr="00137EA9">
        <w:rPr>
          <w:rFonts w:cs="Times New Roman"/>
          <w:color w:val="212121"/>
          <w:szCs w:val="24"/>
          <w:shd w:val="clear" w:color="auto" w:fill="FFFFFF"/>
        </w:rPr>
        <w:t>Pearce, M., Garcia, L., Abbas, A., Strain, T., Schuch, F.B., Golubic, R., Kelly, P., Khan, S., Utukuri, M., Laird, Y., Mok, A., Smith, A., Tainio, M., Brage, S., and Woodcock, J. (2022). Association between physical activity and risk of depression: A systematic review and meta-analysis. </w:t>
      </w:r>
      <w:r w:rsidRPr="00137EA9">
        <w:rPr>
          <w:rFonts w:cs="Times New Roman"/>
          <w:i/>
          <w:iCs/>
          <w:color w:val="212121"/>
          <w:szCs w:val="24"/>
          <w:shd w:val="clear" w:color="auto" w:fill="FFFFFF"/>
        </w:rPr>
        <w:t>JAMA Psychiatry</w:t>
      </w:r>
      <w:r w:rsidRPr="00137EA9">
        <w:rPr>
          <w:rFonts w:cs="Times New Roman"/>
          <w:color w:val="212121"/>
          <w:szCs w:val="24"/>
          <w:shd w:val="clear" w:color="auto" w:fill="FFFFFF"/>
        </w:rPr>
        <w:t>, 79(6), 550-559</w:t>
      </w:r>
      <w:r w:rsidRPr="00137EA9">
        <w:rPr>
          <w:rFonts w:cs="Times New Roman"/>
          <w:color w:val="000000"/>
          <w:szCs w:val="24"/>
          <w:shd w:val="clear" w:color="auto" w:fill="FFFFFF"/>
        </w:rPr>
        <w:t>.</w:t>
      </w:r>
    </w:p>
    <w:p w14:paraId="7B5FE8B6" w14:textId="77777777" w:rsidR="00944E80" w:rsidRPr="00137EA9" w:rsidRDefault="00944E80" w:rsidP="00B4106B">
      <w:pPr>
        <w:ind w:left="540" w:hanging="540"/>
        <w:jc w:val="both"/>
        <w:rPr>
          <w:rFonts w:cs="Times New Roman"/>
          <w:szCs w:val="24"/>
        </w:rPr>
      </w:pPr>
      <w:r w:rsidRPr="00137EA9">
        <w:rPr>
          <w:rFonts w:cs="Times New Roman"/>
          <w:szCs w:val="24"/>
        </w:rPr>
        <w:t xml:space="preserve">Pearson, D.G., and Craig, T. (2014). The great outdoors? Exploring the mental health benefits of natural environments. </w:t>
      </w:r>
      <w:r w:rsidRPr="00137EA9">
        <w:rPr>
          <w:rFonts w:cs="Times New Roman"/>
          <w:i/>
          <w:iCs/>
          <w:szCs w:val="24"/>
        </w:rPr>
        <w:t>Frontiers in Psychology</w:t>
      </w:r>
      <w:r w:rsidRPr="00137EA9">
        <w:rPr>
          <w:rFonts w:cs="Times New Roman"/>
          <w:szCs w:val="24"/>
        </w:rPr>
        <w:t xml:space="preserve">, 5, 1178. </w:t>
      </w:r>
    </w:p>
    <w:p w14:paraId="296F88A0" w14:textId="77777777" w:rsidR="00944E80" w:rsidRPr="00137EA9" w:rsidRDefault="00944E80" w:rsidP="00B4106B">
      <w:pPr>
        <w:pStyle w:val="dx-doi"/>
        <w:spacing w:before="0" w:beforeAutospacing="0" w:after="0" w:afterAutospacing="0"/>
        <w:ind w:left="540" w:hanging="540"/>
        <w:jc w:val="both"/>
      </w:pPr>
      <w:r w:rsidRPr="00137EA9">
        <w:t xml:space="preserve">Peterson, R.A., and Cavanaugh, J.E. (2020). </w:t>
      </w:r>
      <w:r w:rsidRPr="00137EA9">
        <w:rPr>
          <w:rStyle w:val="nlmarticle-title"/>
        </w:rPr>
        <w:t>Ordered quantile normalization: A semiparametric transformation built for the cross-validation era.</w:t>
      </w:r>
      <w:r w:rsidRPr="00137EA9">
        <w:rPr>
          <w:shd w:val="clear" w:color="auto" w:fill="FFFFFF"/>
        </w:rPr>
        <w:t> </w:t>
      </w:r>
      <w:r w:rsidRPr="00137EA9">
        <w:rPr>
          <w:i/>
          <w:iCs/>
        </w:rPr>
        <w:t>Journal of Applied Statistics</w:t>
      </w:r>
      <w:r w:rsidRPr="00137EA9">
        <w:t>, 47(13-15), 2312-2327.</w:t>
      </w:r>
    </w:p>
    <w:p w14:paraId="36D93B5E" w14:textId="77777777" w:rsidR="00944E80" w:rsidRPr="00137EA9" w:rsidRDefault="00944E80" w:rsidP="00B4106B">
      <w:pPr>
        <w:ind w:left="540" w:hanging="540"/>
        <w:jc w:val="both"/>
        <w:rPr>
          <w:rFonts w:cs="Times New Roman"/>
          <w:szCs w:val="24"/>
        </w:rPr>
      </w:pPr>
      <w:r w:rsidRPr="00137EA9">
        <w:rPr>
          <w:rFonts w:cs="Times New Roman"/>
          <w:szCs w:val="24"/>
        </w:rPr>
        <w:t xml:space="preserve">Petrin, A., and Train, K. (2010). A control function approach to endogeneity in consumer choice models. </w:t>
      </w:r>
      <w:r w:rsidRPr="00137EA9">
        <w:rPr>
          <w:rFonts w:cs="Times New Roman"/>
          <w:i/>
          <w:iCs/>
          <w:szCs w:val="24"/>
        </w:rPr>
        <w:t>Journal of Marketing Research</w:t>
      </w:r>
      <w:r w:rsidRPr="00137EA9">
        <w:rPr>
          <w:rFonts w:cs="Times New Roman"/>
          <w:szCs w:val="24"/>
        </w:rPr>
        <w:t xml:space="preserve">, 47(1), 3-13. </w:t>
      </w:r>
    </w:p>
    <w:p w14:paraId="46C74570" w14:textId="77777777" w:rsidR="00944E80" w:rsidRPr="00137EA9" w:rsidRDefault="00944E80" w:rsidP="00B4106B">
      <w:pPr>
        <w:ind w:left="540" w:hanging="540"/>
        <w:jc w:val="both"/>
        <w:rPr>
          <w:rFonts w:cs="Times New Roman"/>
          <w:szCs w:val="24"/>
        </w:rPr>
      </w:pPr>
      <w:r w:rsidRPr="00137EA9">
        <w:rPr>
          <w:rFonts w:cs="Times New Roman"/>
          <w:szCs w:val="24"/>
        </w:rPr>
        <w:t xml:space="preserve">Przybylowski, A., Stelmak, S., and Suchanek, M. (2021). Mobility behaviour in view of the impact of the COVID-19 pandemic: Public transport users in Gdansk case study. </w:t>
      </w:r>
      <w:r w:rsidRPr="00137EA9">
        <w:rPr>
          <w:rFonts w:cs="Times New Roman"/>
          <w:i/>
          <w:iCs/>
          <w:szCs w:val="24"/>
        </w:rPr>
        <w:t>Sustainability</w:t>
      </w:r>
      <w:r w:rsidRPr="00137EA9">
        <w:rPr>
          <w:rFonts w:cs="Times New Roman"/>
          <w:szCs w:val="24"/>
        </w:rPr>
        <w:t xml:space="preserve">, 13(1), 364. </w:t>
      </w:r>
    </w:p>
    <w:p w14:paraId="65BFADAE" w14:textId="77777777" w:rsidR="00944E80" w:rsidRPr="00137EA9" w:rsidRDefault="00944E80" w:rsidP="00A8718B">
      <w:pPr>
        <w:keepLines/>
        <w:ind w:left="547" w:hanging="547"/>
        <w:jc w:val="both"/>
        <w:rPr>
          <w:rFonts w:cs="Times New Roman"/>
          <w:szCs w:val="24"/>
        </w:rPr>
      </w:pPr>
      <w:r w:rsidRPr="00137EA9">
        <w:rPr>
          <w:rFonts w:cs="Times New Roman"/>
          <w:szCs w:val="24"/>
          <w:shd w:val="clear" w:color="auto" w:fill="FFFFFF"/>
        </w:rPr>
        <w:lastRenderedPageBreak/>
        <w:t>Rantanen, T., Eronen, J., Kauppinen, M., Kokko, K., Sanaslahti, S., Kajan, N., and Portegijs, E. (2021). </w:t>
      </w:r>
      <w:r w:rsidRPr="00137EA9">
        <w:rPr>
          <w:rStyle w:val="ref-title"/>
          <w:rFonts w:cs="Times New Roman"/>
          <w:szCs w:val="24"/>
          <w:shd w:val="clear" w:color="auto" w:fill="FFFFFF"/>
        </w:rPr>
        <w:t>Life‐space mobility and active aging as factors underlying quality of life among older people before and during COVID‐19 lockdown in Finland‐a longitudinal study</w:t>
      </w:r>
      <w:r w:rsidRPr="00137EA9">
        <w:rPr>
          <w:rFonts w:cs="Times New Roman"/>
          <w:szCs w:val="24"/>
          <w:shd w:val="clear" w:color="auto" w:fill="FFFFFF"/>
        </w:rPr>
        <w:t>. </w:t>
      </w:r>
      <w:r w:rsidRPr="00137EA9">
        <w:rPr>
          <w:rStyle w:val="ref-journal"/>
          <w:rFonts w:cs="Times New Roman"/>
          <w:i/>
          <w:iCs/>
          <w:szCs w:val="24"/>
          <w:shd w:val="clear" w:color="auto" w:fill="FFFFFF"/>
        </w:rPr>
        <w:t>The Journals of Gerontology: Series A</w:t>
      </w:r>
      <w:r w:rsidRPr="00137EA9">
        <w:rPr>
          <w:rStyle w:val="ref-journal"/>
          <w:rFonts w:cs="Times New Roman"/>
          <w:szCs w:val="24"/>
          <w:shd w:val="clear" w:color="auto" w:fill="FFFFFF"/>
        </w:rPr>
        <w:t>,</w:t>
      </w:r>
      <w:r w:rsidRPr="00137EA9">
        <w:rPr>
          <w:rFonts w:cs="Times New Roman"/>
          <w:szCs w:val="24"/>
          <w:shd w:val="clear" w:color="auto" w:fill="FFFFFF"/>
        </w:rPr>
        <w:t> </w:t>
      </w:r>
      <w:r w:rsidRPr="00137EA9">
        <w:rPr>
          <w:rStyle w:val="ref-vol"/>
          <w:rFonts w:cs="Times New Roman"/>
          <w:szCs w:val="24"/>
          <w:shd w:val="clear" w:color="auto" w:fill="FFFFFF"/>
        </w:rPr>
        <w:t>76(3)</w:t>
      </w:r>
      <w:r w:rsidRPr="00137EA9">
        <w:rPr>
          <w:rFonts w:cs="Times New Roman"/>
          <w:szCs w:val="24"/>
          <w:shd w:val="clear" w:color="auto" w:fill="FFFFFF"/>
        </w:rPr>
        <w:t>, e60-e67.</w:t>
      </w:r>
    </w:p>
    <w:p w14:paraId="0576DDCE" w14:textId="77777777" w:rsidR="00944E80" w:rsidRPr="00137EA9" w:rsidRDefault="00944E80" w:rsidP="00B4106B">
      <w:pPr>
        <w:autoSpaceDE w:val="0"/>
        <w:autoSpaceDN w:val="0"/>
        <w:adjustRightInd w:val="0"/>
        <w:ind w:left="540" w:hanging="540"/>
        <w:jc w:val="both"/>
        <w:rPr>
          <w:rFonts w:cs="Times New Roman"/>
          <w:szCs w:val="24"/>
        </w:rPr>
      </w:pPr>
      <w:r w:rsidRPr="00137EA9">
        <w:rPr>
          <w:rFonts w:cs="Times New Roman"/>
          <w:szCs w:val="24"/>
        </w:rPr>
        <w:t xml:space="preserve">Rhine, S.L.W., Greene, W.H., and Toussaint-Comeau, M. (2006). The importance of check-cashing businesses to the unbanked: Racial/ethnic differences. </w:t>
      </w:r>
      <w:r w:rsidRPr="00137EA9">
        <w:rPr>
          <w:rFonts w:cs="Times New Roman"/>
          <w:i/>
          <w:iCs/>
          <w:szCs w:val="24"/>
        </w:rPr>
        <w:t>The Review of Economics and Statistics</w:t>
      </w:r>
      <w:r w:rsidRPr="00137EA9">
        <w:rPr>
          <w:rFonts w:cs="Times New Roman"/>
          <w:szCs w:val="24"/>
        </w:rPr>
        <w:t>, 88(1), 146-157.</w:t>
      </w:r>
    </w:p>
    <w:p w14:paraId="3C27E966" w14:textId="77777777" w:rsidR="00944E80" w:rsidRPr="00137EA9" w:rsidRDefault="00944E80" w:rsidP="00B4106B">
      <w:pPr>
        <w:autoSpaceDE w:val="0"/>
        <w:autoSpaceDN w:val="0"/>
        <w:adjustRightInd w:val="0"/>
        <w:ind w:left="540" w:hanging="540"/>
        <w:jc w:val="both"/>
        <w:rPr>
          <w:rFonts w:cs="Times New Roman"/>
          <w:szCs w:val="24"/>
        </w:rPr>
      </w:pPr>
      <w:r w:rsidRPr="00137EA9">
        <w:rPr>
          <w:rFonts w:cs="Times New Roman"/>
          <w:szCs w:val="24"/>
        </w:rPr>
        <w:t xml:space="preserve">Rivers, D., and Vuong, Q.H. (1988). Limited information estimators and exogeneity tests for simultaneous probit models. </w:t>
      </w:r>
      <w:r w:rsidRPr="00137EA9">
        <w:rPr>
          <w:rFonts w:cs="Times New Roman"/>
          <w:i/>
          <w:iCs/>
          <w:szCs w:val="24"/>
        </w:rPr>
        <w:t>Journal of Econometrics</w:t>
      </w:r>
      <w:r w:rsidRPr="00137EA9">
        <w:rPr>
          <w:rFonts w:cs="Times New Roman"/>
          <w:szCs w:val="24"/>
        </w:rPr>
        <w:t>, 39(3), 347-366.</w:t>
      </w:r>
    </w:p>
    <w:p w14:paraId="6231C56B" w14:textId="77777777" w:rsidR="00944E80" w:rsidRPr="00137EA9" w:rsidRDefault="00944E80" w:rsidP="00B4106B">
      <w:pPr>
        <w:autoSpaceDE w:val="0"/>
        <w:autoSpaceDN w:val="0"/>
        <w:adjustRightInd w:val="0"/>
        <w:ind w:left="540" w:hanging="540"/>
        <w:jc w:val="both"/>
        <w:rPr>
          <w:rFonts w:cs="Times New Roman"/>
          <w:szCs w:val="24"/>
        </w:rPr>
      </w:pPr>
      <w:r w:rsidRPr="00137EA9">
        <w:rPr>
          <w:rFonts w:cs="Times New Roman"/>
          <w:szCs w:val="24"/>
        </w:rPr>
        <w:t>Robbennolt, D., Haddad, A.J., Mondal, A., and Bhat, C.R. (2023). Housing choice in an evolving remote work landscape. Technical paper, Department of Civil, Architectural and Environmental Engineering, The University of Texas at Austin.</w:t>
      </w:r>
    </w:p>
    <w:p w14:paraId="2A6F9222" w14:textId="77777777" w:rsidR="00944E80" w:rsidRPr="00137EA9" w:rsidRDefault="00944E80" w:rsidP="00B4106B">
      <w:pPr>
        <w:autoSpaceDE w:val="0"/>
        <w:autoSpaceDN w:val="0"/>
        <w:adjustRightInd w:val="0"/>
        <w:ind w:left="540" w:hanging="540"/>
        <w:jc w:val="both"/>
        <w:rPr>
          <w:rFonts w:cs="Times New Roman"/>
          <w:szCs w:val="24"/>
        </w:rPr>
      </w:pPr>
      <w:r w:rsidRPr="00137EA9">
        <w:rPr>
          <w:rFonts w:cs="Times New Roman"/>
          <w:szCs w:val="24"/>
        </w:rPr>
        <w:t>Roe, J., Mondschein, A., Neale, C., Barnes, L., Boukhechba, M., and Lopez, S. (2020). The urban built environment, walking and mental health outcomes among older adults: A pilot study</w:t>
      </w:r>
      <w:r w:rsidRPr="00137EA9">
        <w:rPr>
          <w:rFonts w:cs="Times New Roman"/>
          <w:i/>
          <w:iCs/>
          <w:szCs w:val="24"/>
        </w:rPr>
        <w:t>. Frontiers in Public Health</w:t>
      </w:r>
      <w:r w:rsidRPr="00137EA9">
        <w:rPr>
          <w:rFonts w:cs="Times New Roman"/>
          <w:szCs w:val="24"/>
        </w:rPr>
        <w:t>, 8, 575946.</w:t>
      </w:r>
    </w:p>
    <w:p w14:paraId="1545EA49" w14:textId="77777777" w:rsidR="00944E80" w:rsidRPr="00137EA9" w:rsidRDefault="00944E80" w:rsidP="00B4106B">
      <w:pPr>
        <w:autoSpaceDE w:val="0"/>
        <w:autoSpaceDN w:val="0"/>
        <w:adjustRightInd w:val="0"/>
        <w:ind w:left="540" w:hanging="540"/>
        <w:jc w:val="both"/>
        <w:rPr>
          <w:rFonts w:cs="Times New Roman"/>
          <w:szCs w:val="24"/>
        </w:rPr>
      </w:pPr>
      <w:r w:rsidRPr="00137EA9">
        <w:rPr>
          <w:rFonts w:cs="Times New Roman"/>
          <w:szCs w:val="24"/>
        </w:rPr>
        <w:t xml:space="preserve">Sallis, J.F., Adlakha, D., Oyeyemi A., Salvo, D. (2023). Public health research on physical activity and COVID-19: Progress and updated priorities. </w:t>
      </w:r>
      <w:r w:rsidRPr="00137EA9">
        <w:rPr>
          <w:rFonts w:cs="Times New Roman"/>
          <w:i/>
          <w:iCs/>
          <w:szCs w:val="24"/>
        </w:rPr>
        <w:t>Journal of Sport and Health Science</w:t>
      </w:r>
      <w:r w:rsidRPr="00137EA9">
        <w:rPr>
          <w:rFonts w:cs="Times New Roman"/>
          <w:szCs w:val="24"/>
        </w:rPr>
        <w:t>, 12, 553-556.</w:t>
      </w:r>
    </w:p>
    <w:p w14:paraId="3639B462" w14:textId="77777777" w:rsidR="00944E80" w:rsidRPr="00137EA9" w:rsidRDefault="00944E80" w:rsidP="00B4106B">
      <w:pPr>
        <w:autoSpaceDE w:val="0"/>
        <w:autoSpaceDN w:val="0"/>
        <w:adjustRightInd w:val="0"/>
        <w:ind w:left="540" w:hanging="540"/>
        <w:jc w:val="both"/>
        <w:rPr>
          <w:rFonts w:cs="Times New Roman"/>
          <w:szCs w:val="24"/>
        </w:rPr>
      </w:pPr>
      <w:r w:rsidRPr="00137EA9">
        <w:rPr>
          <w:rFonts w:cs="Times New Roman"/>
          <w:szCs w:val="24"/>
        </w:rPr>
        <w:t xml:space="preserve">Schwiebert, J. (2013). Sieve maximum likelihood estimation of a copula-based sample selection model. Leibniz University Hannover, Institute of Labor Economics, </w:t>
      </w:r>
      <w:hyperlink r:id="rId249" w:history="1">
        <w:r w:rsidRPr="00137EA9">
          <w:rPr>
            <w:rFonts w:cs="Times New Roman"/>
            <w:szCs w:val="24"/>
          </w:rPr>
          <w:t>https://conference.iza.org/conference_files/SUMS_2013/schwiebert_j8731.pdf</w:t>
        </w:r>
      </w:hyperlink>
      <w:r w:rsidRPr="00137EA9">
        <w:rPr>
          <w:rFonts w:cs="Times New Roman"/>
          <w:szCs w:val="24"/>
        </w:rPr>
        <w:t>, accessed January 9, 2024.</w:t>
      </w:r>
    </w:p>
    <w:p w14:paraId="5EC9E07A" w14:textId="77777777" w:rsidR="00944E80" w:rsidRPr="00137EA9" w:rsidRDefault="00944E80" w:rsidP="00B4106B">
      <w:pPr>
        <w:pStyle w:val="Heading2"/>
        <w:spacing w:before="0"/>
        <w:ind w:left="540" w:hanging="540"/>
        <w:jc w:val="both"/>
        <w:rPr>
          <w:rFonts w:ascii="Times New Roman" w:hAnsi="Times New Roman" w:cs="Times New Roman"/>
          <w:color w:val="1F1F1F"/>
          <w:sz w:val="24"/>
          <w:szCs w:val="24"/>
        </w:rPr>
      </w:pPr>
      <w:r w:rsidRPr="00137EA9">
        <w:rPr>
          <w:rFonts w:ascii="Times New Roman" w:hAnsi="Times New Roman" w:cs="Times New Roman"/>
          <w:color w:val="000000" w:themeColor="text1"/>
          <w:sz w:val="24"/>
          <w:szCs w:val="24"/>
        </w:rPr>
        <w:t xml:space="preserve">Shaer, A., and Hagshenas, H. (2021). </w:t>
      </w:r>
      <w:r w:rsidRPr="00137EA9">
        <w:rPr>
          <w:rFonts w:ascii="Times New Roman" w:hAnsi="Times New Roman" w:cs="Times New Roman"/>
          <w:color w:val="1F1F1F"/>
          <w:sz w:val="24"/>
          <w:szCs w:val="24"/>
        </w:rPr>
        <w:t xml:space="preserve">Evaluating the effects of the COVID-19 outbreak on the older adults’ travel mode choices. </w:t>
      </w:r>
      <w:r w:rsidRPr="00137EA9">
        <w:rPr>
          <w:rFonts w:ascii="Times New Roman" w:hAnsi="Times New Roman" w:cs="Times New Roman"/>
          <w:i/>
          <w:iCs/>
          <w:color w:val="1F1F1F"/>
          <w:sz w:val="24"/>
          <w:szCs w:val="24"/>
        </w:rPr>
        <w:t>Transport Policy</w:t>
      </w:r>
      <w:r w:rsidRPr="00137EA9">
        <w:rPr>
          <w:rFonts w:ascii="Times New Roman" w:hAnsi="Times New Roman" w:cs="Times New Roman"/>
          <w:color w:val="1F1F1F"/>
          <w:sz w:val="24"/>
          <w:szCs w:val="24"/>
        </w:rPr>
        <w:t>, 112, 162-172.</w:t>
      </w:r>
    </w:p>
    <w:p w14:paraId="01B5901A" w14:textId="77777777" w:rsidR="00944E80" w:rsidRPr="00137EA9" w:rsidRDefault="00944E80" w:rsidP="00B4106B">
      <w:pPr>
        <w:ind w:left="540" w:hanging="540"/>
        <w:jc w:val="both"/>
        <w:rPr>
          <w:rFonts w:cs="Times New Roman"/>
          <w:color w:val="222222"/>
          <w:szCs w:val="24"/>
          <w:shd w:val="clear" w:color="auto" w:fill="FFFFFF"/>
        </w:rPr>
      </w:pPr>
      <w:r w:rsidRPr="00137EA9">
        <w:rPr>
          <w:rFonts w:cs="Times New Roman"/>
          <w:color w:val="222222"/>
          <w:szCs w:val="24"/>
          <w:shd w:val="clear" w:color="auto" w:fill="FFFFFF"/>
        </w:rPr>
        <w:t>Smith, M.S., Loaiza-Maya, R., and Nott, D.J. (2020). High-dimensional copula variational approximation through transformation. </w:t>
      </w:r>
      <w:r w:rsidRPr="00137EA9">
        <w:rPr>
          <w:rFonts w:cs="Times New Roman"/>
          <w:i/>
          <w:iCs/>
          <w:color w:val="222222"/>
          <w:szCs w:val="24"/>
          <w:shd w:val="clear" w:color="auto" w:fill="FFFFFF"/>
        </w:rPr>
        <w:t>Journal of Computational and Graphical Statistics</w:t>
      </w:r>
      <w:r w:rsidRPr="00137EA9">
        <w:rPr>
          <w:rFonts w:cs="Times New Roman"/>
          <w:color w:val="222222"/>
          <w:szCs w:val="24"/>
          <w:shd w:val="clear" w:color="auto" w:fill="FFFFFF"/>
        </w:rPr>
        <w:t>, 29(4), 729-743.</w:t>
      </w:r>
    </w:p>
    <w:p w14:paraId="2D65D883" w14:textId="77777777" w:rsidR="00944E80" w:rsidRPr="00137EA9" w:rsidRDefault="00944E80" w:rsidP="00B4106B">
      <w:pPr>
        <w:ind w:left="540" w:hanging="540"/>
        <w:jc w:val="both"/>
        <w:rPr>
          <w:rFonts w:cs="Times New Roman"/>
          <w:szCs w:val="24"/>
        </w:rPr>
      </w:pPr>
      <w:r w:rsidRPr="00137EA9">
        <w:rPr>
          <w:rFonts w:cs="Times New Roman"/>
          <w:color w:val="000000"/>
          <w:szCs w:val="24"/>
        </w:rPr>
        <w:t>Szabo, Z., Liu, X., and Xiang, L. (2020)</w:t>
      </w:r>
      <w:r w:rsidRPr="00137EA9">
        <w:rPr>
          <w:rFonts w:cs="Times New Roman"/>
          <w:szCs w:val="24"/>
        </w:rPr>
        <w:t xml:space="preserve"> </w:t>
      </w:r>
      <w:r w:rsidRPr="00137EA9">
        <w:rPr>
          <w:rFonts w:cs="Times New Roman"/>
          <w:color w:val="000000"/>
          <w:szCs w:val="24"/>
        </w:rPr>
        <w:t>Semiparametric sieve maximum likelihood estimation for</w:t>
      </w:r>
      <w:r w:rsidRPr="00137EA9">
        <w:rPr>
          <w:rFonts w:cs="Times New Roman"/>
          <w:szCs w:val="24"/>
        </w:rPr>
        <w:t xml:space="preserve"> </w:t>
      </w:r>
      <w:r w:rsidRPr="00137EA9">
        <w:rPr>
          <w:rFonts w:cs="Times New Roman"/>
          <w:color w:val="000000"/>
          <w:szCs w:val="24"/>
        </w:rPr>
        <w:t xml:space="preserve">accelerated hazards model with interval-censored data. </w:t>
      </w:r>
      <w:r w:rsidRPr="00137EA9">
        <w:rPr>
          <w:rFonts w:cs="Times New Roman"/>
          <w:i/>
          <w:iCs/>
          <w:szCs w:val="24"/>
        </w:rPr>
        <w:t>Journal of Statistical Planning and Inference</w:t>
      </w:r>
      <w:r w:rsidRPr="00137EA9">
        <w:rPr>
          <w:rFonts w:cs="Times New Roman"/>
          <w:szCs w:val="24"/>
        </w:rPr>
        <w:t>, 205, 175-192.</w:t>
      </w:r>
    </w:p>
    <w:p w14:paraId="372FF3BB" w14:textId="77777777" w:rsidR="00944E80" w:rsidRPr="00137EA9" w:rsidRDefault="00944E80" w:rsidP="00B4106B">
      <w:pPr>
        <w:autoSpaceDE w:val="0"/>
        <w:autoSpaceDN w:val="0"/>
        <w:adjustRightInd w:val="0"/>
        <w:ind w:left="540" w:hanging="540"/>
        <w:jc w:val="both"/>
        <w:rPr>
          <w:rFonts w:cs="Times New Roman"/>
          <w:szCs w:val="24"/>
        </w:rPr>
      </w:pPr>
      <w:r w:rsidRPr="00137EA9">
        <w:rPr>
          <w:rFonts w:cs="Times New Roman"/>
          <w:szCs w:val="24"/>
        </w:rPr>
        <w:t xml:space="preserve">Terza, J.V., Basu, A., and Rathouz, P.J. (2008). Two-stage residual inclusion estimation: Addressing endogeneity in health econometric modeling. </w:t>
      </w:r>
      <w:r w:rsidRPr="00137EA9">
        <w:rPr>
          <w:rFonts w:cs="Times New Roman"/>
          <w:i/>
          <w:iCs/>
          <w:szCs w:val="24"/>
        </w:rPr>
        <w:t>Journal of Health Economics</w:t>
      </w:r>
      <w:r w:rsidRPr="00137EA9">
        <w:rPr>
          <w:rFonts w:cs="Times New Roman"/>
          <w:szCs w:val="24"/>
        </w:rPr>
        <w:t>, 27(3), 531-543.</w:t>
      </w:r>
    </w:p>
    <w:p w14:paraId="45A62B1E" w14:textId="77777777" w:rsidR="00944E80" w:rsidRPr="00137EA9" w:rsidRDefault="00944E80" w:rsidP="00B4106B">
      <w:pPr>
        <w:ind w:left="540" w:hanging="540"/>
        <w:jc w:val="both"/>
        <w:rPr>
          <w:rFonts w:cs="Times New Roman"/>
          <w:noProof/>
          <w:szCs w:val="24"/>
        </w:rPr>
      </w:pPr>
      <w:r w:rsidRPr="00137EA9">
        <w:rPr>
          <w:rFonts w:cs="Times New Roman"/>
          <w:noProof/>
          <w:szCs w:val="24"/>
        </w:rPr>
        <w:t xml:space="preserve">Van Acker, V., Mokhtarian, P.L., and Witlox, F. (2014). Car availability explained by the structural relationships between lifestyles, residential location, and underlying residential and travel attitudes. </w:t>
      </w:r>
      <w:r w:rsidRPr="00137EA9">
        <w:rPr>
          <w:rFonts w:cs="Times New Roman"/>
          <w:i/>
          <w:iCs/>
          <w:noProof/>
          <w:szCs w:val="24"/>
        </w:rPr>
        <w:t>Transport Policy</w:t>
      </w:r>
      <w:r w:rsidRPr="00137EA9">
        <w:rPr>
          <w:rFonts w:cs="Times New Roman"/>
          <w:noProof/>
          <w:szCs w:val="24"/>
        </w:rPr>
        <w:t>, 35, 88-99.</w:t>
      </w:r>
    </w:p>
    <w:p w14:paraId="12D1041B" w14:textId="77777777" w:rsidR="00944E80" w:rsidRPr="00137EA9" w:rsidRDefault="00944E80" w:rsidP="00B4106B">
      <w:pPr>
        <w:ind w:left="540" w:hanging="540"/>
        <w:jc w:val="both"/>
        <w:rPr>
          <w:rFonts w:cs="Times New Roman"/>
          <w:noProof/>
          <w:szCs w:val="24"/>
        </w:rPr>
      </w:pPr>
      <w:r w:rsidRPr="00137EA9">
        <w:rPr>
          <w:rFonts w:cs="Times New Roman"/>
          <w:noProof/>
          <w:szCs w:val="24"/>
        </w:rPr>
        <w:t xml:space="preserve">Van Wee, B. (2009). Self‐Selection: A key to a better understanding of location choices, travel behaviour and transport externalities? </w:t>
      </w:r>
      <w:r w:rsidRPr="00137EA9">
        <w:rPr>
          <w:rFonts w:cs="Times New Roman"/>
          <w:i/>
          <w:iCs/>
          <w:noProof/>
          <w:szCs w:val="24"/>
        </w:rPr>
        <w:t>Transport Reviews</w:t>
      </w:r>
      <w:r w:rsidRPr="00137EA9">
        <w:rPr>
          <w:rFonts w:cs="Times New Roman"/>
          <w:noProof/>
          <w:szCs w:val="24"/>
        </w:rPr>
        <w:t>, 29(3), 279-292.</w:t>
      </w:r>
    </w:p>
    <w:p w14:paraId="779729FD" w14:textId="77777777" w:rsidR="00944E80" w:rsidRPr="00137EA9" w:rsidRDefault="00944E80" w:rsidP="00B4106B">
      <w:pPr>
        <w:ind w:left="540" w:hanging="540"/>
        <w:jc w:val="both"/>
        <w:rPr>
          <w:bdr w:val="none" w:sz="0" w:space="0" w:color="auto" w:frame="1"/>
          <w:shd w:val="clear" w:color="auto" w:fill="FFFFFF"/>
        </w:rPr>
      </w:pPr>
      <w:r w:rsidRPr="00137EA9">
        <w:rPr>
          <w:bdr w:val="none" w:sz="0" w:space="0" w:color="auto" w:frame="1"/>
          <w:shd w:val="clear" w:color="auto" w:fill="FFFFFF"/>
        </w:rPr>
        <w:t xml:space="preserve">Van den Berg, P., Kemperman, A., De Kleijn, B., Borgers, A. (2016). Ageing and loneliness: The role of mobility and the built environment. </w:t>
      </w:r>
      <w:r w:rsidRPr="00137EA9">
        <w:rPr>
          <w:i/>
          <w:iCs/>
          <w:bdr w:val="none" w:sz="0" w:space="0" w:color="auto" w:frame="1"/>
          <w:shd w:val="clear" w:color="auto" w:fill="FFFFFF"/>
        </w:rPr>
        <w:t>Travel Behavior and Society</w:t>
      </w:r>
      <w:r w:rsidRPr="00137EA9">
        <w:rPr>
          <w:bdr w:val="none" w:sz="0" w:space="0" w:color="auto" w:frame="1"/>
          <w:shd w:val="clear" w:color="auto" w:fill="FFFFFF"/>
        </w:rPr>
        <w:t>, 5, 48-55.</w:t>
      </w:r>
    </w:p>
    <w:p w14:paraId="7D32D939" w14:textId="77777777" w:rsidR="00944E80" w:rsidRPr="00137EA9" w:rsidRDefault="00944E80" w:rsidP="00B4106B">
      <w:pPr>
        <w:ind w:left="540" w:hanging="540"/>
        <w:jc w:val="both"/>
      </w:pPr>
      <w:r w:rsidRPr="00137EA9">
        <w:t xml:space="preserve">Vetrovsky, T., Cupka, J., Dudek, M., Kuthanova, B., Vetrovska, K., Capek, V., and Bunc, V. (2017). Mental health and quality of life benefits of a pedometer-based walking intervention delivered in a primary care setting. </w:t>
      </w:r>
      <w:r w:rsidRPr="00137EA9">
        <w:rPr>
          <w:i/>
          <w:iCs/>
        </w:rPr>
        <w:t>Acta Gymnica</w:t>
      </w:r>
      <w:r w:rsidRPr="00137EA9">
        <w:t xml:space="preserve">, 47(3), 138-143. </w:t>
      </w:r>
    </w:p>
    <w:p w14:paraId="22C46BE6" w14:textId="77777777" w:rsidR="00944E80" w:rsidRPr="00137EA9" w:rsidRDefault="00944E80" w:rsidP="00B4106B">
      <w:pPr>
        <w:ind w:left="540" w:hanging="540"/>
        <w:jc w:val="both"/>
        <w:rPr>
          <w:rFonts w:cs="Times New Roman"/>
          <w:szCs w:val="24"/>
        </w:rPr>
      </w:pPr>
      <w:r w:rsidRPr="00137EA9">
        <w:rPr>
          <w:rFonts w:cs="Times New Roman"/>
          <w:szCs w:val="24"/>
        </w:rPr>
        <w:t xml:space="preserve">Vytlacil, E., and Yildiz, N. (2007). Dummy endogenous variables in weakly separable models. </w:t>
      </w:r>
      <w:r w:rsidRPr="00137EA9">
        <w:rPr>
          <w:rFonts w:cs="Times New Roman"/>
          <w:i/>
          <w:iCs/>
          <w:szCs w:val="24"/>
        </w:rPr>
        <w:t>Econometrica</w:t>
      </w:r>
      <w:r w:rsidRPr="00137EA9">
        <w:rPr>
          <w:rFonts w:cs="Times New Roman"/>
          <w:szCs w:val="24"/>
        </w:rPr>
        <w:t xml:space="preserve">, 75(3), 757-779. </w:t>
      </w:r>
    </w:p>
    <w:p w14:paraId="646C2AB2" w14:textId="77777777" w:rsidR="00944E80" w:rsidRPr="00137EA9" w:rsidRDefault="00944E80" w:rsidP="00B4106B">
      <w:pPr>
        <w:autoSpaceDE w:val="0"/>
        <w:autoSpaceDN w:val="0"/>
        <w:adjustRightInd w:val="0"/>
        <w:ind w:left="540" w:hanging="540"/>
        <w:jc w:val="both"/>
        <w:rPr>
          <w:rFonts w:cs="Times New Roman"/>
          <w:szCs w:val="24"/>
        </w:rPr>
      </w:pPr>
      <w:r w:rsidRPr="00137EA9">
        <w:rPr>
          <w:rFonts w:cs="Times New Roman"/>
          <w:szCs w:val="24"/>
        </w:rPr>
        <w:lastRenderedPageBreak/>
        <w:t xml:space="preserve">Wan, F., Small, D., and Mitra, N. (2018). A general approach to evaluating the bias of 2-stage instrumental variable estimators. </w:t>
      </w:r>
      <w:r w:rsidRPr="00137EA9">
        <w:rPr>
          <w:rFonts w:cs="Times New Roman"/>
          <w:i/>
          <w:iCs/>
          <w:szCs w:val="24"/>
        </w:rPr>
        <w:t>Statistics in Medicine</w:t>
      </w:r>
      <w:r w:rsidRPr="00137EA9">
        <w:rPr>
          <w:rFonts w:cs="Times New Roman"/>
          <w:szCs w:val="24"/>
        </w:rPr>
        <w:t>, 37(12), 1997-2015.</w:t>
      </w:r>
    </w:p>
    <w:p w14:paraId="24AEEE32" w14:textId="77777777" w:rsidR="00944E80" w:rsidRPr="00137EA9" w:rsidRDefault="00944E80" w:rsidP="00B4106B">
      <w:pPr>
        <w:ind w:left="540" w:hanging="540"/>
        <w:jc w:val="both"/>
        <w:rPr>
          <w:rFonts w:cs="Times New Roman"/>
          <w:szCs w:val="24"/>
        </w:rPr>
      </w:pPr>
      <w:r w:rsidRPr="00137EA9">
        <w:rPr>
          <w:rFonts w:cs="Times New Roman"/>
          <w:color w:val="000000"/>
          <w:szCs w:val="24"/>
        </w:rPr>
        <w:t>Wang, J., Yang, Y., Peng, J., Yang, L., Gou, Z.,  Lu, Y. (2021).</w:t>
      </w:r>
      <w:r w:rsidRPr="00137EA9">
        <w:rPr>
          <w:rFonts w:cs="Times New Roman"/>
          <w:szCs w:val="24"/>
        </w:rPr>
        <w:t xml:space="preserve"> </w:t>
      </w:r>
      <w:r w:rsidRPr="00137EA9">
        <w:rPr>
          <w:rFonts w:cs="Times New Roman"/>
          <w:color w:val="000000"/>
          <w:szCs w:val="24"/>
        </w:rPr>
        <w:t xml:space="preserve">Moderation effect of urban density on changes in physical activity during the coronavirus disease 2019 pandemic. </w:t>
      </w:r>
      <w:r w:rsidRPr="00137EA9">
        <w:rPr>
          <w:rFonts w:cs="Times New Roman"/>
          <w:i/>
          <w:iCs/>
          <w:szCs w:val="24"/>
        </w:rPr>
        <w:t>Sustainable Cities and Society</w:t>
      </w:r>
      <w:r w:rsidRPr="00137EA9">
        <w:rPr>
          <w:rFonts w:cs="Times New Roman"/>
          <w:szCs w:val="24"/>
        </w:rPr>
        <w:t>, 72, 103058.</w:t>
      </w:r>
    </w:p>
    <w:p w14:paraId="65F4AD7B" w14:textId="77777777" w:rsidR="00944E80" w:rsidRPr="00137EA9" w:rsidRDefault="00944E80" w:rsidP="00B4106B">
      <w:pPr>
        <w:ind w:left="540" w:hanging="540"/>
        <w:jc w:val="both"/>
        <w:rPr>
          <w:rFonts w:cs="Times New Roman"/>
          <w:szCs w:val="24"/>
        </w:rPr>
      </w:pPr>
      <w:r w:rsidRPr="00137EA9">
        <w:rPr>
          <w:rFonts w:cs="Times New Roman"/>
          <w:szCs w:val="24"/>
        </w:rPr>
        <w:t>Watthanacheewakul, L. (2021). Transformations for left skewed data. Proceedings of the World Congress on Engineering 2021 (WCE 2021), July 7-9, 2021, London, U.K.</w:t>
      </w:r>
    </w:p>
    <w:p w14:paraId="76B04629" w14:textId="77777777" w:rsidR="00944E80" w:rsidRPr="00137EA9" w:rsidRDefault="00944E80" w:rsidP="00B4106B">
      <w:pPr>
        <w:ind w:left="540" w:hanging="540"/>
        <w:jc w:val="both"/>
        <w:rPr>
          <w:rFonts w:cs="Times New Roman"/>
          <w:color w:val="222222"/>
          <w:szCs w:val="24"/>
          <w:shd w:val="clear" w:color="auto" w:fill="FFFFFF"/>
        </w:rPr>
      </w:pPr>
      <w:r w:rsidRPr="00137EA9">
        <w:rPr>
          <w:rFonts w:cs="Times New Roman"/>
          <w:color w:val="222222"/>
          <w:szCs w:val="24"/>
          <w:shd w:val="clear" w:color="auto" w:fill="FFFFFF"/>
        </w:rPr>
        <w:t xml:space="preserve">Wei, Y., Tang, Y., and McNicholas, P.D. (2019). Mixtures of generalized hyperbolic distributions and mixtures of skew-t distributions for model-based clustering with incomplete data. </w:t>
      </w:r>
      <w:r w:rsidRPr="00137EA9">
        <w:rPr>
          <w:rFonts w:cs="Times New Roman"/>
          <w:i/>
          <w:iCs/>
          <w:color w:val="222222"/>
          <w:szCs w:val="24"/>
          <w:shd w:val="clear" w:color="auto" w:fill="FFFFFF"/>
        </w:rPr>
        <w:t>Computational Statistics and Data Analysis</w:t>
      </w:r>
      <w:r w:rsidRPr="00137EA9">
        <w:rPr>
          <w:rFonts w:cs="Times New Roman"/>
          <w:color w:val="222222"/>
          <w:szCs w:val="24"/>
          <w:shd w:val="clear" w:color="auto" w:fill="FFFFFF"/>
        </w:rPr>
        <w:t>, 130, 18-41.</w:t>
      </w:r>
    </w:p>
    <w:p w14:paraId="6380841C" w14:textId="77777777" w:rsidR="00944E80" w:rsidRPr="00137EA9" w:rsidRDefault="00944E80" w:rsidP="00B4106B">
      <w:pPr>
        <w:autoSpaceDE w:val="0"/>
        <w:autoSpaceDN w:val="0"/>
        <w:adjustRightInd w:val="0"/>
        <w:ind w:left="540" w:hanging="540"/>
        <w:jc w:val="both"/>
        <w:rPr>
          <w:rFonts w:cs="Times New Roman"/>
          <w:szCs w:val="24"/>
        </w:rPr>
      </w:pPr>
      <w:r w:rsidRPr="00137EA9">
        <w:rPr>
          <w:rFonts w:cs="Times New Roman"/>
          <w:szCs w:val="24"/>
        </w:rPr>
        <w:t xml:space="preserve">Wilde, J. (2000). Identification of multiple equation probit models with endogenous dummy regressors. </w:t>
      </w:r>
      <w:r w:rsidRPr="00137EA9">
        <w:rPr>
          <w:rFonts w:cs="Times New Roman"/>
          <w:i/>
          <w:iCs/>
          <w:szCs w:val="24"/>
        </w:rPr>
        <w:t>Economics Letters</w:t>
      </w:r>
      <w:r w:rsidRPr="00137EA9">
        <w:rPr>
          <w:rFonts w:cs="Times New Roman"/>
          <w:szCs w:val="24"/>
        </w:rPr>
        <w:t>, 69(3), 309-312.</w:t>
      </w:r>
    </w:p>
    <w:p w14:paraId="545911B1" w14:textId="77777777" w:rsidR="00944E80" w:rsidRPr="00137EA9" w:rsidRDefault="00944E80" w:rsidP="00B4106B">
      <w:pPr>
        <w:autoSpaceDE w:val="0"/>
        <w:autoSpaceDN w:val="0"/>
        <w:adjustRightInd w:val="0"/>
        <w:ind w:left="540" w:hanging="540"/>
        <w:jc w:val="both"/>
        <w:rPr>
          <w:rFonts w:cs="Times New Roman"/>
          <w:szCs w:val="24"/>
        </w:rPr>
      </w:pPr>
      <w:r w:rsidRPr="00137EA9">
        <w:rPr>
          <w:rFonts w:cs="Times New Roman"/>
          <w:szCs w:val="24"/>
        </w:rPr>
        <w:t>Won, J., Alfini, A.J., Weiss, L.R., Michelson, C.S., Callow, D.D., Ranadive, S.M., Gentili, R.J., and Smith, J.C. (2019). Semantic memory activation after acute exercise in healthy older adults. </w:t>
      </w:r>
      <w:r w:rsidRPr="00137EA9">
        <w:rPr>
          <w:rFonts w:cs="Times New Roman"/>
          <w:i/>
          <w:iCs/>
          <w:szCs w:val="24"/>
        </w:rPr>
        <w:t>Journal of the International Neuropsychological Society</w:t>
      </w:r>
      <w:r w:rsidRPr="00137EA9">
        <w:rPr>
          <w:rFonts w:cs="Times New Roman"/>
          <w:szCs w:val="24"/>
        </w:rPr>
        <w:t>, 25(6), 557-568.</w:t>
      </w:r>
    </w:p>
    <w:p w14:paraId="7808A63D" w14:textId="77777777" w:rsidR="00944E80" w:rsidRPr="00137EA9" w:rsidRDefault="00944E80" w:rsidP="00B4106B">
      <w:pPr>
        <w:autoSpaceDE w:val="0"/>
        <w:autoSpaceDN w:val="0"/>
        <w:adjustRightInd w:val="0"/>
        <w:ind w:left="540" w:hanging="540"/>
        <w:jc w:val="both"/>
        <w:rPr>
          <w:rFonts w:cs="Times New Roman"/>
          <w:color w:val="211D1E"/>
          <w:szCs w:val="24"/>
        </w:rPr>
      </w:pPr>
      <w:r w:rsidRPr="00137EA9">
        <w:rPr>
          <w:rFonts w:cs="Times New Roman"/>
          <w:color w:val="211D1E"/>
          <w:szCs w:val="24"/>
        </w:rPr>
        <w:t xml:space="preserve">Wooldridge, J.M. (2015). Control function methods in applied econometrics. </w:t>
      </w:r>
      <w:r w:rsidRPr="00137EA9">
        <w:rPr>
          <w:rFonts w:cs="Times New Roman"/>
          <w:i/>
          <w:iCs/>
          <w:color w:val="211D1E"/>
          <w:szCs w:val="24"/>
        </w:rPr>
        <w:t>The Journal of Human Resources</w:t>
      </w:r>
      <w:r w:rsidRPr="00137EA9">
        <w:rPr>
          <w:rFonts w:cs="Times New Roman"/>
          <w:color w:val="211D1E"/>
          <w:szCs w:val="24"/>
        </w:rPr>
        <w:t>, 50(2), 420-445.</w:t>
      </w:r>
    </w:p>
    <w:p w14:paraId="7EDE646C" w14:textId="77777777" w:rsidR="00944E80" w:rsidRPr="00137EA9" w:rsidRDefault="00944E80" w:rsidP="00B4106B">
      <w:pPr>
        <w:autoSpaceDE w:val="0"/>
        <w:autoSpaceDN w:val="0"/>
        <w:adjustRightInd w:val="0"/>
        <w:ind w:left="540" w:hanging="540"/>
        <w:jc w:val="both"/>
        <w:rPr>
          <w:rFonts w:cs="Times New Roman"/>
          <w:szCs w:val="24"/>
        </w:rPr>
      </w:pPr>
      <w:r w:rsidRPr="00137EA9">
        <w:rPr>
          <w:rFonts w:cs="Times New Roman"/>
          <w:szCs w:val="24"/>
        </w:rPr>
        <w:t xml:space="preserve">Xu, X., and Lee, L-F. (2018). </w:t>
      </w:r>
      <w:r w:rsidRPr="00137EA9">
        <w:rPr>
          <w:rFonts w:cs="Times New Roman"/>
          <w:color w:val="000000"/>
          <w:szCs w:val="24"/>
        </w:rPr>
        <w:t xml:space="preserve">Sieve maximum likelihood estimation of the spatial autoregressive Tobit model. </w:t>
      </w:r>
      <w:r w:rsidRPr="00137EA9">
        <w:rPr>
          <w:rFonts w:cs="Times New Roman"/>
          <w:i/>
          <w:iCs/>
          <w:szCs w:val="24"/>
        </w:rPr>
        <w:t>Journal of Econometrics</w:t>
      </w:r>
      <w:r w:rsidRPr="00137EA9">
        <w:rPr>
          <w:rFonts w:cs="Times New Roman"/>
          <w:szCs w:val="24"/>
        </w:rPr>
        <w:t>, 203(1), 96-112.</w:t>
      </w:r>
    </w:p>
    <w:p w14:paraId="34BF8396" w14:textId="77777777" w:rsidR="00944E80" w:rsidRPr="00137EA9" w:rsidRDefault="00944E80" w:rsidP="00B4106B">
      <w:pPr>
        <w:autoSpaceDE w:val="0"/>
        <w:autoSpaceDN w:val="0"/>
        <w:adjustRightInd w:val="0"/>
        <w:ind w:left="540" w:hanging="540"/>
        <w:jc w:val="both"/>
        <w:rPr>
          <w:rFonts w:cs="Times New Roman"/>
          <w:szCs w:val="24"/>
        </w:rPr>
      </w:pPr>
      <w:r w:rsidRPr="00137EA9">
        <w:rPr>
          <w:rFonts w:cs="Times New Roman"/>
          <w:szCs w:val="24"/>
        </w:rPr>
        <w:t>Yamada, M., Kimura, Y., Ishiyama, D., Otobe, Y., Suzuki, M., Koyama, S., Kikuchi, T., Kusumi, H., and Arai, H. (2020). Effect of the COVID-19 epidemic on physical activity in community-dwelling older adults in Japan: A cross-sectional online survey. </w:t>
      </w:r>
      <w:r w:rsidRPr="00137EA9">
        <w:rPr>
          <w:rFonts w:cs="Times New Roman"/>
          <w:i/>
          <w:iCs/>
          <w:szCs w:val="24"/>
        </w:rPr>
        <w:t>The Journal of Nutrition, Health &amp; Aging</w:t>
      </w:r>
      <w:r w:rsidRPr="00137EA9">
        <w:rPr>
          <w:rFonts w:cs="Times New Roman"/>
          <w:szCs w:val="24"/>
        </w:rPr>
        <w:t>, 24(9), 948-950.</w:t>
      </w:r>
    </w:p>
    <w:p w14:paraId="3227F12D" w14:textId="77777777" w:rsidR="00944E80" w:rsidRPr="00137EA9" w:rsidRDefault="00944E80" w:rsidP="00B4106B">
      <w:pPr>
        <w:ind w:left="540" w:hanging="540"/>
        <w:jc w:val="both"/>
        <w:rPr>
          <w:rFonts w:cs="Times New Roman"/>
          <w:color w:val="222222"/>
          <w:szCs w:val="24"/>
          <w:shd w:val="clear" w:color="auto" w:fill="FFFFFF"/>
        </w:rPr>
      </w:pPr>
      <w:r w:rsidRPr="00137EA9">
        <w:rPr>
          <w:rFonts w:cs="Times New Roman"/>
          <w:color w:val="222222"/>
          <w:szCs w:val="24"/>
          <w:shd w:val="clear" w:color="auto" w:fill="FFFFFF"/>
        </w:rPr>
        <w:t>Yeo, I.K., and Johnson, R.A. (2000). A new family of power transformations to improve normality or symmetry. </w:t>
      </w:r>
      <w:r w:rsidRPr="00137EA9">
        <w:rPr>
          <w:rFonts w:cs="Times New Roman"/>
          <w:i/>
          <w:iCs/>
          <w:color w:val="222222"/>
          <w:szCs w:val="24"/>
          <w:shd w:val="clear" w:color="auto" w:fill="FFFFFF"/>
        </w:rPr>
        <w:t>Biometrika</w:t>
      </w:r>
      <w:r w:rsidRPr="00137EA9">
        <w:rPr>
          <w:rFonts w:cs="Times New Roman"/>
          <w:color w:val="222222"/>
          <w:szCs w:val="24"/>
          <w:shd w:val="clear" w:color="auto" w:fill="FFFFFF"/>
        </w:rPr>
        <w:t>, 87(4), 954-959.</w:t>
      </w:r>
    </w:p>
    <w:p w14:paraId="415C2377" w14:textId="77777777" w:rsidR="00944E80" w:rsidRPr="00137EA9" w:rsidRDefault="00944E80" w:rsidP="00B4106B">
      <w:pPr>
        <w:autoSpaceDE w:val="0"/>
        <w:autoSpaceDN w:val="0"/>
        <w:adjustRightInd w:val="0"/>
        <w:ind w:left="540" w:hanging="540"/>
        <w:jc w:val="both"/>
        <w:rPr>
          <w:rFonts w:cs="Times New Roman"/>
          <w:szCs w:val="24"/>
        </w:rPr>
      </w:pPr>
      <w:r w:rsidRPr="00137EA9">
        <w:rPr>
          <w:rFonts w:cs="Times New Roman"/>
          <w:szCs w:val="24"/>
        </w:rPr>
        <w:t xml:space="preserve">Yildiz, N. (2013). Estimation of binary choice models with linear index and dummy endogenous variables. </w:t>
      </w:r>
      <w:r w:rsidRPr="00137EA9">
        <w:rPr>
          <w:rFonts w:cs="Times New Roman"/>
          <w:i/>
          <w:iCs/>
          <w:szCs w:val="24"/>
        </w:rPr>
        <w:t>Econometric Theory</w:t>
      </w:r>
      <w:r w:rsidRPr="00137EA9">
        <w:rPr>
          <w:rFonts w:cs="Times New Roman"/>
          <w:szCs w:val="24"/>
        </w:rPr>
        <w:t>, 29(2), 354-92.</w:t>
      </w:r>
    </w:p>
    <w:p w14:paraId="06C95716" w14:textId="77777777" w:rsidR="00944E80" w:rsidRPr="00137EA9" w:rsidRDefault="00944E80" w:rsidP="00B4106B">
      <w:pPr>
        <w:autoSpaceDE w:val="0"/>
        <w:autoSpaceDN w:val="0"/>
        <w:adjustRightInd w:val="0"/>
        <w:ind w:left="540" w:hanging="540"/>
        <w:jc w:val="both"/>
        <w:rPr>
          <w:rFonts w:cs="Times New Roman"/>
          <w:szCs w:val="24"/>
        </w:rPr>
      </w:pPr>
      <w:r w:rsidRPr="00137EA9">
        <w:rPr>
          <w:rFonts w:cs="Times New Roman"/>
          <w:szCs w:val="24"/>
        </w:rPr>
        <w:t xml:space="preserve">Zimmerman, D.W. (1998). Invalidation of parametric and nonparamteric statistical tests by concurrent violation of two assumptions. </w:t>
      </w:r>
      <w:r w:rsidRPr="00137EA9">
        <w:rPr>
          <w:rFonts w:cs="Times New Roman"/>
          <w:i/>
          <w:iCs/>
          <w:szCs w:val="24"/>
        </w:rPr>
        <w:t>Journal of Experimental Education</w:t>
      </w:r>
      <w:r w:rsidRPr="00137EA9">
        <w:rPr>
          <w:rFonts w:cs="Times New Roman"/>
          <w:szCs w:val="24"/>
        </w:rPr>
        <w:t xml:space="preserve">, 67(1), 55-68. </w:t>
      </w:r>
    </w:p>
    <w:p w14:paraId="751EAC13" w14:textId="77777777" w:rsidR="00944E80" w:rsidRPr="00137EA9" w:rsidRDefault="00944E80" w:rsidP="00B4106B">
      <w:pPr>
        <w:autoSpaceDE w:val="0"/>
        <w:autoSpaceDN w:val="0"/>
        <w:adjustRightInd w:val="0"/>
        <w:ind w:left="540" w:hanging="540"/>
        <w:jc w:val="both"/>
        <w:rPr>
          <w:rFonts w:cs="Times New Roman"/>
          <w:szCs w:val="24"/>
        </w:rPr>
      </w:pPr>
      <w:r w:rsidRPr="00137EA9">
        <w:rPr>
          <w:rFonts w:cs="Times New Roman"/>
          <w:szCs w:val="24"/>
        </w:rPr>
        <w:t xml:space="preserve">Zhou, Q., Hu, T.,  and Sun, J. (2017). A sieve semiparametric maximum likelihood approach for regression analysis of bivariate interval-censored failure time data. </w:t>
      </w:r>
      <w:r w:rsidRPr="00137EA9">
        <w:rPr>
          <w:rFonts w:cs="Times New Roman"/>
          <w:i/>
          <w:iCs/>
          <w:szCs w:val="24"/>
        </w:rPr>
        <w:t>Journal of the American Statistical Association</w:t>
      </w:r>
      <w:r w:rsidRPr="00137EA9">
        <w:rPr>
          <w:rFonts w:cs="Times New Roman"/>
          <w:szCs w:val="24"/>
        </w:rPr>
        <w:t>, 112(518), 664-672.</w:t>
      </w:r>
    </w:p>
    <w:p w14:paraId="1F1D02A5" w14:textId="77777777" w:rsidR="002936FC" w:rsidRDefault="002936FC" w:rsidP="00090153">
      <w:pPr>
        <w:spacing w:after="200" w:line="276" w:lineRule="auto"/>
        <w:rPr>
          <w:noProof/>
        </w:rPr>
      </w:pPr>
    </w:p>
    <w:sectPr w:rsidR="002936FC" w:rsidSect="002225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63A3E" w14:textId="77777777" w:rsidR="00227F22" w:rsidRDefault="00227F22" w:rsidP="00466AEE">
      <w:r>
        <w:separator/>
      </w:r>
    </w:p>
  </w:endnote>
  <w:endnote w:type="continuationSeparator" w:id="0">
    <w:p w14:paraId="4364D8EC" w14:textId="77777777" w:rsidR="00227F22" w:rsidRDefault="00227F22" w:rsidP="00466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MR12">
    <w:altName w:val="Yu Gothic"/>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SourceSansPro-Regular">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LTPro-LightCn">
    <w:altName w:val="Yu Gothic"/>
    <w:panose1 w:val="00000000000000000000"/>
    <w:charset w:val="80"/>
    <w:family w:val="swiss"/>
    <w:notTrueType/>
    <w:pitch w:val="default"/>
    <w:sig w:usb0="00000001" w:usb1="08070000" w:usb2="00000010" w:usb3="00000000" w:csb0="00020000" w:csb1="00000000"/>
  </w:font>
  <w:font w:name="STIX-Regular">
    <w:altName w:val="Batang"/>
    <w:panose1 w:val="00000000000000000000"/>
    <w:charset w:val="81"/>
    <w:family w:val="roman"/>
    <w:notTrueType/>
    <w:pitch w:val="default"/>
    <w:sig w:usb0="00000001" w:usb1="09060000" w:usb2="00000010" w:usb3="00000000" w:csb0="00080000" w:csb1="00000000"/>
  </w:font>
  <w:font w:name="STIX-Italic">
    <w:altName w:val="Yu Gothic"/>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781BA" w14:textId="77777777" w:rsidR="00944E80" w:rsidRPr="00A06000" w:rsidRDefault="00944E80" w:rsidP="00942200">
    <w:pPr>
      <w:jc w:val="center"/>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8C98D" w14:textId="05A784CB" w:rsidR="00944E80" w:rsidRPr="00FE38B5" w:rsidRDefault="00944E80" w:rsidP="00FE38B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556967"/>
      <w:docPartObj>
        <w:docPartGallery w:val="Page Numbers (Bottom of Page)"/>
        <w:docPartUnique/>
      </w:docPartObj>
    </w:sdtPr>
    <w:sdtEndPr>
      <w:rPr>
        <w:rFonts w:ascii="Times New Roman" w:hAnsi="Times New Roman"/>
        <w:noProof/>
        <w:sz w:val="24"/>
        <w:szCs w:val="24"/>
      </w:rPr>
    </w:sdtEndPr>
    <w:sdtContent>
      <w:p w14:paraId="0556C02D" w14:textId="7B2E6321" w:rsidR="00FE38B5" w:rsidRPr="00222560" w:rsidRDefault="00222560" w:rsidP="00222560">
        <w:pPr>
          <w:pStyle w:val="Footer"/>
          <w:jc w:val="center"/>
          <w:rPr>
            <w:rFonts w:ascii="Times New Roman" w:hAnsi="Times New Roman"/>
            <w:sz w:val="24"/>
            <w:szCs w:val="24"/>
          </w:rPr>
        </w:pPr>
        <w:r w:rsidRPr="00222560">
          <w:rPr>
            <w:rFonts w:ascii="Times New Roman" w:hAnsi="Times New Roman"/>
            <w:sz w:val="24"/>
            <w:szCs w:val="24"/>
          </w:rPr>
          <w:fldChar w:fldCharType="begin"/>
        </w:r>
        <w:r w:rsidRPr="00222560">
          <w:rPr>
            <w:rFonts w:ascii="Times New Roman" w:hAnsi="Times New Roman"/>
            <w:sz w:val="24"/>
            <w:szCs w:val="24"/>
          </w:rPr>
          <w:instrText xml:space="preserve"> PAGE   \* MERGEFORMAT </w:instrText>
        </w:r>
        <w:r w:rsidRPr="00222560">
          <w:rPr>
            <w:rFonts w:ascii="Times New Roman" w:hAnsi="Times New Roman"/>
            <w:sz w:val="24"/>
            <w:szCs w:val="24"/>
          </w:rPr>
          <w:fldChar w:fldCharType="separate"/>
        </w:r>
        <w:r w:rsidRPr="00222560">
          <w:rPr>
            <w:rFonts w:ascii="Times New Roman" w:hAnsi="Times New Roman"/>
            <w:noProof/>
            <w:sz w:val="24"/>
            <w:szCs w:val="24"/>
          </w:rPr>
          <w:t>2</w:t>
        </w:r>
        <w:r w:rsidRPr="00222560">
          <w:rPr>
            <w:rFonts w:ascii="Times New Roman" w:hAnsi="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1321A" w14:textId="77777777" w:rsidR="00227F22" w:rsidRDefault="00227F22" w:rsidP="00466AEE">
      <w:r>
        <w:separator/>
      </w:r>
    </w:p>
  </w:footnote>
  <w:footnote w:type="continuationSeparator" w:id="0">
    <w:p w14:paraId="0483F632" w14:textId="77777777" w:rsidR="00227F22" w:rsidRDefault="00227F22" w:rsidP="00466AEE">
      <w:r>
        <w:continuationSeparator/>
      </w:r>
    </w:p>
  </w:footnote>
  <w:footnote w:id="1">
    <w:p w14:paraId="6B4AB9C2" w14:textId="76C8F567" w:rsidR="00466AEE" w:rsidRPr="00212DC9" w:rsidRDefault="00466AEE" w:rsidP="00212DC9">
      <w:pPr>
        <w:jc w:val="both"/>
        <w:rPr>
          <w:rFonts w:cs="Times New Roman"/>
          <w:sz w:val="20"/>
          <w:szCs w:val="20"/>
        </w:rPr>
      </w:pPr>
      <w:r w:rsidRPr="008B25E6">
        <w:rPr>
          <w:rFonts w:cs="Times New Roman"/>
          <w:sz w:val="20"/>
          <w:szCs w:val="20"/>
          <w:vertAlign w:val="superscript"/>
        </w:rPr>
        <w:footnoteRef/>
      </w:r>
      <w:r w:rsidRPr="00212DC9">
        <w:rPr>
          <w:rFonts w:cs="Times New Roman"/>
          <w:sz w:val="20"/>
          <w:szCs w:val="20"/>
        </w:rPr>
        <w:t xml:space="preserve"> Mixtures of univariate skew distributions for each marginal distribution </w:t>
      </w:r>
      <w:r w:rsidR="00325E55" w:rsidRPr="00212DC9">
        <w:rPr>
          <w:rFonts w:cs="Times New Roman"/>
          <w:sz w:val="20"/>
          <w:szCs w:val="20"/>
        </w:rPr>
        <w:t xml:space="preserve">(in the skew approach) </w:t>
      </w:r>
      <w:r w:rsidRPr="00212DC9">
        <w:rPr>
          <w:rFonts w:cs="Times New Roman"/>
          <w:sz w:val="20"/>
          <w:szCs w:val="20"/>
        </w:rPr>
        <w:t xml:space="preserve">or </w:t>
      </w:r>
      <w:r w:rsidR="00325E55" w:rsidRPr="00212DC9">
        <w:rPr>
          <w:rFonts w:cs="Times New Roman"/>
          <w:sz w:val="20"/>
          <w:szCs w:val="20"/>
        </w:rPr>
        <w:t xml:space="preserve">transforming the target density function to a mixture normal distribution (in the transformation approach) provide additional flexibility for each marginal. However, such mixtures entail additional parameters that get particularly difficult to estimate and implement for a high dimensional joint model with many outcome variables. </w:t>
      </w:r>
    </w:p>
  </w:footnote>
  <w:footnote w:id="2">
    <w:p w14:paraId="2ED23916" w14:textId="169A56E2" w:rsidR="00C66A2C" w:rsidRPr="00463811" w:rsidRDefault="00C66A2C" w:rsidP="00FE38B5">
      <w:pPr>
        <w:autoSpaceDE w:val="0"/>
        <w:autoSpaceDN w:val="0"/>
        <w:adjustRightInd w:val="0"/>
        <w:spacing w:after="60"/>
        <w:jc w:val="both"/>
        <w:rPr>
          <w:rFonts w:cs="Times New Roman"/>
          <w:sz w:val="20"/>
          <w:szCs w:val="20"/>
        </w:rPr>
      </w:pPr>
      <w:r w:rsidRPr="008B25E6">
        <w:rPr>
          <w:rFonts w:cs="Times New Roman"/>
          <w:sz w:val="20"/>
          <w:szCs w:val="20"/>
          <w:vertAlign w:val="superscript"/>
        </w:rPr>
        <w:footnoteRef/>
      </w:r>
      <w:r w:rsidR="00FE38B5">
        <w:rPr>
          <w:rFonts w:cs="Times New Roman"/>
          <w:sz w:val="20"/>
          <w:szCs w:val="20"/>
        </w:rPr>
        <w:t xml:space="preserve"> </w:t>
      </w:r>
      <w:r w:rsidR="00DB16D8" w:rsidRPr="00463811">
        <w:rPr>
          <w:rFonts w:cs="Times New Roman"/>
          <w:sz w:val="20"/>
          <w:szCs w:val="20"/>
        </w:rPr>
        <w:t xml:space="preserve">Even when the control function approach is valid, as in the case when the EEV is continuous (rather than being limited-dependent), the </w:t>
      </w:r>
      <w:r w:rsidR="00D65954" w:rsidRPr="00463811">
        <w:rPr>
          <w:rFonts w:cs="Times New Roman"/>
          <w:sz w:val="20"/>
          <w:szCs w:val="20"/>
        </w:rPr>
        <w:t xml:space="preserve">maximum likelihood (ML) </w:t>
      </w:r>
      <w:r w:rsidR="00DB16D8" w:rsidRPr="00463811">
        <w:rPr>
          <w:rFonts w:cs="Times New Roman"/>
          <w:sz w:val="20"/>
          <w:szCs w:val="20"/>
        </w:rPr>
        <w:t xml:space="preserve">approach we develop here “chips away” at </w:t>
      </w:r>
      <w:r w:rsidR="00D65954" w:rsidRPr="00463811">
        <w:rPr>
          <w:rFonts w:cs="Times New Roman"/>
          <w:sz w:val="20"/>
          <w:szCs w:val="20"/>
        </w:rPr>
        <w:t>any</w:t>
      </w:r>
      <w:r w:rsidR="00DB16D8" w:rsidRPr="00463811">
        <w:rPr>
          <w:rFonts w:cs="Times New Roman"/>
          <w:sz w:val="20"/>
          <w:szCs w:val="20"/>
        </w:rPr>
        <w:t xml:space="preserve"> robustness advantage </w:t>
      </w:r>
      <w:r w:rsidR="00463811" w:rsidRPr="00463811">
        <w:rPr>
          <w:rFonts w:cs="Times New Roman"/>
          <w:sz w:val="20"/>
          <w:szCs w:val="20"/>
        </w:rPr>
        <w:t xml:space="preserve">that </w:t>
      </w:r>
      <w:r w:rsidR="00DB16D8" w:rsidRPr="00463811">
        <w:rPr>
          <w:rFonts w:cs="Times New Roman"/>
          <w:sz w:val="20"/>
          <w:szCs w:val="20"/>
        </w:rPr>
        <w:t xml:space="preserve">the two-stage control function approach </w:t>
      </w:r>
      <w:r w:rsidR="00463811" w:rsidRPr="00463811">
        <w:rPr>
          <w:rFonts w:cs="Times New Roman"/>
          <w:sz w:val="20"/>
          <w:szCs w:val="20"/>
        </w:rPr>
        <w:t xml:space="preserve">may hold </w:t>
      </w:r>
      <w:r w:rsidR="00DB16D8" w:rsidRPr="00463811">
        <w:rPr>
          <w:rFonts w:cs="Times New Roman"/>
          <w:sz w:val="20"/>
          <w:szCs w:val="20"/>
        </w:rPr>
        <w:t>(in models with a continuous</w:t>
      </w:r>
      <w:r w:rsidR="00D65954" w:rsidRPr="00463811">
        <w:rPr>
          <w:rFonts w:cs="Times New Roman"/>
          <w:sz w:val="20"/>
          <w:szCs w:val="20"/>
        </w:rPr>
        <w:t xml:space="preserve"> EEV</w:t>
      </w:r>
      <w:r w:rsidR="00DB16D8" w:rsidRPr="00463811">
        <w:rPr>
          <w:rFonts w:cs="Times New Roman"/>
          <w:sz w:val="20"/>
          <w:szCs w:val="20"/>
        </w:rPr>
        <w:t xml:space="preserve">, the control function approach does not rely on strong parametric assumptions </w:t>
      </w:r>
      <w:r w:rsidR="00D65954" w:rsidRPr="00463811">
        <w:rPr>
          <w:rFonts w:cs="Times New Roman"/>
          <w:sz w:val="20"/>
          <w:szCs w:val="20"/>
        </w:rPr>
        <w:t xml:space="preserve">as needed by </w:t>
      </w:r>
      <w:r w:rsidR="00DB16D8" w:rsidRPr="00463811">
        <w:rPr>
          <w:rFonts w:cs="Times New Roman"/>
          <w:sz w:val="20"/>
          <w:szCs w:val="20"/>
        </w:rPr>
        <w:t>the single-stage maximum likelihood approach; see Wool</w:t>
      </w:r>
      <w:r w:rsidR="00BA53CB">
        <w:rPr>
          <w:rFonts w:cs="Times New Roman"/>
          <w:sz w:val="20"/>
          <w:szCs w:val="20"/>
        </w:rPr>
        <w:t>d</w:t>
      </w:r>
      <w:r w:rsidR="00DB16D8" w:rsidRPr="00463811">
        <w:rPr>
          <w:rFonts w:cs="Times New Roman"/>
          <w:sz w:val="20"/>
          <w:szCs w:val="20"/>
        </w:rPr>
        <w:t xml:space="preserve">ridge, 2015). But, by using </w:t>
      </w:r>
      <w:r w:rsidR="00D65954" w:rsidRPr="00463811">
        <w:rPr>
          <w:rFonts w:cs="Times New Roman"/>
          <w:sz w:val="20"/>
          <w:szCs w:val="20"/>
        </w:rPr>
        <w:t>flexible parametric assumptions rather than the typical rigid normal parametric assumption for each of the EEV and main outcomes, our ML approac</w:t>
      </w:r>
      <w:r w:rsidR="00463811" w:rsidRPr="00463811">
        <w:rPr>
          <w:rFonts w:cs="Times New Roman"/>
          <w:sz w:val="20"/>
          <w:szCs w:val="20"/>
        </w:rPr>
        <w:t xml:space="preserve">h is much more </w:t>
      </w:r>
      <w:r w:rsidR="00463811" w:rsidRPr="00463811">
        <w:rPr>
          <w:rFonts w:eastAsia="CMR12" w:cs="Times New Roman"/>
          <w:sz w:val="20"/>
          <w:szCs w:val="20"/>
        </w:rPr>
        <w:t>robust and</w:t>
      </w:r>
      <w:r w:rsidR="00463811" w:rsidRPr="00463811">
        <w:rPr>
          <w:rFonts w:cs="Times New Roman"/>
          <w:sz w:val="20"/>
          <w:szCs w:val="20"/>
        </w:rPr>
        <w:t xml:space="preserve"> </w:t>
      </w:r>
      <w:r w:rsidR="00DB16D8" w:rsidRPr="00463811">
        <w:rPr>
          <w:rFonts w:cs="Times New Roman"/>
          <w:sz w:val="20"/>
          <w:szCs w:val="20"/>
        </w:rPr>
        <w:t>retain</w:t>
      </w:r>
      <w:r w:rsidR="00463811" w:rsidRPr="00463811">
        <w:rPr>
          <w:rFonts w:cs="Times New Roman"/>
          <w:sz w:val="20"/>
          <w:szCs w:val="20"/>
        </w:rPr>
        <w:t>s</w:t>
      </w:r>
      <w:r w:rsidR="00DB16D8" w:rsidRPr="00463811">
        <w:rPr>
          <w:rFonts w:cs="Times New Roman"/>
          <w:sz w:val="20"/>
          <w:szCs w:val="20"/>
        </w:rPr>
        <w:t xml:space="preserve"> </w:t>
      </w:r>
      <w:r w:rsidR="00463811" w:rsidRPr="00463811">
        <w:rPr>
          <w:rFonts w:cs="Times New Roman"/>
          <w:sz w:val="20"/>
          <w:szCs w:val="20"/>
        </w:rPr>
        <w:t xml:space="preserve">the </w:t>
      </w:r>
      <w:r w:rsidR="00DB16D8" w:rsidRPr="00463811">
        <w:rPr>
          <w:rFonts w:cs="Times New Roman"/>
          <w:sz w:val="20"/>
          <w:szCs w:val="20"/>
        </w:rPr>
        <w:t xml:space="preserve">many advantages of the single step </w:t>
      </w:r>
      <w:r w:rsidR="00463811" w:rsidRPr="00463811">
        <w:rPr>
          <w:rFonts w:cs="Times New Roman"/>
          <w:sz w:val="20"/>
          <w:szCs w:val="20"/>
        </w:rPr>
        <w:t xml:space="preserve">ML </w:t>
      </w:r>
      <w:r w:rsidR="00DB16D8" w:rsidRPr="00463811">
        <w:rPr>
          <w:rFonts w:cs="Times New Roman"/>
          <w:sz w:val="20"/>
          <w:szCs w:val="20"/>
        </w:rPr>
        <w:t>estimation.</w:t>
      </w:r>
      <w:r w:rsidR="00463811" w:rsidRPr="00463811">
        <w:rPr>
          <w:rFonts w:cs="Times New Roman"/>
          <w:sz w:val="20"/>
          <w:szCs w:val="20"/>
        </w:rPr>
        <w:t xml:space="preserve"> </w:t>
      </w:r>
      <w:r w:rsidR="00DB16D8" w:rsidRPr="00463811">
        <w:rPr>
          <w:rFonts w:cs="Times New Roman"/>
          <w:sz w:val="20"/>
          <w:szCs w:val="20"/>
        </w:rPr>
        <w:t xml:space="preserve"> </w:t>
      </w:r>
      <w:r w:rsidR="00463811">
        <w:rPr>
          <w:rFonts w:cs="Times New Roman"/>
          <w:sz w:val="20"/>
          <w:szCs w:val="20"/>
        </w:rPr>
        <w:t xml:space="preserve">In any case, the control function approach is not even valid for the type of models of interest in the current paper. </w:t>
      </w:r>
    </w:p>
  </w:footnote>
  <w:footnote w:id="3">
    <w:p w14:paraId="2DC53DD0" w14:textId="7372BEE8" w:rsidR="00463811" w:rsidRPr="00FE38B5" w:rsidRDefault="00463811" w:rsidP="00463811">
      <w:pPr>
        <w:jc w:val="both"/>
        <w:rPr>
          <w:rFonts w:cs="Times New Roman"/>
          <w:sz w:val="20"/>
          <w:szCs w:val="20"/>
        </w:rPr>
      </w:pPr>
      <w:r w:rsidRPr="008B25E6">
        <w:rPr>
          <w:rFonts w:cs="Times New Roman"/>
          <w:sz w:val="20"/>
          <w:szCs w:val="20"/>
          <w:vertAlign w:val="superscript"/>
        </w:rPr>
        <w:footnoteRef/>
      </w:r>
      <w:r w:rsidR="00FE38B5">
        <w:rPr>
          <w:rFonts w:cs="Times New Roman"/>
          <w:sz w:val="20"/>
          <w:szCs w:val="20"/>
        </w:rPr>
        <w:t xml:space="preserve"> </w:t>
      </w:r>
      <w:r w:rsidRPr="00FE38B5">
        <w:rPr>
          <w:rFonts w:cs="Times New Roman"/>
          <w:sz w:val="20"/>
          <w:szCs w:val="20"/>
        </w:rPr>
        <w:t xml:space="preserve">As discussed at length by </w:t>
      </w:r>
      <w:bookmarkStart w:id="1" w:name="_Hlk155432288"/>
      <w:r w:rsidRPr="00FE38B5">
        <w:rPr>
          <w:rFonts w:cs="Times New Roman"/>
          <w:sz w:val="20"/>
          <w:szCs w:val="20"/>
        </w:rPr>
        <w:t xml:space="preserve">Greene (2017) and Wooldridge (2010), </w:t>
      </w:r>
      <w:bookmarkEnd w:id="1"/>
      <w:r w:rsidRPr="00FE38B5">
        <w:rPr>
          <w:rFonts w:cs="Times New Roman"/>
          <w:sz w:val="20"/>
          <w:szCs w:val="20"/>
        </w:rPr>
        <w:t xml:space="preserve">there is no difference in the likelihood function development for model systems with or without discrete EEVs. Thus, while the model considered in this paper is for a limited-dependent outcome with a discrete EEV, the procedure we develop is immediately generalizable to a whole host of other multivariate mixed data model types, including sample selection models, endogenous switching models, multivariate mixed data models, and revealed preference-stated preference models, all of which currently typically use a restrictive multivariate error structure (see, for example, </w:t>
      </w:r>
      <w:bookmarkStart w:id="2" w:name="_Hlk155432321"/>
      <w:r w:rsidRPr="00FE38B5">
        <w:rPr>
          <w:rFonts w:cs="Times New Roman"/>
          <w:sz w:val="20"/>
          <w:szCs w:val="20"/>
        </w:rPr>
        <w:t>Lee, 1983, Hamed and Mannering, 1993, Bhat, 1997, Bhat and Sardesai, 2006, Kim and Brownstone, 2013, and Heydari et al., 2020</w:t>
      </w:r>
      <w:bookmarkEnd w:id="2"/>
      <w:r w:rsidRPr="00FE38B5">
        <w:rPr>
          <w:rFonts w:cs="Times New Roman"/>
          <w:sz w:val="20"/>
          <w:szCs w:val="20"/>
        </w:rPr>
        <w:t xml:space="preserve">).   </w:t>
      </w:r>
    </w:p>
  </w:footnote>
  <w:footnote w:id="4">
    <w:p w14:paraId="13771A88" w14:textId="7FC18839" w:rsidR="00B02E20" w:rsidRPr="00B02E20" w:rsidRDefault="00B02E20" w:rsidP="00B02E20">
      <w:pPr>
        <w:jc w:val="both"/>
        <w:rPr>
          <w:rFonts w:cs="Times New Roman"/>
          <w:sz w:val="20"/>
          <w:szCs w:val="20"/>
        </w:rPr>
      </w:pPr>
      <w:r w:rsidRPr="008B25E6">
        <w:rPr>
          <w:rFonts w:cs="Times New Roman"/>
          <w:sz w:val="20"/>
          <w:szCs w:val="20"/>
          <w:vertAlign w:val="superscript"/>
        </w:rPr>
        <w:footnoteRef/>
      </w:r>
      <w:r w:rsidRPr="00B02E20">
        <w:rPr>
          <w:rFonts w:cs="Times New Roman"/>
          <w:sz w:val="20"/>
          <w:szCs w:val="20"/>
        </w:rPr>
        <w:t xml:space="preserve"> The non-constant coefficients in</w:t>
      </w:r>
      <w:r w:rsidR="008B25E6">
        <w:rPr>
          <w:rFonts w:cs="Times New Roman"/>
          <w:sz w:val="20"/>
          <w:szCs w:val="20"/>
        </w:rPr>
        <w:t xml:space="preserve"> </w:t>
      </w:r>
      <w:r w:rsidR="008B25E6" w:rsidRPr="008B25E6">
        <w:rPr>
          <w:rFonts w:cs="Times New Roman"/>
          <w:b/>
          <w:bCs/>
          <w:sz w:val="20"/>
          <w:szCs w:val="20"/>
        </w:rPr>
        <w:t>β</w:t>
      </w:r>
      <w:r w:rsidRPr="00B02E20">
        <w:rPr>
          <w:rFonts w:cs="Times New Roman"/>
          <w:sz w:val="20"/>
          <w:szCs w:val="20"/>
        </w:rPr>
        <w:t xml:space="preserve"> and </w:t>
      </w:r>
      <w:r w:rsidR="008B25E6" w:rsidRPr="008B25E6">
        <w:rPr>
          <w:rFonts w:cs="Times New Roman"/>
          <w:b/>
          <w:bCs/>
          <w:sz w:val="20"/>
          <w:szCs w:val="20"/>
        </w:rPr>
        <w:t>γ</w:t>
      </w:r>
      <w:r w:rsidR="008B25E6">
        <w:rPr>
          <w:rFonts w:cs="Times New Roman"/>
          <w:sz w:val="20"/>
          <w:szCs w:val="20"/>
        </w:rPr>
        <w:t xml:space="preserve"> </w:t>
      </w:r>
      <w:r w:rsidRPr="00B02E20">
        <w:rPr>
          <w:rFonts w:cs="Times New Roman"/>
          <w:sz w:val="20"/>
          <w:szCs w:val="20"/>
        </w:rPr>
        <w:t>themselves can be considered as random coefficient vectors to accommodate unobserved heterogeneity in the sensitivity to the exogenous variables in</w:t>
      </w:r>
      <w:r w:rsidR="008B25E6">
        <w:rPr>
          <w:rFonts w:cs="Times New Roman"/>
          <w:sz w:val="20"/>
          <w:szCs w:val="20"/>
        </w:rPr>
        <w:t xml:space="preserve"> </w:t>
      </w:r>
      <w:r w:rsidR="008B25E6" w:rsidRPr="008B25E6">
        <w:rPr>
          <w:rFonts w:cs="Times New Roman"/>
          <w:b/>
          <w:bCs/>
          <w:i/>
          <w:iCs/>
          <w:sz w:val="20"/>
          <w:szCs w:val="20"/>
        </w:rPr>
        <w:t>x</w:t>
      </w:r>
      <w:r w:rsidR="008B25E6" w:rsidRPr="008B25E6">
        <w:rPr>
          <w:rFonts w:cs="Times New Roman"/>
          <w:sz w:val="20"/>
          <w:szCs w:val="20"/>
          <w:vertAlign w:val="subscript"/>
        </w:rPr>
        <w:t>1</w:t>
      </w:r>
      <w:r w:rsidRPr="00B02E20">
        <w:rPr>
          <w:rFonts w:cs="Times New Roman"/>
          <w:sz w:val="20"/>
          <w:szCs w:val="20"/>
        </w:rPr>
        <w:t xml:space="preserve"> and</w:t>
      </w:r>
      <w:r w:rsidR="008B25E6">
        <w:rPr>
          <w:rFonts w:cs="Times New Roman"/>
          <w:sz w:val="20"/>
          <w:szCs w:val="20"/>
        </w:rPr>
        <w:t xml:space="preserve"> </w:t>
      </w:r>
      <w:r w:rsidR="008B25E6" w:rsidRPr="008B25E6">
        <w:rPr>
          <w:rFonts w:cs="Times New Roman"/>
          <w:b/>
          <w:bCs/>
          <w:i/>
          <w:iCs/>
          <w:sz w:val="20"/>
          <w:szCs w:val="20"/>
        </w:rPr>
        <w:t>x</w:t>
      </w:r>
      <w:r w:rsidR="008B25E6" w:rsidRPr="008B25E6">
        <w:rPr>
          <w:rFonts w:cs="Times New Roman"/>
          <w:sz w:val="20"/>
          <w:szCs w:val="20"/>
          <w:vertAlign w:val="subscript"/>
        </w:rPr>
        <w:t>2</w:t>
      </w:r>
      <w:r w:rsidRPr="00B02E20">
        <w:rPr>
          <w:rFonts w:cs="Times New Roman"/>
          <w:sz w:val="20"/>
          <w:szCs w:val="20"/>
        </w:rPr>
        <w:t xml:space="preserve">, respectively. Doing so would not substantially change the basic formulation presented here, except that the resulting mixing would need appropriate integration. In this paper, we assume the non-constant coefficients in </w:t>
      </w:r>
      <w:r w:rsidR="008B25E6" w:rsidRPr="008B25E6">
        <w:rPr>
          <w:rFonts w:cs="Times New Roman"/>
          <w:b/>
          <w:bCs/>
          <w:sz w:val="20"/>
          <w:szCs w:val="20"/>
        </w:rPr>
        <w:t>β</w:t>
      </w:r>
      <w:r w:rsidR="008B25E6" w:rsidRPr="00B02E20">
        <w:rPr>
          <w:rFonts w:cs="Times New Roman"/>
          <w:sz w:val="20"/>
          <w:szCs w:val="20"/>
        </w:rPr>
        <w:t xml:space="preserve"> and </w:t>
      </w:r>
      <w:r w:rsidR="008B25E6" w:rsidRPr="008B25E6">
        <w:rPr>
          <w:rFonts w:cs="Times New Roman"/>
          <w:b/>
          <w:bCs/>
          <w:sz w:val="20"/>
          <w:szCs w:val="20"/>
        </w:rPr>
        <w:t>γ</w:t>
      </w:r>
      <w:r w:rsidR="008B25E6">
        <w:rPr>
          <w:rFonts w:cs="Times New Roman"/>
          <w:sz w:val="20"/>
          <w:szCs w:val="20"/>
        </w:rPr>
        <w:t xml:space="preserve"> </w:t>
      </w:r>
      <w:r w:rsidRPr="00B02E20">
        <w:rPr>
          <w:rFonts w:cs="Times New Roman"/>
          <w:sz w:val="20"/>
          <w:szCs w:val="20"/>
        </w:rPr>
        <w:t xml:space="preserve">to be fixed to maintain focus on the non-normality distributions of the kernel error terms, the main emphasis of the current paper. </w:t>
      </w:r>
    </w:p>
  </w:footnote>
  <w:footnote w:id="5">
    <w:p w14:paraId="6CBECE90" w14:textId="77777777" w:rsidR="005502E3" w:rsidRPr="00FE38B5" w:rsidRDefault="005502E3" w:rsidP="00E214AA">
      <w:pPr>
        <w:jc w:val="both"/>
        <w:rPr>
          <w:rFonts w:cs="Times New Roman"/>
          <w:sz w:val="20"/>
          <w:szCs w:val="20"/>
        </w:rPr>
      </w:pPr>
      <w:r w:rsidRPr="00504DC0">
        <w:rPr>
          <w:rFonts w:cs="Times New Roman"/>
          <w:sz w:val="20"/>
          <w:szCs w:val="20"/>
          <w:vertAlign w:val="superscript"/>
        </w:rPr>
        <w:footnoteRef/>
      </w:r>
      <w:r w:rsidRPr="00FE38B5">
        <w:rPr>
          <w:rFonts w:cs="Times New Roman"/>
          <w:sz w:val="20"/>
          <w:szCs w:val="20"/>
        </w:rPr>
        <w:t xml:space="preserve"> These same identification issues also apply to joint models (such as a binary selection equation and an ordered-response equation) that do not have treatment parameters, since the likelihood function take identical forms with or without the treatment parameters in such cases. </w:t>
      </w:r>
    </w:p>
  </w:footnote>
  <w:footnote w:id="6">
    <w:p w14:paraId="2748780C" w14:textId="735A13B3" w:rsidR="007B15B9" w:rsidRDefault="007B15B9" w:rsidP="0048452F">
      <w:pPr>
        <w:pStyle w:val="FootnoteText"/>
        <w:jc w:val="both"/>
      </w:pPr>
      <w:r>
        <w:rPr>
          <w:rStyle w:val="FootnoteReference"/>
        </w:rPr>
        <w:footnoteRef/>
      </w:r>
      <w:r>
        <w:t xml:space="preserve"> There is no known closed form for the moments of the untransformed error </w:t>
      </w:r>
      <w:r w:rsidR="0048452F">
        <w:t>vector</w:t>
      </w:r>
      <w:r>
        <w:t xml:space="preserve"> </w:t>
      </w:r>
      <w:r w:rsidR="00B00F0B" w:rsidRPr="008674F2">
        <w:rPr>
          <w:rFonts w:cs="Times New Roman"/>
          <w:position w:val="-12"/>
          <w:szCs w:val="24"/>
        </w:rPr>
        <w:object w:dxaOrig="1160" w:dyaOrig="380" w14:anchorId="10E378BF">
          <v:shape id="_x0000_i1158" type="#_x0000_t75" style="width:53.15pt;height:17.15pt" o:ole="">
            <v:imagedata r:id="rId1" o:title=""/>
          </v:shape>
          <o:OLEObject Type="Embed" ProgID="Equation.DSMT4" ShapeID="_x0000_i1158" DrawAspect="Content" ObjectID="_1768995632" r:id="rId2"/>
        </w:object>
      </w:r>
      <w:r>
        <w:rPr>
          <w:rFonts w:cs="Times New Roman"/>
          <w:szCs w:val="24"/>
        </w:rPr>
        <w:t xml:space="preserve"> as a function of the YJ parameter</w:t>
      </w:r>
      <w:r w:rsidR="0048452F">
        <w:rPr>
          <w:rFonts w:cs="Times New Roman"/>
          <w:szCs w:val="24"/>
        </w:rPr>
        <w:t xml:space="preserve"> vector</w:t>
      </w:r>
      <w:r>
        <w:rPr>
          <w:rFonts w:cs="Times New Roman"/>
          <w:szCs w:val="24"/>
        </w:rPr>
        <w:t xml:space="preserve"> </w:t>
      </w:r>
      <w:r w:rsidR="00B00F0B" w:rsidRPr="00F72D6A">
        <w:rPr>
          <w:rFonts w:eastAsia="Times New Roman" w:cs="Times New Roman"/>
          <w:position w:val="-12"/>
          <w:szCs w:val="24"/>
        </w:rPr>
        <w:object w:dxaOrig="1160" w:dyaOrig="360" w14:anchorId="4B03B4C5">
          <v:shape id="_x0000_i1160" type="#_x0000_t75" style="width:54pt;height:16.7pt" o:ole="">
            <v:imagedata r:id="rId3" o:title=""/>
          </v:shape>
          <o:OLEObject Type="Embed" ProgID="Equation.DSMT4" ShapeID="_x0000_i1160" DrawAspect="Content" ObjectID="_1768995633" r:id="rId4"/>
        </w:object>
      </w:r>
      <w:r>
        <w:rPr>
          <w:rFonts w:eastAsia="Times New Roman" w:cs="Times New Roman"/>
          <w:szCs w:val="24"/>
        </w:rPr>
        <w:t xml:space="preserve"> and </w:t>
      </w:r>
      <w:r w:rsidR="0048452F">
        <w:rPr>
          <w:rFonts w:eastAsia="Times New Roman" w:cs="Times New Roman"/>
          <w:szCs w:val="24"/>
        </w:rPr>
        <w:t xml:space="preserve">the correlation </w:t>
      </w:r>
      <w:r w:rsidR="00B00F0B" w:rsidRPr="006841AB">
        <w:rPr>
          <w:position w:val="-10"/>
        </w:rPr>
        <w:object w:dxaOrig="240" w:dyaOrig="260" w14:anchorId="65A1FB31">
          <v:shape id="_x0000_i1162" type="#_x0000_t75" style="width:9.85pt;height:11.15pt" o:ole="">
            <v:imagedata r:id="rId5" o:title=""/>
          </v:shape>
          <o:OLEObject Type="Embed" ProgID="Equation.DSMT4" ShapeID="_x0000_i1162" DrawAspect="Content" ObjectID="_1768995634" r:id="rId6"/>
        </w:object>
      </w:r>
      <w:r w:rsidR="0048452F">
        <w:t xml:space="preserve">. </w:t>
      </w:r>
      <w:r>
        <w:rPr>
          <w:rFonts w:eastAsia="Times New Roman" w:cs="Times New Roman"/>
          <w:szCs w:val="24"/>
        </w:rPr>
        <w:t xml:space="preserve">But these moments can be estimated through numerical integration based on the probability density function in Equation (5). </w:t>
      </w:r>
    </w:p>
  </w:footnote>
  <w:footnote w:id="7">
    <w:p w14:paraId="758A4AF3" w14:textId="46E84200" w:rsidR="007A1514" w:rsidRPr="00B4106B" w:rsidRDefault="007A1514" w:rsidP="00E214AA">
      <w:pPr>
        <w:jc w:val="both"/>
        <w:rPr>
          <w:sz w:val="20"/>
          <w:szCs w:val="20"/>
        </w:rPr>
      </w:pPr>
      <w:r w:rsidRPr="00504DC0">
        <w:rPr>
          <w:sz w:val="20"/>
          <w:szCs w:val="20"/>
          <w:vertAlign w:val="superscript"/>
        </w:rPr>
        <w:footnoteRef/>
      </w:r>
      <w:r w:rsidRPr="00B4106B">
        <w:rPr>
          <w:sz w:val="20"/>
          <w:szCs w:val="20"/>
        </w:rPr>
        <w:t xml:space="preserve"> WHO guidelines on physical activity and sedentary behaviour: at a glance. Geneva: World Health Organization; 2020. Licence: CC BY-NC-SA 3.0 IGO., </w:t>
      </w:r>
      <w:hyperlink r:id="rId7" w:history="1">
        <w:r w:rsidRPr="00B4106B">
          <w:rPr>
            <w:sz w:val="20"/>
            <w:szCs w:val="20"/>
          </w:rPr>
          <w:t>https://iris.who.int/bitstream/handle/10665/337001/9789240014886-eng.pdf</w:t>
        </w:r>
      </w:hyperlink>
      <w:r w:rsidRPr="00B4106B">
        <w:rPr>
          <w:sz w:val="20"/>
          <w:szCs w:val="20"/>
        </w:rPr>
        <w:t xml:space="preserve">, accessed January 5, 2024. </w:t>
      </w:r>
    </w:p>
  </w:footnote>
  <w:footnote w:id="8">
    <w:p w14:paraId="4922CED2" w14:textId="06E5D05D" w:rsidR="00AF1536" w:rsidRPr="00B4106B" w:rsidRDefault="00AF1536" w:rsidP="00E214AA">
      <w:pPr>
        <w:rPr>
          <w:sz w:val="20"/>
          <w:szCs w:val="20"/>
        </w:rPr>
      </w:pPr>
      <w:r w:rsidRPr="00504DC0">
        <w:rPr>
          <w:sz w:val="20"/>
          <w:szCs w:val="20"/>
          <w:vertAlign w:val="superscript"/>
        </w:rPr>
        <w:footnoteRef/>
      </w:r>
      <w:r w:rsidRPr="00B4106B">
        <w:rPr>
          <w:sz w:val="20"/>
          <w:szCs w:val="20"/>
        </w:rPr>
        <w:t xml:space="preserve"> Additional details of the survey administration and methodology are available at </w:t>
      </w:r>
      <w:hyperlink r:id="rId8" w:history="1">
        <w:r w:rsidRPr="00B4106B">
          <w:rPr>
            <w:sz w:val="20"/>
            <w:szCs w:val="20"/>
          </w:rPr>
          <w:t>https://www.aarp.org/pri/topics/health/prevention-wellness/walking-attitudes-habits-adults-50-older/</w:t>
        </w:r>
      </w:hyperlink>
      <w:r w:rsidRPr="00B4106B">
        <w:rPr>
          <w:sz w:val="20"/>
          <w:szCs w:val="20"/>
        </w:rPr>
        <w:t>.</w:t>
      </w:r>
      <w:r w:rsidR="00E214AA">
        <w:rPr>
          <w:sz w:val="20"/>
          <w:szCs w:val="20"/>
        </w:rPr>
        <w:t xml:space="preserve"> </w:t>
      </w:r>
      <w:r w:rsidRPr="00B4106B">
        <w:rPr>
          <w:sz w:val="20"/>
          <w:szCs w:val="20"/>
        </w:rPr>
        <w:t xml:space="preserve">Accessed November 13, 2023. </w:t>
      </w:r>
    </w:p>
  </w:footnote>
  <w:footnote w:id="9">
    <w:p w14:paraId="53DC1AF7" w14:textId="2E232DFA" w:rsidR="00F75AE3" w:rsidRPr="003D61DE" w:rsidRDefault="00F75AE3" w:rsidP="003D61DE">
      <w:pPr>
        <w:autoSpaceDE w:val="0"/>
        <w:autoSpaceDN w:val="0"/>
        <w:adjustRightInd w:val="0"/>
        <w:jc w:val="both"/>
        <w:rPr>
          <w:rFonts w:cs="Times New Roman"/>
          <w:sz w:val="20"/>
          <w:szCs w:val="20"/>
        </w:rPr>
      </w:pPr>
      <w:r w:rsidRPr="00202391">
        <w:rPr>
          <w:rFonts w:cs="Times New Roman"/>
          <w:sz w:val="20"/>
          <w:szCs w:val="20"/>
          <w:vertAlign w:val="superscript"/>
        </w:rPr>
        <w:footnoteRef/>
      </w:r>
      <w:r w:rsidR="00504DC0">
        <w:rPr>
          <w:rFonts w:cs="Times New Roman"/>
          <w:sz w:val="20"/>
          <w:szCs w:val="20"/>
        </w:rPr>
        <w:t xml:space="preserve"> </w:t>
      </w:r>
      <w:r w:rsidRPr="003D61DE">
        <w:rPr>
          <w:rFonts w:cs="Times New Roman"/>
          <w:sz w:val="20"/>
          <w:szCs w:val="20"/>
        </w:rPr>
        <w:t xml:space="preserve">The region of the U.S. was classified into four regions; Northeast, South, West, and Midwest; based on the Census Division of residence  as follows: (a) New England and Mid-Atlantic = Northeast, (b) South Atlantic, West South Central and East South Central = South, (c) Pacific and Mountain=West, (d) East North Central and West North Central = Midwest. </w:t>
      </w:r>
    </w:p>
  </w:footnote>
  <w:footnote w:id="10">
    <w:p w14:paraId="5081CF67" w14:textId="1A65FED2" w:rsidR="00F76E97" w:rsidRDefault="00F76E97" w:rsidP="00F76E97">
      <w:pPr>
        <w:pStyle w:val="FootnoteText"/>
        <w:jc w:val="both"/>
      </w:pPr>
      <w:r>
        <w:rPr>
          <w:rStyle w:val="FootnoteReference"/>
        </w:rPr>
        <w:footnoteRef/>
      </w:r>
      <w:r>
        <w:t xml:space="preserve">The ATE effect, as discussed in this section to determine </w:t>
      </w:r>
      <w:r w:rsidR="00945103">
        <w:t xml:space="preserve">the </w:t>
      </w:r>
      <w:r>
        <w:t xml:space="preserve">urban neighborhood residence effect on walk frequency, can also be used to estimate the magnitude effect of any other sociodemographic, employment, or geographic residence region variable on walk frequency. However, we confine attention here to the urban residence effect.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30675"/>
    <w:multiLevelType w:val="multilevel"/>
    <w:tmpl w:val="053E9FE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1DEA4604"/>
    <w:multiLevelType w:val="hybridMultilevel"/>
    <w:tmpl w:val="404AC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CB48D9"/>
    <w:multiLevelType w:val="hybridMultilevel"/>
    <w:tmpl w:val="9762F2F0"/>
    <w:lvl w:ilvl="0" w:tplc="F264729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ED463A"/>
    <w:multiLevelType w:val="hybridMultilevel"/>
    <w:tmpl w:val="E2904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8C29A7"/>
    <w:multiLevelType w:val="multilevel"/>
    <w:tmpl w:val="67A820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889023F"/>
    <w:multiLevelType w:val="multilevel"/>
    <w:tmpl w:val="A9CA1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1F6"/>
    <w:rsid w:val="000009D0"/>
    <w:rsid w:val="00001C67"/>
    <w:rsid w:val="00004107"/>
    <w:rsid w:val="000136A7"/>
    <w:rsid w:val="00024E11"/>
    <w:rsid w:val="000401BC"/>
    <w:rsid w:val="00047801"/>
    <w:rsid w:val="000523BB"/>
    <w:rsid w:val="000603FD"/>
    <w:rsid w:val="00064886"/>
    <w:rsid w:val="00064FE2"/>
    <w:rsid w:val="00070667"/>
    <w:rsid w:val="000713A2"/>
    <w:rsid w:val="00081F12"/>
    <w:rsid w:val="00090153"/>
    <w:rsid w:val="00090396"/>
    <w:rsid w:val="00093616"/>
    <w:rsid w:val="00093B53"/>
    <w:rsid w:val="000966CC"/>
    <w:rsid w:val="000A544B"/>
    <w:rsid w:val="000A7A4E"/>
    <w:rsid w:val="000B73A6"/>
    <w:rsid w:val="000C10CF"/>
    <w:rsid w:val="000C230E"/>
    <w:rsid w:val="000D077F"/>
    <w:rsid w:val="000D632E"/>
    <w:rsid w:val="000D762B"/>
    <w:rsid w:val="000E1DF9"/>
    <w:rsid w:val="000E2A5D"/>
    <w:rsid w:val="000E3B8F"/>
    <w:rsid w:val="000E55EA"/>
    <w:rsid w:val="000E7432"/>
    <w:rsid w:val="000F3267"/>
    <w:rsid w:val="000F3B47"/>
    <w:rsid w:val="000F446E"/>
    <w:rsid w:val="00102A55"/>
    <w:rsid w:val="00107764"/>
    <w:rsid w:val="0010778A"/>
    <w:rsid w:val="001105EA"/>
    <w:rsid w:val="00112BFB"/>
    <w:rsid w:val="0013215F"/>
    <w:rsid w:val="00141699"/>
    <w:rsid w:val="00164564"/>
    <w:rsid w:val="00167144"/>
    <w:rsid w:val="001756B0"/>
    <w:rsid w:val="00177A62"/>
    <w:rsid w:val="001832A8"/>
    <w:rsid w:val="00187219"/>
    <w:rsid w:val="001935B3"/>
    <w:rsid w:val="00193C9C"/>
    <w:rsid w:val="00197AD8"/>
    <w:rsid w:val="001A0CE7"/>
    <w:rsid w:val="001A10FA"/>
    <w:rsid w:val="001A4A42"/>
    <w:rsid w:val="001A6FC6"/>
    <w:rsid w:val="001B14CC"/>
    <w:rsid w:val="001B77CA"/>
    <w:rsid w:val="001C3C10"/>
    <w:rsid w:val="001C487A"/>
    <w:rsid w:val="001C4B4D"/>
    <w:rsid w:val="001C5081"/>
    <w:rsid w:val="001D2CA7"/>
    <w:rsid w:val="001D5D89"/>
    <w:rsid w:val="001D5DE1"/>
    <w:rsid w:val="001E5441"/>
    <w:rsid w:val="001F00FC"/>
    <w:rsid w:val="001F1EB3"/>
    <w:rsid w:val="00202391"/>
    <w:rsid w:val="0020570E"/>
    <w:rsid w:val="00212DC9"/>
    <w:rsid w:val="002213D1"/>
    <w:rsid w:val="00222560"/>
    <w:rsid w:val="00222EDA"/>
    <w:rsid w:val="00227F22"/>
    <w:rsid w:val="00233881"/>
    <w:rsid w:val="002374EF"/>
    <w:rsid w:val="0024402E"/>
    <w:rsid w:val="0024479E"/>
    <w:rsid w:val="0024492B"/>
    <w:rsid w:val="00245EB1"/>
    <w:rsid w:val="00251145"/>
    <w:rsid w:val="00254AA3"/>
    <w:rsid w:val="0027278C"/>
    <w:rsid w:val="00276DAC"/>
    <w:rsid w:val="00280800"/>
    <w:rsid w:val="0028261A"/>
    <w:rsid w:val="00284B3A"/>
    <w:rsid w:val="002936FC"/>
    <w:rsid w:val="0029515E"/>
    <w:rsid w:val="002A2D31"/>
    <w:rsid w:val="002A3AB4"/>
    <w:rsid w:val="002A55A3"/>
    <w:rsid w:val="002B0B70"/>
    <w:rsid w:val="002B4044"/>
    <w:rsid w:val="002B5473"/>
    <w:rsid w:val="002B57CC"/>
    <w:rsid w:val="002B5B2F"/>
    <w:rsid w:val="002C5A8E"/>
    <w:rsid w:val="002D2B62"/>
    <w:rsid w:val="002D4712"/>
    <w:rsid w:val="002E43DD"/>
    <w:rsid w:val="002F783F"/>
    <w:rsid w:val="00304F9F"/>
    <w:rsid w:val="0031001F"/>
    <w:rsid w:val="0031004A"/>
    <w:rsid w:val="0032577B"/>
    <w:rsid w:val="00325E55"/>
    <w:rsid w:val="00332FB7"/>
    <w:rsid w:val="00333230"/>
    <w:rsid w:val="003365C6"/>
    <w:rsid w:val="00340ECC"/>
    <w:rsid w:val="00341D17"/>
    <w:rsid w:val="00347A30"/>
    <w:rsid w:val="00350551"/>
    <w:rsid w:val="00350EFC"/>
    <w:rsid w:val="00352364"/>
    <w:rsid w:val="00352C7E"/>
    <w:rsid w:val="0035597D"/>
    <w:rsid w:val="0036427C"/>
    <w:rsid w:val="003734CF"/>
    <w:rsid w:val="00373F0B"/>
    <w:rsid w:val="003740AA"/>
    <w:rsid w:val="0037725D"/>
    <w:rsid w:val="00385552"/>
    <w:rsid w:val="00386F2A"/>
    <w:rsid w:val="00390B96"/>
    <w:rsid w:val="003951C5"/>
    <w:rsid w:val="003A31B6"/>
    <w:rsid w:val="003A7067"/>
    <w:rsid w:val="003A7593"/>
    <w:rsid w:val="003B1F63"/>
    <w:rsid w:val="003B7C04"/>
    <w:rsid w:val="003B7E3A"/>
    <w:rsid w:val="003C2CA8"/>
    <w:rsid w:val="003C31CD"/>
    <w:rsid w:val="003C6EE0"/>
    <w:rsid w:val="003C7D54"/>
    <w:rsid w:val="003D61DE"/>
    <w:rsid w:val="003F4897"/>
    <w:rsid w:val="003F4D6F"/>
    <w:rsid w:val="003F5590"/>
    <w:rsid w:val="003F63C9"/>
    <w:rsid w:val="004109FA"/>
    <w:rsid w:val="004119BD"/>
    <w:rsid w:val="00416710"/>
    <w:rsid w:val="0042498C"/>
    <w:rsid w:val="00440473"/>
    <w:rsid w:val="00442728"/>
    <w:rsid w:val="00445EE5"/>
    <w:rsid w:val="004537FF"/>
    <w:rsid w:val="0045451B"/>
    <w:rsid w:val="00454B76"/>
    <w:rsid w:val="00462919"/>
    <w:rsid w:val="00463811"/>
    <w:rsid w:val="00466AEE"/>
    <w:rsid w:val="0047114E"/>
    <w:rsid w:val="0047288A"/>
    <w:rsid w:val="00472FEA"/>
    <w:rsid w:val="004740DF"/>
    <w:rsid w:val="00476C31"/>
    <w:rsid w:val="004771A0"/>
    <w:rsid w:val="00477DCD"/>
    <w:rsid w:val="00480805"/>
    <w:rsid w:val="00482BEB"/>
    <w:rsid w:val="0048452F"/>
    <w:rsid w:val="00485E66"/>
    <w:rsid w:val="00486636"/>
    <w:rsid w:val="00495867"/>
    <w:rsid w:val="004A0E10"/>
    <w:rsid w:val="004A53FF"/>
    <w:rsid w:val="004B3930"/>
    <w:rsid w:val="004B4150"/>
    <w:rsid w:val="004B6584"/>
    <w:rsid w:val="004C3B4C"/>
    <w:rsid w:val="004C614B"/>
    <w:rsid w:val="004C7E46"/>
    <w:rsid w:val="004E07F0"/>
    <w:rsid w:val="004E47FA"/>
    <w:rsid w:val="004E6F42"/>
    <w:rsid w:val="00504DC0"/>
    <w:rsid w:val="005050A0"/>
    <w:rsid w:val="00506566"/>
    <w:rsid w:val="00513D0C"/>
    <w:rsid w:val="0051631C"/>
    <w:rsid w:val="00525FE8"/>
    <w:rsid w:val="0052780C"/>
    <w:rsid w:val="00527F23"/>
    <w:rsid w:val="005502E3"/>
    <w:rsid w:val="00554F09"/>
    <w:rsid w:val="00563765"/>
    <w:rsid w:val="005640BE"/>
    <w:rsid w:val="0056775F"/>
    <w:rsid w:val="00572DC1"/>
    <w:rsid w:val="005757B9"/>
    <w:rsid w:val="0059137C"/>
    <w:rsid w:val="00593544"/>
    <w:rsid w:val="00595F4B"/>
    <w:rsid w:val="005A1D13"/>
    <w:rsid w:val="005A397C"/>
    <w:rsid w:val="005A7555"/>
    <w:rsid w:val="005B6EB1"/>
    <w:rsid w:val="005C242D"/>
    <w:rsid w:val="005C623B"/>
    <w:rsid w:val="005D0DFF"/>
    <w:rsid w:val="005D60F5"/>
    <w:rsid w:val="005E0E39"/>
    <w:rsid w:val="005E3A9D"/>
    <w:rsid w:val="005E3C7F"/>
    <w:rsid w:val="005E5166"/>
    <w:rsid w:val="005E66D5"/>
    <w:rsid w:val="005E707A"/>
    <w:rsid w:val="005E7899"/>
    <w:rsid w:val="005F5D2B"/>
    <w:rsid w:val="005F651B"/>
    <w:rsid w:val="00602ADE"/>
    <w:rsid w:val="00603200"/>
    <w:rsid w:val="0062066A"/>
    <w:rsid w:val="00624C4C"/>
    <w:rsid w:val="00625C17"/>
    <w:rsid w:val="006355B9"/>
    <w:rsid w:val="006517C1"/>
    <w:rsid w:val="0065493C"/>
    <w:rsid w:val="006559C3"/>
    <w:rsid w:val="00656990"/>
    <w:rsid w:val="006627CB"/>
    <w:rsid w:val="006871EB"/>
    <w:rsid w:val="00691403"/>
    <w:rsid w:val="00697D26"/>
    <w:rsid w:val="006A4C98"/>
    <w:rsid w:val="006A5EA7"/>
    <w:rsid w:val="006A7485"/>
    <w:rsid w:val="006A7B96"/>
    <w:rsid w:val="006B2008"/>
    <w:rsid w:val="006B4D74"/>
    <w:rsid w:val="006C37DE"/>
    <w:rsid w:val="006C4143"/>
    <w:rsid w:val="006D10EA"/>
    <w:rsid w:val="006D360C"/>
    <w:rsid w:val="006D363A"/>
    <w:rsid w:val="006E0E53"/>
    <w:rsid w:val="006E1AE0"/>
    <w:rsid w:val="006F6727"/>
    <w:rsid w:val="006F6827"/>
    <w:rsid w:val="006F68BC"/>
    <w:rsid w:val="007062A5"/>
    <w:rsid w:val="00711D64"/>
    <w:rsid w:val="00713582"/>
    <w:rsid w:val="00714A4A"/>
    <w:rsid w:val="00722A92"/>
    <w:rsid w:val="00726671"/>
    <w:rsid w:val="007312E1"/>
    <w:rsid w:val="00741FB2"/>
    <w:rsid w:val="007461E4"/>
    <w:rsid w:val="00754F89"/>
    <w:rsid w:val="00762E93"/>
    <w:rsid w:val="00763158"/>
    <w:rsid w:val="0076696D"/>
    <w:rsid w:val="00766BAF"/>
    <w:rsid w:val="00766C53"/>
    <w:rsid w:val="00770F49"/>
    <w:rsid w:val="00771560"/>
    <w:rsid w:val="00772163"/>
    <w:rsid w:val="00772AE1"/>
    <w:rsid w:val="0079127F"/>
    <w:rsid w:val="00797296"/>
    <w:rsid w:val="00797669"/>
    <w:rsid w:val="007A1514"/>
    <w:rsid w:val="007A1F91"/>
    <w:rsid w:val="007A28A2"/>
    <w:rsid w:val="007A57BC"/>
    <w:rsid w:val="007B15B9"/>
    <w:rsid w:val="007B2A67"/>
    <w:rsid w:val="007B3018"/>
    <w:rsid w:val="007B6985"/>
    <w:rsid w:val="007E75BE"/>
    <w:rsid w:val="007F5850"/>
    <w:rsid w:val="007F7AFC"/>
    <w:rsid w:val="00803909"/>
    <w:rsid w:val="00810288"/>
    <w:rsid w:val="008171D7"/>
    <w:rsid w:val="00820E63"/>
    <w:rsid w:val="008256D4"/>
    <w:rsid w:val="00834FF3"/>
    <w:rsid w:val="008410A0"/>
    <w:rsid w:val="008412B6"/>
    <w:rsid w:val="008445CF"/>
    <w:rsid w:val="00846F03"/>
    <w:rsid w:val="00852247"/>
    <w:rsid w:val="0085385D"/>
    <w:rsid w:val="0086129D"/>
    <w:rsid w:val="0086560D"/>
    <w:rsid w:val="008665A2"/>
    <w:rsid w:val="008674F2"/>
    <w:rsid w:val="00870C1D"/>
    <w:rsid w:val="008736C1"/>
    <w:rsid w:val="00877267"/>
    <w:rsid w:val="0088541F"/>
    <w:rsid w:val="0088635E"/>
    <w:rsid w:val="0089066A"/>
    <w:rsid w:val="008919DE"/>
    <w:rsid w:val="00895A3C"/>
    <w:rsid w:val="00896D2D"/>
    <w:rsid w:val="008A2399"/>
    <w:rsid w:val="008A5F21"/>
    <w:rsid w:val="008B030F"/>
    <w:rsid w:val="008B25E6"/>
    <w:rsid w:val="008D0711"/>
    <w:rsid w:val="008D15AD"/>
    <w:rsid w:val="008D31D7"/>
    <w:rsid w:val="008D5A84"/>
    <w:rsid w:val="008E5C31"/>
    <w:rsid w:val="009013E6"/>
    <w:rsid w:val="00902FAA"/>
    <w:rsid w:val="0090385E"/>
    <w:rsid w:val="00922ECB"/>
    <w:rsid w:val="00924EF2"/>
    <w:rsid w:val="009251CF"/>
    <w:rsid w:val="00927E39"/>
    <w:rsid w:val="00931436"/>
    <w:rsid w:val="009376C1"/>
    <w:rsid w:val="009435AF"/>
    <w:rsid w:val="00943BEE"/>
    <w:rsid w:val="00944E80"/>
    <w:rsid w:val="00945103"/>
    <w:rsid w:val="0094769A"/>
    <w:rsid w:val="0095182F"/>
    <w:rsid w:val="00967572"/>
    <w:rsid w:val="009721C9"/>
    <w:rsid w:val="009724B2"/>
    <w:rsid w:val="00976B07"/>
    <w:rsid w:val="00977F07"/>
    <w:rsid w:val="00981DC8"/>
    <w:rsid w:val="00982FF0"/>
    <w:rsid w:val="009850BA"/>
    <w:rsid w:val="00987C11"/>
    <w:rsid w:val="00991A71"/>
    <w:rsid w:val="00994EC3"/>
    <w:rsid w:val="009A15C3"/>
    <w:rsid w:val="009A7249"/>
    <w:rsid w:val="009B6AF0"/>
    <w:rsid w:val="009C4621"/>
    <w:rsid w:val="009C4A42"/>
    <w:rsid w:val="009C6795"/>
    <w:rsid w:val="009C7CE7"/>
    <w:rsid w:val="009D328E"/>
    <w:rsid w:val="009D3A5D"/>
    <w:rsid w:val="009D67A4"/>
    <w:rsid w:val="00A05ABF"/>
    <w:rsid w:val="00A062E8"/>
    <w:rsid w:val="00A1032A"/>
    <w:rsid w:val="00A13C2A"/>
    <w:rsid w:val="00A1716A"/>
    <w:rsid w:val="00A26C62"/>
    <w:rsid w:val="00A26E22"/>
    <w:rsid w:val="00A31B45"/>
    <w:rsid w:val="00A365CA"/>
    <w:rsid w:val="00A438EB"/>
    <w:rsid w:val="00A45BDA"/>
    <w:rsid w:val="00A53086"/>
    <w:rsid w:val="00A575A2"/>
    <w:rsid w:val="00A57D00"/>
    <w:rsid w:val="00A60218"/>
    <w:rsid w:val="00A632BD"/>
    <w:rsid w:val="00A70734"/>
    <w:rsid w:val="00A70A35"/>
    <w:rsid w:val="00A71FD6"/>
    <w:rsid w:val="00A750D2"/>
    <w:rsid w:val="00A77701"/>
    <w:rsid w:val="00A83387"/>
    <w:rsid w:val="00A8718B"/>
    <w:rsid w:val="00A87CFD"/>
    <w:rsid w:val="00A90574"/>
    <w:rsid w:val="00A908C4"/>
    <w:rsid w:val="00A91013"/>
    <w:rsid w:val="00A92086"/>
    <w:rsid w:val="00A978F3"/>
    <w:rsid w:val="00AA035B"/>
    <w:rsid w:val="00AB2C68"/>
    <w:rsid w:val="00AB4649"/>
    <w:rsid w:val="00AC0755"/>
    <w:rsid w:val="00AC15BD"/>
    <w:rsid w:val="00AC2A6A"/>
    <w:rsid w:val="00AC6517"/>
    <w:rsid w:val="00AD2A74"/>
    <w:rsid w:val="00AF1536"/>
    <w:rsid w:val="00AF5762"/>
    <w:rsid w:val="00AF6E97"/>
    <w:rsid w:val="00B00F0B"/>
    <w:rsid w:val="00B02E20"/>
    <w:rsid w:val="00B0311B"/>
    <w:rsid w:val="00B051F5"/>
    <w:rsid w:val="00B074B4"/>
    <w:rsid w:val="00B13D04"/>
    <w:rsid w:val="00B153E8"/>
    <w:rsid w:val="00B239A1"/>
    <w:rsid w:val="00B27C80"/>
    <w:rsid w:val="00B35D6C"/>
    <w:rsid w:val="00B36613"/>
    <w:rsid w:val="00B4106B"/>
    <w:rsid w:val="00B42A56"/>
    <w:rsid w:val="00B42B1A"/>
    <w:rsid w:val="00B476AA"/>
    <w:rsid w:val="00B52C13"/>
    <w:rsid w:val="00B56E49"/>
    <w:rsid w:val="00B6755B"/>
    <w:rsid w:val="00B70BB5"/>
    <w:rsid w:val="00B76B80"/>
    <w:rsid w:val="00B77680"/>
    <w:rsid w:val="00B80FA1"/>
    <w:rsid w:val="00B81B59"/>
    <w:rsid w:val="00B83B99"/>
    <w:rsid w:val="00B85D56"/>
    <w:rsid w:val="00B94402"/>
    <w:rsid w:val="00B94761"/>
    <w:rsid w:val="00B94D21"/>
    <w:rsid w:val="00BA53CB"/>
    <w:rsid w:val="00BD133D"/>
    <w:rsid w:val="00BD420F"/>
    <w:rsid w:val="00BD7E22"/>
    <w:rsid w:val="00BE1D13"/>
    <w:rsid w:val="00BE65E7"/>
    <w:rsid w:val="00BF0FAD"/>
    <w:rsid w:val="00BF2456"/>
    <w:rsid w:val="00BF35BB"/>
    <w:rsid w:val="00BF4C05"/>
    <w:rsid w:val="00BF7550"/>
    <w:rsid w:val="00C0093D"/>
    <w:rsid w:val="00C02FBF"/>
    <w:rsid w:val="00C0542F"/>
    <w:rsid w:val="00C05CBC"/>
    <w:rsid w:val="00C120D1"/>
    <w:rsid w:val="00C31774"/>
    <w:rsid w:val="00C32CB0"/>
    <w:rsid w:val="00C32CE3"/>
    <w:rsid w:val="00C347A3"/>
    <w:rsid w:val="00C37F29"/>
    <w:rsid w:val="00C50E1E"/>
    <w:rsid w:val="00C63C09"/>
    <w:rsid w:val="00C66917"/>
    <w:rsid w:val="00C66A2C"/>
    <w:rsid w:val="00C675EC"/>
    <w:rsid w:val="00C735DA"/>
    <w:rsid w:val="00C90BC5"/>
    <w:rsid w:val="00C921A3"/>
    <w:rsid w:val="00C9570B"/>
    <w:rsid w:val="00CA4618"/>
    <w:rsid w:val="00CA6258"/>
    <w:rsid w:val="00CA7111"/>
    <w:rsid w:val="00CB0B08"/>
    <w:rsid w:val="00CB0DFE"/>
    <w:rsid w:val="00CB356F"/>
    <w:rsid w:val="00CB42CF"/>
    <w:rsid w:val="00CB79F0"/>
    <w:rsid w:val="00CD290A"/>
    <w:rsid w:val="00CE2760"/>
    <w:rsid w:val="00CE32E6"/>
    <w:rsid w:val="00CE66D5"/>
    <w:rsid w:val="00CF1271"/>
    <w:rsid w:val="00CF2B4D"/>
    <w:rsid w:val="00CF7C9A"/>
    <w:rsid w:val="00D01FB0"/>
    <w:rsid w:val="00D048A5"/>
    <w:rsid w:val="00D0568F"/>
    <w:rsid w:val="00D126CD"/>
    <w:rsid w:val="00D1476A"/>
    <w:rsid w:val="00D268F9"/>
    <w:rsid w:val="00D35ABF"/>
    <w:rsid w:val="00D361D1"/>
    <w:rsid w:val="00D37A2F"/>
    <w:rsid w:val="00D40E00"/>
    <w:rsid w:val="00D50EC2"/>
    <w:rsid w:val="00D52E77"/>
    <w:rsid w:val="00D57DEE"/>
    <w:rsid w:val="00D6170C"/>
    <w:rsid w:val="00D65954"/>
    <w:rsid w:val="00D6764A"/>
    <w:rsid w:val="00D7374D"/>
    <w:rsid w:val="00D73D09"/>
    <w:rsid w:val="00D74678"/>
    <w:rsid w:val="00D77719"/>
    <w:rsid w:val="00D80509"/>
    <w:rsid w:val="00D83C35"/>
    <w:rsid w:val="00DA03B1"/>
    <w:rsid w:val="00DB16D8"/>
    <w:rsid w:val="00DC3A7B"/>
    <w:rsid w:val="00DD49CF"/>
    <w:rsid w:val="00DD6400"/>
    <w:rsid w:val="00DE310F"/>
    <w:rsid w:val="00DE31CF"/>
    <w:rsid w:val="00DF4ABA"/>
    <w:rsid w:val="00E046E0"/>
    <w:rsid w:val="00E052CD"/>
    <w:rsid w:val="00E063BE"/>
    <w:rsid w:val="00E10B41"/>
    <w:rsid w:val="00E175A8"/>
    <w:rsid w:val="00E213BA"/>
    <w:rsid w:val="00E214AA"/>
    <w:rsid w:val="00E21F98"/>
    <w:rsid w:val="00E24AD0"/>
    <w:rsid w:val="00E25A25"/>
    <w:rsid w:val="00E50B7B"/>
    <w:rsid w:val="00E56FE8"/>
    <w:rsid w:val="00E61E5C"/>
    <w:rsid w:val="00E66F0F"/>
    <w:rsid w:val="00E76311"/>
    <w:rsid w:val="00E85E1A"/>
    <w:rsid w:val="00E86355"/>
    <w:rsid w:val="00E90110"/>
    <w:rsid w:val="00EA0C56"/>
    <w:rsid w:val="00EA13CF"/>
    <w:rsid w:val="00EB2A7D"/>
    <w:rsid w:val="00EC11F6"/>
    <w:rsid w:val="00EC5D13"/>
    <w:rsid w:val="00ED2E07"/>
    <w:rsid w:val="00ED34AD"/>
    <w:rsid w:val="00ED4832"/>
    <w:rsid w:val="00F03F01"/>
    <w:rsid w:val="00F06519"/>
    <w:rsid w:val="00F0661D"/>
    <w:rsid w:val="00F1329D"/>
    <w:rsid w:val="00F1780B"/>
    <w:rsid w:val="00F20534"/>
    <w:rsid w:val="00F26ACC"/>
    <w:rsid w:val="00F300D9"/>
    <w:rsid w:val="00F309BC"/>
    <w:rsid w:val="00F4333F"/>
    <w:rsid w:val="00F467AD"/>
    <w:rsid w:val="00F525EE"/>
    <w:rsid w:val="00F53B0A"/>
    <w:rsid w:val="00F5432B"/>
    <w:rsid w:val="00F6622E"/>
    <w:rsid w:val="00F72D6A"/>
    <w:rsid w:val="00F74AFB"/>
    <w:rsid w:val="00F75AE3"/>
    <w:rsid w:val="00F76E97"/>
    <w:rsid w:val="00F770C9"/>
    <w:rsid w:val="00F83533"/>
    <w:rsid w:val="00F836DC"/>
    <w:rsid w:val="00F84B2A"/>
    <w:rsid w:val="00F86DF3"/>
    <w:rsid w:val="00F90100"/>
    <w:rsid w:val="00F93F77"/>
    <w:rsid w:val="00F95184"/>
    <w:rsid w:val="00F95224"/>
    <w:rsid w:val="00F96496"/>
    <w:rsid w:val="00FA3AD7"/>
    <w:rsid w:val="00FA40A1"/>
    <w:rsid w:val="00FB63BA"/>
    <w:rsid w:val="00FB6F52"/>
    <w:rsid w:val="00FB7034"/>
    <w:rsid w:val="00FC2B2B"/>
    <w:rsid w:val="00FC4D32"/>
    <w:rsid w:val="00FD334C"/>
    <w:rsid w:val="00FD75BF"/>
    <w:rsid w:val="00FD768A"/>
    <w:rsid w:val="00FE38B5"/>
    <w:rsid w:val="00FE57B3"/>
    <w:rsid w:val="00FF063B"/>
    <w:rsid w:val="00FF4E43"/>
    <w:rsid w:val="00FF7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1"/>
    <o:shapelayout v:ext="edit">
      <o:idmap v:ext="edit" data="1"/>
    </o:shapelayout>
  </w:shapeDefaults>
  <w:decimalSymbol w:val="."/>
  <w:listSeparator w:val=","/>
  <w14:docId w14:val="456A406C"/>
  <w15:chartTrackingRefBased/>
  <w15:docId w15:val="{E48E3538-CCAA-4234-A882-B7BD7D1AE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8B5"/>
    <w:pPr>
      <w:spacing w:after="0" w:line="240" w:lineRule="auto"/>
    </w:pPr>
    <w:rPr>
      <w:rFonts w:ascii="Times New Roman" w:hAnsi="Times New Roman"/>
      <w:sz w:val="24"/>
    </w:rPr>
  </w:style>
  <w:style w:type="paragraph" w:styleId="Heading1">
    <w:name w:val="heading 1"/>
    <w:basedOn w:val="Normal"/>
    <w:link w:val="Heading1Char"/>
    <w:uiPriority w:val="9"/>
    <w:qFormat/>
    <w:rsid w:val="009C6795"/>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next w:val="Normal"/>
    <w:link w:val="Heading2Char"/>
    <w:uiPriority w:val="9"/>
    <w:unhideWhenUsed/>
    <w:qFormat/>
    <w:rsid w:val="0000410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679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04107"/>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unhideWhenUsed/>
    <w:rsid w:val="00466AEE"/>
    <w:rPr>
      <w:sz w:val="20"/>
      <w:szCs w:val="20"/>
    </w:rPr>
  </w:style>
  <w:style w:type="character" w:customStyle="1" w:styleId="FootnoteTextChar">
    <w:name w:val="Footnote Text Char"/>
    <w:basedOn w:val="DefaultParagraphFont"/>
    <w:link w:val="FootnoteText"/>
    <w:uiPriority w:val="99"/>
    <w:qFormat/>
    <w:rsid w:val="00466AEE"/>
    <w:rPr>
      <w:sz w:val="20"/>
      <w:szCs w:val="20"/>
    </w:rPr>
  </w:style>
  <w:style w:type="character" w:styleId="FootnoteReference">
    <w:name w:val="footnote reference"/>
    <w:basedOn w:val="DefaultParagraphFont"/>
    <w:semiHidden/>
    <w:unhideWhenUsed/>
    <w:rsid w:val="00466AEE"/>
    <w:rPr>
      <w:vertAlign w:val="superscript"/>
    </w:rPr>
  </w:style>
  <w:style w:type="paragraph" w:styleId="ListParagraph">
    <w:name w:val="List Paragraph"/>
    <w:basedOn w:val="Normal"/>
    <w:uiPriority w:val="34"/>
    <w:qFormat/>
    <w:rsid w:val="006F6727"/>
    <w:pPr>
      <w:ind w:left="720"/>
      <w:contextualSpacing/>
    </w:pPr>
    <w:rPr>
      <w:rFonts w:eastAsia="Times New Roman" w:cs="Times New Roman"/>
      <w:szCs w:val="24"/>
    </w:rPr>
  </w:style>
  <w:style w:type="paragraph" w:customStyle="1" w:styleId="Default">
    <w:name w:val="Default"/>
    <w:rsid w:val="00F72D6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
    <w:name w:val="text"/>
    <w:aliases w:val="t"/>
    <w:basedOn w:val="Normal"/>
    <w:rsid w:val="00B36613"/>
    <w:pPr>
      <w:overflowPunct w:val="0"/>
      <w:autoSpaceDE w:val="0"/>
      <w:autoSpaceDN w:val="0"/>
      <w:adjustRightInd w:val="0"/>
      <w:spacing w:line="480" w:lineRule="atLeast"/>
      <w:ind w:firstLine="720"/>
      <w:jc w:val="both"/>
      <w:textAlignment w:val="baseline"/>
    </w:pPr>
    <w:rPr>
      <w:rFonts w:ascii="Times" w:eastAsia="Times New Roman" w:hAnsi="Times" w:cs="Times New Roman"/>
      <w:szCs w:val="20"/>
    </w:rPr>
  </w:style>
  <w:style w:type="character" w:styleId="Emphasis">
    <w:name w:val="Emphasis"/>
    <w:basedOn w:val="DefaultParagraphFont"/>
    <w:uiPriority w:val="20"/>
    <w:qFormat/>
    <w:rsid w:val="007B3018"/>
    <w:rPr>
      <w:i/>
      <w:iCs/>
    </w:rPr>
  </w:style>
  <w:style w:type="character" w:styleId="Hyperlink">
    <w:name w:val="Hyperlink"/>
    <w:basedOn w:val="DefaultParagraphFont"/>
    <w:uiPriority w:val="99"/>
    <w:unhideWhenUsed/>
    <w:rsid w:val="007B3018"/>
    <w:rPr>
      <w:color w:val="0000FF"/>
      <w:u w:val="single"/>
    </w:rPr>
  </w:style>
  <w:style w:type="character" w:styleId="UnresolvedMention">
    <w:name w:val="Unresolved Mention"/>
    <w:basedOn w:val="DefaultParagraphFont"/>
    <w:uiPriority w:val="99"/>
    <w:semiHidden/>
    <w:unhideWhenUsed/>
    <w:rsid w:val="00AF1536"/>
    <w:rPr>
      <w:color w:val="605E5C"/>
      <w:shd w:val="clear" w:color="auto" w:fill="E1DFDD"/>
    </w:rPr>
  </w:style>
  <w:style w:type="character" w:customStyle="1" w:styleId="mi">
    <w:name w:val="mi"/>
    <w:basedOn w:val="DefaultParagraphFont"/>
    <w:rsid w:val="00047801"/>
  </w:style>
  <w:style w:type="paragraph" w:styleId="Bibliography">
    <w:name w:val="Bibliography"/>
    <w:basedOn w:val="Normal"/>
    <w:next w:val="Normal"/>
    <w:uiPriority w:val="37"/>
    <w:unhideWhenUsed/>
    <w:rsid w:val="00004107"/>
  </w:style>
  <w:style w:type="character" w:customStyle="1" w:styleId="title-text">
    <w:name w:val="title-text"/>
    <w:basedOn w:val="DefaultParagraphFont"/>
    <w:rsid w:val="00004107"/>
  </w:style>
  <w:style w:type="character" w:customStyle="1" w:styleId="anchor-text">
    <w:name w:val="anchor-text"/>
    <w:basedOn w:val="DefaultParagraphFont"/>
    <w:rsid w:val="00004107"/>
  </w:style>
  <w:style w:type="character" w:customStyle="1" w:styleId="sr-only">
    <w:name w:val="sr-only"/>
    <w:basedOn w:val="DefaultParagraphFont"/>
    <w:rsid w:val="00004107"/>
  </w:style>
  <w:style w:type="character" w:customStyle="1" w:styleId="react-xocs-alternative-link">
    <w:name w:val="react-xocs-alternative-link"/>
    <w:basedOn w:val="DefaultParagraphFont"/>
    <w:rsid w:val="00004107"/>
  </w:style>
  <w:style w:type="character" w:customStyle="1" w:styleId="given-name">
    <w:name w:val="given-name"/>
    <w:basedOn w:val="DefaultParagraphFont"/>
    <w:rsid w:val="00004107"/>
  </w:style>
  <w:style w:type="character" w:customStyle="1" w:styleId="author-ref">
    <w:name w:val="author-ref"/>
    <w:basedOn w:val="DefaultParagraphFont"/>
    <w:rsid w:val="00004107"/>
  </w:style>
  <w:style w:type="character" w:customStyle="1" w:styleId="arxivid">
    <w:name w:val="arxivid"/>
    <w:basedOn w:val="DefaultParagraphFont"/>
    <w:rsid w:val="004E07F0"/>
  </w:style>
  <w:style w:type="paragraph" w:styleId="NormalWeb">
    <w:name w:val="Normal (Web)"/>
    <w:basedOn w:val="Normal"/>
    <w:uiPriority w:val="99"/>
    <w:unhideWhenUsed/>
    <w:rsid w:val="002A2D31"/>
    <w:pPr>
      <w:spacing w:before="100" w:beforeAutospacing="1" w:after="100" w:afterAutospacing="1"/>
    </w:pPr>
    <w:rPr>
      <w:rFonts w:eastAsia="Times New Roman" w:cs="Times New Roman"/>
      <w:szCs w:val="24"/>
    </w:rPr>
  </w:style>
  <w:style w:type="character" w:customStyle="1" w:styleId="nlmarticle-title">
    <w:name w:val="nlm_article-title"/>
    <w:basedOn w:val="DefaultParagraphFont"/>
    <w:rsid w:val="004A0E10"/>
  </w:style>
  <w:style w:type="paragraph" w:customStyle="1" w:styleId="dx-doi">
    <w:name w:val="dx-doi"/>
    <w:basedOn w:val="Normal"/>
    <w:rsid w:val="004A0E10"/>
    <w:pPr>
      <w:spacing w:before="100" w:beforeAutospacing="1" w:after="100" w:afterAutospacing="1"/>
    </w:pPr>
    <w:rPr>
      <w:rFonts w:eastAsia="Times New Roman" w:cs="Times New Roman"/>
      <w:szCs w:val="24"/>
    </w:rPr>
  </w:style>
  <w:style w:type="character" w:customStyle="1" w:styleId="ref-title">
    <w:name w:val="ref-title"/>
    <w:basedOn w:val="DefaultParagraphFont"/>
    <w:rsid w:val="00CA6258"/>
  </w:style>
  <w:style w:type="character" w:customStyle="1" w:styleId="ref-journal">
    <w:name w:val="ref-journal"/>
    <w:basedOn w:val="DefaultParagraphFont"/>
    <w:rsid w:val="00CA6258"/>
  </w:style>
  <w:style w:type="character" w:customStyle="1" w:styleId="ref-vol">
    <w:name w:val="ref-vol"/>
    <w:basedOn w:val="DefaultParagraphFont"/>
    <w:rsid w:val="00CA6258"/>
  </w:style>
  <w:style w:type="character" w:customStyle="1" w:styleId="button-link-text">
    <w:name w:val="button-link-text"/>
    <w:basedOn w:val="DefaultParagraphFont"/>
    <w:rsid w:val="00B94D21"/>
  </w:style>
  <w:style w:type="character" w:styleId="FollowedHyperlink">
    <w:name w:val="FollowedHyperlink"/>
    <w:basedOn w:val="DefaultParagraphFont"/>
    <w:uiPriority w:val="99"/>
    <w:semiHidden/>
    <w:unhideWhenUsed/>
    <w:rsid w:val="001D2CA7"/>
    <w:rPr>
      <w:color w:val="954F72" w:themeColor="followedHyperlink"/>
      <w:u w:val="single"/>
    </w:rPr>
  </w:style>
  <w:style w:type="character" w:styleId="HTMLCite">
    <w:name w:val="HTML Cite"/>
    <w:basedOn w:val="DefaultParagraphFont"/>
    <w:uiPriority w:val="99"/>
    <w:semiHidden/>
    <w:unhideWhenUsed/>
    <w:rsid w:val="007B6985"/>
    <w:rPr>
      <w:i/>
      <w:iCs/>
    </w:rPr>
  </w:style>
  <w:style w:type="character" w:customStyle="1" w:styleId="src">
    <w:name w:val="src"/>
    <w:basedOn w:val="DefaultParagraphFont"/>
    <w:rsid w:val="007B6985"/>
  </w:style>
  <w:style w:type="character" w:customStyle="1" w:styleId="booktitle">
    <w:name w:val="book_title"/>
    <w:basedOn w:val="DefaultParagraphFont"/>
    <w:rsid w:val="002D4712"/>
  </w:style>
  <w:style w:type="paragraph" w:styleId="Footer">
    <w:name w:val="footer"/>
    <w:basedOn w:val="Normal"/>
    <w:link w:val="FooterChar"/>
    <w:uiPriority w:val="99"/>
    <w:rsid w:val="00944E80"/>
    <w:pPr>
      <w:tabs>
        <w:tab w:val="center" w:pos="4680"/>
        <w:tab w:val="right" w:pos="9360"/>
      </w:tabs>
    </w:pPr>
    <w:rPr>
      <w:rFonts w:ascii="Calibri" w:eastAsia="Calibri" w:hAnsi="Calibri" w:cs="Times New Roman"/>
      <w:sz w:val="20"/>
      <w:szCs w:val="20"/>
      <w:lang w:val="x-none" w:eastAsia="x-none"/>
    </w:rPr>
  </w:style>
  <w:style w:type="character" w:customStyle="1" w:styleId="FooterChar">
    <w:name w:val="Footer Char"/>
    <w:basedOn w:val="DefaultParagraphFont"/>
    <w:link w:val="Footer"/>
    <w:uiPriority w:val="99"/>
    <w:rsid w:val="00944E80"/>
    <w:rPr>
      <w:rFonts w:ascii="Calibri" w:eastAsia="Calibri" w:hAnsi="Calibri" w:cs="Times New Roman"/>
      <w:sz w:val="20"/>
      <w:szCs w:val="20"/>
      <w:lang w:val="x-none" w:eastAsia="x-none"/>
    </w:rPr>
  </w:style>
  <w:style w:type="paragraph" w:styleId="Header">
    <w:name w:val="header"/>
    <w:basedOn w:val="Normal"/>
    <w:link w:val="HeaderChar"/>
    <w:uiPriority w:val="99"/>
    <w:unhideWhenUsed/>
    <w:rsid w:val="00E21F98"/>
    <w:pPr>
      <w:tabs>
        <w:tab w:val="center" w:pos="4680"/>
        <w:tab w:val="right" w:pos="9360"/>
      </w:tabs>
    </w:pPr>
  </w:style>
  <w:style w:type="character" w:customStyle="1" w:styleId="HeaderChar">
    <w:name w:val="Header Char"/>
    <w:basedOn w:val="DefaultParagraphFont"/>
    <w:link w:val="Header"/>
    <w:uiPriority w:val="99"/>
    <w:rsid w:val="00E21F98"/>
  </w:style>
  <w:style w:type="character" w:customStyle="1" w:styleId="linkbluetoblue">
    <w:name w:val="linkbluetoblue"/>
    <w:basedOn w:val="DefaultParagraphFont"/>
    <w:rsid w:val="00635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8453">
      <w:bodyDiv w:val="1"/>
      <w:marLeft w:val="0"/>
      <w:marRight w:val="0"/>
      <w:marTop w:val="0"/>
      <w:marBottom w:val="0"/>
      <w:divBdr>
        <w:top w:val="none" w:sz="0" w:space="0" w:color="auto"/>
        <w:left w:val="none" w:sz="0" w:space="0" w:color="auto"/>
        <w:bottom w:val="none" w:sz="0" w:space="0" w:color="auto"/>
        <w:right w:val="none" w:sz="0" w:space="0" w:color="auto"/>
      </w:divBdr>
    </w:div>
    <w:div w:id="62027589">
      <w:bodyDiv w:val="1"/>
      <w:marLeft w:val="0"/>
      <w:marRight w:val="0"/>
      <w:marTop w:val="0"/>
      <w:marBottom w:val="0"/>
      <w:divBdr>
        <w:top w:val="none" w:sz="0" w:space="0" w:color="auto"/>
        <w:left w:val="none" w:sz="0" w:space="0" w:color="auto"/>
        <w:bottom w:val="none" w:sz="0" w:space="0" w:color="auto"/>
        <w:right w:val="none" w:sz="0" w:space="0" w:color="auto"/>
      </w:divBdr>
    </w:div>
    <w:div w:id="146822201">
      <w:bodyDiv w:val="1"/>
      <w:marLeft w:val="0"/>
      <w:marRight w:val="0"/>
      <w:marTop w:val="0"/>
      <w:marBottom w:val="0"/>
      <w:divBdr>
        <w:top w:val="none" w:sz="0" w:space="0" w:color="auto"/>
        <w:left w:val="none" w:sz="0" w:space="0" w:color="auto"/>
        <w:bottom w:val="none" w:sz="0" w:space="0" w:color="auto"/>
        <w:right w:val="none" w:sz="0" w:space="0" w:color="auto"/>
      </w:divBdr>
    </w:div>
    <w:div w:id="167717226">
      <w:bodyDiv w:val="1"/>
      <w:marLeft w:val="0"/>
      <w:marRight w:val="0"/>
      <w:marTop w:val="0"/>
      <w:marBottom w:val="0"/>
      <w:divBdr>
        <w:top w:val="none" w:sz="0" w:space="0" w:color="auto"/>
        <w:left w:val="none" w:sz="0" w:space="0" w:color="auto"/>
        <w:bottom w:val="none" w:sz="0" w:space="0" w:color="auto"/>
        <w:right w:val="none" w:sz="0" w:space="0" w:color="auto"/>
      </w:divBdr>
    </w:div>
    <w:div w:id="226184699">
      <w:bodyDiv w:val="1"/>
      <w:marLeft w:val="0"/>
      <w:marRight w:val="0"/>
      <w:marTop w:val="0"/>
      <w:marBottom w:val="0"/>
      <w:divBdr>
        <w:top w:val="none" w:sz="0" w:space="0" w:color="auto"/>
        <w:left w:val="none" w:sz="0" w:space="0" w:color="auto"/>
        <w:bottom w:val="none" w:sz="0" w:space="0" w:color="auto"/>
        <w:right w:val="none" w:sz="0" w:space="0" w:color="auto"/>
      </w:divBdr>
      <w:divsChild>
        <w:div w:id="446237655">
          <w:marLeft w:val="0"/>
          <w:marRight w:val="0"/>
          <w:marTop w:val="0"/>
          <w:marBottom w:val="0"/>
          <w:divBdr>
            <w:top w:val="none" w:sz="0" w:space="0" w:color="auto"/>
            <w:left w:val="none" w:sz="0" w:space="0" w:color="auto"/>
            <w:bottom w:val="none" w:sz="0" w:space="0" w:color="auto"/>
            <w:right w:val="none" w:sz="0" w:space="0" w:color="auto"/>
          </w:divBdr>
        </w:div>
        <w:div w:id="1492405774">
          <w:marLeft w:val="0"/>
          <w:marRight w:val="0"/>
          <w:marTop w:val="0"/>
          <w:marBottom w:val="0"/>
          <w:divBdr>
            <w:top w:val="none" w:sz="0" w:space="0" w:color="auto"/>
            <w:left w:val="none" w:sz="0" w:space="0" w:color="auto"/>
            <w:bottom w:val="none" w:sz="0" w:space="0" w:color="auto"/>
            <w:right w:val="none" w:sz="0" w:space="0" w:color="auto"/>
          </w:divBdr>
          <w:divsChild>
            <w:div w:id="1367368910">
              <w:marLeft w:val="0"/>
              <w:marRight w:val="0"/>
              <w:marTop w:val="0"/>
              <w:marBottom w:val="0"/>
              <w:divBdr>
                <w:top w:val="none" w:sz="0" w:space="0" w:color="auto"/>
                <w:left w:val="none" w:sz="0" w:space="0" w:color="auto"/>
                <w:bottom w:val="none" w:sz="0" w:space="0" w:color="auto"/>
                <w:right w:val="none" w:sz="0" w:space="0" w:color="auto"/>
              </w:divBdr>
              <w:divsChild>
                <w:div w:id="85500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832028">
      <w:bodyDiv w:val="1"/>
      <w:marLeft w:val="0"/>
      <w:marRight w:val="0"/>
      <w:marTop w:val="0"/>
      <w:marBottom w:val="0"/>
      <w:divBdr>
        <w:top w:val="none" w:sz="0" w:space="0" w:color="auto"/>
        <w:left w:val="none" w:sz="0" w:space="0" w:color="auto"/>
        <w:bottom w:val="none" w:sz="0" w:space="0" w:color="auto"/>
        <w:right w:val="none" w:sz="0" w:space="0" w:color="auto"/>
      </w:divBdr>
      <w:divsChild>
        <w:div w:id="1983074800">
          <w:marLeft w:val="0"/>
          <w:marRight w:val="0"/>
          <w:marTop w:val="0"/>
          <w:marBottom w:val="120"/>
          <w:divBdr>
            <w:top w:val="none" w:sz="0" w:space="0" w:color="auto"/>
            <w:left w:val="none" w:sz="0" w:space="0" w:color="auto"/>
            <w:bottom w:val="none" w:sz="0" w:space="0" w:color="auto"/>
            <w:right w:val="none" w:sz="0" w:space="0" w:color="auto"/>
          </w:divBdr>
          <w:divsChild>
            <w:div w:id="2136215970">
              <w:marLeft w:val="0"/>
              <w:marRight w:val="0"/>
              <w:marTop w:val="0"/>
              <w:marBottom w:val="0"/>
              <w:divBdr>
                <w:top w:val="none" w:sz="0" w:space="0" w:color="auto"/>
                <w:left w:val="none" w:sz="0" w:space="0" w:color="auto"/>
                <w:bottom w:val="none" w:sz="0" w:space="0" w:color="auto"/>
                <w:right w:val="none" w:sz="0" w:space="0" w:color="auto"/>
              </w:divBdr>
              <w:divsChild>
                <w:div w:id="1801725454">
                  <w:marLeft w:val="0"/>
                  <w:marRight w:val="0"/>
                  <w:marTop w:val="0"/>
                  <w:marBottom w:val="0"/>
                  <w:divBdr>
                    <w:top w:val="none" w:sz="0" w:space="0" w:color="auto"/>
                    <w:left w:val="none" w:sz="0" w:space="0" w:color="auto"/>
                    <w:bottom w:val="none" w:sz="0" w:space="0" w:color="auto"/>
                    <w:right w:val="none" w:sz="0" w:space="0" w:color="auto"/>
                  </w:divBdr>
                  <w:divsChild>
                    <w:div w:id="181910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264002">
      <w:bodyDiv w:val="1"/>
      <w:marLeft w:val="0"/>
      <w:marRight w:val="0"/>
      <w:marTop w:val="0"/>
      <w:marBottom w:val="0"/>
      <w:divBdr>
        <w:top w:val="none" w:sz="0" w:space="0" w:color="auto"/>
        <w:left w:val="none" w:sz="0" w:space="0" w:color="auto"/>
        <w:bottom w:val="none" w:sz="0" w:space="0" w:color="auto"/>
        <w:right w:val="none" w:sz="0" w:space="0" w:color="auto"/>
      </w:divBdr>
    </w:div>
    <w:div w:id="342518533">
      <w:bodyDiv w:val="1"/>
      <w:marLeft w:val="0"/>
      <w:marRight w:val="0"/>
      <w:marTop w:val="0"/>
      <w:marBottom w:val="0"/>
      <w:divBdr>
        <w:top w:val="none" w:sz="0" w:space="0" w:color="auto"/>
        <w:left w:val="none" w:sz="0" w:space="0" w:color="auto"/>
        <w:bottom w:val="none" w:sz="0" w:space="0" w:color="auto"/>
        <w:right w:val="none" w:sz="0" w:space="0" w:color="auto"/>
      </w:divBdr>
    </w:div>
    <w:div w:id="455418102">
      <w:bodyDiv w:val="1"/>
      <w:marLeft w:val="0"/>
      <w:marRight w:val="0"/>
      <w:marTop w:val="0"/>
      <w:marBottom w:val="0"/>
      <w:divBdr>
        <w:top w:val="none" w:sz="0" w:space="0" w:color="auto"/>
        <w:left w:val="none" w:sz="0" w:space="0" w:color="auto"/>
        <w:bottom w:val="none" w:sz="0" w:space="0" w:color="auto"/>
        <w:right w:val="none" w:sz="0" w:space="0" w:color="auto"/>
      </w:divBdr>
    </w:div>
    <w:div w:id="633340188">
      <w:bodyDiv w:val="1"/>
      <w:marLeft w:val="0"/>
      <w:marRight w:val="0"/>
      <w:marTop w:val="0"/>
      <w:marBottom w:val="0"/>
      <w:divBdr>
        <w:top w:val="none" w:sz="0" w:space="0" w:color="auto"/>
        <w:left w:val="none" w:sz="0" w:space="0" w:color="auto"/>
        <w:bottom w:val="none" w:sz="0" w:space="0" w:color="auto"/>
        <w:right w:val="none" w:sz="0" w:space="0" w:color="auto"/>
      </w:divBdr>
    </w:div>
    <w:div w:id="652224448">
      <w:bodyDiv w:val="1"/>
      <w:marLeft w:val="0"/>
      <w:marRight w:val="0"/>
      <w:marTop w:val="0"/>
      <w:marBottom w:val="0"/>
      <w:divBdr>
        <w:top w:val="none" w:sz="0" w:space="0" w:color="auto"/>
        <w:left w:val="none" w:sz="0" w:space="0" w:color="auto"/>
        <w:bottom w:val="none" w:sz="0" w:space="0" w:color="auto"/>
        <w:right w:val="none" w:sz="0" w:space="0" w:color="auto"/>
      </w:divBdr>
    </w:div>
    <w:div w:id="707998813">
      <w:bodyDiv w:val="1"/>
      <w:marLeft w:val="0"/>
      <w:marRight w:val="0"/>
      <w:marTop w:val="0"/>
      <w:marBottom w:val="0"/>
      <w:divBdr>
        <w:top w:val="none" w:sz="0" w:space="0" w:color="auto"/>
        <w:left w:val="none" w:sz="0" w:space="0" w:color="auto"/>
        <w:bottom w:val="none" w:sz="0" w:space="0" w:color="auto"/>
        <w:right w:val="none" w:sz="0" w:space="0" w:color="auto"/>
      </w:divBdr>
    </w:div>
    <w:div w:id="803086679">
      <w:bodyDiv w:val="1"/>
      <w:marLeft w:val="0"/>
      <w:marRight w:val="0"/>
      <w:marTop w:val="0"/>
      <w:marBottom w:val="0"/>
      <w:divBdr>
        <w:top w:val="none" w:sz="0" w:space="0" w:color="auto"/>
        <w:left w:val="none" w:sz="0" w:space="0" w:color="auto"/>
        <w:bottom w:val="none" w:sz="0" w:space="0" w:color="auto"/>
        <w:right w:val="none" w:sz="0" w:space="0" w:color="auto"/>
      </w:divBdr>
    </w:div>
    <w:div w:id="812719118">
      <w:bodyDiv w:val="1"/>
      <w:marLeft w:val="0"/>
      <w:marRight w:val="0"/>
      <w:marTop w:val="0"/>
      <w:marBottom w:val="0"/>
      <w:divBdr>
        <w:top w:val="none" w:sz="0" w:space="0" w:color="auto"/>
        <w:left w:val="none" w:sz="0" w:space="0" w:color="auto"/>
        <w:bottom w:val="none" w:sz="0" w:space="0" w:color="auto"/>
        <w:right w:val="none" w:sz="0" w:space="0" w:color="auto"/>
      </w:divBdr>
    </w:div>
    <w:div w:id="861629035">
      <w:bodyDiv w:val="1"/>
      <w:marLeft w:val="0"/>
      <w:marRight w:val="0"/>
      <w:marTop w:val="0"/>
      <w:marBottom w:val="0"/>
      <w:divBdr>
        <w:top w:val="none" w:sz="0" w:space="0" w:color="auto"/>
        <w:left w:val="none" w:sz="0" w:space="0" w:color="auto"/>
        <w:bottom w:val="none" w:sz="0" w:space="0" w:color="auto"/>
        <w:right w:val="none" w:sz="0" w:space="0" w:color="auto"/>
      </w:divBdr>
    </w:div>
    <w:div w:id="1006326661">
      <w:bodyDiv w:val="1"/>
      <w:marLeft w:val="0"/>
      <w:marRight w:val="0"/>
      <w:marTop w:val="0"/>
      <w:marBottom w:val="0"/>
      <w:divBdr>
        <w:top w:val="none" w:sz="0" w:space="0" w:color="auto"/>
        <w:left w:val="none" w:sz="0" w:space="0" w:color="auto"/>
        <w:bottom w:val="none" w:sz="0" w:space="0" w:color="auto"/>
        <w:right w:val="none" w:sz="0" w:space="0" w:color="auto"/>
      </w:divBdr>
    </w:div>
    <w:div w:id="1017346078">
      <w:bodyDiv w:val="1"/>
      <w:marLeft w:val="0"/>
      <w:marRight w:val="0"/>
      <w:marTop w:val="0"/>
      <w:marBottom w:val="0"/>
      <w:divBdr>
        <w:top w:val="none" w:sz="0" w:space="0" w:color="auto"/>
        <w:left w:val="none" w:sz="0" w:space="0" w:color="auto"/>
        <w:bottom w:val="none" w:sz="0" w:space="0" w:color="auto"/>
        <w:right w:val="none" w:sz="0" w:space="0" w:color="auto"/>
      </w:divBdr>
    </w:div>
    <w:div w:id="1030881607">
      <w:bodyDiv w:val="1"/>
      <w:marLeft w:val="0"/>
      <w:marRight w:val="0"/>
      <w:marTop w:val="0"/>
      <w:marBottom w:val="0"/>
      <w:divBdr>
        <w:top w:val="none" w:sz="0" w:space="0" w:color="auto"/>
        <w:left w:val="none" w:sz="0" w:space="0" w:color="auto"/>
        <w:bottom w:val="none" w:sz="0" w:space="0" w:color="auto"/>
        <w:right w:val="none" w:sz="0" w:space="0" w:color="auto"/>
      </w:divBdr>
    </w:div>
    <w:div w:id="1041394389">
      <w:bodyDiv w:val="1"/>
      <w:marLeft w:val="0"/>
      <w:marRight w:val="0"/>
      <w:marTop w:val="0"/>
      <w:marBottom w:val="0"/>
      <w:divBdr>
        <w:top w:val="none" w:sz="0" w:space="0" w:color="auto"/>
        <w:left w:val="none" w:sz="0" w:space="0" w:color="auto"/>
        <w:bottom w:val="none" w:sz="0" w:space="0" w:color="auto"/>
        <w:right w:val="none" w:sz="0" w:space="0" w:color="auto"/>
      </w:divBdr>
    </w:div>
    <w:div w:id="1042829433">
      <w:bodyDiv w:val="1"/>
      <w:marLeft w:val="0"/>
      <w:marRight w:val="0"/>
      <w:marTop w:val="0"/>
      <w:marBottom w:val="0"/>
      <w:divBdr>
        <w:top w:val="none" w:sz="0" w:space="0" w:color="auto"/>
        <w:left w:val="none" w:sz="0" w:space="0" w:color="auto"/>
        <w:bottom w:val="none" w:sz="0" w:space="0" w:color="auto"/>
        <w:right w:val="none" w:sz="0" w:space="0" w:color="auto"/>
      </w:divBdr>
    </w:div>
    <w:div w:id="1129208510">
      <w:bodyDiv w:val="1"/>
      <w:marLeft w:val="0"/>
      <w:marRight w:val="0"/>
      <w:marTop w:val="0"/>
      <w:marBottom w:val="0"/>
      <w:divBdr>
        <w:top w:val="none" w:sz="0" w:space="0" w:color="auto"/>
        <w:left w:val="none" w:sz="0" w:space="0" w:color="auto"/>
        <w:bottom w:val="none" w:sz="0" w:space="0" w:color="auto"/>
        <w:right w:val="none" w:sz="0" w:space="0" w:color="auto"/>
      </w:divBdr>
    </w:div>
    <w:div w:id="1129861413">
      <w:bodyDiv w:val="1"/>
      <w:marLeft w:val="0"/>
      <w:marRight w:val="0"/>
      <w:marTop w:val="0"/>
      <w:marBottom w:val="0"/>
      <w:divBdr>
        <w:top w:val="none" w:sz="0" w:space="0" w:color="auto"/>
        <w:left w:val="none" w:sz="0" w:space="0" w:color="auto"/>
        <w:bottom w:val="none" w:sz="0" w:space="0" w:color="auto"/>
        <w:right w:val="none" w:sz="0" w:space="0" w:color="auto"/>
      </w:divBdr>
    </w:div>
    <w:div w:id="1174537552">
      <w:bodyDiv w:val="1"/>
      <w:marLeft w:val="0"/>
      <w:marRight w:val="0"/>
      <w:marTop w:val="0"/>
      <w:marBottom w:val="0"/>
      <w:divBdr>
        <w:top w:val="none" w:sz="0" w:space="0" w:color="auto"/>
        <w:left w:val="none" w:sz="0" w:space="0" w:color="auto"/>
        <w:bottom w:val="none" w:sz="0" w:space="0" w:color="auto"/>
        <w:right w:val="none" w:sz="0" w:space="0" w:color="auto"/>
      </w:divBdr>
    </w:div>
    <w:div w:id="1174763245">
      <w:bodyDiv w:val="1"/>
      <w:marLeft w:val="0"/>
      <w:marRight w:val="0"/>
      <w:marTop w:val="0"/>
      <w:marBottom w:val="0"/>
      <w:divBdr>
        <w:top w:val="none" w:sz="0" w:space="0" w:color="auto"/>
        <w:left w:val="none" w:sz="0" w:space="0" w:color="auto"/>
        <w:bottom w:val="none" w:sz="0" w:space="0" w:color="auto"/>
        <w:right w:val="none" w:sz="0" w:space="0" w:color="auto"/>
      </w:divBdr>
    </w:div>
    <w:div w:id="1191869431">
      <w:bodyDiv w:val="1"/>
      <w:marLeft w:val="0"/>
      <w:marRight w:val="0"/>
      <w:marTop w:val="0"/>
      <w:marBottom w:val="0"/>
      <w:divBdr>
        <w:top w:val="none" w:sz="0" w:space="0" w:color="auto"/>
        <w:left w:val="none" w:sz="0" w:space="0" w:color="auto"/>
        <w:bottom w:val="none" w:sz="0" w:space="0" w:color="auto"/>
        <w:right w:val="none" w:sz="0" w:space="0" w:color="auto"/>
      </w:divBdr>
    </w:div>
    <w:div w:id="1216698113">
      <w:bodyDiv w:val="1"/>
      <w:marLeft w:val="0"/>
      <w:marRight w:val="0"/>
      <w:marTop w:val="0"/>
      <w:marBottom w:val="0"/>
      <w:divBdr>
        <w:top w:val="none" w:sz="0" w:space="0" w:color="auto"/>
        <w:left w:val="none" w:sz="0" w:space="0" w:color="auto"/>
        <w:bottom w:val="none" w:sz="0" w:space="0" w:color="auto"/>
        <w:right w:val="none" w:sz="0" w:space="0" w:color="auto"/>
      </w:divBdr>
    </w:div>
    <w:div w:id="1221284827">
      <w:bodyDiv w:val="1"/>
      <w:marLeft w:val="0"/>
      <w:marRight w:val="0"/>
      <w:marTop w:val="0"/>
      <w:marBottom w:val="0"/>
      <w:divBdr>
        <w:top w:val="none" w:sz="0" w:space="0" w:color="auto"/>
        <w:left w:val="none" w:sz="0" w:space="0" w:color="auto"/>
        <w:bottom w:val="none" w:sz="0" w:space="0" w:color="auto"/>
        <w:right w:val="none" w:sz="0" w:space="0" w:color="auto"/>
      </w:divBdr>
    </w:div>
    <w:div w:id="1301499437">
      <w:bodyDiv w:val="1"/>
      <w:marLeft w:val="0"/>
      <w:marRight w:val="0"/>
      <w:marTop w:val="0"/>
      <w:marBottom w:val="0"/>
      <w:divBdr>
        <w:top w:val="none" w:sz="0" w:space="0" w:color="auto"/>
        <w:left w:val="none" w:sz="0" w:space="0" w:color="auto"/>
        <w:bottom w:val="none" w:sz="0" w:space="0" w:color="auto"/>
        <w:right w:val="none" w:sz="0" w:space="0" w:color="auto"/>
      </w:divBdr>
      <w:divsChild>
        <w:div w:id="186332930">
          <w:marLeft w:val="300"/>
          <w:marRight w:val="0"/>
          <w:marTop w:val="120"/>
          <w:marBottom w:val="120"/>
          <w:divBdr>
            <w:top w:val="none" w:sz="0" w:space="0" w:color="auto"/>
            <w:left w:val="none" w:sz="0" w:space="0" w:color="auto"/>
            <w:bottom w:val="none" w:sz="0" w:space="0" w:color="auto"/>
            <w:right w:val="none" w:sz="0" w:space="0" w:color="auto"/>
          </w:divBdr>
        </w:div>
      </w:divsChild>
    </w:div>
    <w:div w:id="1333947686">
      <w:bodyDiv w:val="1"/>
      <w:marLeft w:val="0"/>
      <w:marRight w:val="0"/>
      <w:marTop w:val="0"/>
      <w:marBottom w:val="0"/>
      <w:divBdr>
        <w:top w:val="none" w:sz="0" w:space="0" w:color="auto"/>
        <w:left w:val="none" w:sz="0" w:space="0" w:color="auto"/>
        <w:bottom w:val="none" w:sz="0" w:space="0" w:color="auto"/>
        <w:right w:val="none" w:sz="0" w:space="0" w:color="auto"/>
      </w:divBdr>
      <w:divsChild>
        <w:div w:id="977343736">
          <w:marLeft w:val="0"/>
          <w:marRight w:val="0"/>
          <w:marTop w:val="0"/>
          <w:marBottom w:val="0"/>
          <w:divBdr>
            <w:top w:val="none" w:sz="0" w:space="0" w:color="auto"/>
            <w:left w:val="none" w:sz="0" w:space="0" w:color="auto"/>
            <w:bottom w:val="none" w:sz="0" w:space="0" w:color="auto"/>
            <w:right w:val="none" w:sz="0" w:space="0" w:color="auto"/>
          </w:divBdr>
        </w:div>
        <w:div w:id="1308391478">
          <w:marLeft w:val="0"/>
          <w:marRight w:val="0"/>
          <w:marTop w:val="0"/>
          <w:marBottom w:val="0"/>
          <w:divBdr>
            <w:top w:val="none" w:sz="0" w:space="0" w:color="auto"/>
            <w:left w:val="none" w:sz="0" w:space="0" w:color="auto"/>
            <w:bottom w:val="none" w:sz="0" w:space="0" w:color="auto"/>
            <w:right w:val="none" w:sz="0" w:space="0" w:color="auto"/>
          </w:divBdr>
          <w:divsChild>
            <w:div w:id="84882177">
              <w:marLeft w:val="0"/>
              <w:marRight w:val="0"/>
              <w:marTop w:val="0"/>
              <w:marBottom w:val="0"/>
              <w:divBdr>
                <w:top w:val="none" w:sz="0" w:space="0" w:color="auto"/>
                <w:left w:val="none" w:sz="0" w:space="0" w:color="auto"/>
                <w:bottom w:val="none" w:sz="0" w:space="0" w:color="auto"/>
                <w:right w:val="none" w:sz="0" w:space="0" w:color="auto"/>
              </w:divBdr>
              <w:divsChild>
                <w:div w:id="18317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157406">
      <w:bodyDiv w:val="1"/>
      <w:marLeft w:val="0"/>
      <w:marRight w:val="0"/>
      <w:marTop w:val="0"/>
      <w:marBottom w:val="0"/>
      <w:divBdr>
        <w:top w:val="none" w:sz="0" w:space="0" w:color="auto"/>
        <w:left w:val="none" w:sz="0" w:space="0" w:color="auto"/>
        <w:bottom w:val="none" w:sz="0" w:space="0" w:color="auto"/>
        <w:right w:val="none" w:sz="0" w:space="0" w:color="auto"/>
      </w:divBdr>
    </w:div>
    <w:div w:id="1409420184">
      <w:bodyDiv w:val="1"/>
      <w:marLeft w:val="0"/>
      <w:marRight w:val="0"/>
      <w:marTop w:val="0"/>
      <w:marBottom w:val="0"/>
      <w:divBdr>
        <w:top w:val="none" w:sz="0" w:space="0" w:color="auto"/>
        <w:left w:val="none" w:sz="0" w:space="0" w:color="auto"/>
        <w:bottom w:val="none" w:sz="0" w:space="0" w:color="auto"/>
        <w:right w:val="none" w:sz="0" w:space="0" w:color="auto"/>
      </w:divBdr>
    </w:div>
    <w:div w:id="1423183125">
      <w:bodyDiv w:val="1"/>
      <w:marLeft w:val="0"/>
      <w:marRight w:val="0"/>
      <w:marTop w:val="0"/>
      <w:marBottom w:val="0"/>
      <w:divBdr>
        <w:top w:val="none" w:sz="0" w:space="0" w:color="auto"/>
        <w:left w:val="none" w:sz="0" w:space="0" w:color="auto"/>
        <w:bottom w:val="none" w:sz="0" w:space="0" w:color="auto"/>
        <w:right w:val="none" w:sz="0" w:space="0" w:color="auto"/>
      </w:divBdr>
      <w:divsChild>
        <w:div w:id="2075934033">
          <w:marLeft w:val="0"/>
          <w:marRight w:val="0"/>
          <w:marTop w:val="0"/>
          <w:marBottom w:val="120"/>
          <w:divBdr>
            <w:top w:val="none" w:sz="0" w:space="0" w:color="auto"/>
            <w:left w:val="none" w:sz="0" w:space="0" w:color="auto"/>
            <w:bottom w:val="none" w:sz="0" w:space="0" w:color="auto"/>
            <w:right w:val="none" w:sz="0" w:space="0" w:color="auto"/>
          </w:divBdr>
          <w:divsChild>
            <w:div w:id="1250700418">
              <w:marLeft w:val="0"/>
              <w:marRight w:val="0"/>
              <w:marTop w:val="0"/>
              <w:marBottom w:val="0"/>
              <w:divBdr>
                <w:top w:val="none" w:sz="0" w:space="0" w:color="auto"/>
                <w:left w:val="none" w:sz="0" w:space="0" w:color="auto"/>
                <w:bottom w:val="none" w:sz="0" w:space="0" w:color="auto"/>
                <w:right w:val="none" w:sz="0" w:space="0" w:color="auto"/>
              </w:divBdr>
              <w:divsChild>
                <w:div w:id="1246451723">
                  <w:marLeft w:val="0"/>
                  <w:marRight w:val="0"/>
                  <w:marTop w:val="0"/>
                  <w:marBottom w:val="0"/>
                  <w:divBdr>
                    <w:top w:val="none" w:sz="0" w:space="0" w:color="auto"/>
                    <w:left w:val="none" w:sz="0" w:space="0" w:color="auto"/>
                    <w:bottom w:val="none" w:sz="0" w:space="0" w:color="auto"/>
                    <w:right w:val="none" w:sz="0" w:space="0" w:color="auto"/>
                  </w:divBdr>
                  <w:divsChild>
                    <w:div w:id="114793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725994">
      <w:bodyDiv w:val="1"/>
      <w:marLeft w:val="0"/>
      <w:marRight w:val="0"/>
      <w:marTop w:val="0"/>
      <w:marBottom w:val="0"/>
      <w:divBdr>
        <w:top w:val="none" w:sz="0" w:space="0" w:color="auto"/>
        <w:left w:val="none" w:sz="0" w:space="0" w:color="auto"/>
        <w:bottom w:val="none" w:sz="0" w:space="0" w:color="auto"/>
        <w:right w:val="none" w:sz="0" w:space="0" w:color="auto"/>
      </w:divBdr>
    </w:div>
    <w:div w:id="1797992636">
      <w:bodyDiv w:val="1"/>
      <w:marLeft w:val="0"/>
      <w:marRight w:val="0"/>
      <w:marTop w:val="0"/>
      <w:marBottom w:val="0"/>
      <w:divBdr>
        <w:top w:val="none" w:sz="0" w:space="0" w:color="auto"/>
        <w:left w:val="none" w:sz="0" w:space="0" w:color="auto"/>
        <w:bottom w:val="none" w:sz="0" w:space="0" w:color="auto"/>
        <w:right w:val="none" w:sz="0" w:space="0" w:color="auto"/>
      </w:divBdr>
    </w:div>
    <w:div w:id="1847864800">
      <w:bodyDiv w:val="1"/>
      <w:marLeft w:val="0"/>
      <w:marRight w:val="0"/>
      <w:marTop w:val="0"/>
      <w:marBottom w:val="0"/>
      <w:divBdr>
        <w:top w:val="none" w:sz="0" w:space="0" w:color="auto"/>
        <w:left w:val="none" w:sz="0" w:space="0" w:color="auto"/>
        <w:bottom w:val="none" w:sz="0" w:space="0" w:color="auto"/>
        <w:right w:val="none" w:sz="0" w:space="0" w:color="auto"/>
      </w:divBdr>
    </w:div>
    <w:div w:id="1938907451">
      <w:bodyDiv w:val="1"/>
      <w:marLeft w:val="0"/>
      <w:marRight w:val="0"/>
      <w:marTop w:val="0"/>
      <w:marBottom w:val="0"/>
      <w:divBdr>
        <w:top w:val="none" w:sz="0" w:space="0" w:color="auto"/>
        <w:left w:val="none" w:sz="0" w:space="0" w:color="auto"/>
        <w:bottom w:val="none" w:sz="0" w:space="0" w:color="auto"/>
        <w:right w:val="none" w:sz="0" w:space="0" w:color="auto"/>
      </w:divBdr>
    </w:div>
    <w:div w:id="1943299031">
      <w:bodyDiv w:val="1"/>
      <w:marLeft w:val="0"/>
      <w:marRight w:val="0"/>
      <w:marTop w:val="0"/>
      <w:marBottom w:val="0"/>
      <w:divBdr>
        <w:top w:val="none" w:sz="0" w:space="0" w:color="auto"/>
        <w:left w:val="none" w:sz="0" w:space="0" w:color="auto"/>
        <w:bottom w:val="none" w:sz="0" w:space="0" w:color="auto"/>
        <w:right w:val="none" w:sz="0" w:space="0" w:color="auto"/>
      </w:divBdr>
    </w:div>
    <w:div w:id="1956866357">
      <w:bodyDiv w:val="1"/>
      <w:marLeft w:val="0"/>
      <w:marRight w:val="0"/>
      <w:marTop w:val="0"/>
      <w:marBottom w:val="0"/>
      <w:divBdr>
        <w:top w:val="none" w:sz="0" w:space="0" w:color="auto"/>
        <w:left w:val="none" w:sz="0" w:space="0" w:color="auto"/>
        <w:bottom w:val="none" w:sz="0" w:space="0" w:color="auto"/>
        <w:right w:val="none" w:sz="0" w:space="0" w:color="auto"/>
      </w:divBdr>
    </w:div>
    <w:div w:id="2066101654">
      <w:bodyDiv w:val="1"/>
      <w:marLeft w:val="0"/>
      <w:marRight w:val="0"/>
      <w:marTop w:val="0"/>
      <w:marBottom w:val="0"/>
      <w:divBdr>
        <w:top w:val="none" w:sz="0" w:space="0" w:color="auto"/>
        <w:left w:val="none" w:sz="0" w:space="0" w:color="auto"/>
        <w:bottom w:val="none" w:sz="0" w:space="0" w:color="auto"/>
        <w:right w:val="none" w:sz="0" w:space="0" w:color="auto"/>
      </w:divBdr>
    </w:div>
    <w:div w:id="2087917511">
      <w:bodyDiv w:val="1"/>
      <w:marLeft w:val="0"/>
      <w:marRight w:val="0"/>
      <w:marTop w:val="0"/>
      <w:marBottom w:val="0"/>
      <w:divBdr>
        <w:top w:val="none" w:sz="0" w:space="0" w:color="auto"/>
        <w:left w:val="none" w:sz="0" w:space="0" w:color="auto"/>
        <w:bottom w:val="none" w:sz="0" w:space="0" w:color="auto"/>
        <w:right w:val="none" w:sz="0" w:space="0" w:color="auto"/>
      </w:divBdr>
      <w:divsChild>
        <w:div w:id="934020757">
          <w:marLeft w:val="0"/>
          <w:marRight w:val="0"/>
          <w:marTop w:val="0"/>
          <w:marBottom w:val="0"/>
          <w:divBdr>
            <w:top w:val="none" w:sz="0" w:space="0" w:color="auto"/>
            <w:left w:val="none" w:sz="0" w:space="0" w:color="auto"/>
            <w:bottom w:val="none" w:sz="0" w:space="0" w:color="auto"/>
            <w:right w:val="none" w:sz="0" w:space="0" w:color="auto"/>
          </w:divBdr>
          <w:divsChild>
            <w:div w:id="1898123807">
              <w:marLeft w:val="0"/>
              <w:marRight w:val="0"/>
              <w:marTop w:val="0"/>
              <w:marBottom w:val="0"/>
              <w:divBdr>
                <w:top w:val="none" w:sz="0" w:space="0" w:color="auto"/>
                <w:left w:val="none" w:sz="0" w:space="0" w:color="auto"/>
                <w:bottom w:val="none" w:sz="0" w:space="0" w:color="auto"/>
                <w:right w:val="none" w:sz="0" w:space="0" w:color="auto"/>
              </w:divBdr>
            </w:div>
            <w:div w:id="1187477043">
              <w:marLeft w:val="0"/>
              <w:marRight w:val="0"/>
              <w:marTop w:val="0"/>
              <w:marBottom w:val="0"/>
              <w:divBdr>
                <w:top w:val="none" w:sz="0" w:space="0" w:color="auto"/>
                <w:left w:val="none" w:sz="0" w:space="0" w:color="auto"/>
                <w:bottom w:val="none" w:sz="0" w:space="0" w:color="auto"/>
                <w:right w:val="none" w:sz="0" w:space="0" w:color="auto"/>
              </w:divBdr>
            </w:div>
          </w:divsChild>
        </w:div>
        <w:div w:id="562257833">
          <w:marLeft w:val="0"/>
          <w:marRight w:val="0"/>
          <w:marTop w:val="0"/>
          <w:marBottom w:val="0"/>
          <w:divBdr>
            <w:top w:val="none" w:sz="0" w:space="0" w:color="auto"/>
            <w:left w:val="none" w:sz="0" w:space="0" w:color="auto"/>
            <w:bottom w:val="none" w:sz="0" w:space="0" w:color="auto"/>
            <w:right w:val="none" w:sz="0" w:space="0" w:color="auto"/>
          </w:divBdr>
          <w:divsChild>
            <w:div w:id="20402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2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0.wmf"/><Relationship Id="rId21" Type="http://schemas.openxmlformats.org/officeDocument/2006/relationships/image" Target="media/image6.wmf"/><Relationship Id="rId42" Type="http://schemas.openxmlformats.org/officeDocument/2006/relationships/oleObject" Target="embeddings/oleObject17.bin"/><Relationship Id="rId63" Type="http://schemas.openxmlformats.org/officeDocument/2006/relationships/image" Target="media/image25.wmf"/><Relationship Id="rId84" Type="http://schemas.openxmlformats.org/officeDocument/2006/relationships/image" Target="media/image36.wmf"/><Relationship Id="rId138" Type="http://schemas.openxmlformats.org/officeDocument/2006/relationships/oleObject" Target="embeddings/oleObject69.bin"/><Relationship Id="rId159" Type="http://schemas.openxmlformats.org/officeDocument/2006/relationships/oleObject" Target="embeddings/oleObject82.bin"/><Relationship Id="rId170" Type="http://schemas.openxmlformats.org/officeDocument/2006/relationships/oleObject" Target="embeddings/oleObject90.bin"/><Relationship Id="rId191" Type="http://schemas.openxmlformats.org/officeDocument/2006/relationships/image" Target="media/image77.wmf"/><Relationship Id="rId205" Type="http://schemas.openxmlformats.org/officeDocument/2006/relationships/oleObject" Target="embeddings/oleObject116.bin"/><Relationship Id="rId226" Type="http://schemas.openxmlformats.org/officeDocument/2006/relationships/oleObject" Target="embeddings/oleObject128.bin"/><Relationship Id="rId247" Type="http://schemas.openxmlformats.org/officeDocument/2006/relationships/hyperlink" Target="https://doi.org/10.48550/arXiv.2011.09152" TargetMode="External"/><Relationship Id="rId107" Type="http://schemas.openxmlformats.org/officeDocument/2006/relationships/oleObject" Target="embeddings/oleObject52.bin"/><Relationship Id="rId11" Type="http://schemas.openxmlformats.org/officeDocument/2006/relationships/image" Target="media/image1.wmf"/><Relationship Id="rId32" Type="http://schemas.openxmlformats.org/officeDocument/2006/relationships/oleObject" Target="embeddings/oleObject11.bin"/><Relationship Id="rId53" Type="http://schemas.openxmlformats.org/officeDocument/2006/relationships/oleObject" Target="embeddings/oleObject23.bin"/><Relationship Id="rId74" Type="http://schemas.openxmlformats.org/officeDocument/2006/relationships/image" Target="media/image31.wmf"/><Relationship Id="rId128" Type="http://schemas.openxmlformats.org/officeDocument/2006/relationships/oleObject" Target="embeddings/oleObject63.bin"/><Relationship Id="rId149" Type="http://schemas.openxmlformats.org/officeDocument/2006/relationships/image" Target="media/image64.wmf"/><Relationship Id="rId5" Type="http://schemas.openxmlformats.org/officeDocument/2006/relationships/webSettings" Target="webSettings.xml"/><Relationship Id="rId95" Type="http://schemas.openxmlformats.org/officeDocument/2006/relationships/oleObject" Target="embeddings/oleObject46.bin"/><Relationship Id="rId160" Type="http://schemas.openxmlformats.org/officeDocument/2006/relationships/oleObject" Target="embeddings/oleObject83.bin"/><Relationship Id="rId181" Type="http://schemas.openxmlformats.org/officeDocument/2006/relationships/oleObject" Target="embeddings/oleObject96.bin"/><Relationship Id="rId216" Type="http://schemas.openxmlformats.org/officeDocument/2006/relationships/image" Target="media/image91.wmf"/><Relationship Id="rId237" Type="http://schemas.openxmlformats.org/officeDocument/2006/relationships/oleObject" Target="embeddings/oleObject133.bin"/><Relationship Id="rId22" Type="http://schemas.openxmlformats.org/officeDocument/2006/relationships/oleObject" Target="embeddings/oleObject6.bin"/><Relationship Id="rId43" Type="http://schemas.openxmlformats.org/officeDocument/2006/relationships/oleObject" Target="embeddings/oleObject18.bin"/><Relationship Id="rId64" Type="http://schemas.openxmlformats.org/officeDocument/2006/relationships/oleObject" Target="embeddings/oleObject29.bin"/><Relationship Id="rId118" Type="http://schemas.openxmlformats.org/officeDocument/2006/relationships/oleObject" Target="embeddings/oleObject58.bin"/><Relationship Id="rId139" Type="http://schemas.openxmlformats.org/officeDocument/2006/relationships/image" Target="media/image60.wmf"/><Relationship Id="rId85" Type="http://schemas.openxmlformats.org/officeDocument/2006/relationships/oleObject" Target="embeddings/oleObject39.bin"/><Relationship Id="rId150" Type="http://schemas.openxmlformats.org/officeDocument/2006/relationships/oleObject" Target="embeddings/oleObject76.bin"/><Relationship Id="rId171" Type="http://schemas.openxmlformats.org/officeDocument/2006/relationships/image" Target="media/image71.wmf"/><Relationship Id="rId192" Type="http://schemas.openxmlformats.org/officeDocument/2006/relationships/oleObject" Target="embeddings/oleObject105.bin"/><Relationship Id="rId206" Type="http://schemas.openxmlformats.org/officeDocument/2006/relationships/image" Target="media/image86.wmf"/><Relationship Id="rId227" Type="http://schemas.openxmlformats.org/officeDocument/2006/relationships/footer" Target="footer3.xml"/><Relationship Id="rId248" Type="http://schemas.openxmlformats.org/officeDocument/2006/relationships/hyperlink" Target="https://econpapers.repec.org/article/eeeeneeco/" TargetMode="External"/><Relationship Id="rId12" Type="http://schemas.openxmlformats.org/officeDocument/2006/relationships/oleObject" Target="embeddings/oleObject1.bin"/><Relationship Id="rId33" Type="http://schemas.openxmlformats.org/officeDocument/2006/relationships/image" Target="media/image12.wmf"/><Relationship Id="rId108" Type="http://schemas.openxmlformats.org/officeDocument/2006/relationships/oleObject" Target="embeddings/oleObject53.bin"/><Relationship Id="rId129" Type="http://schemas.openxmlformats.org/officeDocument/2006/relationships/image" Target="media/image56.wmf"/><Relationship Id="rId54" Type="http://schemas.openxmlformats.org/officeDocument/2006/relationships/image" Target="media/image21.wmf"/><Relationship Id="rId75" Type="http://schemas.openxmlformats.org/officeDocument/2006/relationships/oleObject" Target="embeddings/oleObject34.bin"/><Relationship Id="rId96" Type="http://schemas.openxmlformats.org/officeDocument/2006/relationships/image" Target="media/image40.wmf"/><Relationship Id="rId140" Type="http://schemas.openxmlformats.org/officeDocument/2006/relationships/oleObject" Target="embeddings/oleObject70.bin"/><Relationship Id="rId161" Type="http://schemas.openxmlformats.org/officeDocument/2006/relationships/oleObject" Target="embeddings/oleObject84.bin"/><Relationship Id="rId182" Type="http://schemas.openxmlformats.org/officeDocument/2006/relationships/image" Target="media/image76.wmf"/><Relationship Id="rId217" Type="http://schemas.openxmlformats.org/officeDocument/2006/relationships/oleObject" Target="embeddings/oleObject122.bin"/><Relationship Id="rId6" Type="http://schemas.openxmlformats.org/officeDocument/2006/relationships/footnotes" Target="footnotes.xml"/><Relationship Id="rId238" Type="http://schemas.openxmlformats.org/officeDocument/2006/relationships/image" Target="media/image100.wmf"/><Relationship Id="rId23" Type="http://schemas.openxmlformats.org/officeDocument/2006/relationships/image" Target="media/image7.wmf"/><Relationship Id="rId119" Type="http://schemas.openxmlformats.org/officeDocument/2006/relationships/image" Target="media/image51.wmf"/><Relationship Id="rId44" Type="http://schemas.openxmlformats.org/officeDocument/2006/relationships/image" Target="media/image16.wmf"/><Relationship Id="rId65" Type="http://schemas.openxmlformats.org/officeDocument/2006/relationships/image" Target="media/image26.wmf"/><Relationship Id="rId86" Type="http://schemas.openxmlformats.org/officeDocument/2006/relationships/image" Target="media/image37.wmf"/><Relationship Id="rId130" Type="http://schemas.openxmlformats.org/officeDocument/2006/relationships/oleObject" Target="embeddings/oleObject64.bin"/><Relationship Id="rId151" Type="http://schemas.openxmlformats.org/officeDocument/2006/relationships/image" Target="media/image65.wmf"/><Relationship Id="rId172" Type="http://schemas.openxmlformats.org/officeDocument/2006/relationships/oleObject" Target="embeddings/oleObject91.bin"/><Relationship Id="rId193" Type="http://schemas.openxmlformats.org/officeDocument/2006/relationships/oleObject" Target="embeddings/oleObject106.bin"/><Relationship Id="rId207" Type="http://schemas.openxmlformats.org/officeDocument/2006/relationships/oleObject" Target="embeddings/oleObject117.bin"/><Relationship Id="rId228" Type="http://schemas.openxmlformats.org/officeDocument/2006/relationships/image" Target="media/image95.wmf"/><Relationship Id="rId249" Type="http://schemas.openxmlformats.org/officeDocument/2006/relationships/hyperlink" Target="https://conference.iza.org/conference_files/SUMS_2013/schwiebert_j8731.pdf" TargetMode="External"/><Relationship Id="rId13" Type="http://schemas.openxmlformats.org/officeDocument/2006/relationships/image" Target="media/image2.wmf"/><Relationship Id="rId109" Type="http://schemas.openxmlformats.org/officeDocument/2006/relationships/image" Target="media/image46.wmf"/><Relationship Id="rId34" Type="http://schemas.openxmlformats.org/officeDocument/2006/relationships/oleObject" Target="embeddings/oleObject12.bin"/><Relationship Id="rId55" Type="http://schemas.openxmlformats.org/officeDocument/2006/relationships/oleObject" Target="embeddings/oleObject24.bin"/><Relationship Id="rId76" Type="http://schemas.openxmlformats.org/officeDocument/2006/relationships/image" Target="media/image32.wmf"/><Relationship Id="rId97" Type="http://schemas.openxmlformats.org/officeDocument/2006/relationships/oleObject" Target="embeddings/oleObject47.bin"/><Relationship Id="rId120" Type="http://schemas.openxmlformats.org/officeDocument/2006/relationships/oleObject" Target="embeddings/oleObject59.bin"/><Relationship Id="rId141" Type="http://schemas.openxmlformats.org/officeDocument/2006/relationships/image" Target="media/image61.wmf"/><Relationship Id="rId7" Type="http://schemas.openxmlformats.org/officeDocument/2006/relationships/endnotes" Target="endnotes.xml"/><Relationship Id="rId162" Type="http://schemas.openxmlformats.org/officeDocument/2006/relationships/oleObject" Target="embeddings/oleObject85.bin"/><Relationship Id="rId183" Type="http://schemas.openxmlformats.org/officeDocument/2006/relationships/oleObject" Target="embeddings/oleObject97.bin"/><Relationship Id="rId218" Type="http://schemas.openxmlformats.org/officeDocument/2006/relationships/image" Target="media/image92.wmf"/><Relationship Id="rId239" Type="http://schemas.openxmlformats.org/officeDocument/2006/relationships/oleObject" Target="embeddings/oleObject134.bin"/><Relationship Id="rId250" Type="http://schemas.openxmlformats.org/officeDocument/2006/relationships/fontTable" Target="fontTable.xml"/><Relationship Id="rId24" Type="http://schemas.openxmlformats.org/officeDocument/2006/relationships/oleObject" Target="embeddings/oleObject7.bin"/><Relationship Id="rId45" Type="http://schemas.openxmlformats.org/officeDocument/2006/relationships/oleObject" Target="embeddings/oleObject19.bin"/><Relationship Id="rId66" Type="http://schemas.openxmlformats.org/officeDocument/2006/relationships/oleObject" Target="embeddings/oleObject30.bin"/><Relationship Id="rId87" Type="http://schemas.openxmlformats.org/officeDocument/2006/relationships/oleObject" Target="embeddings/oleObject40.bin"/><Relationship Id="rId110" Type="http://schemas.openxmlformats.org/officeDocument/2006/relationships/oleObject" Target="embeddings/oleObject54.bin"/><Relationship Id="rId131" Type="http://schemas.openxmlformats.org/officeDocument/2006/relationships/image" Target="media/image57.wmf"/><Relationship Id="rId152" Type="http://schemas.openxmlformats.org/officeDocument/2006/relationships/oleObject" Target="embeddings/oleObject77.bin"/><Relationship Id="rId173" Type="http://schemas.openxmlformats.org/officeDocument/2006/relationships/image" Target="media/image72.wmf"/><Relationship Id="rId194" Type="http://schemas.openxmlformats.org/officeDocument/2006/relationships/oleObject" Target="embeddings/oleObject107.bin"/><Relationship Id="rId208" Type="http://schemas.openxmlformats.org/officeDocument/2006/relationships/image" Target="media/image87.wmf"/><Relationship Id="rId229" Type="http://schemas.openxmlformats.org/officeDocument/2006/relationships/oleObject" Target="embeddings/oleObject129.bin"/><Relationship Id="rId240" Type="http://schemas.openxmlformats.org/officeDocument/2006/relationships/image" Target="media/image101.wmf"/><Relationship Id="rId14" Type="http://schemas.openxmlformats.org/officeDocument/2006/relationships/oleObject" Target="embeddings/oleObject2.bin"/><Relationship Id="rId35" Type="http://schemas.openxmlformats.org/officeDocument/2006/relationships/image" Target="media/image13.wmf"/><Relationship Id="rId56" Type="http://schemas.openxmlformats.org/officeDocument/2006/relationships/oleObject" Target="embeddings/oleObject25.bin"/><Relationship Id="rId77" Type="http://schemas.openxmlformats.org/officeDocument/2006/relationships/oleObject" Target="embeddings/oleObject35.bin"/><Relationship Id="rId100" Type="http://schemas.openxmlformats.org/officeDocument/2006/relationships/image" Target="media/image42.wmf"/><Relationship Id="rId8" Type="http://schemas.openxmlformats.org/officeDocument/2006/relationships/hyperlink" Target="mailto:bhat@mail.utexas.edu" TargetMode="External"/><Relationship Id="rId98" Type="http://schemas.openxmlformats.org/officeDocument/2006/relationships/image" Target="media/image41.wmf"/><Relationship Id="rId121" Type="http://schemas.openxmlformats.org/officeDocument/2006/relationships/image" Target="media/image52.wmf"/><Relationship Id="rId142" Type="http://schemas.openxmlformats.org/officeDocument/2006/relationships/oleObject" Target="embeddings/oleObject71.bin"/><Relationship Id="rId163" Type="http://schemas.openxmlformats.org/officeDocument/2006/relationships/oleObject" Target="embeddings/oleObject86.bin"/><Relationship Id="rId184" Type="http://schemas.openxmlformats.org/officeDocument/2006/relationships/oleObject" Target="embeddings/oleObject98.bin"/><Relationship Id="rId219" Type="http://schemas.openxmlformats.org/officeDocument/2006/relationships/oleObject" Target="embeddings/oleObject123.bin"/><Relationship Id="rId230" Type="http://schemas.openxmlformats.org/officeDocument/2006/relationships/image" Target="media/image96.wmf"/><Relationship Id="rId251" Type="http://schemas.openxmlformats.org/officeDocument/2006/relationships/theme" Target="theme/theme1.xml"/><Relationship Id="rId25" Type="http://schemas.openxmlformats.org/officeDocument/2006/relationships/image" Target="media/image8.wmf"/><Relationship Id="rId46" Type="http://schemas.openxmlformats.org/officeDocument/2006/relationships/image" Target="media/image17.wmf"/><Relationship Id="rId67" Type="http://schemas.openxmlformats.org/officeDocument/2006/relationships/image" Target="media/image27.wmf"/><Relationship Id="rId88" Type="http://schemas.openxmlformats.org/officeDocument/2006/relationships/image" Target="media/image38.wmf"/><Relationship Id="rId111" Type="http://schemas.openxmlformats.org/officeDocument/2006/relationships/image" Target="media/image47.wmf"/><Relationship Id="rId132" Type="http://schemas.openxmlformats.org/officeDocument/2006/relationships/oleObject" Target="embeddings/oleObject65.bin"/><Relationship Id="rId153" Type="http://schemas.openxmlformats.org/officeDocument/2006/relationships/oleObject" Target="embeddings/oleObject78.bin"/><Relationship Id="rId174" Type="http://schemas.openxmlformats.org/officeDocument/2006/relationships/oleObject" Target="embeddings/oleObject92.bin"/><Relationship Id="rId195" Type="http://schemas.openxmlformats.org/officeDocument/2006/relationships/oleObject" Target="embeddings/oleObject111.bin"/><Relationship Id="rId209" Type="http://schemas.openxmlformats.org/officeDocument/2006/relationships/oleObject" Target="embeddings/oleObject118.bin"/><Relationship Id="rId220" Type="http://schemas.openxmlformats.org/officeDocument/2006/relationships/image" Target="media/image93.wmf"/><Relationship Id="rId241" Type="http://schemas.openxmlformats.org/officeDocument/2006/relationships/oleObject" Target="embeddings/oleObject135.bin"/><Relationship Id="rId15" Type="http://schemas.openxmlformats.org/officeDocument/2006/relationships/image" Target="media/image3.wmf"/><Relationship Id="rId36" Type="http://schemas.openxmlformats.org/officeDocument/2006/relationships/oleObject" Target="embeddings/oleObject13.bin"/><Relationship Id="rId57" Type="http://schemas.openxmlformats.org/officeDocument/2006/relationships/image" Target="media/image22.wmf"/><Relationship Id="rId78" Type="http://schemas.openxmlformats.org/officeDocument/2006/relationships/image" Target="media/image33.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oleObject" Target="embeddings/oleObject60.bin"/><Relationship Id="rId143" Type="http://schemas.openxmlformats.org/officeDocument/2006/relationships/oleObject" Target="embeddings/oleObject72.bin"/><Relationship Id="rId164" Type="http://schemas.openxmlformats.org/officeDocument/2006/relationships/image" Target="media/image68.wmf"/><Relationship Id="rId185" Type="http://schemas.openxmlformats.org/officeDocument/2006/relationships/oleObject" Target="embeddings/oleObject99.bin"/><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image" Target="media/image75.wmf"/><Relationship Id="rId210" Type="http://schemas.openxmlformats.org/officeDocument/2006/relationships/image" Target="media/image88.wmf"/><Relationship Id="rId215" Type="http://schemas.openxmlformats.org/officeDocument/2006/relationships/oleObject" Target="embeddings/oleObject121.bin"/><Relationship Id="rId236" Type="http://schemas.openxmlformats.org/officeDocument/2006/relationships/image" Target="media/image99.wmf"/><Relationship Id="rId26" Type="http://schemas.openxmlformats.org/officeDocument/2006/relationships/oleObject" Target="embeddings/oleObject8.bin"/><Relationship Id="rId231" Type="http://schemas.openxmlformats.org/officeDocument/2006/relationships/oleObject" Target="embeddings/oleObject130.bin"/><Relationship Id="rId47" Type="http://schemas.openxmlformats.org/officeDocument/2006/relationships/oleObject" Target="embeddings/oleObject20.bin"/><Relationship Id="rId68" Type="http://schemas.openxmlformats.org/officeDocument/2006/relationships/oleObject" Target="embeddings/oleObject31.bin"/><Relationship Id="rId89" Type="http://schemas.openxmlformats.org/officeDocument/2006/relationships/oleObject" Target="embeddings/oleObject41.bin"/><Relationship Id="rId112" Type="http://schemas.openxmlformats.org/officeDocument/2006/relationships/oleObject" Target="embeddings/oleObject55.bin"/><Relationship Id="rId133" Type="http://schemas.openxmlformats.org/officeDocument/2006/relationships/image" Target="media/image58.wmf"/><Relationship Id="rId154" Type="http://schemas.openxmlformats.org/officeDocument/2006/relationships/image" Target="media/image66.wmf"/><Relationship Id="rId175" Type="http://schemas.openxmlformats.org/officeDocument/2006/relationships/image" Target="media/image73.wmf"/><Relationship Id="rId196" Type="http://schemas.openxmlformats.org/officeDocument/2006/relationships/image" Target="media/image81.wmf"/><Relationship Id="rId200" Type="http://schemas.openxmlformats.org/officeDocument/2006/relationships/image" Target="media/image83.wmf"/><Relationship Id="rId16" Type="http://schemas.openxmlformats.org/officeDocument/2006/relationships/oleObject" Target="embeddings/oleObject3.bin"/><Relationship Id="rId221" Type="http://schemas.openxmlformats.org/officeDocument/2006/relationships/oleObject" Target="embeddings/oleObject124.bin"/><Relationship Id="rId242" Type="http://schemas.openxmlformats.org/officeDocument/2006/relationships/hyperlink" Target="https://www.sciencedirect.com/journal/econometrics-and-statistics" TargetMode="External"/><Relationship Id="rId37" Type="http://schemas.openxmlformats.org/officeDocument/2006/relationships/oleObject" Target="embeddings/oleObject14.bin"/><Relationship Id="rId58" Type="http://schemas.openxmlformats.org/officeDocument/2006/relationships/oleObject" Target="embeddings/oleObject26.bin"/><Relationship Id="rId79" Type="http://schemas.openxmlformats.org/officeDocument/2006/relationships/oleObject" Target="embeddings/oleObject36.bin"/><Relationship Id="rId102" Type="http://schemas.openxmlformats.org/officeDocument/2006/relationships/image" Target="media/image43.wmf"/><Relationship Id="rId123" Type="http://schemas.openxmlformats.org/officeDocument/2006/relationships/image" Target="media/image53.wmf"/><Relationship Id="rId144" Type="http://schemas.openxmlformats.org/officeDocument/2006/relationships/oleObject" Target="embeddings/oleObject73.bin"/><Relationship Id="rId90" Type="http://schemas.openxmlformats.org/officeDocument/2006/relationships/oleObject" Target="embeddings/oleObject42.bin"/><Relationship Id="rId165" Type="http://schemas.openxmlformats.org/officeDocument/2006/relationships/oleObject" Target="embeddings/oleObject87.bin"/><Relationship Id="rId186" Type="http://schemas.openxmlformats.org/officeDocument/2006/relationships/oleObject" Target="embeddings/oleObject100.bin"/><Relationship Id="rId211" Type="http://schemas.openxmlformats.org/officeDocument/2006/relationships/oleObject" Target="embeddings/oleObject119.bin"/><Relationship Id="rId232" Type="http://schemas.openxmlformats.org/officeDocument/2006/relationships/image" Target="media/image97.wmf"/><Relationship Id="rId27" Type="http://schemas.openxmlformats.org/officeDocument/2006/relationships/image" Target="media/image9.wmf"/><Relationship Id="rId48" Type="http://schemas.openxmlformats.org/officeDocument/2006/relationships/image" Target="media/image18.wmf"/><Relationship Id="rId69" Type="http://schemas.openxmlformats.org/officeDocument/2006/relationships/image" Target="media/image28.png"/><Relationship Id="rId113" Type="http://schemas.openxmlformats.org/officeDocument/2006/relationships/image" Target="media/image48.wmf"/><Relationship Id="rId134" Type="http://schemas.openxmlformats.org/officeDocument/2006/relationships/oleObject" Target="embeddings/oleObject66.bin"/><Relationship Id="rId80" Type="http://schemas.openxmlformats.org/officeDocument/2006/relationships/image" Target="media/image34.wmf"/><Relationship Id="rId155" Type="http://schemas.openxmlformats.org/officeDocument/2006/relationships/oleObject" Target="embeddings/oleObject79.bin"/><Relationship Id="rId176" Type="http://schemas.openxmlformats.org/officeDocument/2006/relationships/oleObject" Target="embeddings/oleObject93.bin"/><Relationship Id="rId197" Type="http://schemas.openxmlformats.org/officeDocument/2006/relationships/oleObject" Target="embeddings/oleObject112.bin"/><Relationship Id="rId201" Type="http://schemas.openxmlformats.org/officeDocument/2006/relationships/oleObject" Target="embeddings/oleObject114.bin"/><Relationship Id="rId222" Type="http://schemas.openxmlformats.org/officeDocument/2006/relationships/image" Target="media/image94.wmf"/><Relationship Id="rId243" Type="http://schemas.openxmlformats.org/officeDocument/2006/relationships/hyperlink" Target="https://doi.org/10.1016/j.ecosta.2022.05.002" TargetMode="External"/><Relationship Id="rId17" Type="http://schemas.openxmlformats.org/officeDocument/2006/relationships/image" Target="media/image4.wmf"/><Relationship Id="rId38" Type="http://schemas.openxmlformats.org/officeDocument/2006/relationships/oleObject" Target="embeddings/oleObject15.bin"/><Relationship Id="rId59" Type="http://schemas.openxmlformats.org/officeDocument/2006/relationships/image" Target="media/image23.wmf"/><Relationship Id="rId103" Type="http://schemas.openxmlformats.org/officeDocument/2006/relationships/oleObject" Target="embeddings/oleObject50.bin"/><Relationship Id="rId124" Type="http://schemas.openxmlformats.org/officeDocument/2006/relationships/oleObject" Target="embeddings/oleObject61.bin"/><Relationship Id="rId70" Type="http://schemas.openxmlformats.org/officeDocument/2006/relationships/image" Target="media/image29.wmf"/><Relationship Id="rId91" Type="http://schemas.openxmlformats.org/officeDocument/2006/relationships/oleObject" Target="embeddings/oleObject43.bin"/><Relationship Id="rId145" Type="http://schemas.openxmlformats.org/officeDocument/2006/relationships/image" Target="media/image62.wmf"/><Relationship Id="rId166" Type="http://schemas.openxmlformats.org/officeDocument/2006/relationships/oleObject" Target="embeddings/oleObject88.bin"/><Relationship Id="rId187" Type="http://schemas.openxmlformats.org/officeDocument/2006/relationships/oleObject" Target="embeddings/oleObject101.bin"/><Relationship Id="rId1" Type="http://schemas.openxmlformats.org/officeDocument/2006/relationships/customXml" Target="../customXml/item1.xml"/><Relationship Id="rId212" Type="http://schemas.openxmlformats.org/officeDocument/2006/relationships/image" Target="media/image89.wmf"/><Relationship Id="rId233" Type="http://schemas.openxmlformats.org/officeDocument/2006/relationships/oleObject" Target="embeddings/oleObject131.bin"/><Relationship Id="rId28" Type="http://schemas.openxmlformats.org/officeDocument/2006/relationships/oleObject" Target="embeddings/oleObject9.bin"/><Relationship Id="rId49" Type="http://schemas.openxmlformats.org/officeDocument/2006/relationships/oleObject" Target="embeddings/oleObject21.bin"/><Relationship Id="rId114" Type="http://schemas.openxmlformats.org/officeDocument/2006/relationships/oleObject" Target="embeddings/oleObject56.bin"/><Relationship Id="rId60" Type="http://schemas.openxmlformats.org/officeDocument/2006/relationships/oleObject" Target="embeddings/oleObject27.bin"/><Relationship Id="rId81" Type="http://schemas.openxmlformats.org/officeDocument/2006/relationships/oleObject" Target="embeddings/oleObject37.bin"/><Relationship Id="rId135" Type="http://schemas.openxmlformats.org/officeDocument/2006/relationships/image" Target="media/image59.wmf"/><Relationship Id="rId156" Type="http://schemas.openxmlformats.org/officeDocument/2006/relationships/oleObject" Target="embeddings/oleObject80.bin"/><Relationship Id="rId177" Type="http://schemas.openxmlformats.org/officeDocument/2006/relationships/image" Target="media/image74.wmf"/><Relationship Id="rId198" Type="http://schemas.openxmlformats.org/officeDocument/2006/relationships/image" Target="media/image82.wmf"/><Relationship Id="rId202" Type="http://schemas.openxmlformats.org/officeDocument/2006/relationships/image" Target="media/image84.wmf"/><Relationship Id="rId223" Type="http://schemas.openxmlformats.org/officeDocument/2006/relationships/oleObject" Target="embeddings/oleObject125.bin"/><Relationship Id="rId244" Type="http://schemas.openxmlformats.org/officeDocument/2006/relationships/hyperlink" Target="https://doi.org/10.1016/j.ssmph.2022.101128" TargetMode="External"/><Relationship Id="rId18" Type="http://schemas.openxmlformats.org/officeDocument/2006/relationships/oleObject" Target="embeddings/oleObject4.bin"/><Relationship Id="rId39" Type="http://schemas.openxmlformats.org/officeDocument/2006/relationships/image" Target="media/image14.wmf"/><Relationship Id="rId50" Type="http://schemas.openxmlformats.org/officeDocument/2006/relationships/image" Target="media/image19.wmf"/><Relationship Id="rId104" Type="http://schemas.openxmlformats.org/officeDocument/2006/relationships/image" Target="media/image44.wmf"/><Relationship Id="rId125" Type="http://schemas.openxmlformats.org/officeDocument/2006/relationships/image" Target="media/image54.wmf"/><Relationship Id="rId146" Type="http://schemas.openxmlformats.org/officeDocument/2006/relationships/oleObject" Target="embeddings/oleObject74.bin"/><Relationship Id="rId167" Type="http://schemas.openxmlformats.org/officeDocument/2006/relationships/image" Target="media/image69.wmf"/><Relationship Id="rId188" Type="http://schemas.openxmlformats.org/officeDocument/2006/relationships/oleObject" Target="embeddings/oleObject102.bin"/><Relationship Id="rId71" Type="http://schemas.openxmlformats.org/officeDocument/2006/relationships/oleObject" Target="embeddings/oleObject32.bin"/><Relationship Id="rId92" Type="http://schemas.openxmlformats.org/officeDocument/2006/relationships/oleObject" Target="embeddings/oleObject44.bin"/><Relationship Id="rId213" Type="http://schemas.openxmlformats.org/officeDocument/2006/relationships/oleObject" Target="embeddings/oleObject120.bin"/><Relationship Id="rId234" Type="http://schemas.openxmlformats.org/officeDocument/2006/relationships/image" Target="media/image98.wmf"/><Relationship Id="rId2" Type="http://schemas.openxmlformats.org/officeDocument/2006/relationships/numbering" Target="numbering.xml"/><Relationship Id="rId29" Type="http://schemas.openxmlformats.org/officeDocument/2006/relationships/image" Target="media/image10.wmf"/><Relationship Id="rId40" Type="http://schemas.openxmlformats.org/officeDocument/2006/relationships/oleObject" Target="embeddings/oleObject16.bin"/><Relationship Id="rId115" Type="http://schemas.openxmlformats.org/officeDocument/2006/relationships/image" Target="media/image49.wmf"/><Relationship Id="rId136" Type="http://schemas.openxmlformats.org/officeDocument/2006/relationships/oleObject" Target="embeddings/oleObject67.bin"/><Relationship Id="rId157" Type="http://schemas.openxmlformats.org/officeDocument/2006/relationships/oleObject" Target="embeddings/oleObject81.bin"/><Relationship Id="rId178" Type="http://schemas.openxmlformats.org/officeDocument/2006/relationships/oleObject" Target="embeddings/oleObject94.bin"/><Relationship Id="rId61" Type="http://schemas.openxmlformats.org/officeDocument/2006/relationships/image" Target="media/image24.wmf"/><Relationship Id="rId82" Type="http://schemas.openxmlformats.org/officeDocument/2006/relationships/image" Target="media/image35.wmf"/><Relationship Id="rId199" Type="http://schemas.openxmlformats.org/officeDocument/2006/relationships/oleObject" Target="embeddings/oleObject113.bin"/><Relationship Id="rId203" Type="http://schemas.openxmlformats.org/officeDocument/2006/relationships/oleObject" Target="embeddings/oleObject115.bin"/><Relationship Id="rId19" Type="http://schemas.openxmlformats.org/officeDocument/2006/relationships/image" Target="media/image5.wmf"/><Relationship Id="rId224" Type="http://schemas.openxmlformats.org/officeDocument/2006/relationships/oleObject" Target="embeddings/oleObject126.bin"/><Relationship Id="rId245" Type="http://schemas.openxmlformats.org/officeDocument/2006/relationships/hyperlink" Target="https://publications.ut-capitole.fr/id/eprint/25726/1/wp_tse_855.pdf" TargetMode="External"/><Relationship Id="rId30" Type="http://schemas.openxmlformats.org/officeDocument/2006/relationships/oleObject" Target="embeddings/oleObject10.bin"/><Relationship Id="rId105" Type="http://schemas.openxmlformats.org/officeDocument/2006/relationships/oleObject" Target="embeddings/oleObject51.bin"/><Relationship Id="rId126" Type="http://schemas.openxmlformats.org/officeDocument/2006/relationships/oleObject" Target="embeddings/oleObject62.bin"/><Relationship Id="rId147" Type="http://schemas.openxmlformats.org/officeDocument/2006/relationships/image" Target="media/image63.wmf"/><Relationship Id="rId168" Type="http://schemas.openxmlformats.org/officeDocument/2006/relationships/oleObject" Target="embeddings/oleObject89.bin"/><Relationship Id="rId51" Type="http://schemas.openxmlformats.org/officeDocument/2006/relationships/oleObject" Target="embeddings/oleObject22.bin"/><Relationship Id="rId72" Type="http://schemas.openxmlformats.org/officeDocument/2006/relationships/image" Target="media/image30.wmf"/><Relationship Id="rId93" Type="http://schemas.openxmlformats.org/officeDocument/2006/relationships/oleObject" Target="embeddings/oleObject45.bin"/><Relationship Id="rId189" Type="http://schemas.openxmlformats.org/officeDocument/2006/relationships/oleObject" Target="embeddings/oleObject103.bin"/><Relationship Id="rId3" Type="http://schemas.openxmlformats.org/officeDocument/2006/relationships/styles" Target="styles.xml"/><Relationship Id="rId214" Type="http://schemas.openxmlformats.org/officeDocument/2006/relationships/image" Target="media/image90.wmf"/><Relationship Id="rId235" Type="http://schemas.openxmlformats.org/officeDocument/2006/relationships/oleObject" Target="embeddings/oleObject132.bin"/><Relationship Id="rId116" Type="http://schemas.openxmlformats.org/officeDocument/2006/relationships/oleObject" Target="embeddings/oleObject57.bin"/><Relationship Id="rId137" Type="http://schemas.openxmlformats.org/officeDocument/2006/relationships/oleObject" Target="embeddings/oleObject68.bin"/><Relationship Id="rId158" Type="http://schemas.openxmlformats.org/officeDocument/2006/relationships/image" Target="media/image67.wmf"/><Relationship Id="rId20" Type="http://schemas.openxmlformats.org/officeDocument/2006/relationships/oleObject" Target="embeddings/oleObject5.bin"/><Relationship Id="rId41" Type="http://schemas.openxmlformats.org/officeDocument/2006/relationships/image" Target="media/image15.wmf"/><Relationship Id="rId62" Type="http://schemas.openxmlformats.org/officeDocument/2006/relationships/oleObject" Target="embeddings/oleObject28.bin"/><Relationship Id="rId83" Type="http://schemas.openxmlformats.org/officeDocument/2006/relationships/oleObject" Target="embeddings/oleObject38.bin"/><Relationship Id="rId179" Type="http://schemas.openxmlformats.org/officeDocument/2006/relationships/oleObject" Target="embeddings/oleObject95.bin"/><Relationship Id="rId190" Type="http://schemas.openxmlformats.org/officeDocument/2006/relationships/oleObject" Target="embeddings/oleObject104.bin"/><Relationship Id="rId204" Type="http://schemas.openxmlformats.org/officeDocument/2006/relationships/image" Target="media/image85.wmf"/><Relationship Id="rId225" Type="http://schemas.openxmlformats.org/officeDocument/2006/relationships/oleObject" Target="embeddings/oleObject127.bin"/><Relationship Id="rId246" Type="http://schemas.openxmlformats.org/officeDocument/2006/relationships/hyperlink" Target="https://theconversation.com/inclusion-walkability-will-be-key-to-rebuilding-cities-after-the-covid-19-pandemic-174313" TargetMode="External"/><Relationship Id="rId106" Type="http://schemas.openxmlformats.org/officeDocument/2006/relationships/image" Target="media/image45.wmf"/><Relationship Id="rId127" Type="http://schemas.openxmlformats.org/officeDocument/2006/relationships/image" Target="media/image55.wmf"/><Relationship Id="rId10" Type="http://schemas.openxmlformats.org/officeDocument/2006/relationships/footer" Target="footer2.xml"/><Relationship Id="rId31" Type="http://schemas.openxmlformats.org/officeDocument/2006/relationships/image" Target="media/image11.wmf"/><Relationship Id="rId52" Type="http://schemas.openxmlformats.org/officeDocument/2006/relationships/image" Target="media/image20.wmf"/><Relationship Id="rId73" Type="http://schemas.openxmlformats.org/officeDocument/2006/relationships/oleObject" Target="embeddings/oleObject33.bin"/><Relationship Id="rId94" Type="http://schemas.openxmlformats.org/officeDocument/2006/relationships/image" Target="media/image39.wmf"/><Relationship Id="rId148" Type="http://schemas.openxmlformats.org/officeDocument/2006/relationships/oleObject" Target="embeddings/oleObject75.bin"/><Relationship Id="rId169" Type="http://schemas.openxmlformats.org/officeDocument/2006/relationships/image" Target="media/image70.wmf"/></Relationships>
</file>

<file path=word/_rels/footnotes.xml.rels><?xml version="1.0" encoding="UTF-8" standalone="yes"?>
<Relationships xmlns="http://schemas.openxmlformats.org/package/2006/relationships"><Relationship Id="rId8" Type="http://schemas.openxmlformats.org/officeDocument/2006/relationships/hyperlink" Target="https://www.aarp.org/pri/topics/health/prevention-wellness/walking-attitudes-habits-adults-50-older/" TargetMode="External"/><Relationship Id="rId3" Type="http://schemas.openxmlformats.org/officeDocument/2006/relationships/image" Target="media/image79.wmf"/><Relationship Id="rId7" Type="http://schemas.openxmlformats.org/officeDocument/2006/relationships/hyperlink" Target="https://iris.who.int/bitstream/handle/10665/337001/9789240014886-eng.pdf" TargetMode="External"/><Relationship Id="rId2" Type="http://schemas.openxmlformats.org/officeDocument/2006/relationships/oleObject" Target="embeddings/oleObject108.bin"/><Relationship Id="rId1" Type="http://schemas.openxmlformats.org/officeDocument/2006/relationships/image" Target="media/image78.wmf"/><Relationship Id="rId6" Type="http://schemas.openxmlformats.org/officeDocument/2006/relationships/oleObject" Target="embeddings/oleObject110.bin"/><Relationship Id="rId5" Type="http://schemas.openxmlformats.org/officeDocument/2006/relationships/image" Target="media/image80.wmf"/><Relationship Id="rId4" Type="http://schemas.openxmlformats.org/officeDocument/2006/relationships/oleObject" Target="embeddings/oleObject10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C6924-520E-4513-AF1A-A9D7019AC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14610</Words>
  <Characters>83281</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Bhat, Chandra R</dc:creator>
  <cp:keywords/>
  <dc:description/>
  <cp:lastModifiedBy>Macias, Lisa J</cp:lastModifiedBy>
  <cp:revision>2</cp:revision>
  <cp:lastPrinted>2024-02-07T22:09:00Z</cp:lastPrinted>
  <dcterms:created xsi:type="dcterms:W3CDTF">2024-02-09T20:39:00Z</dcterms:created>
  <dcterms:modified xsi:type="dcterms:W3CDTF">2024-02-09T20:39:00Z</dcterms:modified>
</cp:coreProperties>
</file>