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03B" w:rsidRPr="007146C7" w:rsidRDefault="001F303B" w:rsidP="001F303B">
      <w:pPr>
        <w:jc w:val="center"/>
        <w:rPr>
          <w:b/>
          <w:sz w:val="28"/>
          <w:szCs w:val="28"/>
        </w:rPr>
      </w:pPr>
      <w:r w:rsidRPr="007146C7">
        <w:rPr>
          <w:b/>
          <w:sz w:val="28"/>
          <w:szCs w:val="28"/>
        </w:rPr>
        <w:t xml:space="preserve">Solution to </w:t>
      </w:r>
      <w:r>
        <w:rPr>
          <w:b/>
          <w:sz w:val="28"/>
          <w:szCs w:val="28"/>
        </w:rPr>
        <w:t>Exercise</w:t>
      </w:r>
      <w:r w:rsidRPr="007146C7">
        <w:rPr>
          <w:b/>
          <w:sz w:val="28"/>
          <w:szCs w:val="28"/>
        </w:rPr>
        <w:t xml:space="preserve"> </w:t>
      </w:r>
      <w:r>
        <w:rPr>
          <w:b/>
          <w:sz w:val="28"/>
          <w:szCs w:val="28"/>
        </w:rPr>
        <w:t>3</w:t>
      </w:r>
    </w:p>
    <w:p w:rsidR="001F303B" w:rsidRPr="00BC539B" w:rsidRDefault="001F303B" w:rsidP="001F303B">
      <w:pPr>
        <w:jc w:val="center"/>
      </w:pPr>
      <w:r>
        <w:t>WATR 404/604</w:t>
      </w:r>
      <w:r>
        <w:br/>
        <w:t>First Semester 2018</w:t>
      </w:r>
      <w:r>
        <w:br/>
      </w:r>
      <w:r>
        <w:br/>
        <w:t>Prepared by David R. Maidment</w:t>
      </w:r>
    </w:p>
    <w:p w:rsidR="001F303B" w:rsidRPr="00E35BBE" w:rsidRDefault="001F303B" w:rsidP="001F303B">
      <w:pPr>
        <w:rPr>
          <w:b/>
          <w:sz w:val="28"/>
          <w:szCs w:val="28"/>
        </w:rPr>
      </w:pPr>
      <w:r w:rsidRPr="00E35BBE">
        <w:rPr>
          <w:b/>
          <w:sz w:val="28"/>
          <w:szCs w:val="28"/>
        </w:rPr>
        <w:t>Question 1</w:t>
      </w:r>
    </w:p>
    <w:p w:rsidR="001F303B" w:rsidRDefault="001F303B" w:rsidP="001F303B">
      <w:pPr>
        <w:spacing w:after="34"/>
        <w:ind w:left="10" w:right="1181" w:hanging="10"/>
      </w:pPr>
      <w:r>
        <w:rPr>
          <w:i/>
        </w:rPr>
        <w:t xml:space="preserve">To be turned in: A screen capture of the header of your </w:t>
      </w:r>
      <w:proofErr w:type="spellStart"/>
      <w:r>
        <w:rPr>
          <w:i/>
        </w:rPr>
        <w:t>WaterML</w:t>
      </w:r>
      <w:proofErr w:type="spellEnd"/>
      <w:r>
        <w:rPr>
          <w:i/>
        </w:rPr>
        <w:t xml:space="preserve"> response for flow along with the first couple of data values, as shown above.  What is the time period of your data request (from date, to date)?  What are the units of the flow data?  What was the mean daily flow of the </w:t>
      </w:r>
      <w:proofErr w:type="spellStart"/>
      <w:r>
        <w:rPr>
          <w:i/>
        </w:rPr>
        <w:t>Mangatainoka</w:t>
      </w:r>
      <w:proofErr w:type="spellEnd"/>
      <w:r>
        <w:rPr>
          <w:i/>
        </w:rPr>
        <w:t xml:space="preserve"> River at </w:t>
      </w:r>
      <w:proofErr w:type="spellStart"/>
      <w:r>
        <w:rPr>
          <w:i/>
        </w:rPr>
        <w:t>Pahiatua</w:t>
      </w:r>
      <w:proofErr w:type="spellEnd"/>
      <w:r>
        <w:rPr>
          <w:i/>
        </w:rPr>
        <w:t xml:space="preserve"> Town Bridge on 5 March 2018? </w:t>
      </w:r>
    </w:p>
    <w:p w:rsidR="00485F51" w:rsidRDefault="00485F51" w:rsidP="001F303B">
      <w:pPr>
        <w:rPr>
          <w:b/>
          <w:iCs/>
          <w:sz w:val="23"/>
          <w:szCs w:val="23"/>
        </w:rPr>
      </w:pPr>
    </w:p>
    <w:p w:rsidR="001F303B" w:rsidRPr="00831AF5" w:rsidRDefault="001F303B" w:rsidP="001F303B">
      <w:pPr>
        <w:rPr>
          <w:b/>
          <w:iCs/>
          <w:sz w:val="23"/>
          <w:szCs w:val="23"/>
        </w:rPr>
      </w:pPr>
      <w:r w:rsidRPr="00831AF5">
        <w:rPr>
          <w:b/>
          <w:iCs/>
          <w:sz w:val="23"/>
          <w:szCs w:val="23"/>
        </w:rPr>
        <w:t>Solution</w:t>
      </w:r>
    </w:p>
    <w:p w:rsidR="00BF3F5E" w:rsidRDefault="00C510D8"/>
    <w:p w:rsidR="001F303B" w:rsidRDefault="00BA3ABF">
      <w:r>
        <w:t>The web request is:</w:t>
      </w:r>
    </w:p>
    <w:p w:rsidR="00BA3ABF" w:rsidRDefault="00BA3ABF" w:rsidP="00BA3ABF">
      <w:pPr>
        <w:spacing w:after="159"/>
        <w:ind w:left="-5" w:right="1183"/>
      </w:pPr>
      <w:r>
        <w:t xml:space="preserve">http://tsdata.horizons.govt.nz/contactrec.hts?Service=SOS&amp;Request=GetObservation&amp;FeatureOfInterest=Mangatainoka at </w:t>
      </w:r>
      <w:proofErr w:type="spellStart"/>
      <w:r>
        <w:t>Pahiatua</w:t>
      </w:r>
      <w:proofErr w:type="spellEnd"/>
      <w:r>
        <w:t xml:space="preserve"> Town </w:t>
      </w:r>
      <w:proofErr w:type="spellStart"/>
      <w:r>
        <w:t>Bridge&amp;ObservedProperty</w:t>
      </w:r>
      <w:proofErr w:type="spellEnd"/>
      <w:r>
        <w:t>=Flow Mean (1 Day</w:t>
      </w:r>
      <w:proofErr w:type="gramStart"/>
      <w:r>
        <w:t>)[</w:t>
      </w:r>
      <w:proofErr w:type="gramEnd"/>
      <w:r>
        <w:t>Water Level]&amp;</w:t>
      </w:r>
      <w:proofErr w:type="spellStart"/>
      <w:r>
        <w:t>TemporalFilter</w:t>
      </w:r>
      <w:proofErr w:type="spellEnd"/>
      <w:r>
        <w:t xml:space="preserve">=om:phenomenonTime,P2Y  </w:t>
      </w:r>
    </w:p>
    <w:p w:rsidR="00BA3ABF" w:rsidRDefault="00BA3ABF">
      <w:r>
        <w:t>The first portion of the response is:</w:t>
      </w:r>
      <w:r>
        <w:br/>
      </w:r>
    </w:p>
    <w:p w:rsidR="001F303B" w:rsidRDefault="00BA3ABF">
      <w:r>
        <w:rPr>
          <w:noProof/>
          <w:lang w:val="en-NZ" w:eastAsia="en-NZ"/>
        </w:rPr>
        <w:drawing>
          <wp:inline distT="0" distB="0" distL="0" distR="0">
            <wp:extent cx="5934075" cy="336232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3362325"/>
                    </a:xfrm>
                    <a:prstGeom prst="rect">
                      <a:avLst/>
                    </a:prstGeom>
                    <a:noFill/>
                    <a:ln w="3175">
                      <a:solidFill>
                        <a:schemeClr val="bg1">
                          <a:lumMod val="65000"/>
                        </a:schemeClr>
                      </a:solidFill>
                    </a:ln>
                  </pic:spPr>
                </pic:pic>
              </a:graphicData>
            </a:graphic>
          </wp:inline>
        </w:drawing>
      </w:r>
    </w:p>
    <w:p w:rsidR="00BA3ABF" w:rsidRDefault="00BA3ABF" w:rsidP="00BA3ABF"/>
    <w:p w:rsidR="00BA3ABF" w:rsidRDefault="00BA3ABF" w:rsidP="00BA3ABF">
      <w:r>
        <w:t xml:space="preserve">The time period of the data request is: </w:t>
      </w:r>
      <w:r w:rsidRPr="004E23A2">
        <w:rPr>
          <w:b/>
        </w:rPr>
        <w:t>18 March 2016 to 18 March 2018</w:t>
      </w:r>
    </w:p>
    <w:p w:rsidR="00BA3ABF" w:rsidRDefault="00BA3ABF" w:rsidP="00BA3ABF"/>
    <w:p w:rsidR="00BA3ABF" w:rsidRPr="004E23A2" w:rsidRDefault="00BA3ABF" w:rsidP="00BA3ABF">
      <w:pPr>
        <w:rPr>
          <w:b/>
        </w:rPr>
      </w:pPr>
      <w:r>
        <w:t xml:space="preserve">The units of the flow data are liters per second </w:t>
      </w:r>
      <w:r w:rsidRPr="004E23A2">
        <w:rPr>
          <w:b/>
        </w:rPr>
        <w:t>(l/s)</w:t>
      </w:r>
    </w:p>
    <w:p w:rsidR="00BA3ABF" w:rsidRDefault="00BA3ABF" w:rsidP="00BA3ABF"/>
    <w:p w:rsidR="00BA3ABF" w:rsidRDefault="00D906ED" w:rsidP="00BA3ABF">
      <w:r>
        <w:lastRenderedPageBreak/>
        <w:t xml:space="preserve">The mean daily flow of the </w:t>
      </w:r>
      <w:proofErr w:type="spellStart"/>
      <w:r>
        <w:t>Mangatainoka</w:t>
      </w:r>
      <w:proofErr w:type="spellEnd"/>
      <w:r>
        <w:t xml:space="preserve"> River on 5 March 2018 is </w:t>
      </w:r>
      <w:r w:rsidRPr="00D906ED">
        <w:rPr>
          <w:b/>
        </w:rPr>
        <w:t>3650 l/s</w:t>
      </w:r>
      <w:r>
        <w:t xml:space="preserve"> (3.65 m</w:t>
      </w:r>
      <w:r w:rsidRPr="00D906ED">
        <w:rPr>
          <w:vertAlign w:val="superscript"/>
        </w:rPr>
        <w:t>3</w:t>
      </w:r>
      <w:r>
        <w:t>/s)</w:t>
      </w:r>
    </w:p>
    <w:p w:rsidR="00D906ED" w:rsidRDefault="00D906ED" w:rsidP="00BA3ABF">
      <w:pPr>
        <w:ind w:left="10" w:hanging="10"/>
      </w:pPr>
      <w:r>
        <w:rPr>
          <w:noProof/>
          <w:lang w:val="en-NZ" w:eastAsia="en-NZ"/>
        </w:rPr>
        <w:drawing>
          <wp:inline distT="0" distB="0" distL="0" distR="0">
            <wp:extent cx="4838700" cy="8858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885825"/>
                    </a:xfrm>
                    <a:prstGeom prst="rect">
                      <a:avLst/>
                    </a:prstGeom>
                    <a:noFill/>
                    <a:ln w="3175">
                      <a:solidFill>
                        <a:schemeClr val="bg1">
                          <a:lumMod val="65000"/>
                        </a:schemeClr>
                      </a:solidFill>
                    </a:ln>
                  </pic:spPr>
                </pic:pic>
              </a:graphicData>
            </a:graphic>
          </wp:inline>
        </w:drawing>
      </w:r>
    </w:p>
    <w:p w:rsidR="001F303B" w:rsidRDefault="001F303B"/>
    <w:p w:rsidR="00F42D0A" w:rsidRPr="00E35BBE" w:rsidRDefault="00F42D0A" w:rsidP="00F42D0A">
      <w:pPr>
        <w:rPr>
          <w:b/>
          <w:sz w:val="28"/>
          <w:szCs w:val="28"/>
        </w:rPr>
      </w:pPr>
      <w:r w:rsidRPr="00E35BBE">
        <w:rPr>
          <w:b/>
          <w:sz w:val="28"/>
          <w:szCs w:val="28"/>
        </w:rPr>
        <w:t>Question 2</w:t>
      </w:r>
    </w:p>
    <w:p w:rsidR="00F42D0A" w:rsidRDefault="00F42D0A" w:rsidP="00F42D0A">
      <w:pPr>
        <w:spacing w:after="35"/>
        <w:ind w:left="10" w:right="1181" w:hanging="10"/>
      </w:pPr>
      <w:r>
        <w:rPr>
          <w:i/>
        </w:rPr>
        <w:t xml:space="preserve">To be turned in: A screen capture of the header of your </w:t>
      </w:r>
      <w:proofErr w:type="spellStart"/>
      <w:r>
        <w:rPr>
          <w:i/>
        </w:rPr>
        <w:t>WaterML</w:t>
      </w:r>
      <w:proofErr w:type="spellEnd"/>
      <w:r>
        <w:rPr>
          <w:i/>
        </w:rPr>
        <w:t xml:space="preserve"> response for E. Coli along with the first couple of data values, as shown above.  What is the Feature of Interest, Observed Property, Procedure of Measurement and Temporal Domain of the Result? What is the time period of your data request (from date, to date)?  What are the units of the E. </w:t>
      </w:r>
      <w:proofErr w:type="gramStart"/>
      <w:r>
        <w:rPr>
          <w:i/>
        </w:rPr>
        <w:t>Coli</w:t>
      </w:r>
      <w:proofErr w:type="gramEnd"/>
      <w:r>
        <w:rPr>
          <w:i/>
        </w:rPr>
        <w:t xml:space="preserve"> data?   </w:t>
      </w:r>
    </w:p>
    <w:p w:rsidR="00F42D0A" w:rsidRDefault="00F42D0A" w:rsidP="00F42D0A">
      <w:pPr>
        <w:rPr>
          <w:b/>
          <w:iCs/>
          <w:sz w:val="23"/>
          <w:szCs w:val="23"/>
        </w:rPr>
      </w:pPr>
    </w:p>
    <w:p w:rsidR="00F42D0A" w:rsidRPr="00831AF5" w:rsidRDefault="00F42D0A" w:rsidP="00F42D0A">
      <w:pPr>
        <w:rPr>
          <w:b/>
          <w:iCs/>
          <w:sz w:val="23"/>
          <w:szCs w:val="23"/>
        </w:rPr>
      </w:pPr>
      <w:r w:rsidRPr="00831AF5">
        <w:rPr>
          <w:b/>
          <w:iCs/>
          <w:sz w:val="23"/>
          <w:szCs w:val="23"/>
        </w:rPr>
        <w:t>Solution</w:t>
      </w:r>
    </w:p>
    <w:p w:rsidR="001F303B" w:rsidRDefault="001357A6">
      <w:r>
        <w:t>The web request is:</w:t>
      </w:r>
    </w:p>
    <w:p w:rsidR="001357A6" w:rsidRDefault="001357A6" w:rsidP="001357A6">
      <w:pPr>
        <w:spacing w:after="159"/>
        <w:ind w:left="-5" w:right="1183"/>
      </w:pPr>
      <w:r>
        <w:t xml:space="preserve">http://hilltopserver.horizons.govt.nz/cr_provisional.hts?Service=SOS&amp;Request=GetObservation&amp;FeatureOfInterest=Mangatainoka at </w:t>
      </w:r>
      <w:proofErr w:type="spellStart"/>
      <w:r>
        <w:t>Pahiatua</w:t>
      </w:r>
      <w:proofErr w:type="spellEnd"/>
      <w:r>
        <w:t xml:space="preserve"> Town </w:t>
      </w:r>
      <w:proofErr w:type="spellStart"/>
      <w:r>
        <w:t>Bridge&amp;ObservedProperty</w:t>
      </w:r>
      <w:proofErr w:type="spellEnd"/>
      <w:r>
        <w:t>=E. coli by MPN (HRC</w:t>
      </w:r>
      <w:proofErr w:type="gramStart"/>
      <w:r>
        <w:t>)[</w:t>
      </w:r>
      <w:proofErr w:type="gramEnd"/>
      <w:r>
        <w:t>E. coli by MPN (HRC)]&amp;</w:t>
      </w:r>
      <w:proofErr w:type="spellStart"/>
      <w:r>
        <w:t>TemporalFilter</w:t>
      </w:r>
      <w:proofErr w:type="spellEnd"/>
      <w:r>
        <w:t xml:space="preserve">=om:phenomenonTime,P2Y </w:t>
      </w:r>
    </w:p>
    <w:p w:rsidR="001F303B" w:rsidRDefault="001357A6">
      <w:r>
        <w:t>The first part of the response is:</w:t>
      </w:r>
    </w:p>
    <w:p w:rsidR="001F303B" w:rsidRDefault="001357A6">
      <w:r>
        <w:rPr>
          <w:noProof/>
          <w:lang w:val="en-NZ" w:eastAsia="en-NZ"/>
        </w:rPr>
        <w:drawing>
          <wp:inline distT="0" distB="0" distL="0" distR="0">
            <wp:extent cx="5915025" cy="318135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5025" cy="3181350"/>
                    </a:xfrm>
                    <a:prstGeom prst="rect">
                      <a:avLst/>
                    </a:prstGeom>
                    <a:noFill/>
                    <a:ln w="3175">
                      <a:solidFill>
                        <a:schemeClr val="bg1">
                          <a:lumMod val="65000"/>
                        </a:schemeClr>
                      </a:solidFill>
                    </a:ln>
                  </pic:spPr>
                </pic:pic>
              </a:graphicData>
            </a:graphic>
          </wp:inline>
        </w:drawing>
      </w:r>
    </w:p>
    <w:p w:rsidR="001357A6" w:rsidRDefault="001357A6"/>
    <w:p w:rsidR="001357A6" w:rsidRDefault="001357A6">
      <w:r>
        <w:t xml:space="preserve">Feature of Interest is: </w:t>
      </w:r>
      <w:proofErr w:type="spellStart"/>
      <w:r w:rsidRPr="001357A6">
        <w:rPr>
          <w:b/>
        </w:rPr>
        <w:t>Mangatainoka</w:t>
      </w:r>
      <w:proofErr w:type="spellEnd"/>
      <w:r w:rsidRPr="001357A6">
        <w:rPr>
          <w:b/>
        </w:rPr>
        <w:t xml:space="preserve"> at </w:t>
      </w:r>
      <w:proofErr w:type="spellStart"/>
      <w:r w:rsidRPr="001357A6">
        <w:rPr>
          <w:b/>
        </w:rPr>
        <w:t>Pahiatua</w:t>
      </w:r>
      <w:proofErr w:type="spellEnd"/>
      <w:r w:rsidRPr="001357A6">
        <w:rPr>
          <w:b/>
        </w:rPr>
        <w:t xml:space="preserve"> Town Bridge</w:t>
      </w:r>
    </w:p>
    <w:p w:rsidR="001357A6" w:rsidRDefault="001357A6"/>
    <w:p w:rsidR="001357A6" w:rsidRDefault="001357A6">
      <w:r>
        <w:t xml:space="preserve">Observed Property is: </w:t>
      </w:r>
      <w:r w:rsidRPr="001357A6">
        <w:rPr>
          <w:b/>
        </w:rPr>
        <w:t xml:space="preserve">E. </w:t>
      </w:r>
      <w:proofErr w:type="gramStart"/>
      <w:r w:rsidRPr="001357A6">
        <w:rPr>
          <w:b/>
        </w:rPr>
        <w:t>Coli</w:t>
      </w:r>
      <w:proofErr w:type="gramEnd"/>
      <w:r w:rsidRPr="001357A6">
        <w:rPr>
          <w:b/>
        </w:rPr>
        <w:t xml:space="preserve"> by MPN (HRC)</w:t>
      </w:r>
    </w:p>
    <w:p w:rsidR="001357A6" w:rsidRDefault="001357A6"/>
    <w:p w:rsidR="001357A6" w:rsidRDefault="001357A6">
      <w:r>
        <w:lastRenderedPageBreak/>
        <w:t xml:space="preserve">Procedure of Measurement: </w:t>
      </w:r>
      <w:r w:rsidRPr="001357A6">
        <w:rPr>
          <w:b/>
        </w:rPr>
        <w:t>Number of Coliform Units Per 100mL</w:t>
      </w:r>
      <w:r>
        <w:t xml:space="preserve"> of water determined by the MPN method.  “</w:t>
      </w:r>
      <w:r>
        <w:rPr>
          <w:rFonts w:ascii="Arial" w:hAnsi="Arial" w:cs="Arial"/>
          <w:color w:val="000000"/>
          <w:lang w:val="en"/>
        </w:rPr>
        <w:t>There are coliform-bacteria testing methods that rely on color changes but also provide an estimate of the number of bacteria present. These are often referred to as "most probable number" (MPN) methods, which use a statistical relationship to estimate the number of bacteria in your sample based on color changes in multiple test tubes.</w:t>
      </w:r>
      <w:r w:rsidR="00E903E7">
        <w:rPr>
          <w:rFonts w:ascii="Arial" w:hAnsi="Arial" w:cs="Arial"/>
          <w:lang w:val="en"/>
        </w:rPr>
        <w:t xml:space="preserve">” </w:t>
      </w:r>
      <w:hyperlink r:id="rId10" w:history="1">
        <w:r w:rsidR="00E903E7" w:rsidRPr="00AC7CF8">
          <w:rPr>
            <w:rStyle w:val="Hyperlink"/>
            <w:rFonts w:ascii="Arial" w:hAnsi="Arial" w:cs="Arial"/>
            <w:lang w:val="en"/>
          </w:rPr>
          <w:t>https://extension.psu.edu/coliform-bacteria</w:t>
        </w:r>
      </w:hyperlink>
      <w:r w:rsidR="00E903E7">
        <w:rPr>
          <w:rFonts w:ascii="Arial" w:hAnsi="Arial" w:cs="Arial"/>
          <w:lang w:val="en"/>
        </w:rPr>
        <w:t xml:space="preserve"> </w:t>
      </w:r>
    </w:p>
    <w:p w:rsidR="001357A6" w:rsidRDefault="001357A6">
      <w:r>
        <w:rPr>
          <w:noProof/>
          <w:lang w:val="en-NZ" w:eastAsia="en-NZ"/>
        </w:rPr>
        <w:drawing>
          <wp:inline distT="0" distB="0" distL="0" distR="0">
            <wp:extent cx="3595687" cy="3344137"/>
            <wp:effectExtent l="0" t="0" r="508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1165" cy="3349232"/>
                    </a:xfrm>
                    <a:prstGeom prst="rect">
                      <a:avLst/>
                    </a:prstGeom>
                    <a:noFill/>
                    <a:ln>
                      <a:noFill/>
                    </a:ln>
                  </pic:spPr>
                </pic:pic>
              </a:graphicData>
            </a:graphic>
          </wp:inline>
        </w:drawing>
      </w:r>
    </w:p>
    <w:p w:rsidR="001357A6" w:rsidRDefault="001357A6">
      <w:r>
        <w:t>Bacteria cultured on an agar dish and counted</w:t>
      </w:r>
    </w:p>
    <w:p w:rsidR="00E903E7" w:rsidRDefault="00E903E7"/>
    <w:p w:rsidR="00E903E7" w:rsidRPr="007E0314" w:rsidRDefault="007E0314">
      <w:pPr>
        <w:rPr>
          <w:b/>
        </w:rPr>
      </w:pPr>
      <w:r>
        <w:t xml:space="preserve">Temporal Domain of the Result: </w:t>
      </w:r>
      <w:r w:rsidRPr="007E0314">
        <w:rPr>
          <w:b/>
        </w:rPr>
        <w:t>Discontinuous samples from 30 November 2016 to 11 March 2018</w:t>
      </w:r>
    </w:p>
    <w:p w:rsidR="001F303B" w:rsidRDefault="001F303B"/>
    <w:p w:rsidR="007E0314" w:rsidRDefault="007E0314">
      <w:r>
        <w:t xml:space="preserve">Units of E. Coli Data: </w:t>
      </w:r>
      <w:r w:rsidRPr="007E0314">
        <w:rPr>
          <w:b/>
        </w:rPr>
        <w:t>MPN/100mL</w:t>
      </w:r>
    </w:p>
    <w:p w:rsidR="001F303B" w:rsidRDefault="001F303B"/>
    <w:p w:rsidR="00CD6172" w:rsidRPr="00E35BBE" w:rsidRDefault="00CD6172" w:rsidP="00CD6172">
      <w:pPr>
        <w:rPr>
          <w:b/>
          <w:sz w:val="28"/>
          <w:szCs w:val="28"/>
        </w:rPr>
      </w:pPr>
      <w:r w:rsidRPr="00E35BBE">
        <w:rPr>
          <w:b/>
          <w:sz w:val="28"/>
          <w:szCs w:val="28"/>
        </w:rPr>
        <w:t>Question 3</w:t>
      </w:r>
    </w:p>
    <w:p w:rsidR="00CD6172" w:rsidRDefault="00CD6172" w:rsidP="00CD6172">
      <w:pPr>
        <w:spacing w:after="35"/>
        <w:ind w:left="10" w:right="1181" w:hanging="10"/>
      </w:pPr>
      <w:r>
        <w:rPr>
          <w:i/>
        </w:rPr>
        <w:t xml:space="preserve">To be turned in: Plot a nice time series chart of these data and find the critical percentile values of these data that correspond to the New Zealand coliform data standards.  What quality level do these data represent? </w:t>
      </w:r>
    </w:p>
    <w:p w:rsidR="00CD6172" w:rsidRDefault="00CD6172" w:rsidP="00CD6172">
      <w:pPr>
        <w:rPr>
          <w:b/>
          <w:iCs/>
          <w:sz w:val="23"/>
          <w:szCs w:val="23"/>
        </w:rPr>
      </w:pPr>
    </w:p>
    <w:p w:rsidR="00CD6172" w:rsidRPr="00831AF5" w:rsidRDefault="00CD6172" w:rsidP="00CD6172">
      <w:pPr>
        <w:rPr>
          <w:b/>
          <w:iCs/>
          <w:sz w:val="23"/>
          <w:szCs w:val="23"/>
        </w:rPr>
      </w:pPr>
      <w:r w:rsidRPr="00831AF5">
        <w:rPr>
          <w:b/>
          <w:iCs/>
          <w:sz w:val="23"/>
          <w:szCs w:val="23"/>
        </w:rPr>
        <w:t>Solution</w:t>
      </w:r>
    </w:p>
    <w:p w:rsidR="00CD6172" w:rsidRDefault="00CD6172" w:rsidP="007E0314">
      <w:pPr>
        <w:spacing w:after="35"/>
        <w:ind w:right="1181"/>
      </w:pPr>
      <w:r>
        <w:t>Following the procedure described in p. 6-7 of the exercise script, the data are ingested into Excel:</w:t>
      </w:r>
    </w:p>
    <w:p w:rsidR="00CD6172" w:rsidRDefault="00CD6172" w:rsidP="007E0314">
      <w:pPr>
        <w:spacing w:after="35"/>
        <w:ind w:right="1181"/>
      </w:pPr>
      <w:r>
        <w:rPr>
          <w:noProof/>
          <w:lang w:val="en-NZ" w:eastAsia="en-NZ"/>
        </w:rPr>
        <w:drawing>
          <wp:inline distT="0" distB="0" distL="0" distR="0">
            <wp:extent cx="5934075" cy="1081405"/>
            <wp:effectExtent l="19050" t="19050" r="28575"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1081405"/>
                    </a:xfrm>
                    <a:prstGeom prst="rect">
                      <a:avLst/>
                    </a:prstGeom>
                    <a:noFill/>
                    <a:ln w="3175">
                      <a:solidFill>
                        <a:schemeClr val="bg1">
                          <a:lumMod val="65000"/>
                        </a:schemeClr>
                      </a:solidFill>
                    </a:ln>
                  </pic:spPr>
                </pic:pic>
              </a:graphicData>
            </a:graphic>
          </wp:inline>
        </w:drawing>
      </w:r>
    </w:p>
    <w:p w:rsidR="00CD6172" w:rsidRDefault="00CD6172" w:rsidP="007E0314">
      <w:pPr>
        <w:spacing w:after="35"/>
        <w:ind w:right="1181"/>
      </w:pPr>
      <w:r>
        <w:lastRenderedPageBreak/>
        <w:t>And the time range is converted into an Excel date:</w:t>
      </w:r>
    </w:p>
    <w:p w:rsidR="00CD6172" w:rsidRDefault="003441EA" w:rsidP="007E0314">
      <w:pPr>
        <w:spacing w:after="35"/>
        <w:ind w:right="1181"/>
      </w:pPr>
      <w:r>
        <w:rPr>
          <w:noProof/>
          <w:lang w:val="en-NZ" w:eastAsia="en-NZ"/>
        </w:rPr>
        <w:drawing>
          <wp:inline distT="0" distB="0" distL="0" distR="0">
            <wp:extent cx="1800225" cy="2510155"/>
            <wp:effectExtent l="19050" t="19050" r="2857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2510155"/>
                    </a:xfrm>
                    <a:prstGeom prst="rect">
                      <a:avLst/>
                    </a:prstGeom>
                    <a:noFill/>
                    <a:ln w="3175">
                      <a:solidFill>
                        <a:schemeClr val="bg1">
                          <a:lumMod val="65000"/>
                        </a:schemeClr>
                      </a:solidFill>
                    </a:ln>
                  </pic:spPr>
                </pic:pic>
              </a:graphicData>
            </a:graphic>
          </wp:inline>
        </w:drawing>
      </w:r>
    </w:p>
    <w:p w:rsidR="003441EA" w:rsidRDefault="003441EA" w:rsidP="007E0314">
      <w:pPr>
        <w:spacing w:after="35"/>
        <w:ind w:right="1181"/>
      </w:pPr>
      <w:r>
        <w:t>And plotted on a logarithmic scale</w:t>
      </w:r>
    </w:p>
    <w:p w:rsidR="003441EA" w:rsidRDefault="003441EA" w:rsidP="007E0314">
      <w:pPr>
        <w:spacing w:after="35"/>
        <w:ind w:right="1181"/>
      </w:pPr>
    </w:p>
    <w:p w:rsidR="003441EA" w:rsidRDefault="003441EA" w:rsidP="007E0314">
      <w:pPr>
        <w:spacing w:after="35"/>
        <w:ind w:right="1181"/>
      </w:pPr>
      <w:r>
        <w:rPr>
          <w:noProof/>
          <w:lang w:val="en-NZ" w:eastAsia="en-NZ"/>
        </w:rPr>
        <w:drawing>
          <wp:inline distT="0" distB="0" distL="0" distR="0" wp14:anchorId="0EFED13E" wp14:editId="0B650D71">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441EA" w:rsidRDefault="003441EA" w:rsidP="007E0314">
      <w:pPr>
        <w:spacing w:after="35"/>
        <w:ind w:right="1181"/>
      </w:pPr>
    </w:p>
    <w:p w:rsidR="003441EA" w:rsidRDefault="003441EA" w:rsidP="007E0314">
      <w:pPr>
        <w:spacing w:after="35"/>
        <w:ind w:right="1181"/>
      </w:pPr>
      <w:r>
        <w:t xml:space="preserve">The critical values for judging E. </w:t>
      </w:r>
      <w:proofErr w:type="gramStart"/>
      <w:r>
        <w:t>Coli</w:t>
      </w:r>
      <w:proofErr w:type="gramEnd"/>
      <w:r>
        <w:t xml:space="preserve"> concentration are 130, 260, 540, 1000 and 1200 CFU/100mL</w:t>
      </w:r>
      <w:r w:rsidR="00ED7A67">
        <w:t>.  There are 4</w:t>
      </w:r>
      <w:r w:rsidR="00A931E0">
        <w:t>1</w:t>
      </w:r>
      <w:r w:rsidR="00ED7A67">
        <w:t xml:space="preserve"> data points.</w:t>
      </w:r>
    </w:p>
    <w:p w:rsidR="003441EA" w:rsidRDefault="003441EA" w:rsidP="007E0314">
      <w:pPr>
        <w:spacing w:after="35"/>
        <w:ind w:right="1181"/>
      </w:pPr>
    </w:p>
    <w:p w:rsidR="003441EA" w:rsidRDefault="003441EA" w:rsidP="007E0314">
      <w:pPr>
        <w:spacing w:after="35"/>
        <w:ind w:right="1181"/>
      </w:pPr>
      <w:r>
        <w:t>These values are added to the chart</w:t>
      </w:r>
    </w:p>
    <w:p w:rsidR="003441EA" w:rsidRDefault="003441EA" w:rsidP="007E0314">
      <w:pPr>
        <w:spacing w:after="35"/>
        <w:ind w:right="1181"/>
      </w:pPr>
    </w:p>
    <w:p w:rsidR="003441EA" w:rsidRDefault="003441EA" w:rsidP="007E0314">
      <w:pPr>
        <w:spacing w:after="35"/>
        <w:ind w:right="1181"/>
      </w:pPr>
      <w:r>
        <w:rPr>
          <w:noProof/>
          <w:lang w:val="en-NZ" w:eastAsia="en-NZ"/>
        </w:rPr>
        <w:drawing>
          <wp:inline distT="0" distB="0" distL="0" distR="0" wp14:anchorId="4841577C" wp14:editId="760D5EFD">
            <wp:extent cx="5841207" cy="3736182"/>
            <wp:effectExtent l="0" t="0" r="7620" b="171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441EA" w:rsidRDefault="003441EA" w:rsidP="007E0314">
      <w:pPr>
        <w:spacing w:after="35"/>
        <w:ind w:right="1181"/>
      </w:pPr>
    </w:p>
    <w:p w:rsidR="003441EA" w:rsidRDefault="003441EA" w:rsidP="007E0314">
      <w:pPr>
        <w:spacing w:after="35"/>
        <w:ind w:right="1181"/>
      </w:pPr>
      <w:r>
        <w:t xml:space="preserve">The E. Coli Standards are stated in the </w:t>
      </w:r>
      <w:r w:rsidR="00C8470E">
        <w:t>National Policy Statement for Freshwater Management (2014), p.39 as:</w:t>
      </w:r>
    </w:p>
    <w:p w:rsidR="004923B5" w:rsidRDefault="004923B5" w:rsidP="007E0314">
      <w:pPr>
        <w:spacing w:after="35"/>
        <w:ind w:right="1181"/>
      </w:pPr>
    </w:p>
    <w:tbl>
      <w:tblPr>
        <w:tblW w:w="8085" w:type="dxa"/>
        <w:tblLook w:val="04A0" w:firstRow="1" w:lastRow="0" w:firstColumn="1" w:lastColumn="0" w:noHBand="0" w:noVBand="1"/>
      </w:tblPr>
      <w:tblGrid>
        <w:gridCol w:w="1617"/>
        <w:gridCol w:w="1617"/>
        <w:gridCol w:w="1617"/>
        <w:gridCol w:w="1617"/>
        <w:gridCol w:w="1617"/>
      </w:tblGrid>
      <w:tr w:rsidR="004923B5" w:rsidRPr="004923B5" w:rsidTr="004923B5">
        <w:trPr>
          <w:trHeight w:val="300"/>
        </w:trPr>
        <w:tc>
          <w:tcPr>
            <w:tcW w:w="1617" w:type="dxa"/>
            <w:tcBorders>
              <w:top w:val="single" w:sz="4" w:space="0" w:color="auto"/>
              <w:left w:val="nil"/>
              <w:bottom w:val="single" w:sz="4" w:space="0" w:color="auto"/>
              <w:right w:val="nil"/>
            </w:tcBorders>
            <w:shd w:val="clear" w:color="auto" w:fill="auto"/>
            <w:noWrap/>
            <w:vAlign w:val="bottom"/>
            <w:hideMark/>
          </w:tcPr>
          <w:p w:rsidR="004923B5" w:rsidRPr="004923B5" w:rsidRDefault="004923B5" w:rsidP="004923B5">
            <w:pPr>
              <w:rPr>
                <w:b/>
                <w:bCs/>
              </w:rPr>
            </w:pPr>
            <w:r w:rsidRPr="004923B5">
              <w:rPr>
                <w:b/>
                <w:bCs/>
              </w:rPr>
              <w:t>State</w:t>
            </w:r>
          </w:p>
        </w:tc>
        <w:tc>
          <w:tcPr>
            <w:tcW w:w="1617" w:type="dxa"/>
            <w:tcBorders>
              <w:top w:val="single" w:sz="4" w:space="0" w:color="auto"/>
              <w:left w:val="nil"/>
              <w:bottom w:val="single" w:sz="4" w:space="0" w:color="auto"/>
              <w:right w:val="nil"/>
            </w:tcBorders>
            <w:shd w:val="clear" w:color="auto" w:fill="auto"/>
            <w:noWrap/>
            <w:vAlign w:val="bottom"/>
            <w:hideMark/>
          </w:tcPr>
          <w:p w:rsidR="004923B5" w:rsidRPr="004923B5" w:rsidRDefault="004923B5" w:rsidP="004923B5">
            <w:pPr>
              <w:rPr>
                <w:b/>
                <w:bCs/>
              </w:rPr>
            </w:pPr>
            <w:r w:rsidRPr="004923B5">
              <w:rPr>
                <w:b/>
                <w:bCs/>
              </w:rPr>
              <w:t>%&gt;540</w:t>
            </w:r>
          </w:p>
        </w:tc>
        <w:tc>
          <w:tcPr>
            <w:tcW w:w="1617" w:type="dxa"/>
            <w:tcBorders>
              <w:top w:val="single" w:sz="4" w:space="0" w:color="auto"/>
              <w:left w:val="nil"/>
              <w:bottom w:val="single" w:sz="4" w:space="0" w:color="auto"/>
              <w:right w:val="nil"/>
            </w:tcBorders>
            <w:shd w:val="clear" w:color="auto" w:fill="auto"/>
            <w:noWrap/>
            <w:vAlign w:val="bottom"/>
            <w:hideMark/>
          </w:tcPr>
          <w:p w:rsidR="004923B5" w:rsidRPr="004923B5" w:rsidRDefault="004923B5" w:rsidP="004923B5">
            <w:pPr>
              <w:rPr>
                <w:b/>
                <w:bCs/>
              </w:rPr>
            </w:pPr>
            <w:r w:rsidRPr="004923B5">
              <w:rPr>
                <w:b/>
                <w:bCs/>
              </w:rPr>
              <w:t>%&gt;260</w:t>
            </w:r>
          </w:p>
        </w:tc>
        <w:tc>
          <w:tcPr>
            <w:tcW w:w="1617" w:type="dxa"/>
            <w:tcBorders>
              <w:top w:val="single" w:sz="4" w:space="0" w:color="auto"/>
              <w:left w:val="nil"/>
              <w:bottom w:val="single" w:sz="4" w:space="0" w:color="auto"/>
              <w:right w:val="nil"/>
            </w:tcBorders>
            <w:shd w:val="clear" w:color="auto" w:fill="auto"/>
            <w:noWrap/>
            <w:vAlign w:val="bottom"/>
            <w:hideMark/>
          </w:tcPr>
          <w:p w:rsidR="004923B5" w:rsidRPr="004923B5" w:rsidRDefault="004923B5" w:rsidP="004923B5">
            <w:pPr>
              <w:rPr>
                <w:b/>
                <w:bCs/>
              </w:rPr>
            </w:pPr>
            <w:r w:rsidRPr="004923B5">
              <w:rPr>
                <w:b/>
                <w:bCs/>
              </w:rPr>
              <w:t>Median</w:t>
            </w:r>
          </w:p>
        </w:tc>
        <w:tc>
          <w:tcPr>
            <w:tcW w:w="1617" w:type="dxa"/>
            <w:tcBorders>
              <w:top w:val="single" w:sz="4" w:space="0" w:color="auto"/>
              <w:left w:val="nil"/>
              <w:bottom w:val="single" w:sz="4" w:space="0" w:color="auto"/>
              <w:right w:val="nil"/>
            </w:tcBorders>
            <w:shd w:val="clear" w:color="auto" w:fill="auto"/>
            <w:noWrap/>
            <w:vAlign w:val="bottom"/>
            <w:hideMark/>
          </w:tcPr>
          <w:p w:rsidR="004923B5" w:rsidRPr="004923B5" w:rsidRDefault="004923B5" w:rsidP="004923B5">
            <w:pPr>
              <w:rPr>
                <w:b/>
                <w:bCs/>
              </w:rPr>
            </w:pPr>
            <w:proofErr w:type="spellStart"/>
            <w:r w:rsidRPr="004923B5">
              <w:rPr>
                <w:b/>
                <w:bCs/>
              </w:rPr>
              <w:t>Conc</w:t>
            </w:r>
            <w:proofErr w:type="spellEnd"/>
            <w:r w:rsidRPr="004923B5">
              <w:rPr>
                <w:b/>
                <w:bCs/>
              </w:rPr>
              <w:t xml:space="preserve"> &lt; 95%</w:t>
            </w:r>
          </w:p>
        </w:tc>
      </w:tr>
      <w:tr w:rsidR="004923B5" w:rsidRPr="004923B5" w:rsidTr="004923B5">
        <w:trPr>
          <w:trHeight w:val="300"/>
        </w:trPr>
        <w:tc>
          <w:tcPr>
            <w:tcW w:w="1617" w:type="dxa"/>
            <w:tcBorders>
              <w:top w:val="single" w:sz="4" w:space="0" w:color="auto"/>
              <w:left w:val="nil"/>
              <w:bottom w:val="nil"/>
              <w:right w:val="nil"/>
            </w:tcBorders>
            <w:shd w:val="clear" w:color="auto" w:fill="auto"/>
            <w:noWrap/>
            <w:vAlign w:val="bottom"/>
            <w:hideMark/>
          </w:tcPr>
          <w:p w:rsidR="004923B5" w:rsidRPr="004923B5" w:rsidRDefault="004923B5" w:rsidP="004923B5">
            <w:pPr>
              <w:rPr>
                <w:b/>
                <w:bCs/>
              </w:rPr>
            </w:pPr>
            <w:r w:rsidRPr="004923B5">
              <w:rPr>
                <w:b/>
                <w:bCs/>
              </w:rPr>
              <w:t>A</w:t>
            </w:r>
          </w:p>
        </w:tc>
        <w:tc>
          <w:tcPr>
            <w:tcW w:w="1617" w:type="dxa"/>
            <w:tcBorders>
              <w:top w:val="single" w:sz="4" w:space="0" w:color="auto"/>
              <w:left w:val="nil"/>
              <w:bottom w:val="nil"/>
              <w:right w:val="nil"/>
            </w:tcBorders>
            <w:shd w:val="clear" w:color="auto" w:fill="auto"/>
            <w:noWrap/>
            <w:vAlign w:val="bottom"/>
            <w:hideMark/>
          </w:tcPr>
          <w:p w:rsidR="004923B5" w:rsidRPr="004923B5" w:rsidRDefault="004923B5" w:rsidP="004923B5">
            <w:r w:rsidRPr="004923B5">
              <w:t>&lt; 5%</w:t>
            </w:r>
          </w:p>
        </w:tc>
        <w:tc>
          <w:tcPr>
            <w:tcW w:w="1617" w:type="dxa"/>
            <w:tcBorders>
              <w:top w:val="single" w:sz="4" w:space="0" w:color="auto"/>
              <w:left w:val="nil"/>
              <w:bottom w:val="nil"/>
              <w:right w:val="nil"/>
            </w:tcBorders>
            <w:shd w:val="clear" w:color="auto" w:fill="auto"/>
            <w:noWrap/>
            <w:vAlign w:val="bottom"/>
            <w:hideMark/>
          </w:tcPr>
          <w:p w:rsidR="004923B5" w:rsidRPr="004923B5" w:rsidRDefault="004923B5" w:rsidP="004923B5">
            <w:r w:rsidRPr="004923B5">
              <w:t>&lt; 20%</w:t>
            </w:r>
          </w:p>
        </w:tc>
        <w:tc>
          <w:tcPr>
            <w:tcW w:w="1617" w:type="dxa"/>
            <w:tcBorders>
              <w:top w:val="single" w:sz="4" w:space="0" w:color="auto"/>
              <w:left w:val="nil"/>
              <w:bottom w:val="nil"/>
              <w:right w:val="nil"/>
            </w:tcBorders>
            <w:shd w:val="clear" w:color="auto" w:fill="auto"/>
            <w:noWrap/>
            <w:vAlign w:val="bottom"/>
            <w:hideMark/>
          </w:tcPr>
          <w:p w:rsidR="004923B5" w:rsidRPr="004923B5" w:rsidRDefault="004923B5" w:rsidP="004923B5">
            <w:r w:rsidRPr="004923B5">
              <w:t>&lt; 130</w:t>
            </w:r>
          </w:p>
        </w:tc>
        <w:tc>
          <w:tcPr>
            <w:tcW w:w="1617" w:type="dxa"/>
            <w:tcBorders>
              <w:top w:val="single" w:sz="4" w:space="0" w:color="auto"/>
              <w:left w:val="nil"/>
              <w:bottom w:val="nil"/>
              <w:right w:val="nil"/>
            </w:tcBorders>
            <w:shd w:val="clear" w:color="auto" w:fill="auto"/>
            <w:noWrap/>
            <w:vAlign w:val="bottom"/>
            <w:hideMark/>
          </w:tcPr>
          <w:p w:rsidR="004923B5" w:rsidRPr="004923B5" w:rsidRDefault="004923B5" w:rsidP="004923B5">
            <w:r w:rsidRPr="004923B5">
              <w:t>&lt;540</w:t>
            </w:r>
          </w:p>
        </w:tc>
      </w:tr>
      <w:tr w:rsidR="004923B5" w:rsidRPr="004923B5" w:rsidTr="004923B5">
        <w:trPr>
          <w:trHeight w:val="300"/>
        </w:trPr>
        <w:tc>
          <w:tcPr>
            <w:tcW w:w="1617" w:type="dxa"/>
            <w:tcBorders>
              <w:top w:val="nil"/>
              <w:left w:val="nil"/>
              <w:bottom w:val="nil"/>
              <w:right w:val="nil"/>
            </w:tcBorders>
            <w:shd w:val="clear" w:color="auto" w:fill="auto"/>
            <w:noWrap/>
            <w:vAlign w:val="bottom"/>
            <w:hideMark/>
          </w:tcPr>
          <w:p w:rsidR="004923B5" w:rsidRPr="004923B5" w:rsidRDefault="004923B5" w:rsidP="004923B5">
            <w:pPr>
              <w:rPr>
                <w:b/>
                <w:bCs/>
              </w:rPr>
            </w:pPr>
            <w:r w:rsidRPr="004923B5">
              <w:rPr>
                <w:b/>
                <w:bCs/>
              </w:rPr>
              <w:t>B</w:t>
            </w:r>
          </w:p>
        </w:tc>
        <w:tc>
          <w:tcPr>
            <w:tcW w:w="1617" w:type="dxa"/>
            <w:tcBorders>
              <w:top w:val="nil"/>
              <w:left w:val="nil"/>
              <w:bottom w:val="nil"/>
              <w:right w:val="nil"/>
            </w:tcBorders>
            <w:shd w:val="clear" w:color="auto" w:fill="auto"/>
            <w:noWrap/>
            <w:vAlign w:val="bottom"/>
            <w:hideMark/>
          </w:tcPr>
          <w:p w:rsidR="004923B5" w:rsidRPr="004923B5" w:rsidRDefault="004923B5" w:rsidP="004923B5">
            <w:r w:rsidRPr="004923B5">
              <w:t>5-10%</w:t>
            </w:r>
          </w:p>
        </w:tc>
        <w:tc>
          <w:tcPr>
            <w:tcW w:w="1617" w:type="dxa"/>
            <w:tcBorders>
              <w:top w:val="nil"/>
              <w:left w:val="nil"/>
              <w:bottom w:val="nil"/>
              <w:right w:val="nil"/>
            </w:tcBorders>
            <w:shd w:val="clear" w:color="auto" w:fill="auto"/>
            <w:noWrap/>
            <w:vAlign w:val="bottom"/>
            <w:hideMark/>
          </w:tcPr>
          <w:p w:rsidR="004923B5" w:rsidRPr="004923B5" w:rsidRDefault="004923B5" w:rsidP="004923B5">
            <w:r w:rsidRPr="004923B5">
              <w:t>20-30%</w:t>
            </w:r>
          </w:p>
        </w:tc>
        <w:tc>
          <w:tcPr>
            <w:tcW w:w="1617" w:type="dxa"/>
            <w:tcBorders>
              <w:top w:val="nil"/>
              <w:left w:val="nil"/>
              <w:bottom w:val="nil"/>
              <w:right w:val="nil"/>
            </w:tcBorders>
            <w:shd w:val="clear" w:color="auto" w:fill="auto"/>
            <w:noWrap/>
            <w:vAlign w:val="bottom"/>
            <w:hideMark/>
          </w:tcPr>
          <w:p w:rsidR="004923B5" w:rsidRPr="004923B5" w:rsidRDefault="004923B5" w:rsidP="004923B5">
            <w:r w:rsidRPr="004923B5">
              <w:t>&lt; 130</w:t>
            </w:r>
          </w:p>
        </w:tc>
        <w:tc>
          <w:tcPr>
            <w:tcW w:w="1617" w:type="dxa"/>
            <w:tcBorders>
              <w:top w:val="nil"/>
              <w:left w:val="nil"/>
              <w:bottom w:val="nil"/>
              <w:right w:val="nil"/>
            </w:tcBorders>
            <w:shd w:val="clear" w:color="auto" w:fill="auto"/>
            <w:noWrap/>
            <w:vAlign w:val="bottom"/>
            <w:hideMark/>
          </w:tcPr>
          <w:p w:rsidR="004923B5" w:rsidRPr="004923B5" w:rsidRDefault="004923B5" w:rsidP="004923B5">
            <w:r w:rsidRPr="004923B5">
              <w:t>&lt;1000</w:t>
            </w:r>
          </w:p>
        </w:tc>
      </w:tr>
      <w:tr w:rsidR="004923B5" w:rsidRPr="004923B5" w:rsidTr="004923B5">
        <w:trPr>
          <w:trHeight w:val="300"/>
        </w:trPr>
        <w:tc>
          <w:tcPr>
            <w:tcW w:w="1617" w:type="dxa"/>
            <w:tcBorders>
              <w:top w:val="nil"/>
              <w:left w:val="nil"/>
              <w:right w:val="nil"/>
            </w:tcBorders>
            <w:shd w:val="clear" w:color="auto" w:fill="auto"/>
            <w:noWrap/>
            <w:vAlign w:val="bottom"/>
            <w:hideMark/>
          </w:tcPr>
          <w:p w:rsidR="004923B5" w:rsidRPr="004923B5" w:rsidRDefault="004923B5" w:rsidP="004923B5">
            <w:pPr>
              <w:rPr>
                <w:b/>
                <w:bCs/>
              </w:rPr>
            </w:pPr>
            <w:r w:rsidRPr="004923B5">
              <w:rPr>
                <w:b/>
                <w:bCs/>
              </w:rPr>
              <w:t>C</w:t>
            </w:r>
          </w:p>
        </w:tc>
        <w:tc>
          <w:tcPr>
            <w:tcW w:w="1617" w:type="dxa"/>
            <w:tcBorders>
              <w:top w:val="nil"/>
              <w:left w:val="nil"/>
              <w:right w:val="nil"/>
            </w:tcBorders>
            <w:shd w:val="clear" w:color="auto" w:fill="auto"/>
            <w:noWrap/>
            <w:vAlign w:val="bottom"/>
            <w:hideMark/>
          </w:tcPr>
          <w:p w:rsidR="004923B5" w:rsidRPr="004923B5" w:rsidRDefault="004923B5" w:rsidP="004923B5">
            <w:r w:rsidRPr="004923B5">
              <w:t>10-20%</w:t>
            </w:r>
          </w:p>
        </w:tc>
        <w:tc>
          <w:tcPr>
            <w:tcW w:w="1617" w:type="dxa"/>
            <w:tcBorders>
              <w:top w:val="nil"/>
              <w:left w:val="nil"/>
              <w:right w:val="nil"/>
            </w:tcBorders>
            <w:shd w:val="clear" w:color="auto" w:fill="auto"/>
            <w:noWrap/>
            <w:vAlign w:val="bottom"/>
            <w:hideMark/>
          </w:tcPr>
          <w:p w:rsidR="004923B5" w:rsidRPr="004923B5" w:rsidRDefault="004923B5" w:rsidP="004923B5">
            <w:r w:rsidRPr="004923B5">
              <w:t>20-24%</w:t>
            </w:r>
          </w:p>
        </w:tc>
        <w:tc>
          <w:tcPr>
            <w:tcW w:w="1617" w:type="dxa"/>
            <w:tcBorders>
              <w:top w:val="nil"/>
              <w:left w:val="nil"/>
              <w:right w:val="nil"/>
            </w:tcBorders>
            <w:shd w:val="clear" w:color="auto" w:fill="auto"/>
            <w:noWrap/>
            <w:vAlign w:val="bottom"/>
            <w:hideMark/>
          </w:tcPr>
          <w:p w:rsidR="004923B5" w:rsidRPr="004923B5" w:rsidRDefault="004923B5" w:rsidP="004923B5">
            <w:r w:rsidRPr="004923B5">
              <w:t>&lt;130</w:t>
            </w:r>
          </w:p>
        </w:tc>
        <w:tc>
          <w:tcPr>
            <w:tcW w:w="1617" w:type="dxa"/>
            <w:tcBorders>
              <w:top w:val="nil"/>
              <w:left w:val="nil"/>
              <w:right w:val="nil"/>
            </w:tcBorders>
            <w:shd w:val="clear" w:color="auto" w:fill="auto"/>
            <w:noWrap/>
            <w:vAlign w:val="bottom"/>
            <w:hideMark/>
          </w:tcPr>
          <w:p w:rsidR="004923B5" w:rsidRPr="004923B5" w:rsidRDefault="004923B5" w:rsidP="004923B5">
            <w:r w:rsidRPr="004923B5">
              <w:t>&lt;1200</w:t>
            </w:r>
          </w:p>
        </w:tc>
      </w:tr>
      <w:tr w:rsidR="004923B5" w:rsidRPr="004923B5" w:rsidTr="004923B5">
        <w:trPr>
          <w:trHeight w:val="300"/>
        </w:trPr>
        <w:tc>
          <w:tcPr>
            <w:tcW w:w="1617" w:type="dxa"/>
            <w:tcBorders>
              <w:top w:val="nil"/>
              <w:left w:val="nil"/>
              <w:bottom w:val="single" w:sz="4" w:space="0" w:color="auto"/>
              <w:right w:val="nil"/>
            </w:tcBorders>
            <w:shd w:val="clear" w:color="auto" w:fill="auto"/>
            <w:noWrap/>
            <w:vAlign w:val="bottom"/>
            <w:hideMark/>
          </w:tcPr>
          <w:p w:rsidR="004923B5" w:rsidRPr="004923B5" w:rsidRDefault="004923B5" w:rsidP="004923B5">
            <w:pPr>
              <w:rPr>
                <w:b/>
                <w:bCs/>
              </w:rPr>
            </w:pPr>
            <w:r w:rsidRPr="004923B5">
              <w:rPr>
                <w:b/>
                <w:bCs/>
              </w:rPr>
              <w:t>D</w:t>
            </w:r>
          </w:p>
        </w:tc>
        <w:tc>
          <w:tcPr>
            <w:tcW w:w="1617" w:type="dxa"/>
            <w:tcBorders>
              <w:top w:val="nil"/>
              <w:left w:val="nil"/>
              <w:bottom w:val="single" w:sz="4" w:space="0" w:color="auto"/>
              <w:right w:val="nil"/>
            </w:tcBorders>
            <w:shd w:val="clear" w:color="auto" w:fill="auto"/>
            <w:noWrap/>
            <w:vAlign w:val="bottom"/>
            <w:hideMark/>
          </w:tcPr>
          <w:p w:rsidR="004923B5" w:rsidRPr="004923B5" w:rsidRDefault="004923B5" w:rsidP="004923B5">
            <w:r w:rsidRPr="004923B5">
              <w:t>20-30%</w:t>
            </w:r>
          </w:p>
        </w:tc>
        <w:tc>
          <w:tcPr>
            <w:tcW w:w="1617" w:type="dxa"/>
            <w:tcBorders>
              <w:top w:val="nil"/>
              <w:left w:val="nil"/>
              <w:bottom w:val="single" w:sz="4" w:space="0" w:color="auto"/>
              <w:right w:val="nil"/>
            </w:tcBorders>
            <w:shd w:val="clear" w:color="auto" w:fill="auto"/>
            <w:noWrap/>
            <w:vAlign w:val="bottom"/>
            <w:hideMark/>
          </w:tcPr>
          <w:p w:rsidR="004923B5" w:rsidRPr="004923B5" w:rsidRDefault="004923B5" w:rsidP="004923B5">
            <w:r w:rsidRPr="004923B5">
              <w:t>&gt;34%</w:t>
            </w:r>
          </w:p>
        </w:tc>
        <w:tc>
          <w:tcPr>
            <w:tcW w:w="1617" w:type="dxa"/>
            <w:tcBorders>
              <w:top w:val="nil"/>
              <w:left w:val="nil"/>
              <w:bottom w:val="single" w:sz="4" w:space="0" w:color="auto"/>
              <w:right w:val="nil"/>
            </w:tcBorders>
            <w:shd w:val="clear" w:color="auto" w:fill="auto"/>
            <w:noWrap/>
            <w:vAlign w:val="bottom"/>
            <w:hideMark/>
          </w:tcPr>
          <w:p w:rsidR="004923B5" w:rsidRPr="004923B5" w:rsidRDefault="004923B5" w:rsidP="004923B5">
            <w:r w:rsidRPr="004923B5">
              <w:t>&gt; 130</w:t>
            </w:r>
          </w:p>
        </w:tc>
        <w:tc>
          <w:tcPr>
            <w:tcW w:w="1617" w:type="dxa"/>
            <w:tcBorders>
              <w:top w:val="nil"/>
              <w:left w:val="nil"/>
              <w:bottom w:val="single" w:sz="4" w:space="0" w:color="auto"/>
              <w:right w:val="nil"/>
            </w:tcBorders>
            <w:shd w:val="clear" w:color="auto" w:fill="auto"/>
            <w:noWrap/>
            <w:vAlign w:val="bottom"/>
            <w:hideMark/>
          </w:tcPr>
          <w:p w:rsidR="004923B5" w:rsidRPr="004923B5" w:rsidRDefault="004923B5" w:rsidP="004923B5">
            <w:r w:rsidRPr="004923B5">
              <w:t>&gt; 1200</w:t>
            </w:r>
          </w:p>
        </w:tc>
      </w:tr>
    </w:tbl>
    <w:p w:rsidR="004923B5" w:rsidRDefault="004923B5" w:rsidP="007E0314">
      <w:pPr>
        <w:spacing w:after="35"/>
        <w:ind w:right="1181"/>
      </w:pPr>
    </w:p>
    <w:p w:rsidR="00ED7A67" w:rsidRDefault="004923B5" w:rsidP="007E0314">
      <w:pPr>
        <w:spacing w:after="35"/>
        <w:ind w:right="1181"/>
      </w:pPr>
      <w:r>
        <w:t>This can be stated in word as: to be in State A, the Coliform concentrations should have less than 5% greater than 540 CFU/100mL, less than 20% greater than 260 CFU/100mL, a median concentration less than 130 CFU/100mL and 95% of the samples should be less than 540 CFU/100mL</w:t>
      </w:r>
    </w:p>
    <w:p w:rsidR="004923B5" w:rsidRDefault="004923B5" w:rsidP="007E0314">
      <w:pPr>
        <w:spacing w:after="35"/>
        <w:ind w:right="1181"/>
      </w:pPr>
      <w:r>
        <w:br/>
        <w:t>To find what state these waters are in, let’s first compute the Descriptive Statistics of the data in Excel.  The Median value is 305 CFU/10</w:t>
      </w:r>
      <w:r w:rsidR="008207E7">
        <w:t>0Ml. T</w:t>
      </w:r>
      <w:r>
        <w:t xml:space="preserve">his value is slightly different than in the Exercise 3 script because </w:t>
      </w:r>
      <w:r w:rsidR="008207E7">
        <w:t>two</w:t>
      </w:r>
      <w:r>
        <w:t xml:space="preserve"> additional week’s data has been recorded since the </w:t>
      </w:r>
      <w:r w:rsidR="008207E7">
        <w:t>script was made up that included data up to 27 February 2018</w:t>
      </w:r>
    </w:p>
    <w:p w:rsidR="008207E7" w:rsidRDefault="008207E7" w:rsidP="007E0314">
      <w:pPr>
        <w:spacing w:after="35"/>
        <w:ind w:right="1181"/>
      </w:pPr>
      <w:r>
        <w:rPr>
          <w:noProof/>
          <w:lang w:val="en-NZ" w:eastAsia="en-NZ"/>
        </w:rPr>
        <w:drawing>
          <wp:inline distT="0" distB="0" distL="0" distR="0" wp14:anchorId="1C1C0282" wp14:editId="7998E6AD">
            <wp:extent cx="4843780" cy="2453005"/>
            <wp:effectExtent l="19050" t="19050" r="1397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3780" cy="2453005"/>
                    </a:xfrm>
                    <a:prstGeom prst="rect">
                      <a:avLst/>
                    </a:prstGeom>
                    <a:noFill/>
                    <a:ln w="3175">
                      <a:solidFill>
                        <a:schemeClr val="bg1">
                          <a:lumMod val="65000"/>
                        </a:schemeClr>
                      </a:solidFill>
                    </a:ln>
                  </pic:spPr>
                </pic:pic>
              </a:graphicData>
            </a:graphic>
          </wp:inline>
        </w:drawing>
      </w:r>
    </w:p>
    <w:p w:rsidR="008207E7" w:rsidRDefault="008207E7" w:rsidP="008207E7">
      <w:pPr>
        <w:spacing w:after="35"/>
        <w:ind w:right="1181"/>
      </w:pPr>
    </w:p>
    <w:p w:rsidR="004923B5" w:rsidRDefault="004923B5" w:rsidP="007E0314">
      <w:pPr>
        <w:spacing w:after="35"/>
        <w:ind w:right="1181"/>
      </w:pPr>
    </w:p>
    <w:tbl>
      <w:tblPr>
        <w:tblW w:w="2612" w:type="dxa"/>
        <w:tblLook w:val="04A0" w:firstRow="1" w:lastRow="0" w:firstColumn="1" w:lastColumn="0" w:noHBand="0" w:noVBand="1"/>
      </w:tblPr>
      <w:tblGrid>
        <w:gridCol w:w="1745"/>
        <w:gridCol w:w="1116"/>
      </w:tblGrid>
      <w:tr w:rsidR="004923B5" w:rsidRPr="004923B5" w:rsidTr="004923B5">
        <w:trPr>
          <w:trHeight w:val="285"/>
        </w:trPr>
        <w:tc>
          <w:tcPr>
            <w:tcW w:w="2612" w:type="dxa"/>
            <w:gridSpan w:val="2"/>
            <w:tcBorders>
              <w:top w:val="single" w:sz="8" w:space="0" w:color="auto"/>
              <w:left w:val="nil"/>
              <w:bottom w:val="single" w:sz="4" w:space="0" w:color="auto"/>
              <w:right w:val="nil"/>
            </w:tcBorders>
            <w:shd w:val="clear" w:color="auto" w:fill="auto"/>
            <w:noWrap/>
            <w:vAlign w:val="bottom"/>
            <w:hideMark/>
          </w:tcPr>
          <w:p w:rsidR="004923B5" w:rsidRPr="004923B5" w:rsidRDefault="004923B5" w:rsidP="004923B5">
            <w:pPr>
              <w:jc w:val="center"/>
              <w:rPr>
                <w:i/>
                <w:iCs/>
              </w:rPr>
            </w:pPr>
            <w:r w:rsidRPr="004923B5">
              <w:rPr>
                <w:i/>
                <w:iCs/>
              </w:rPr>
              <w:t>E. Coli (CFU/100mL)</w:t>
            </w:r>
          </w:p>
        </w:tc>
      </w:tr>
      <w:tr w:rsidR="004923B5" w:rsidRPr="004923B5" w:rsidTr="004923B5">
        <w:trPr>
          <w:trHeight w:val="285"/>
        </w:trPr>
        <w:tc>
          <w:tcPr>
            <w:tcW w:w="1745" w:type="dxa"/>
            <w:tcBorders>
              <w:top w:val="nil"/>
              <w:left w:val="nil"/>
              <w:bottom w:val="nil"/>
              <w:right w:val="nil"/>
            </w:tcBorders>
            <w:shd w:val="clear" w:color="auto" w:fill="auto"/>
            <w:noWrap/>
            <w:vAlign w:val="bottom"/>
            <w:hideMark/>
          </w:tcPr>
          <w:p w:rsidR="004923B5" w:rsidRPr="004923B5" w:rsidRDefault="004923B5" w:rsidP="004923B5">
            <w:pPr>
              <w:jc w:val="center"/>
              <w:rPr>
                <w:i/>
                <w:iCs/>
              </w:rPr>
            </w:pPr>
          </w:p>
        </w:tc>
        <w:tc>
          <w:tcPr>
            <w:tcW w:w="867" w:type="dxa"/>
            <w:tcBorders>
              <w:top w:val="nil"/>
              <w:left w:val="nil"/>
              <w:bottom w:val="nil"/>
              <w:right w:val="nil"/>
            </w:tcBorders>
            <w:shd w:val="clear" w:color="auto" w:fill="auto"/>
            <w:noWrap/>
            <w:vAlign w:val="bottom"/>
            <w:hideMark/>
          </w:tcPr>
          <w:p w:rsidR="004923B5" w:rsidRPr="004923B5" w:rsidRDefault="004923B5" w:rsidP="004923B5">
            <w:pPr>
              <w:rPr>
                <w:sz w:val="20"/>
                <w:szCs w:val="20"/>
              </w:rPr>
            </w:pPr>
          </w:p>
        </w:tc>
      </w:tr>
      <w:tr w:rsidR="004923B5" w:rsidRPr="004923B5" w:rsidTr="004923B5">
        <w:trPr>
          <w:trHeight w:val="285"/>
        </w:trPr>
        <w:tc>
          <w:tcPr>
            <w:tcW w:w="1745" w:type="dxa"/>
            <w:tcBorders>
              <w:top w:val="nil"/>
              <w:left w:val="nil"/>
              <w:bottom w:val="nil"/>
              <w:right w:val="nil"/>
            </w:tcBorders>
            <w:shd w:val="clear" w:color="auto" w:fill="auto"/>
            <w:noWrap/>
            <w:vAlign w:val="bottom"/>
            <w:hideMark/>
          </w:tcPr>
          <w:p w:rsidR="004923B5" w:rsidRPr="004923B5" w:rsidRDefault="004923B5" w:rsidP="004923B5">
            <w:r w:rsidRPr="004923B5">
              <w:t>Mean</w:t>
            </w:r>
          </w:p>
        </w:tc>
        <w:tc>
          <w:tcPr>
            <w:tcW w:w="867" w:type="dxa"/>
            <w:tcBorders>
              <w:top w:val="nil"/>
              <w:left w:val="nil"/>
              <w:bottom w:val="nil"/>
              <w:right w:val="nil"/>
            </w:tcBorders>
            <w:shd w:val="clear" w:color="auto" w:fill="auto"/>
            <w:noWrap/>
            <w:vAlign w:val="bottom"/>
            <w:hideMark/>
          </w:tcPr>
          <w:p w:rsidR="004923B5" w:rsidRPr="004923B5" w:rsidRDefault="004923B5" w:rsidP="004923B5">
            <w:pPr>
              <w:jc w:val="right"/>
            </w:pPr>
            <w:r w:rsidRPr="004923B5">
              <w:t>690.4146</w:t>
            </w:r>
          </w:p>
        </w:tc>
      </w:tr>
      <w:tr w:rsidR="004923B5" w:rsidRPr="004923B5" w:rsidTr="004923B5">
        <w:trPr>
          <w:trHeight w:val="285"/>
        </w:trPr>
        <w:tc>
          <w:tcPr>
            <w:tcW w:w="1745" w:type="dxa"/>
            <w:tcBorders>
              <w:top w:val="nil"/>
              <w:left w:val="nil"/>
              <w:bottom w:val="nil"/>
              <w:right w:val="nil"/>
            </w:tcBorders>
            <w:shd w:val="clear" w:color="auto" w:fill="auto"/>
            <w:noWrap/>
            <w:vAlign w:val="bottom"/>
            <w:hideMark/>
          </w:tcPr>
          <w:p w:rsidR="004923B5" w:rsidRPr="004923B5" w:rsidRDefault="004923B5" w:rsidP="004923B5">
            <w:r w:rsidRPr="004923B5">
              <w:t>Standard Error</w:t>
            </w:r>
          </w:p>
        </w:tc>
        <w:tc>
          <w:tcPr>
            <w:tcW w:w="867" w:type="dxa"/>
            <w:tcBorders>
              <w:top w:val="nil"/>
              <w:left w:val="nil"/>
              <w:bottom w:val="nil"/>
              <w:right w:val="nil"/>
            </w:tcBorders>
            <w:shd w:val="clear" w:color="auto" w:fill="auto"/>
            <w:noWrap/>
            <w:vAlign w:val="bottom"/>
            <w:hideMark/>
          </w:tcPr>
          <w:p w:rsidR="004923B5" w:rsidRPr="004923B5" w:rsidRDefault="004923B5" w:rsidP="004923B5">
            <w:pPr>
              <w:jc w:val="right"/>
            </w:pPr>
            <w:r w:rsidRPr="004923B5">
              <w:t>196.3586</w:t>
            </w:r>
          </w:p>
        </w:tc>
      </w:tr>
      <w:tr w:rsidR="004923B5" w:rsidRPr="004923B5" w:rsidTr="004923B5">
        <w:trPr>
          <w:trHeight w:val="285"/>
        </w:trPr>
        <w:tc>
          <w:tcPr>
            <w:tcW w:w="1745" w:type="dxa"/>
            <w:tcBorders>
              <w:top w:val="nil"/>
              <w:left w:val="nil"/>
              <w:bottom w:val="nil"/>
              <w:right w:val="nil"/>
            </w:tcBorders>
            <w:shd w:val="clear" w:color="auto" w:fill="auto"/>
            <w:noWrap/>
            <w:vAlign w:val="bottom"/>
            <w:hideMark/>
          </w:tcPr>
          <w:p w:rsidR="004923B5" w:rsidRPr="004923B5" w:rsidRDefault="004923B5" w:rsidP="004923B5">
            <w:pPr>
              <w:rPr>
                <w:b/>
              </w:rPr>
            </w:pPr>
            <w:r w:rsidRPr="004923B5">
              <w:rPr>
                <w:b/>
              </w:rPr>
              <w:t>Median</w:t>
            </w:r>
          </w:p>
        </w:tc>
        <w:tc>
          <w:tcPr>
            <w:tcW w:w="867" w:type="dxa"/>
            <w:tcBorders>
              <w:top w:val="nil"/>
              <w:left w:val="nil"/>
              <w:bottom w:val="nil"/>
              <w:right w:val="nil"/>
            </w:tcBorders>
            <w:shd w:val="clear" w:color="auto" w:fill="auto"/>
            <w:noWrap/>
            <w:vAlign w:val="bottom"/>
            <w:hideMark/>
          </w:tcPr>
          <w:p w:rsidR="004923B5" w:rsidRPr="004923B5" w:rsidRDefault="004923B5" w:rsidP="004923B5">
            <w:pPr>
              <w:jc w:val="right"/>
              <w:rPr>
                <w:b/>
              </w:rPr>
            </w:pPr>
            <w:r w:rsidRPr="004923B5">
              <w:rPr>
                <w:b/>
              </w:rPr>
              <w:t>305</w:t>
            </w:r>
          </w:p>
        </w:tc>
      </w:tr>
      <w:tr w:rsidR="004923B5" w:rsidRPr="004923B5" w:rsidTr="004923B5">
        <w:trPr>
          <w:trHeight w:val="285"/>
        </w:trPr>
        <w:tc>
          <w:tcPr>
            <w:tcW w:w="1745" w:type="dxa"/>
            <w:tcBorders>
              <w:top w:val="nil"/>
              <w:left w:val="nil"/>
              <w:bottom w:val="nil"/>
              <w:right w:val="nil"/>
            </w:tcBorders>
            <w:shd w:val="clear" w:color="auto" w:fill="auto"/>
            <w:noWrap/>
            <w:vAlign w:val="bottom"/>
            <w:hideMark/>
          </w:tcPr>
          <w:p w:rsidR="004923B5" w:rsidRPr="004923B5" w:rsidRDefault="004923B5" w:rsidP="004923B5">
            <w:r w:rsidRPr="004923B5">
              <w:t>Mode</w:t>
            </w:r>
          </w:p>
        </w:tc>
        <w:tc>
          <w:tcPr>
            <w:tcW w:w="867" w:type="dxa"/>
            <w:tcBorders>
              <w:top w:val="nil"/>
              <w:left w:val="nil"/>
              <w:bottom w:val="nil"/>
              <w:right w:val="nil"/>
            </w:tcBorders>
            <w:shd w:val="clear" w:color="auto" w:fill="auto"/>
            <w:noWrap/>
            <w:vAlign w:val="bottom"/>
            <w:hideMark/>
          </w:tcPr>
          <w:p w:rsidR="004923B5" w:rsidRPr="004923B5" w:rsidRDefault="004923B5" w:rsidP="004923B5">
            <w:pPr>
              <w:jc w:val="right"/>
            </w:pPr>
            <w:r w:rsidRPr="004923B5">
              <w:t>190</w:t>
            </w:r>
          </w:p>
        </w:tc>
      </w:tr>
      <w:tr w:rsidR="004923B5" w:rsidRPr="004923B5" w:rsidTr="004923B5">
        <w:trPr>
          <w:trHeight w:val="285"/>
        </w:trPr>
        <w:tc>
          <w:tcPr>
            <w:tcW w:w="1745" w:type="dxa"/>
            <w:tcBorders>
              <w:top w:val="nil"/>
              <w:left w:val="nil"/>
              <w:bottom w:val="nil"/>
              <w:right w:val="nil"/>
            </w:tcBorders>
            <w:shd w:val="clear" w:color="auto" w:fill="auto"/>
            <w:noWrap/>
            <w:vAlign w:val="bottom"/>
            <w:hideMark/>
          </w:tcPr>
          <w:p w:rsidR="004923B5" w:rsidRPr="004923B5" w:rsidRDefault="004923B5" w:rsidP="004923B5">
            <w:r w:rsidRPr="004923B5">
              <w:t>Standard Deviation</w:t>
            </w:r>
          </w:p>
        </w:tc>
        <w:tc>
          <w:tcPr>
            <w:tcW w:w="867" w:type="dxa"/>
            <w:tcBorders>
              <w:top w:val="nil"/>
              <w:left w:val="nil"/>
              <w:bottom w:val="nil"/>
              <w:right w:val="nil"/>
            </w:tcBorders>
            <w:shd w:val="clear" w:color="auto" w:fill="auto"/>
            <w:noWrap/>
            <w:vAlign w:val="bottom"/>
            <w:hideMark/>
          </w:tcPr>
          <w:p w:rsidR="004923B5" w:rsidRPr="004923B5" w:rsidRDefault="004923B5" w:rsidP="004923B5">
            <w:pPr>
              <w:jc w:val="right"/>
            </w:pPr>
            <w:r w:rsidRPr="004923B5">
              <w:t>1257.309</w:t>
            </w:r>
          </w:p>
        </w:tc>
      </w:tr>
      <w:tr w:rsidR="004923B5" w:rsidRPr="004923B5" w:rsidTr="004923B5">
        <w:trPr>
          <w:trHeight w:val="285"/>
        </w:trPr>
        <w:tc>
          <w:tcPr>
            <w:tcW w:w="1745" w:type="dxa"/>
            <w:tcBorders>
              <w:top w:val="nil"/>
              <w:left w:val="nil"/>
              <w:bottom w:val="nil"/>
              <w:right w:val="nil"/>
            </w:tcBorders>
            <w:shd w:val="clear" w:color="auto" w:fill="auto"/>
            <w:noWrap/>
            <w:vAlign w:val="bottom"/>
            <w:hideMark/>
          </w:tcPr>
          <w:p w:rsidR="004923B5" w:rsidRPr="004923B5" w:rsidRDefault="004923B5" w:rsidP="004923B5">
            <w:r w:rsidRPr="004923B5">
              <w:t>Sample Variance</w:t>
            </w:r>
          </w:p>
        </w:tc>
        <w:tc>
          <w:tcPr>
            <w:tcW w:w="867" w:type="dxa"/>
            <w:tcBorders>
              <w:top w:val="nil"/>
              <w:left w:val="nil"/>
              <w:bottom w:val="nil"/>
              <w:right w:val="nil"/>
            </w:tcBorders>
            <w:shd w:val="clear" w:color="auto" w:fill="auto"/>
            <w:noWrap/>
            <w:vAlign w:val="bottom"/>
            <w:hideMark/>
          </w:tcPr>
          <w:p w:rsidR="004923B5" w:rsidRPr="004923B5" w:rsidRDefault="004923B5" w:rsidP="004923B5">
            <w:pPr>
              <w:jc w:val="right"/>
            </w:pPr>
            <w:r w:rsidRPr="004923B5">
              <w:t>1580825</w:t>
            </w:r>
          </w:p>
        </w:tc>
      </w:tr>
      <w:tr w:rsidR="004923B5" w:rsidRPr="004923B5" w:rsidTr="004923B5">
        <w:trPr>
          <w:trHeight w:val="285"/>
        </w:trPr>
        <w:tc>
          <w:tcPr>
            <w:tcW w:w="1745" w:type="dxa"/>
            <w:tcBorders>
              <w:top w:val="nil"/>
              <w:left w:val="nil"/>
              <w:bottom w:val="nil"/>
              <w:right w:val="nil"/>
            </w:tcBorders>
            <w:shd w:val="clear" w:color="auto" w:fill="auto"/>
            <w:noWrap/>
            <w:vAlign w:val="bottom"/>
            <w:hideMark/>
          </w:tcPr>
          <w:p w:rsidR="004923B5" w:rsidRPr="004923B5" w:rsidRDefault="004923B5" w:rsidP="004923B5">
            <w:r w:rsidRPr="004923B5">
              <w:t>Kurtosis</w:t>
            </w:r>
          </w:p>
        </w:tc>
        <w:tc>
          <w:tcPr>
            <w:tcW w:w="867" w:type="dxa"/>
            <w:tcBorders>
              <w:top w:val="nil"/>
              <w:left w:val="nil"/>
              <w:bottom w:val="nil"/>
              <w:right w:val="nil"/>
            </w:tcBorders>
            <w:shd w:val="clear" w:color="auto" w:fill="auto"/>
            <w:noWrap/>
            <w:vAlign w:val="bottom"/>
            <w:hideMark/>
          </w:tcPr>
          <w:p w:rsidR="004923B5" w:rsidRPr="004923B5" w:rsidRDefault="004923B5" w:rsidP="004923B5">
            <w:pPr>
              <w:jc w:val="right"/>
            </w:pPr>
            <w:r w:rsidRPr="004923B5">
              <w:t>16.11242</w:t>
            </w:r>
          </w:p>
        </w:tc>
      </w:tr>
      <w:tr w:rsidR="004923B5" w:rsidRPr="004923B5" w:rsidTr="004923B5">
        <w:trPr>
          <w:trHeight w:val="285"/>
        </w:trPr>
        <w:tc>
          <w:tcPr>
            <w:tcW w:w="1745" w:type="dxa"/>
            <w:tcBorders>
              <w:top w:val="nil"/>
              <w:left w:val="nil"/>
              <w:bottom w:val="nil"/>
              <w:right w:val="nil"/>
            </w:tcBorders>
            <w:shd w:val="clear" w:color="auto" w:fill="auto"/>
            <w:noWrap/>
            <w:vAlign w:val="bottom"/>
            <w:hideMark/>
          </w:tcPr>
          <w:p w:rsidR="004923B5" w:rsidRPr="004923B5" w:rsidRDefault="004923B5" w:rsidP="004923B5">
            <w:r w:rsidRPr="004923B5">
              <w:t>Skewness</w:t>
            </w:r>
          </w:p>
        </w:tc>
        <w:tc>
          <w:tcPr>
            <w:tcW w:w="867" w:type="dxa"/>
            <w:tcBorders>
              <w:top w:val="nil"/>
              <w:left w:val="nil"/>
              <w:bottom w:val="nil"/>
              <w:right w:val="nil"/>
            </w:tcBorders>
            <w:shd w:val="clear" w:color="auto" w:fill="auto"/>
            <w:noWrap/>
            <w:vAlign w:val="bottom"/>
            <w:hideMark/>
          </w:tcPr>
          <w:p w:rsidR="004923B5" w:rsidRPr="004923B5" w:rsidRDefault="004923B5" w:rsidP="004923B5">
            <w:pPr>
              <w:jc w:val="right"/>
            </w:pPr>
            <w:r w:rsidRPr="004923B5">
              <w:t>3.845868</w:t>
            </w:r>
          </w:p>
        </w:tc>
      </w:tr>
      <w:tr w:rsidR="004923B5" w:rsidRPr="004923B5" w:rsidTr="004923B5">
        <w:trPr>
          <w:trHeight w:val="285"/>
        </w:trPr>
        <w:tc>
          <w:tcPr>
            <w:tcW w:w="1745" w:type="dxa"/>
            <w:tcBorders>
              <w:top w:val="nil"/>
              <w:left w:val="nil"/>
              <w:bottom w:val="nil"/>
              <w:right w:val="nil"/>
            </w:tcBorders>
            <w:shd w:val="clear" w:color="auto" w:fill="auto"/>
            <w:noWrap/>
            <w:vAlign w:val="bottom"/>
            <w:hideMark/>
          </w:tcPr>
          <w:p w:rsidR="004923B5" w:rsidRPr="004923B5" w:rsidRDefault="004923B5" w:rsidP="004923B5">
            <w:r w:rsidRPr="004923B5">
              <w:t>Range</w:t>
            </w:r>
          </w:p>
        </w:tc>
        <w:tc>
          <w:tcPr>
            <w:tcW w:w="867" w:type="dxa"/>
            <w:tcBorders>
              <w:top w:val="nil"/>
              <w:left w:val="nil"/>
              <w:bottom w:val="nil"/>
              <w:right w:val="nil"/>
            </w:tcBorders>
            <w:shd w:val="clear" w:color="auto" w:fill="auto"/>
            <w:noWrap/>
            <w:vAlign w:val="bottom"/>
            <w:hideMark/>
          </w:tcPr>
          <w:p w:rsidR="004923B5" w:rsidRPr="004923B5" w:rsidRDefault="004923B5" w:rsidP="004923B5">
            <w:pPr>
              <w:jc w:val="right"/>
            </w:pPr>
            <w:r w:rsidRPr="004923B5">
              <w:t>6814</w:t>
            </w:r>
          </w:p>
        </w:tc>
      </w:tr>
      <w:tr w:rsidR="004923B5" w:rsidRPr="004923B5" w:rsidTr="004923B5">
        <w:trPr>
          <w:trHeight w:val="285"/>
        </w:trPr>
        <w:tc>
          <w:tcPr>
            <w:tcW w:w="1745" w:type="dxa"/>
            <w:tcBorders>
              <w:top w:val="nil"/>
              <w:left w:val="nil"/>
              <w:bottom w:val="nil"/>
              <w:right w:val="nil"/>
            </w:tcBorders>
            <w:shd w:val="clear" w:color="auto" w:fill="auto"/>
            <w:noWrap/>
            <w:vAlign w:val="bottom"/>
            <w:hideMark/>
          </w:tcPr>
          <w:p w:rsidR="004923B5" w:rsidRPr="004923B5" w:rsidRDefault="004923B5" w:rsidP="004923B5">
            <w:r w:rsidRPr="004923B5">
              <w:t>Minimum</w:t>
            </w:r>
          </w:p>
        </w:tc>
        <w:tc>
          <w:tcPr>
            <w:tcW w:w="867" w:type="dxa"/>
            <w:tcBorders>
              <w:top w:val="nil"/>
              <w:left w:val="nil"/>
              <w:bottom w:val="nil"/>
              <w:right w:val="nil"/>
            </w:tcBorders>
            <w:shd w:val="clear" w:color="auto" w:fill="auto"/>
            <w:noWrap/>
            <w:vAlign w:val="bottom"/>
            <w:hideMark/>
          </w:tcPr>
          <w:p w:rsidR="004923B5" w:rsidRPr="004923B5" w:rsidRDefault="004923B5" w:rsidP="004923B5">
            <w:pPr>
              <w:jc w:val="right"/>
            </w:pPr>
            <w:r w:rsidRPr="004923B5">
              <w:t>86</w:t>
            </w:r>
          </w:p>
        </w:tc>
      </w:tr>
      <w:tr w:rsidR="004923B5" w:rsidRPr="004923B5" w:rsidTr="004923B5">
        <w:trPr>
          <w:trHeight w:val="285"/>
        </w:trPr>
        <w:tc>
          <w:tcPr>
            <w:tcW w:w="1745" w:type="dxa"/>
            <w:tcBorders>
              <w:top w:val="nil"/>
              <w:left w:val="nil"/>
              <w:bottom w:val="nil"/>
              <w:right w:val="nil"/>
            </w:tcBorders>
            <w:shd w:val="clear" w:color="auto" w:fill="auto"/>
            <w:noWrap/>
            <w:vAlign w:val="bottom"/>
            <w:hideMark/>
          </w:tcPr>
          <w:p w:rsidR="004923B5" w:rsidRPr="004923B5" w:rsidRDefault="004923B5" w:rsidP="004923B5">
            <w:r w:rsidRPr="004923B5">
              <w:t>Maximum</w:t>
            </w:r>
          </w:p>
        </w:tc>
        <w:tc>
          <w:tcPr>
            <w:tcW w:w="867" w:type="dxa"/>
            <w:tcBorders>
              <w:top w:val="nil"/>
              <w:left w:val="nil"/>
              <w:bottom w:val="nil"/>
              <w:right w:val="nil"/>
            </w:tcBorders>
            <w:shd w:val="clear" w:color="auto" w:fill="auto"/>
            <w:noWrap/>
            <w:vAlign w:val="bottom"/>
            <w:hideMark/>
          </w:tcPr>
          <w:p w:rsidR="004923B5" w:rsidRPr="004923B5" w:rsidRDefault="004923B5" w:rsidP="004923B5">
            <w:pPr>
              <w:jc w:val="right"/>
            </w:pPr>
            <w:r w:rsidRPr="004923B5">
              <w:t>6900</w:t>
            </w:r>
          </w:p>
        </w:tc>
      </w:tr>
      <w:tr w:rsidR="004923B5" w:rsidRPr="004923B5" w:rsidTr="004923B5">
        <w:trPr>
          <w:trHeight w:val="285"/>
        </w:trPr>
        <w:tc>
          <w:tcPr>
            <w:tcW w:w="1745" w:type="dxa"/>
            <w:tcBorders>
              <w:top w:val="nil"/>
              <w:left w:val="nil"/>
              <w:bottom w:val="nil"/>
              <w:right w:val="nil"/>
            </w:tcBorders>
            <w:shd w:val="clear" w:color="auto" w:fill="auto"/>
            <w:noWrap/>
            <w:vAlign w:val="bottom"/>
            <w:hideMark/>
          </w:tcPr>
          <w:p w:rsidR="004923B5" w:rsidRPr="004923B5" w:rsidRDefault="004923B5" w:rsidP="004923B5">
            <w:r w:rsidRPr="004923B5">
              <w:t>Sum</w:t>
            </w:r>
          </w:p>
        </w:tc>
        <w:tc>
          <w:tcPr>
            <w:tcW w:w="867" w:type="dxa"/>
            <w:tcBorders>
              <w:top w:val="nil"/>
              <w:left w:val="nil"/>
              <w:bottom w:val="nil"/>
              <w:right w:val="nil"/>
            </w:tcBorders>
            <w:shd w:val="clear" w:color="auto" w:fill="auto"/>
            <w:noWrap/>
            <w:vAlign w:val="bottom"/>
            <w:hideMark/>
          </w:tcPr>
          <w:p w:rsidR="004923B5" w:rsidRPr="004923B5" w:rsidRDefault="004923B5" w:rsidP="004923B5">
            <w:pPr>
              <w:jc w:val="right"/>
            </w:pPr>
            <w:r w:rsidRPr="004923B5">
              <w:t>28307</w:t>
            </w:r>
          </w:p>
        </w:tc>
      </w:tr>
      <w:tr w:rsidR="004923B5" w:rsidRPr="004923B5" w:rsidTr="004923B5">
        <w:trPr>
          <w:trHeight w:val="293"/>
        </w:trPr>
        <w:tc>
          <w:tcPr>
            <w:tcW w:w="1745" w:type="dxa"/>
            <w:tcBorders>
              <w:top w:val="nil"/>
              <w:left w:val="nil"/>
              <w:bottom w:val="single" w:sz="8" w:space="0" w:color="auto"/>
              <w:right w:val="nil"/>
            </w:tcBorders>
            <w:shd w:val="clear" w:color="auto" w:fill="auto"/>
            <w:noWrap/>
            <w:vAlign w:val="bottom"/>
            <w:hideMark/>
          </w:tcPr>
          <w:p w:rsidR="004923B5" w:rsidRPr="004923B5" w:rsidRDefault="004923B5" w:rsidP="004923B5">
            <w:r w:rsidRPr="004923B5">
              <w:t>Count</w:t>
            </w:r>
          </w:p>
        </w:tc>
        <w:tc>
          <w:tcPr>
            <w:tcW w:w="867" w:type="dxa"/>
            <w:tcBorders>
              <w:top w:val="nil"/>
              <w:left w:val="nil"/>
              <w:bottom w:val="single" w:sz="8" w:space="0" w:color="auto"/>
              <w:right w:val="nil"/>
            </w:tcBorders>
            <w:shd w:val="clear" w:color="auto" w:fill="auto"/>
            <w:noWrap/>
            <w:vAlign w:val="bottom"/>
            <w:hideMark/>
          </w:tcPr>
          <w:p w:rsidR="004923B5" w:rsidRPr="004923B5" w:rsidRDefault="004923B5" w:rsidP="004923B5">
            <w:pPr>
              <w:jc w:val="right"/>
            </w:pPr>
            <w:r w:rsidRPr="004923B5">
              <w:t>41</w:t>
            </w:r>
          </w:p>
        </w:tc>
      </w:tr>
    </w:tbl>
    <w:p w:rsidR="004923B5" w:rsidRDefault="004923B5" w:rsidP="007E0314">
      <w:pPr>
        <w:spacing w:after="35"/>
        <w:ind w:right="1181"/>
      </w:pPr>
    </w:p>
    <w:p w:rsidR="008207E7" w:rsidRDefault="008207E7" w:rsidP="007E0314">
      <w:pPr>
        <w:spacing w:after="35"/>
        <w:ind w:right="1181"/>
      </w:pPr>
      <w:r>
        <w:t>It is immediately apparent that since the median concentration is 305 CFU/100mL and States A, B, C call for a median concentration less than 130 CFU/100mL, that these data cannot satisfy this criterion.</w:t>
      </w:r>
      <w:r w:rsidR="00E35BBE">
        <w:t xml:space="preserve"> </w:t>
      </w:r>
    </w:p>
    <w:p w:rsidR="008207E7" w:rsidRDefault="008207E7" w:rsidP="007E0314">
      <w:pPr>
        <w:spacing w:after="35"/>
        <w:ind w:right="1181"/>
      </w:pPr>
    </w:p>
    <w:p w:rsidR="00A931E0" w:rsidRDefault="008207E7" w:rsidP="00A931E0">
      <w:pPr>
        <w:spacing w:after="35"/>
        <w:ind w:left="10" w:right="1181" w:hanging="10"/>
      </w:pPr>
      <w:r>
        <w:t xml:space="preserve">However, let’s pursue the analysis a bit further and compute a histogram of the data, as described in the class exercise on p. </w:t>
      </w:r>
      <w:r w:rsidR="00A931E0">
        <w:t xml:space="preserve">13.  The results show that 27% of the data exceed 540 CFU/100mL, 56% are greater than 260 CFU/100mL, and the 90% of the data are less than 1200mL, which means that the 95% level will exceed 1200 </w:t>
      </w:r>
      <w:proofErr w:type="spellStart"/>
      <w:r w:rsidR="00A931E0">
        <w:t>mL.</w:t>
      </w:r>
      <w:proofErr w:type="spellEnd"/>
    </w:p>
    <w:p w:rsidR="00A931E0" w:rsidRPr="00A931E0" w:rsidRDefault="00A931E0" w:rsidP="00A931E0">
      <w:pPr>
        <w:spacing w:after="35"/>
        <w:ind w:left="10" w:right="1181" w:hanging="10"/>
        <w:rPr>
          <w:b/>
        </w:rPr>
      </w:pPr>
      <w:r w:rsidRPr="00A931E0">
        <w:rPr>
          <w:b/>
        </w:rPr>
        <w:t>Hence these bacterial levels are in state D, the worst of the 4 states defined in the National Policy Statement for Freshwater Management</w:t>
      </w:r>
      <w:r>
        <w:rPr>
          <w:b/>
        </w:rPr>
        <w:t>.</w:t>
      </w:r>
    </w:p>
    <w:p w:rsidR="00A931E0" w:rsidRDefault="00A931E0" w:rsidP="00A931E0">
      <w:pPr>
        <w:spacing w:after="35"/>
        <w:ind w:left="10" w:right="1181" w:hanging="10"/>
      </w:pPr>
    </w:p>
    <w:tbl>
      <w:tblPr>
        <w:tblW w:w="4720" w:type="dxa"/>
        <w:tblLook w:val="04A0" w:firstRow="1" w:lastRow="0" w:firstColumn="1" w:lastColumn="0" w:noHBand="0" w:noVBand="1"/>
      </w:tblPr>
      <w:tblGrid>
        <w:gridCol w:w="1020"/>
        <w:gridCol w:w="1132"/>
        <w:gridCol w:w="1260"/>
        <w:gridCol w:w="1420"/>
      </w:tblGrid>
      <w:tr w:rsidR="00A931E0" w:rsidTr="00A931E0">
        <w:trPr>
          <w:trHeight w:val="285"/>
        </w:trPr>
        <w:tc>
          <w:tcPr>
            <w:tcW w:w="1020" w:type="dxa"/>
            <w:tcBorders>
              <w:top w:val="single" w:sz="8" w:space="0" w:color="auto"/>
              <w:left w:val="nil"/>
              <w:bottom w:val="single" w:sz="4" w:space="0" w:color="auto"/>
              <w:right w:val="nil"/>
            </w:tcBorders>
            <w:shd w:val="clear" w:color="auto" w:fill="auto"/>
            <w:noWrap/>
            <w:vAlign w:val="bottom"/>
            <w:hideMark/>
          </w:tcPr>
          <w:p w:rsidR="00A931E0" w:rsidRDefault="00A931E0">
            <w:pPr>
              <w:jc w:val="center"/>
              <w:rPr>
                <w:rFonts w:ascii="Calibri" w:hAnsi="Calibri"/>
                <w:i/>
                <w:iCs/>
                <w:color w:val="000000"/>
                <w:sz w:val="22"/>
                <w:szCs w:val="22"/>
              </w:rPr>
            </w:pPr>
            <w:r>
              <w:rPr>
                <w:rFonts w:ascii="Calibri" w:hAnsi="Calibri"/>
                <w:i/>
                <w:iCs/>
                <w:color w:val="000000"/>
                <w:sz w:val="22"/>
                <w:szCs w:val="22"/>
              </w:rPr>
              <w:t>Bin</w:t>
            </w:r>
          </w:p>
        </w:tc>
        <w:tc>
          <w:tcPr>
            <w:tcW w:w="1020" w:type="dxa"/>
            <w:tcBorders>
              <w:top w:val="single" w:sz="8" w:space="0" w:color="auto"/>
              <w:left w:val="nil"/>
              <w:bottom w:val="single" w:sz="4" w:space="0" w:color="auto"/>
              <w:right w:val="nil"/>
            </w:tcBorders>
            <w:shd w:val="clear" w:color="auto" w:fill="auto"/>
            <w:noWrap/>
            <w:vAlign w:val="bottom"/>
            <w:hideMark/>
          </w:tcPr>
          <w:p w:rsidR="00A931E0" w:rsidRDefault="00A931E0">
            <w:pPr>
              <w:jc w:val="center"/>
              <w:rPr>
                <w:rFonts w:ascii="Calibri" w:hAnsi="Calibri"/>
                <w:i/>
                <w:iCs/>
                <w:color w:val="000000"/>
                <w:sz w:val="22"/>
                <w:szCs w:val="22"/>
              </w:rPr>
            </w:pPr>
            <w:r>
              <w:rPr>
                <w:rFonts w:ascii="Calibri" w:hAnsi="Calibri"/>
                <w:i/>
                <w:iCs/>
                <w:color w:val="000000"/>
                <w:sz w:val="22"/>
                <w:szCs w:val="22"/>
              </w:rPr>
              <w:t>Frequency</w:t>
            </w:r>
          </w:p>
        </w:tc>
        <w:tc>
          <w:tcPr>
            <w:tcW w:w="1260" w:type="dxa"/>
            <w:tcBorders>
              <w:top w:val="single" w:sz="8" w:space="0" w:color="auto"/>
              <w:left w:val="nil"/>
              <w:bottom w:val="single" w:sz="4" w:space="0" w:color="auto"/>
              <w:right w:val="nil"/>
            </w:tcBorders>
            <w:shd w:val="clear" w:color="auto" w:fill="auto"/>
            <w:noWrap/>
            <w:vAlign w:val="bottom"/>
            <w:hideMark/>
          </w:tcPr>
          <w:p w:rsidR="00A931E0" w:rsidRDefault="00A931E0">
            <w:pPr>
              <w:jc w:val="center"/>
              <w:rPr>
                <w:rFonts w:ascii="Calibri" w:hAnsi="Calibri"/>
                <w:i/>
                <w:iCs/>
                <w:color w:val="000000"/>
                <w:sz w:val="22"/>
                <w:szCs w:val="22"/>
              </w:rPr>
            </w:pPr>
            <w:r>
              <w:rPr>
                <w:rFonts w:ascii="Calibri" w:hAnsi="Calibri"/>
                <w:i/>
                <w:iCs/>
                <w:color w:val="000000"/>
                <w:sz w:val="22"/>
                <w:szCs w:val="22"/>
              </w:rPr>
              <w:t>Cumulative %</w:t>
            </w:r>
          </w:p>
        </w:tc>
        <w:tc>
          <w:tcPr>
            <w:tcW w:w="1420" w:type="dxa"/>
            <w:tcBorders>
              <w:top w:val="single" w:sz="4" w:space="0" w:color="auto"/>
              <w:left w:val="nil"/>
              <w:bottom w:val="single" w:sz="4" w:space="0" w:color="auto"/>
              <w:right w:val="nil"/>
            </w:tcBorders>
            <w:shd w:val="clear" w:color="auto" w:fill="auto"/>
            <w:noWrap/>
            <w:vAlign w:val="bottom"/>
            <w:hideMark/>
          </w:tcPr>
          <w:p w:rsidR="00A931E0" w:rsidRDefault="00A931E0">
            <w:pPr>
              <w:jc w:val="center"/>
              <w:rPr>
                <w:rFonts w:ascii="Calibri" w:hAnsi="Calibri"/>
                <w:i/>
                <w:iCs/>
                <w:color w:val="000000"/>
                <w:sz w:val="22"/>
                <w:szCs w:val="22"/>
              </w:rPr>
            </w:pPr>
            <w:r>
              <w:rPr>
                <w:rFonts w:ascii="Calibri" w:hAnsi="Calibri"/>
                <w:i/>
                <w:iCs/>
                <w:color w:val="000000"/>
                <w:sz w:val="22"/>
                <w:szCs w:val="22"/>
              </w:rPr>
              <w:t>% Exceedance</w:t>
            </w:r>
          </w:p>
        </w:tc>
      </w:tr>
      <w:tr w:rsidR="00A931E0" w:rsidTr="00A931E0">
        <w:trPr>
          <w:trHeight w:val="285"/>
        </w:trPr>
        <w:tc>
          <w:tcPr>
            <w:tcW w:w="102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0</w:t>
            </w:r>
          </w:p>
        </w:tc>
        <w:tc>
          <w:tcPr>
            <w:tcW w:w="102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0</w:t>
            </w:r>
          </w:p>
        </w:tc>
        <w:tc>
          <w:tcPr>
            <w:tcW w:w="126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0.00%</w:t>
            </w:r>
          </w:p>
        </w:tc>
        <w:tc>
          <w:tcPr>
            <w:tcW w:w="142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100.00%</w:t>
            </w:r>
          </w:p>
        </w:tc>
      </w:tr>
      <w:tr w:rsidR="00A931E0" w:rsidTr="00A931E0">
        <w:trPr>
          <w:trHeight w:val="285"/>
        </w:trPr>
        <w:tc>
          <w:tcPr>
            <w:tcW w:w="102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130</w:t>
            </w:r>
          </w:p>
        </w:tc>
        <w:tc>
          <w:tcPr>
            <w:tcW w:w="102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7</w:t>
            </w:r>
          </w:p>
        </w:tc>
        <w:tc>
          <w:tcPr>
            <w:tcW w:w="126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17.07%</w:t>
            </w:r>
          </w:p>
        </w:tc>
        <w:tc>
          <w:tcPr>
            <w:tcW w:w="142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82.93%</w:t>
            </w:r>
          </w:p>
        </w:tc>
      </w:tr>
      <w:tr w:rsidR="00A931E0" w:rsidTr="00A931E0">
        <w:trPr>
          <w:trHeight w:val="285"/>
        </w:trPr>
        <w:tc>
          <w:tcPr>
            <w:tcW w:w="102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260</w:t>
            </w:r>
          </w:p>
        </w:tc>
        <w:tc>
          <w:tcPr>
            <w:tcW w:w="102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11</w:t>
            </w:r>
          </w:p>
        </w:tc>
        <w:tc>
          <w:tcPr>
            <w:tcW w:w="126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43.90%</w:t>
            </w:r>
          </w:p>
        </w:tc>
        <w:tc>
          <w:tcPr>
            <w:tcW w:w="142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56.10%</w:t>
            </w:r>
          </w:p>
        </w:tc>
      </w:tr>
      <w:tr w:rsidR="00A931E0" w:rsidTr="00A931E0">
        <w:trPr>
          <w:trHeight w:val="285"/>
        </w:trPr>
        <w:tc>
          <w:tcPr>
            <w:tcW w:w="102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540</w:t>
            </w:r>
          </w:p>
        </w:tc>
        <w:tc>
          <w:tcPr>
            <w:tcW w:w="102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12</w:t>
            </w:r>
          </w:p>
        </w:tc>
        <w:tc>
          <w:tcPr>
            <w:tcW w:w="126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73.17%</w:t>
            </w:r>
          </w:p>
        </w:tc>
        <w:tc>
          <w:tcPr>
            <w:tcW w:w="142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26.83%</w:t>
            </w:r>
          </w:p>
        </w:tc>
      </w:tr>
      <w:tr w:rsidR="00A931E0" w:rsidTr="00A931E0">
        <w:trPr>
          <w:trHeight w:val="285"/>
        </w:trPr>
        <w:tc>
          <w:tcPr>
            <w:tcW w:w="102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1000</w:t>
            </w:r>
          </w:p>
        </w:tc>
        <w:tc>
          <w:tcPr>
            <w:tcW w:w="102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5</w:t>
            </w:r>
          </w:p>
        </w:tc>
        <w:tc>
          <w:tcPr>
            <w:tcW w:w="126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85.37%</w:t>
            </w:r>
          </w:p>
        </w:tc>
        <w:tc>
          <w:tcPr>
            <w:tcW w:w="142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14.63%</w:t>
            </w:r>
          </w:p>
        </w:tc>
      </w:tr>
      <w:tr w:rsidR="00A931E0" w:rsidTr="00A931E0">
        <w:trPr>
          <w:trHeight w:val="285"/>
        </w:trPr>
        <w:tc>
          <w:tcPr>
            <w:tcW w:w="102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1200</w:t>
            </w:r>
          </w:p>
        </w:tc>
        <w:tc>
          <w:tcPr>
            <w:tcW w:w="102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2</w:t>
            </w:r>
          </w:p>
        </w:tc>
        <w:tc>
          <w:tcPr>
            <w:tcW w:w="126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90.24%</w:t>
            </w:r>
          </w:p>
        </w:tc>
        <w:tc>
          <w:tcPr>
            <w:tcW w:w="1420" w:type="dxa"/>
            <w:tcBorders>
              <w:top w:val="nil"/>
              <w:left w:val="nil"/>
              <w:bottom w:val="nil"/>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9.76%</w:t>
            </w:r>
          </w:p>
        </w:tc>
      </w:tr>
      <w:tr w:rsidR="00A931E0" w:rsidTr="00A931E0">
        <w:trPr>
          <w:trHeight w:val="293"/>
        </w:trPr>
        <w:tc>
          <w:tcPr>
            <w:tcW w:w="1020" w:type="dxa"/>
            <w:tcBorders>
              <w:top w:val="nil"/>
              <w:left w:val="nil"/>
              <w:bottom w:val="single" w:sz="8" w:space="0" w:color="auto"/>
              <w:right w:val="nil"/>
            </w:tcBorders>
            <w:shd w:val="clear" w:color="auto" w:fill="auto"/>
            <w:noWrap/>
            <w:vAlign w:val="bottom"/>
            <w:hideMark/>
          </w:tcPr>
          <w:p w:rsidR="00A931E0" w:rsidRDefault="00A931E0">
            <w:pPr>
              <w:rPr>
                <w:rFonts w:ascii="Calibri" w:hAnsi="Calibri"/>
                <w:color w:val="000000"/>
                <w:sz w:val="22"/>
                <w:szCs w:val="22"/>
              </w:rPr>
            </w:pPr>
            <w:r>
              <w:rPr>
                <w:rFonts w:ascii="Calibri" w:hAnsi="Calibri"/>
                <w:color w:val="000000"/>
                <w:sz w:val="22"/>
                <w:szCs w:val="22"/>
              </w:rPr>
              <w:t>More</w:t>
            </w:r>
          </w:p>
        </w:tc>
        <w:tc>
          <w:tcPr>
            <w:tcW w:w="1020" w:type="dxa"/>
            <w:tcBorders>
              <w:top w:val="nil"/>
              <w:left w:val="nil"/>
              <w:bottom w:val="single" w:sz="8" w:space="0" w:color="auto"/>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4</w:t>
            </w:r>
          </w:p>
        </w:tc>
        <w:tc>
          <w:tcPr>
            <w:tcW w:w="1260" w:type="dxa"/>
            <w:tcBorders>
              <w:top w:val="nil"/>
              <w:left w:val="nil"/>
              <w:bottom w:val="single" w:sz="4" w:space="0" w:color="auto"/>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100.00%</w:t>
            </w:r>
          </w:p>
        </w:tc>
        <w:tc>
          <w:tcPr>
            <w:tcW w:w="1420" w:type="dxa"/>
            <w:tcBorders>
              <w:top w:val="nil"/>
              <w:left w:val="nil"/>
              <w:bottom w:val="single" w:sz="4" w:space="0" w:color="auto"/>
              <w:right w:val="nil"/>
            </w:tcBorders>
            <w:shd w:val="clear" w:color="auto" w:fill="auto"/>
            <w:noWrap/>
            <w:vAlign w:val="bottom"/>
            <w:hideMark/>
          </w:tcPr>
          <w:p w:rsidR="00A931E0" w:rsidRDefault="00A931E0">
            <w:pPr>
              <w:jc w:val="right"/>
              <w:rPr>
                <w:rFonts w:ascii="Calibri" w:hAnsi="Calibri"/>
                <w:color w:val="000000"/>
                <w:sz w:val="22"/>
                <w:szCs w:val="22"/>
              </w:rPr>
            </w:pPr>
            <w:r>
              <w:rPr>
                <w:rFonts w:ascii="Calibri" w:hAnsi="Calibri"/>
                <w:color w:val="000000"/>
                <w:sz w:val="22"/>
                <w:szCs w:val="22"/>
              </w:rPr>
              <w:t>0.00%</w:t>
            </w:r>
          </w:p>
        </w:tc>
      </w:tr>
    </w:tbl>
    <w:p w:rsidR="008207E7" w:rsidRDefault="008207E7" w:rsidP="007E0314">
      <w:pPr>
        <w:spacing w:after="35"/>
        <w:ind w:right="1181"/>
      </w:pPr>
    </w:p>
    <w:p w:rsidR="005D7CD8" w:rsidRPr="00E35BBE" w:rsidRDefault="005D7CD8" w:rsidP="005D7CD8">
      <w:pPr>
        <w:rPr>
          <w:b/>
          <w:sz w:val="28"/>
          <w:szCs w:val="28"/>
        </w:rPr>
      </w:pPr>
      <w:r w:rsidRPr="00E35BBE">
        <w:rPr>
          <w:b/>
          <w:sz w:val="28"/>
          <w:szCs w:val="28"/>
        </w:rPr>
        <w:t xml:space="preserve">Question </w:t>
      </w:r>
      <w:r>
        <w:rPr>
          <w:b/>
          <w:sz w:val="28"/>
          <w:szCs w:val="28"/>
        </w:rPr>
        <w:t>4</w:t>
      </w:r>
    </w:p>
    <w:p w:rsidR="005D7CD8" w:rsidRPr="005D7CD8" w:rsidRDefault="005D7CD8" w:rsidP="005D7CD8">
      <w:pPr>
        <w:spacing w:after="160"/>
        <w:ind w:right="1181"/>
      </w:pPr>
      <w:r>
        <w:rPr>
          <w:i/>
        </w:rPr>
        <w:t>To be turned in: Make a nice map of the Selwyn catchment with a pathway from one of the upstream reaches to Lake Ellesmere/</w:t>
      </w:r>
      <w:proofErr w:type="spellStart"/>
      <w:r>
        <w:rPr>
          <w:i/>
        </w:rPr>
        <w:t>Te</w:t>
      </w:r>
      <w:proofErr w:type="spellEnd"/>
      <w:r>
        <w:rPr>
          <w:i/>
        </w:rPr>
        <w:t xml:space="preserve"> </w:t>
      </w:r>
      <w:proofErr w:type="spellStart"/>
      <w:r>
        <w:rPr>
          <w:i/>
        </w:rPr>
        <w:t>Waihora</w:t>
      </w:r>
      <w:proofErr w:type="spellEnd"/>
      <w:r>
        <w:rPr>
          <w:i/>
        </w:rPr>
        <w:t xml:space="preserve"> shown as selected.  What is the length of this flow path in Km? </w:t>
      </w:r>
    </w:p>
    <w:p w:rsidR="005D7CD8" w:rsidRPr="00831AF5" w:rsidRDefault="005D7CD8" w:rsidP="005D7CD8">
      <w:pPr>
        <w:rPr>
          <w:b/>
          <w:iCs/>
          <w:sz w:val="23"/>
          <w:szCs w:val="23"/>
        </w:rPr>
      </w:pPr>
      <w:r w:rsidRPr="00831AF5">
        <w:rPr>
          <w:b/>
          <w:iCs/>
          <w:sz w:val="23"/>
          <w:szCs w:val="23"/>
        </w:rPr>
        <w:t>Solution</w:t>
      </w:r>
    </w:p>
    <w:p w:rsidR="0085680F" w:rsidRDefault="0085680F" w:rsidP="001F303B">
      <w:pPr>
        <w:spacing w:after="160" w:line="259" w:lineRule="auto"/>
      </w:pPr>
      <w:r>
        <w:br/>
        <w:t xml:space="preserve">I picked a point on a stream not far from the Selwyn River and also near Highway 1 between Christchurch and </w:t>
      </w:r>
      <w:proofErr w:type="spellStart"/>
      <w:r>
        <w:t>Ashburton</w:t>
      </w:r>
      <w:proofErr w:type="spellEnd"/>
      <w:r>
        <w:t xml:space="preserve">.  I put a barrier flag on the edge of </w:t>
      </w:r>
      <w:proofErr w:type="spellStart"/>
      <w:r>
        <w:t>Te</w:t>
      </w:r>
      <w:proofErr w:type="spellEnd"/>
      <w:r>
        <w:t xml:space="preserve"> </w:t>
      </w:r>
      <w:proofErr w:type="spellStart"/>
      <w:r>
        <w:t>Waihora</w:t>
      </w:r>
      <w:proofErr w:type="spellEnd"/>
      <w:r>
        <w:t>/Lake Ellesmere so as to just trace the distance to the lake.</w:t>
      </w:r>
    </w:p>
    <w:p w:rsidR="001F303B" w:rsidRDefault="0085680F">
      <w:r>
        <w:rPr>
          <w:noProof/>
          <w:lang w:val="en-NZ" w:eastAsia="en-NZ"/>
        </w:rPr>
        <w:drawing>
          <wp:inline distT="0" distB="0" distL="0" distR="0">
            <wp:extent cx="5943600" cy="3914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85680F" w:rsidRDefault="0085680F"/>
    <w:p w:rsidR="0085680F" w:rsidRDefault="0085680F">
      <w:r>
        <w:t xml:space="preserve">The </w:t>
      </w:r>
      <w:proofErr w:type="spellStart"/>
      <w:r>
        <w:t>RiverLines</w:t>
      </w:r>
      <w:proofErr w:type="spellEnd"/>
      <w:r>
        <w:t xml:space="preserve"> feature class has an attribute Length in meters, and I did Statistics on this attribute</w:t>
      </w:r>
    </w:p>
    <w:p w:rsidR="0085680F" w:rsidRDefault="0085680F">
      <w:r>
        <w:rPr>
          <w:noProof/>
          <w:lang w:val="en-NZ" w:eastAsia="en-NZ"/>
        </w:rPr>
        <w:drawing>
          <wp:inline distT="0" distB="0" distL="0" distR="0">
            <wp:extent cx="5943600" cy="26670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w="3175">
                      <a:solidFill>
                        <a:schemeClr val="bg1">
                          <a:lumMod val="65000"/>
                        </a:schemeClr>
                      </a:solidFill>
                    </a:ln>
                  </pic:spPr>
                </pic:pic>
              </a:graphicData>
            </a:graphic>
          </wp:inline>
        </w:drawing>
      </w:r>
    </w:p>
    <w:p w:rsidR="00C510D8" w:rsidRDefault="00C510D8"/>
    <w:p w:rsidR="00C510D8" w:rsidRDefault="00C510D8">
      <w:r>
        <w:t>To find that the length along this flow path is 25785 m or 25.785 Km.</w:t>
      </w:r>
    </w:p>
    <w:p w:rsidR="00C510D8" w:rsidRDefault="00C510D8"/>
    <w:p w:rsidR="00C510D8" w:rsidRDefault="00C510D8">
      <w:r>
        <w:rPr>
          <w:noProof/>
          <w:lang w:val="en-NZ" w:eastAsia="en-NZ"/>
        </w:rPr>
        <w:drawing>
          <wp:inline distT="0" distB="0" distL="0" distR="0" wp14:anchorId="26BED1D7" wp14:editId="5209070A">
            <wp:extent cx="5943600" cy="2616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616200"/>
                    </a:xfrm>
                    <a:prstGeom prst="rect">
                      <a:avLst/>
                    </a:prstGeom>
                  </pic:spPr>
                </pic:pic>
              </a:graphicData>
            </a:graphic>
          </wp:inline>
        </w:drawing>
      </w:r>
    </w:p>
    <w:p w:rsidR="00C510D8" w:rsidRDefault="00C510D8"/>
    <w:p w:rsidR="00C510D8" w:rsidRDefault="00C510D8">
      <w:r>
        <w:t>If the velocity of the water is approximately 0.3 m/s along this path, then the flow time to the lake from this location is 25785 * 0.3 = 7735.5 sec or 7735.5/3600 = 2.1 hours.  This is not very much time.  Any pollutants in the water at this entry point will be transported with little change in concentration into the lake.</w:t>
      </w:r>
    </w:p>
    <w:p w:rsidR="00C510D8" w:rsidRDefault="00C510D8"/>
    <w:p w:rsidR="00C510D8" w:rsidRDefault="00C510D8">
      <w:bookmarkStart w:id="0" w:name="_GoBack"/>
      <w:bookmarkEnd w:id="0"/>
    </w:p>
    <w:p w:rsidR="00C510D8" w:rsidRDefault="00C510D8"/>
    <w:p w:rsidR="00C510D8" w:rsidRDefault="00C510D8"/>
    <w:sectPr w:rsidR="00C510D8">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9C2" w:rsidRDefault="002329C2" w:rsidP="008207E7">
      <w:r>
        <w:separator/>
      </w:r>
    </w:p>
  </w:endnote>
  <w:endnote w:type="continuationSeparator" w:id="0">
    <w:p w:rsidR="002329C2" w:rsidRDefault="002329C2" w:rsidP="00820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0729"/>
      <w:docPartObj>
        <w:docPartGallery w:val="Page Numbers (Bottom of Page)"/>
        <w:docPartUnique/>
      </w:docPartObj>
    </w:sdtPr>
    <w:sdtEndPr>
      <w:rPr>
        <w:noProof/>
      </w:rPr>
    </w:sdtEndPr>
    <w:sdtContent>
      <w:p w:rsidR="008207E7" w:rsidRDefault="008207E7">
        <w:pPr>
          <w:pStyle w:val="Footer"/>
          <w:jc w:val="center"/>
        </w:pPr>
        <w:r>
          <w:fldChar w:fldCharType="begin"/>
        </w:r>
        <w:r>
          <w:instrText xml:space="preserve"> PAGE   \* MERGEFORMAT </w:instrText>
        </w:r>
        <w:r>
          <w:fldChar w:fldCharType="separate"/>
        </w:r>
        <w:r w:rsidR="00C510D8">
          <w:rPr>
            <w:noProof/>
          </w:rPr>
          <w:t>8</w:t>
        </w:r>
        <w:r>
          <w:rPr>
            <w:noProof/>
          </w:rPr>
          <w:fldChar w:fldCharType="end"/>
        </w:r>
      </w:p>
    </w:sdtContent>
  </w:sdt>
  <w:p w:rsidR="008207E7" w:rsidRDefault="008207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9C2" w:rsidRDefault="002329C2" w:rsidP="008207E7">
      <w:r>
        <w:separator/>
      </w:r>
    </w:p>
  </w:footnote>
  <w:footnote w:type="continuationSeparator" w:id="0">
    <w:p w:rsidR="002329C2" w:rsidRDefault="002329C2" w:rsidP="008207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9E0746"/>
    <w:multiLevelType w:val="hybridMultilevel"/>
    <w:tmpl w:val="90E415BA"/>
    <w:lvl w:ilvl="0" w:tplc="D390DE72">
      <w:start w:val="1"/>
      <w:numFmt w:val="decimal"/>
      <w:lvlText w:val="(%1)"/>
      <w:lvlJc w:val="left"/>
      <w:pPr>
        <w:ind w:left="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5596AE0E">
      <w:start w:val="1"/>
      <w:numFmt w:val="lowerLetter"/>
      <w:lvlText w:val="%2"/>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EAC4E612">
      <w:start w:val="1"/>
      <w:numFmt w:val="lowerRoman"/>
      <w:lvlText w:val="%3"/>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EF729DEA">
      <w:start w:val="1"/>
      <w:numFmt w:val="decimal"/>
      <w:lvlText w:val="%4"/>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BDEE0350">
      <w:start w:val="1"/>
      <w:numFmt w:val="lowerLetter"/>
      <w:lvlText w:val="%5"/>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61C8959A">
      <w:start w:val="1"/>
      <w:numFmt w:val="lowerRoman"/>
      <w:lvlText w:val="%6"/>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DD2A5346">
      <w:start w:val="1"/>
      <w:numFmt w:val="decimal"/>
      <w:lvlText w:val="%7"/>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FF805B16">
      <w:start w:val="1"/>
      <w:numFmt w:val="lowerLetter"/>
      <w:lvlText w:val="%8"/>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D0608EEC">
      <w:start w:val="1"/>
      <w:numFmt w:val="lowerRoman"/>
      <w:lvlText w:val="%9"/>
      <w:lvlJc w:val="left"/>
      <w:pPr>
        <w:ind w:left="64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03B"/>
    <w:rsid w:val="001357A6"/>
    <w:rsid w:val="001C61B6"/>
    <w:rsid w:val="001F303B"/>
    <w:rsid w:val="002329C2"/>
    <w:rsid w:val="003441EA"/>
    <w:rsid w:val="00485F51"/>
    <w:rsid w:val="004923B5"/>
    <w:rsid w:val="004E23A2"/>
    <w:rsid w:val="005D7CD8"/>
    <w:rsid w:val="006C7679"/>
    <w:rsid w:val="007E0314"/>
    <w:rsid w:val="008207E7"/>
    <w:rsid w:val="0085680F"/>
    <w:rsid w:val="00A931E0"/>
    <w:rsid w:val="00BA3ABF"/>
    <w:rsid w:val="00C510D8"/>
    <w:rsid w:val="00C8470E"/>
    <w:rsid w:val="00CD6172"/>
    <w:rsid w:val="00D906ED"/>
    <w:rsid w:val="00E35BBE"/>
    <w:rsid w:val="00E903E7"/>
    <w:rsid w:val="00ED7A67"/>
    <w:rsid w:val="00F27B16"/>
    <w:rsid w:val="00F42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6A9375-9B7D-4B1B-A857-5C7D981A0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1E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03E7"/>
    <w:rPr>
      <w:color w:val="0563C1" w:themeColor="hyperlink"/>
      <w:u w:val="single"/>
    </w:rPr>
  </w:style>
  <w:style w:type="table" w:styleId="TableGrid">
    <w:name w:val="Table Grid"/>
    <w:basedOn w:val="TableNormal"/>
    <w:uiPriority w:val="39"/>
    <w:rsid w:val="00ED7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07E7"/>
    <w:pPr>
      <w:tabs>
        <w:tab w:val="center" w:pos="4680"/>
        <w:tab w:val="right" w:pos="9360"/>
      </w:tabs>
      <w:ind w:left="10" w:right="1140" w:hanging="10"/>
    </w:pPr>
    <w:rPr>
      <w:rFonts w:ascii="Calibri" w:eastAsia="Calibri" w:hAnsi="Calibri" w:cs="Calibri"/>
      <w:color w:val="000000"/>
      <w:sz w:val="22"/>
      <w:szCs w:val="22"/>
    </w:rPr>
  </w:style>
  <w:style w:type="character" w:customStyle="1" w:styleId="HeaderChar">
    <w:name w:val="Header Char"/>
    <w:basedOn w:val="DefaultParagraphFont"/>
    <w:link w:val="Header"/>
    <w:uiPriority w:val="99"/>
    <w:rsid w:val="008207E7"/>
    <w:rPr>
      <w:rFonts w:ascii="Calibri" w:eastAsia="Calibri" w:hAnsi="Calibri" w:cs="Calibri"/>
      <w:color w:val="000000"/>
    </w:rPr>
  </w:style>
  <w:style w:type="paragraph" w:styleId="Footer">
    <w:name w:val="footer"/>
    <w:basedOn w:val="Normal"/>
    <w:link w:val="FooterChar"/>
    <w:uiPriority w:val="99"/>
    <w:unhideWhenUsed/>
    <w:rsid w:val="008207E7"/>
    <w:pPr>
      <w:tabs>
        <w:tab w:val="center" w:pos="4680"/>
        <w:tab w:val="right" w:pos="9360"/>
      </w:tabs>
      <w:ind w:left="10" w:right="1140" w:hanging="10"/>
    </w:pPr>
    <w:rPr>
      <w:rFonts w:ascii="Calibri" w:eastAsia="Calibri" w:hAnsi="Calibri" w:cs="Calibri"/>
      <w:color w:val="000000"/>
      <w:sz w:val="22"/>
      <w:szCs w:val="22"/>
    </w:rPr>
  </w:style>
  <w:style w:type="character" w:customStyle="1" w:styleId="FooterChar">
    <w:name w:val="Footer Char"/>
    <w:basedOn w:val="DefaultParagraphFont"/>
    <w:link w:val="Footer"/>
    <w:uiPriority w:val="99"/>
    <w:rsid w:val="008207E7"/>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419616">
      <w:bodyDiv w:val="1"/>
      <w:marLeft w:val="0"/>
      <w:marRight w:val="0"/>
      <w:marTop w:val="0"/>
      <w:marBottom w:val="0"/>
      <w:divBdr>
        <w:top w:val="none" w:sz="0" w:space="0" w:color="auto"/>
        <w:left w:val="none" w:sz="0" w:space="0" w:color="auto"/>
        <w:bottom w:val="none" w:sz="0" w:space="0" w:color="auto"/>
        <w:right w:val="none" w:sz="0" w:space="0" w:color="auto"/>
      </w:divBdr>
    </w:div>
    <w:div w:id="958491956">
      <w:bodyDiv w:val="1"/>
      <w:marLeft w:val="0"/>
      <w:marRight w:val="0"/>
      <w:marTop w:val="0"/>
      <w:marBottom w:val="0"/>
      <w:divBdr>
        <w:top w:val="none" w:sz="0" w:space="0" w:color="auto"/>
        <w:left w:val="none" w:sz="0" w:space="0" w:color="auto"/>
        <w:bottom w:val="none" w:sz="0" w:space="0" w:color="auto"/>
        <w:right w:val="none" w:sz="0" w:space="0" w:color="auto"/>
      </w:divBdr>
    </w:div>
    <w:div w:id="1418211602">
      <w:bodyDiv w:val="1"/>
      <w:marLeft w:val="0"/>
      <w:marRight w:val="0"/>
      <w:marTop w:val="0"/>
      <w:marBottom w:val="0"/>
      <w:divBdr>
        <w:top w:val="none" w:sz="0" w:space="0" w:color="auto"/>
        <w:left w:val="none" w:sz="0" w:space="0" w:color="auto"/>
        <w:bottom w:val="none" w:sz="0" w:space="0" w:color="auto"/>
        <w:right w:val="none" w:sz="0" w:space="0" w:color="auto"/>
      </w:divBdr>
    </w:div>
    <w:div w:id="1453984132">
      <w:bodyDiv w:val="1"/>
      <w:marLeft w:val="0"/>
      <w:marRight w:val="0"/>
      <w:marTop w:val="0"/>
      <w:marBottom w:val="0"/>
      <w:divBdr>
        <w:top w:val="none" w:sz="0" w:space="0" w:color="auto"/>
        <w:left w:val="none" w:sz="0" w:space="0" w:color="auto"/>
        <w:bottom w:val="none" w:sz="0" w:space="0" w:color="auto"/>
        <w:right w:val="none" w:sz="0" w:space="0" w:color="auto"/>
      </w:divBdr>
    </w:div>
    <w:div w:id="1761870084">
      <w:bodyDiv w:val="1"/>
      <w:marLeft w:val="0"/>
      <w:marRight w:val="0"/>
      <w:marTop w:val="0"/>
      <w:marBottom w:val="0"/>
      <w:divBdr>
        <w:top w:val="none" w:sz="0" w:space="0" w:color="auto"/>
        <w:left w:val="none" w:sz="0" w:space="0" w:color="auto"/>
        <w:bottom w:val="none" w:sz="0" w:space="0" w:color="auto"/>
        <w:right w:val="none" w:sz="0" w:space="0" w:color="auto"/>
      </w:divBdr>
    </w:div>
    <w:div w:id="2048331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hyperlink" Target="https://extension.psu.edu/coliform-bacteria"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idment\Documents\Canterbury\Ex3\Ex3Sol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idment\Documents\Canterbury\Ex3\Ex3Sol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'E Coli Analysis'!$B$1</c:f>
              <c:strCache>
                <c:ptCount val="1"/>
                <c:pt idx="0">
                  <c:v>E. Coli (CFU/100mL)</c:v>
                </c:pt>
              </c:strCache>
            </c:strRef>
          </c:tx>
          <c:spPr>
            <a:ln w="19050" cap="rnd">
              <a:noFill/>
              <a:round/>
            </a:ln>
            <a:effectLst/>
          </c:spPr>
          <c:marker>
            <c:symbol val="circle"/>
            <c:size val="5"/>
            <c:spPr>
              <a:solidFill>
                <a:schemeClr val="accent1"/>
              </a:solidFill>
              <a:ln w="9525">
                <a:solidFill>
                  <a:schemeClr val="accent1"/>
                </a:solidFill>
              </a:ln>
              <a:effectLst/>
            </c:spPr>
          </c:marker>
          <c:xVal>
            <c:numRef>
              <c:f>'E Coli Analysis'!$A$2:$A$42</c:f>
              <c:numCache>
                <c:formatCode>m/d/yy;@</c:formatCode>
                <c:ptCount val="41"/>
                <c:pt idx="0">
                  <c:v>42704</c:v>
                </c:pt>
                <c:pt idx="1">
                  <c:v>42710</c:v>
                </c:pt>
                <c:pt idx="2">
                  <c:v>42716</c:v>
                </c:pt>
                <c:pt idx="3">
                  <c:v>42723</c:v>
                </c:pt>
                <c:pt idx="4">
                  <c:v>42732</c:v>
                </c:pt>
                <c:pt idx="5">
                  <c:v>42739</c:v>
                </c:pt>
                <c:pt idx="6">
                  <c:v>42744</c:v>
                </c:pt>
                <c:pt idx="7">
                  <c:v>42751</c:v>
                </c:pt>
                <c:pt idx="8">
                  <c:v>42759</c:v>
                </c:pt>
                <c:pt idx="9">
                  <c:v>42765</c:v>
                </c:pt>
                <c:pt idx="10">
                  <c:v>42773</c:v>
                </c:pt>
                <c:pt idx="11">
                  <c:v>42779</c:v>
                </c:pt>
                <c:pt idx="12">
                  <c:v>42786</c:v>
                </c:pt>
                <c:pt idx="13">
                  <c:v>42793</c:v>
                </c:pt>
                <c:pt idx="14">
                  <c:v>42800</c:v>
                </c:pt>
                <c:pt idx="15">
                  <c:v>42807</c:v>
                </c:pt>
                <c:pt idx="16">
                  <c:v>42814</c:v>
                </c:pt>
                <c:pt idx="17">
                  <c:v>42821</c:v>
                </c:pt>
                <c:pt idx="18">
                  <c:v>42828</c:v>
                </c:pt>
                <c:pt idx="19">
                  <c:v>42835</c:v>
                </c:pt>
                <c:pt idx="20">
                  <c:v>42843</c:v>
                </c:pt>
                <c:pt idx="21">
                  <c:v>42852</c:v>
                </c:pt>
                <c:pt idx="22">
                  <c:v>43044</c:v>
                </c:pt>
                <c:pt idx="23">
                  <c:v>43053</c:v>
                </c:pt>
                <c:pt idx="24">
                  <c:v>43059</c:v>
                </c:pt>
                <c:pt idx="25">
                  <c:v>43066</c:v>
                </c:pt>
                <c:pt idx="26">
                  <c:v>43074</c:v>
                </c:pt>
                <c:pt idx="27">
                  <c:v>43080</c:v>
                </c:pt>
                <c:pt idx="28">
                  <c:v>43086</c:v>
                </c:pt>
                <c:pt idx="29">
                  <c:v>43093</c:v>
                </c:pt>
                <c:pt idx="30">
                  <c:v>43100</c:v>
                </c:pt>
                <c:pt idx="31">
                  <c:v>43107</c:v>
                </c:pt>
                <c:pt idx="32">
                  <c:v>43116</c:v>
                </c:pt>
                <c:pt idx="33">
                  <c:v>43123</c:v>
                </c:pt>
                <c:pt idx="34">
                  <c:v>43128</c:v>
                </c:pt>
                <c:pt idx="35">
                  <c:v>43138</c:v>
                </c:pt>
                <c:pt idx="36">
                  <c:v>43143</c:v>
                </c:pt>
                <c:pt idx="37">
                  <c:v>43149</c:v>
                </c:pt>
                <c:pt idx="38">
                  <c:v>43158</c:v>
                </c:pt>
                <c:pt idx="39">
                  <c:v>43164</c:v>
                </c:pt>
                <c:pt idx="40">
                  <c:v>43170</c:v>
                </c:pt>
              </c:numCache>
            </c:numRef>
          </c:xVal>
          <c:yVal>
            <c:numRef>
              <c:f>'E Coli Analysis'!$B$2:$B$42</c:f>
              <c:numCache>
                <c:formatCode>General</c:formatCode>
                <c:ptCount val="41"/>
                <c:pt idx="0">
                  <c:v>650</c:v>
                </c:pt>
                <c:pt idx="1">
                  <c:v>190</c:v>
                </c:pt>
                <c:pt idx="2">
                  <c:v>840</c:v>
                </c:pt>
                <c:pt idx="3">
                  <c:v>100</c:v>
                </c:pt>
                <c:pt idx="4">
                  <c:v>120</c:v>
                </c:pt>
                <c:pt idx="5">
                  <c:v>6900</c:v>
                </c:pt>
                <c:pt idx="6">
                  <c:v>130</c:v>
                </c:pt>
                <c:pt idx="7">
                  <c:v>1100</c:v>
                </c:pt>
                <c:pt idx="8">
                  <c:v>4200</c:v>
                </c:pt>
                <c:pt idx="9">
                  <c:v>140</c:v>
                </c:pt>
                <c:pt idx="10">
                  <c:v>160</c:v>
                </c:pt>
                <c:pt idx="11">
                  <c:v>110</c:v>
                </c:pt>
                <c:pt idx="12">
                  <c:v>580</c:v>
                </c:pt>
                <c:pt idx="13">
                  <c:v>190</c:v>
                </c:pt>
                <c:pt idx="14">
                  <c:v>130</c:v>
                </c:pt>
                <c:pt idx="15">
                  <c:v>1400</c:v>
                </c:pt>
                <c:pt idx="16">
                  <c:v>190</c:v>
                </c:pt>
                <c:pt idx="17">
                  <c:v>590</c:v>
                </c:pt>
                <c:pt idx="18">
                  <c:v>740</c:v>
                </c:pt>
                <c:pt idx="19">
                  <c:v>190</c:v>
                </c:pt>
                <c:pt idx="20">
                  <c:v>380</c:v>
                </c:pt>
                <c:pt idx="21">
                  <c:v>150</c:v>
                </c:pt>
                <c:pt idx="22">
                  <c:v>160</c:v>
                </c:pt>
                <c:pt idx="23">
                  <c:v>145</c:v>
                </c:pt>
                <c:pt idx="24">
                  <c:v>86</c:v>
                </c:pt>
                <c:pt idx="25">
                  <c:v>121</c:v>
                </c:pt>
                <c:pt idx="26">
                  <c:v>318</c:v>
                </c:pt>
                <c:pt idx="27">
                  <c:v>480</c:v>
                </c:pt>
                <c:pt idx="28">
                  <c:v>323</c:v>
                </c:pt>
                <c:pt idx="29">
                  <c:v>457</c:v>
                </c:pt>
                <c:pt idx="30">
                  <c:v>538</c:v>
                </c:pt>
                <c:pt idx="31">
                  <c:v>2909</c:v>
                </c:pt>
                <c:pt idx="32">
                  <c:v>364</c:v>
                </c:pt>
                <c:pt idx="33">
                  <c:v>285</c:v>
                </c:pt>
                <c:pt idx="34">
                  <c:v>246</c:v>
                </c:pt>
                <c:pt idx="35">
                  <c:v>379</c:v>
                </c:pt>
                <c:pt idx="36">
                  <c:v>1162</c:v>
                </c:pt>
                <c:pt idx="37">
                  <c:v>279</c:v>
                </c:pt>
                <c:pt idx="38">
                  <c:v>324</c:v>
                </c:pt>
                <c:pt idx="39">
                  <c:v>246</c:v>
                </c:pt>
                <c:pt idx="40">
                  <c:v>305</c:v>
                </c:pt>
              </c:numCache>
            </c:numRef>
          </c:yVal>
          <c:smooth val="0"/>
          <c:extLst xmlns:c16r2="http://schemas.microsoft.com/office/drawing/2015/06/chart">
            <c:ext xmlns:c16="http://schemas.microsoft.com/office/drawing/2014/chart" uri="{C3380CC4-5D6E-409C-BE32-E72D297353CC}">
              <c16:uniqueId val="{00000000-3BD8-4E0A-B059-786AB280B10B}"/>
            </c:ext>
          </c:extLst>
        </c:ser>
        <c:dLbls>
          <c:showLegendKey val="0"/>
          <c:showVal val="0"/>
          <c:showCatName val="0"/>
          <c:showSerName val="0"/>
          <c:showPercent val="0"/>
          <c:showBubbleSize val="0"/>
        </c:dLbls>
        <c:axId val="238040656"/>
        <c:axId val="238041048"/>
      </c:scatterChart>
      <c:valAx>
        <c:axId val="238040656"/>
        <c:scaling>
          <c:orientation val="minMax"/>
        </c:scaling>
        <c:delete val="0"/>
        <c:axPos val="b"/>
        <c:majorGridlines>
          <c:spPr>
            <a:ln w="9525" cap="flat" cmpd="sng" algn="ctr">
              <a:solidFill>
                <a:schemeClr val="tx1">
                  <a:lumMod val="15000"/>
                  <a:lumOff val="85000"/>
                </a:schemeClr>
              </a:solidFill>
              <a:round/>
            </a:ln>
            <a:effectLst/>
          </c:spPr>
        </c:majorGridlines>
        <c:numFmt formatCode="m/d/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041048"/>
        <c:crosses val="autoZero"/>
        <c:crossBetween val="midCat"/>
      </c:valAx>
      <c:valAx>
        <c:axId val="238041048"/>
        <c:scaling>
          <c:logBase val="10"/>
          <c:orientation val="minMax"/>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0406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 Coli</a:t>
            </a:r>
            <a:r>
              <a:rPr lang="en-US" baseline="0"/>
              <a:t> in Mangatainoka River at Pahiatua Town Bridge</a:t>
            </a:r>
            <a:endParaRPr lang="en-US"/>
          </a:p>
        </c:rich>
      </c:tx>
      <c:layout>
        <c:manualLayout>
          <c:xMode val="edge"/>
          <c:yMode val="edge"/>
          <c:x val="0.15009106850690276"/>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'E Coli Analysis'!$B$1</c:f>
              <c:strCache>
                <c:ptCount val="1"/>
                <c:pt idx="0">
                  <c:v>E. Coli (CFU/100mL)</c:v>
                </c:pt>
              </c:strCache>
            </c:strRef>
          </c:tx>
          <c:spPr>
            <a:ln w="19050" cap="rnd">
              <a:noFill/>
              <a:round/>
            </a:ln>
            <a:effectLst/>
          </c:spPr>
          <c:marker>
            <c:symbol val="square"/>
            <c:size val="5"/>
            <c:spPr>
              <a:solidFill>
                <a:schemeClr val="accent1"/>
              </a:solidFill>
              <a:ln w="9525">
                <a:solidFill>
                  <a:schemeClr val="accent1"/>
                </a:solidFill>
              </a:ln>
              <a:effectLst/>
            </c:spPr>
          </c:marker>
          <c:xVal>
            <c:numRef>
              <c:f>'E Coli Analysis'!$A$2:$A$42</c:f>
              <c:numCache>
                <c:formatCode>m/d/yy;@</c:formatCode>
                <c:ptCount val="41"/>
                <c:pt idx="0">
                  <c:v>42704</c:v>
                </c:pt>
                <c:pt idx="1">
                  <c:v>42710</c:v>
                </c:pt>
                <c:pt idx="2">
                  <c:v>42716</c:v>
                </c:pt>
                <c:pt idx="3">
                  <c:v>42723</c:v>
                </c:pt>
                <c:pt idx="4">
                  <c:v>42732</c:v>
                </c:pt>
                <c:pt idx="5">
                  <c:v>42739</c:v>
                </c:pt>
                <c:pt idx="6">
                  <c:v>42744</c:v>
                </c:pt>
                <c:pt idx="7">
                  <c:v>42751</c:v>
                </c:pt>
                <c:pt idx="8">
                  <c:v>42759</c:v>
                </c:pt>
                <c:pt idx="9">
                  <c:v>42765</c:v>
                </c:pt>
                <c:pt idx="10">
                  <c:v>42773</c:v>
                </c:pt>
                <c:pt idx="11">
                  <c:v>42779</c:v>
                </c:pt>
                <c:pt idx="12">
                  <c:v>42786</c:v>
                </c:pt>
                <c:pt idx="13">
                  <c:v>42793</c:v>
                </c:pt>
                <c:pt idx="14">
                  <c:v>42800</c:v>
                </c:pt>
                <c:pt idx="15">
                  <c:v>42807</c:v>
                </c:pt>
                <c:pt idx="16">
                  <c:v>42814</c:v>
                </c:pt>
                <c:pt idx="17">
                  <c:v>42821</c:v>
                </c:pt>
                <c:pt idx="18">
                  <c:v>42828</c:v>
                </c:pt>
                <c:pt idx="19">
                  <c:v>42835</c:v>
                </c:pt>
                <c:pt idx="20">
                  <c:v>42843</c:v>
                </c:pt>
                <c:pt idx="21">
                  <c:v>42852</c:v>
                </c:pt>
                <c:pt idx="22">
                  <c:v>43044</c:v>
                </c:pt>
                <c:pt idx="23">
                  <c:v>43053</c:v>
                </c:pt>
                <c:pt idx="24">
                  <c:v>43059</c:v>
                </c:pt>
                <c:pt idx="25">
                  <c:v>43066</c:v>
                </c:pt>
                <c:pt idx="26">
                  <c:v>43074</c:v>
                </c:pt>
                <c:pt idx="27">
                  <c:v>43080</c:v>
                </c:pt>
                <c:pt idx="28">
                  <c:v>43086</c:v>
                </c:pt>
                <c:pt idx="29">
                  <c:v>43093</c:v>
                </c:pt>
                <c:pt idx="30">
                  <c:v>43100</c:v>
                </c:pt>
                <c:pt idx="31">
                  <c:v>43107</c:v>
                </c:pt>
                <c:pt idx="32">
                  <c:v>43116</c:v>
                </c:pt>
                <c:pt idx="33">
                  <c:v>43123</c:v>
                </c:pt>
                <c:pt idx="34">
                  <c:v>43128</c:v>
                </c:pt>
                <c:pt idx="35">
                  <c:v>43138</c:v>
                </c:pt>
                <c:pt idx="36">
                  <c:v>43143</c:v>
                </c:pt>
                <c:pt idx="37">
                  <c:v>43149</c:v>
                </c:pt>
                <c:pt idx="38">
                  <c:v>43158</c:v>
                </c:pt>
                <c:pt idx="39">
                  <c:v>43164</c:v>
                </c:pt>
                <c:pt idx="40">
                  <c:v>43170</c:v>
                </c:pt>
              </c:numCache>
            </c:numRef>
          </c:xVal>
          <c:yVal>
            <c:numRef>
              <c:f>'E Coli Analysis'!$B$2:$B$42</c:f>
              <c:numCache>
                <c:formatCode>General</c:formatCode>
                <c:ptCount val="41"/>
                <c:pt idx="0">
                  <c:v>650</c:v>
                </c:pt>
                <c:pt idx="1">
                  <c:v>190</c:v>
                </c:pt>
                <c:pt idx="2">
                  <c:v>840</c:v>
                </c:pt>
                <c:pt idx="3">
                  <c:v>100</c:v>
                </c:pt>
                <c:pt idx="4">
                  <c:v>120</c:v>
                </c:pt>
                <c:pt idx="5">
                  <c:v>6900</c:v>
                </c:pt>
                <c:pt idx="6">
                  <c:v>130</c:v>
                </c:pt>
                <c:pt idx="7">
                  <c:v>1100</c:v>
                </c:pt>
                <c:pt idx="8">
                  <c:v>4200</c:v>
                </c:pt>
                <c:pt idx="9">
                  <c:v>140</c:v>
                </c:pt>
                <c:pt idx="10">
                  <c:v>160</c:v>
                </c:pt>
                <c:pt idx="11">
                  <c:v>110</c:v>
                </c:pt>
                <c:pt idx="12">
                  <c:v>580</c:v>
                </c:pt>
                <c:pt idx="13">
                  <c:v>190</c:v>
                </c:pt>
                <c:pt idx="14">
                  <c:v>130</c:v>
                </c:pt>
                <c:pt idx="15">
                  <c:v>1400</c:v>
                </c:pt>
                <c:pt idx="16">
                  <c:v>190</c:v>
                </c:pt>
                <c:pt idx="17">
                  <c:v>590</c:v>
                </c:pt>
                <c:pt idx="18">
                  <c:v>740</c:v>
                </c:pt>
                <c:pt idx="19">
                  <c:v>190</c:v>
                </c:pt>
                <c:pt idx="20">
                  <c:v>380</c:v>
                </c:pt>
                <c:pt idx="21">
                  <c:v>150</c:v>
                </c:pt>
                <c:pt idx="22">
                  <c:v>160</c:v>
                </c:pt>
                <c:pt idx="23">
                  <c:v>145</c:v>
                </c:pt>
                <c:pt idx="24">
                  <c:v>86</c:v>
                </c:pt>
                <c:pt idx="25">
                  <c:v>121</c:v>
                </c:pt>
                <c:pt idx="26">
                  <c:v>318</c:v>
                </c:pt>
                <c:pt idx="27">
                  <c:v>480</c:v>
                </c:pt>
                <c:pt idx="28">
                  <c:v>323</c:v>
                </c:pt>
                <c:pt idx="29">
                  <c:v>457</c:v>
                </c:pt>
                <c:pt idx="30">
                  <c:v>538</c:v>
                </c:pt>
                <c:pt idx="31">
                  <c:v>2909</c:v>
                </c:pt>
                <c:pt idx="32">
                  <c:v>364</c:v>
                </c:pt>
                <c:pt idx="33">
                  <c:v>285</c:v>
                </c:pt>
                <c:pt idx="34">
                  <c:v>246</c:v>
                </c:pt>
                <c:pt idx="35">
                  <c:v>379</c:v>
                </c:pt>
                <c:pt idx="36">
                  <c:v>1162</c:v>
                </c:pt>
                <c:pt idx="37">
                  <c:v>279</c:v>
                </c:pt>
                <c:pt idx="38">
                  <c:v>324</c:v>
                </c:pt>
                <c:pt idx="39">
                  <c:v>246</c:v>
                </c:pt>
                <c:pt idx="40">
                  <c:v>305</c:v>
                </c:pt>
              </c:numCache>
            </c:numRef>
          </c:yVal>
          <c:smooth val="1"/>
          <c:extLst xmlns:c16r2="http://schemas.microsoft.com/office/drawing/2015/06/chart">
            <c:ext xmlns:c16="http://schemas.microsoft.com/office/drawing/2014/chart" uri="{C3380CC4-5D6E-409C-BE32-E72D297353CC}">
              <c16:uniqueId val="{00000000-F20E-4ABD-A412-5706E91038EA}"/>
            </c:ext>
          </c:extLst>
        </c:ser>
        <c:ser>
          <c:idx val="1"/>
          <c:order val="1"/>
          <c:tx>
            <c:strRef>
              <c:f>'E Coli Analysis'!$C$1</c:f>
              <c:strCache>
                <c:ptCount val="1"/>
                <c:pt idx="0">
                  <c:v>130</c:v>
                </c:pt>
              </c:strCache>
            </c:strRef>
          </c:tx>
          <c:spPr>
            <a:ln w="19050" cap="rnd">
              <a:solidFill>
                <a:schemeClr val="accent2"/>
              </a:solidFill>
              <a:round/>
            </a:ln>
            <a:effectLst/>
          </c:spPr>
          <c:marker>
            <c:symbol val="none"/>
          </c:marker>
          <c:xVal>
            <c:numRef>
              <c:f>'E Coli Analysis'!$A$2:$A$42</c:f>
              <c:numCache>
                <c:formatCode>m/d/yy;@</c:formatCode>
                <c:ptCount val="41"/>
                <c:pt idx="0">
                  <c:v>42704</c:v>
                </c:pt>
                <c:pt idx="1">
                  <c:v>42710</c:v>
                </c:pt>
                <c:pt idx="2">
                  <c:v>42716</c:v>
                </c:pt>
                <c:pt idx="3">
                  <c:v>42723</c:v>
                </c:pt>
                <c:pt idx="4">
                  <c:v>42732</c:v>
                </c:pt>
                <c:pt idx="5">
                  <c:v>42739</c:v>
                </c:pt>
                <c:pt idx="6">
                  <c:v>42744</c:v>
                </c:pt>
                <c:pt idx="7">
                  <c:v>42751</c:v>
                </c:pt>
                <c:pt idx="8">
                  <c:v>42759</c:v>
                </c:pt>
                <c:pt idx="9">
                  <c:v>42765</c:v>
                </c:pt>
                <c:pt idx="10">
                  <c:v>42773</c:v>
                </c:pt>
                <c:pt idx="11">
                  <c:v>42779</c:v>
                </c:pt>
                <c:pt idx="12">
                  <c:v>42786</c:v>
                </c:pt>
                <c:pt idx="13">
                  <c:v>42793</c:v>
                </c:pt>
                <c:pt idx="14">
                  <c:v>42800</c:v>
                </c:pt>
                <c:pt idx="15">
                  <c:v>42807</c:v>
                </c:pt>
                <c:pt idx="16">
                  <c:v>42814</c:v>
                </c:pt>
                <c:pt idx="17">
                  <c:v>42821</c:v>
                </c:pt>
                <c:pt idx="18">
                  <c:v>42828</c:v>
                </c:pt>
                <c:pt idx="19">
                  <c:v>42835</c:v>
                </c:pt>
                <c:pt idx="20">
                  <c:v>42843</c:v>
                </c:pt>
                <c:pt idx="21">
                  <c:v>42852</c:v>
                </c:pt>
                <c:pt idx="22">
                  <c:v>43044</c:v>
                </c:pt>
                <c:pt idx="23">
                  <c:v>43053</c:v>
                </c:pt>
                <c:pt idx="24">
                  <c:v>43059</c:v>
                </c:pt>
                <c:pt idx="25">
                  <c:v>43066</c:v>
                </c:pt>
                <c:pt idx="26">
                  <c:v>43074</c:v>
                </c:pt>
                <c:pt idx="27">
                  <c:v>43080</c:v>
                </c:pt>
                <c:pt idx="28">
                  <c:v>43086</c:v>
                </c:pt>
                <c:pt idx="29">
                  <c:v>43093</c:v>
                </c:pt>
                <c:pt idx="30">
                  <c:v>43100</c:v>
                </c:pt>
                <c:pt idx="31">
                  <c:v>43107</c:v>
                </c:pt>
                <c:pt idx="32">
                  <c:v>43116</c:v>
                </c:pt>
                <c:pt idx="33">
                  <c:v>43123</c:v>
                </c:pt>
                <c:pt idx="34">
                  <c:v>43128</c:v>
                </c:pt>
                <c:pt idx="35">
                  <c:v>43138</c:v>
                </c:pt>
                <c:pt idx="36">
                  <c:v>43143</c:v>
                </c:pt>
                <c:pt idx="37">
                  <c:v>43149</c:v>
                </c:pt>
                <c:pt idx="38">
                  <c:v>43158</c:v>
                </c:pt>
                <c:pt idx="39">
                  <c:v>43164</c:v>
                </c:pt>
                <c:pt idx="40">
                  <c:v>43170</c:v>
                </c:pt>
              </c:numCache>
            </c:numRef>
          </c:xVal>
          <c:yVal>
            <c:numRef>
              <c:f>'E Coli Analysis'!$C$2:$C$42</c:f>
              <c:numCache>
                <c:formatCode>General</c:formatCode>
                <c:ptCount val="41"/>
                <c:pt idx="0">
                  <c:v>130</c:v>
                </c:pt>
                <c:pt idx="1">
                  <c:v>130</c:v>
                </c:pt>
                <c:pt idx="2">
                  <c:v>130</c:v>
                </c:pt>
                <c:pt idx="3">
                  <c:v>130</c:v>
                </c:pt>
                <c:pt idx="4">
                  <c:v>130</c:v>
                </c:pt>
                <c:pt idx="5">
                  <c:v>130</c:v>
                </c:pt>
                <c:pt idx="6">
                  <c:v>130</c:v>
                </c:pt>
                <c:pt idx="7">
                  <c:v>130</c:v>
                </c:pt>
                <c:pt idx="8">
                  <c:v>130</c:v>
                </c:pt>
                <c:pt idx="9">
                  <c:v>130</c:v>
                </c:pt>
                <c:pt idx="10">
                  <c:v>130</c:v>
                </c:pt>
                <c:pt idx="11">
                  <c:v>130</c:v>
                </c:pt>
                <c:pt idx="12">
                  <c:v>130</c:v>
                </c:pt>
                <c:pt idx="13">
                  <c:v>130</c:v>
                </c:pt>
                <c:pt idx="14">
                  <c:v>130</c:v>
                </c:pt>
                <c:pt idx="15">
                  <c:v>130</c:v>
                </c:pt>
                <c:pt idx="16">
                  <c:v>130</c:v>
                </c:pt>
                <c:pt idx="17">
                  <c:v>130</c:v>
                </c:pt>
                <c:pt idx="18">
                  <c:v>130</c:v>
                </c:pt>
                <c:pt idx="19">
                  <c:v>130</c:v>
                </c:pt>
                <c:pt idx="20">
                  <c:v>130</c:v>
                </c:pt>
                <c:pt idx="21">
                  <c:v>130</c:v>
                </c:pt>
                <c:pt idx="22">
                  <c:v>130</c:v>
                </c:pt>
                <c:pt idx="23">
                  <c:v>130</c:v>
                </c:pt>
                <c:pt idx="24">
                  <c:v>130</c:v>
                </c:pt>
                <c:pt idx="25">
                  <c:v>130</c:v>
                </c:pt>
                <c:pt idx="26">
                  <c:v>130</c:v>
                </c:pt>
                <c:pt idx="27">
                  <c:v>130</c:v>
                </c:pt>
                <c:pt idx="28">
                  <c:v>130</c:v>
                </c:pt>
                <c:pt idx="29">
                  <c:v>130</c:v>
                </c:pt>
                <c:pt idx="30">
                  <c:v>130</c:v>
                </c:pt>
                <c:pt idx="31">
                  <c:v>130</c:v>
                </c:pt>
                <c:pt idx="32">
                  <c:v>130</c:v>
                </c:pt>
                <c:pt idx="33">
                  <c:v>130</c:v>
                </c:pt>
                <c:pt idx="34">
                  <c:v>130</c:v>
                </c:pt>
                <c:pt idx="35">
                  <c:v>130</c:v>
                </c:pt>
                <c:pt idx="36">
                  <c:v>130</c:v>
                </c:pt>
                <c:pt idx="37">
                  <c:v>130</c:v>
                </c:pt>
                <c:pt idx="38">
                  <c:v>130</c:v>
                </c:pt>
                <c:pt idx="39">
                  <c:v>130</c:v>
                </c:pt>
                <c:pt idx="40">
                  <c:v>130</c:v>
                </c:pt>
              </c:numCache>
            </c:numRef>
          </c:yVal>
          <c:smooth val="1"/>
          <c:extLst xmlns:c16r2="http://schemas.microsoft.com/office/drawing/2015/06/chart">
            <c:ext xmlns:c16="http://schemas.microsoft.com/office/drawing/2014/chart" uri="{C3380CC4-5D6E-409C-BE32-E72D297353CC}">
              <c16:uniqueId val="{00000001-F20E-4ABD-A412-5706E91038EA}"/>
            </c:ext>
          </c:extLst>
        </c:ser>
        <c:ser>
          <c:idx val="2"/>
          <c:order val="2"/>
          <c:tx>
            <c:strRef>
              <c:f>'E Coli Analysis'!$D$1</c:f>
              <c:strCache>
                <c:ptCount val="1"/>
                <c:pt idx="0">
                  <c:v>260</c:v>
                </c:pt>
              </c:strCache>
            </c:strRef>
          </c:tx>
          <c:spPr>
            <a:ln w="19050" cap="rnd">
              <a:solidFill>
                <a:schemeClr val="accent3"/>
              </a:solidFill>
              <a:round/>
            </a:ln>
            <a:effectLst/>
          </c:spPr>
          <c:marker>
            <c:symbol val="none"/>
          </c:marker>
          <c:xVal>
            <c:numRef>
              <c:f>'E Coli Analysis'!$A$2:$A$42</c:f>
              <c:numCache>
                <c:formatCode>m/d/yy;@</c:formatCode>
                <c:ptCount val="41"/>
                <c:pt idx="0">
                  <c:v>42704</c:v>
                </c:pt>
                <c:pt idx="1">
                  <c:v>42710</c:v>
                </c:pt>
                <c:pt idx="2">
                  <c:v>42716</c:v>
                </c:pt>
                <c:pt idx="3">
                  <c:v>42723</c:v>
                </c:pt>
                <c:pt idx="4">
                  <c:v>42732</c:v>
                </c:pt>
                <c:pt idx="5">
                  <c:v>42739</c:v>
                </c:pt>
                <c:pt idx="6">
                  <c:v>42744</c:v>
                </c:pt>
                <c:pt idx="7">
                  <c:v>42751</c:v>
                </c:pt>
                <c:pt idx="8">
                  <c:v>42759</c:v>
                </c:pt>
                <c:pt idx="9">
                  <c:v>42765</c:v>
                </c:pt>
                <c:pt idx="10">
                  <c:v>42773</c:v>
                </c:pt>
                <c:pt idx="11">
                  <c:v>42779</c:v>
                </c:pt>
                <c:pt idx="12">
                  <c:v>42786</c:v>
                </c:pt>
                <c:pt idx="13">
                  <c:v>42793</c:v>
                </c:pt>
                <c:pt idx="14">
                  <c:v>42800</c:v>
                </c:pt>
                <c:pt idx="15">
                  <c:v>42807</c:v>
                </c:pt>
                <c:pt idx="16">
                  <c:v>42814</c:v>
                </c:pt>
                <c:pt idx="17">
                  <c:v>42821</c:v>
                </c:pt>
                <c:pt idx="18">
                  <c:v>42828</c:v>
                </c:pt>
                <c:pt idx="19">
                  <c:v>42835</c:v>
                </c:pt>
                <c:pt idx="20">
                  <c:v>42843</c:v>
                </c:pt>
                <c:pt idx="21">
                  <c:v>42852</c:v>
                </c:pt>
                <c:pt idx="22">
                  <c:v>43044</c:v>
                </c:pt>
                <c:pt idx="23">
                  <c:v>43053</c:v>
                </c:pt>
                <c:pt idx="24">
                  <c:v>43059</c:v>
                </c:pt>
                <c:pt idx="25">
                  <c:v>43066</c:v>
                </c:pt>
                <c:pt idx="26">
                  <c:v>43074</c:v>
                </c:pt>
                <c:pt idx="27">
                  <c:v>43080</c:v>
                </c:pt>
                <c:pt idx="28">
                  <c:v>43086</c:v>
                </c:pt>
                <c:pt idx="29">
                  <c:v>43093</c:v>
                </c:pt>
                <c:pt idx="30">
                  <c:v>43100</c:v>
                </c:pt>
                <c:pt idx="31">
                  <c:v>43107</c:v>
                </c:pt>
                <c:pt idx="32">
                  <c:v>43116</c:v>
                </c:pt>
                <c:pt idx="33">
                  <c:v>43123</c:v>
                </c:pt>
                <c:pt idx="34">
                  <c:v>43128</c:v>
                </c:pt>
                <c:pt idx="35">
                  <c:v>43138</c:v>
                </c:pt>
                <c:pt idx="36">
                  <c:v>43143</c:v>
                </c:pt>
                <c:pt idx="37">
                  <c:v>43149</c:v>
                </c:pt>
                <c:pt idx="38">
                  <c:v>43158</c:v>
                </c:pt>
                <c:pt idx="39">
                  <c:v>43164</c:v>
                </c:pt>
                <c:pt idx="40">
                  <c:v>43170</c:v>
                </c:pt>
              </c:numCache>
            </c:numRef>
          </c:xVal>
          <c:yVal>
            <c:numRef>
              <c:f>'E Coli Analysis'!$D$2:$D$42</c:f>
              <c:numCache>
                <c:formatCode>General</c:formatCode>
                <c:ptCount val="41"/>
                <c:pt idx="0">
                  <c:v>260</c:v>
                </c:pt>
                <c:pt idx="1">
                  <c:v>260</c:v>
                </c:pt>
                <c:pt idx="2">
                  <c:v>260</c:v>
                </c:pt>
                <c:pt idx="3">
                  <c:v>260</c:v>
                </c:pt>
                <c:pt idx="4">
                  <c:v>260</c:v>
                </c:pt>
                <c:pt idx="5">
                  <c:v>260</c:v>
                </c:pt>
                <c:pt idx="6">
                  <c:v>260</c:v>
                </c:pt>
                <c:pt idx="7">
                  <c:v>260</c:v>
                </c:pt>
                <c:pt idx="8">
                  <c:v>260</c:v>
                </c:pt>
                <c:pt idx="9">
                  <c:v>260</c:v>
                </c:pt>
                <c:pt idx="10">
                  <c:v>260</c:v>
                </c:pt>
                <c:pt idx="11">
                  <c:v>260</c:v>
                </c:pt>
                <c:pt idx="12">
                  <c:v>260</c:v>
                </c:pt>
                <c:pt idx="13">
                  <c:v>260</c:v>
                </c:pt>
                <c:pt idx="14">
                  <c:v>260</c:v>
                </c:pt>
                <c:pt idx="15">
                  <c:v>260</c:v>
                </c:pt>
                <c:pt idx="16">
                  <c:v>260</c:v>
                </c:pt>
                <c:pt idx="17">
                  <c:v>260</c:v>
                </c:pt>
                <c:pt idx="18">
                  <c:v>260</c:v>
                </c:pt>
                <c:pt idx="19">
                  <c:v>260</c:v>
                </c:pt>
                <c:pt idx="20">
                  <c:v>260</c:v>
                </c:pt>
                <c:pt idx="21">
                  <c:v>260</c:v>
                </c:pt>
                <c:pt idx="22">
                  <c:v>260</c:v>
                </c:pt>
                <c:pt idx="23">
                  <c:v>260</c:v>
                </c:pt>
                <c:pt idx="24">
                  <c:v>260</c:v>
                </c:pt>
                <c:pt idx="25">
                  <c:v>260</c:v>
                </c:pt>
                <c:pt idx="26">
                  <c:v>260</c:v>
                </c:pt>
                <c:pt idx="27">
                  <c:v>260</c:v>
                </c:pt>
                <c:pt idx="28">
                  <c:v>260</c:v>
                </c:pt>
                <c:pt idx="29">
                  <c:v>260</c:v>
                </c:pt>
                <c:pt idx="30">
                  <c:v>260</c:v>
                </c:pt>
                <c:pt idx="31">
                  <c:v>260</c:v>
                </c:pt>
                <c:pt idx="32">
                  <c:v>260</c:v>
                </c:pt>
                <c:pt idx="33">
                  <c:v>260</c:v>
                </c:pt>
                <c:pt idx="34">
                  <c:v>260</c:v>
                </c:pt>
                <c:pt idx="35">
                  <c:v>260</c:v>
                </c:pt>
                <c:pt idx="36">
                  <c:v>260</c:v>
                </c:pt>
                <c:pt idx="37">
                  <c:v>260</c:v>
                </c:pt>
                <c:pt idx="38">
                  <c:v>260</c:v>
                </c:pt>
                <c:pt idx="39">
                  <c:v>260</c:v>
                </c:pt>
                <c:pt idx="40">
                  <c:v>260</c:v>
                </c:pt>
              </c:numCache>
            </c:numRef>
          </c:yVal>
          <c:smooth val="1"/>
          <c:extLst xmlns:c16r2="http://schemas.microsoft.com/office/drawing/2015/06/chart">
            <c:ext xmlns:c16="http://schemas.microsoft.com/office/drawing/2014/chart" uri="{C3380CC4-5D6E-409C-BE32-E72D297353CC}">
              <c16:uniqueId val="{00000002-F20E-4ABD-A412-5706E91038EA}"/>
            </c:ext>
          </c:extLst>
        </c:ser>
        <c:ser>
          <c:idx val="3"/>
          <c:order val="3"/>
          <c:tx>
            <c:strRef>
              <c:f>'E Coli Analysis'!$E$1</c:f>
              <c:strCache>
                <c:ptCount val="1"/>
                <c:pt idx="0">
                  <c:v>540</c:v>
                </c:pt>
              </c:strCache>
            </c:strRef>
          </c:tx>
          <c:spPr>
            <a:ln w="19050" cap="rnd">
              <a:solidFill>
                <a:schemeClr val="accent4"/>
              </a:solidFill>
              <a:round/>
            </a:ln>
            <a:effectLst/>
          </c:spPr>
          <c:marker>
            <c:symbol val="none"/>
          </c:marker>
          <c:xVal>
            <c:numRef>
              <c:f>'E Coli Analysis'!$A$2:$A$42</c:f>
              <c:numCache>
                <c:formatCode>m/d/yy;@</c:formatCode>
                <c:ptCount val="41"/>
                <c:pt idx="0">
                  <c:v>42704</c:v>
                </c:pt>
                <c:pt idx="1">
                  <c:v>42710</c:v>
                </c:pt>
                <c:pt idx="2">
                  <c:v>42716</c:v>
                </c:pt>
                <c:pt idx="3">
                  <c:v>42723</c:v>
                </c:pt>
                <c:pt idx="4">
                  <c:v>42732</c:v>
                </c:pt>
                <c:pt idx="5">
                  <c:v>42739</c:v>
                </c:pt>
                <c:pt idx="6">
                  <c:v>42744</c:v>
                </c:pt>
                <c:pt idx="7">
                  <c:v>42751</c:v>
                </c:pt>
                <c:pt idx="8">
                  <c:v>42759</c:v>
                </c:pt>
                <c:pt idx="9">
                  <c:v>42765</c:v>
                </c:pt>
                <c:pt idx="10">
                  <c:v>42773</c:v>
                </c:pt>
                <c:pt idx="11">
                  <c:v>42779</c:v>
                </c:pt>
                <c:pt idx="12">
                  <c:v>42786</c:v>
                </c:pt>
                <c:pt idx="13">
                  <c:v>42793</c:v>
                </c:pt>
                <c:pt idx="14">
                  <c:v>42800</c:v>
                </c:pt>
                <c:pt idx="15">
                  <c:v>42807</c:v>
                </c:pt>
                <c:pt idx="16">
                  <c:v>42814</c:v>
                </c:pt>
                <c:pt idx="17">
                  <c:v>42821</c:v>
                </c:pt>
                <c:pt idx="18">
                  <c:v>42828</c:v>
                </c:pt>
                <c:pt idx="19">
                  <c:v>42835</c:v>
                </c:pt>
                <c:pt idx="20">
                  <c:v>42843</c:v>
                </c:pt>
                <c:pt idx="21">
                  <c:v>42852</c:v>
                </c:pt>
                <c:pt idx="22">
                  <c:v>43044</c:v>
                </c:pt>
                <c:pt idx="23">
                  <c:v>43053</c:v>
                </c:pt>
                <c:pt idx="24">
                  <c:v>43059</c:v>
                </c:pt>
                <c:pt idx="25">
                  <c:v>43066</c:v>
                </c:pt>
                <c:pt idx="26">
                  <c:v>43074</c:v>
                </c:pt>
                <c:pt idx="27">
                  <c:v>43080</c:v>
                </c:pt>
                <c:pt idx="28">
                  <c:v>43086</c:v>
                </c:pt>
                <c:pt idx="29">
                  <c:v>43093</c:v>
                </c:pt>
                <c:pt idx="30">
                  <c:v>43100</c:v>
                </c:pt>
                <c:pt idx="31">
                  <c:v>43107</c:v>
                </c:pt>
                <c:pt idx="32">
                  <c:v>43116</c:v>
                </c:pt>
                <c:pt idx="33">
                  <c:v>43123</c:v>
                </c:pt>
                <c:pt idx="34">
                  <c:v>43128</c:v>
                </c:pt>
                <c:pt idx="35">
                  <c:v>43138</c:v>
                </c:pt>
                <c:pt idx="36">
                  <c:v>43143</c:v>
                </c:pt>
                <c:pt idx="37">
                  <c:v>43149</c:v>
                </c:pt>
                <c:pt idx="38">
                  <c:v>43158</c:v>
                </c:pt>
                <c:pt idx="39">
                  <c:v>43164</c:v>
                </c:pt>
                <c:pt idx="40">
                  <c:v>43170</c:v>
                </c:pt>
              </c:numCache>
            </c:numRef>
          </c:xVal>
          <c:yVal>
            <c:numRef>
              <c:f>'E Coli Analysis'!$E$2:$E$42</c:f>
              <c:numCache>
                <c:formatCode>General</c:formatCode>
                <c:ptCount val="41"/>
                <c:pt idx="0">
                  <c:v>540</c:v>
                </c:pt>
                <c:pt idx="1">
                  <c:v>540</c:v>
                </c:pt>
                <c:pt idx="2">
                  <c:v>540</c:v>
                </c:pt>
                <c:pt idx="3">
                  <c:v>540</c:v>
                </c:pt>
                <c:pt idx="4">
                  <c:v>540</c:v>
                </c:pt>
                <c:pt idx="5">
                  <c:v>540</c:v>
                </c:pt>
                <c:pt idx="6">
                  <c:v>540</c:v>
                </c:pt>
                <c:pt idx="7">
                  <c:v>540</c:v>
                </c:pt>
                <c:pt idx="8">
                  <c:v>540</c:v>
                </c:pt>
                <c:pt idx="9">
                  <c:v>540</c:v>
                </c:pt>
                <c:pt idx="10">
                  <c:v>540</c:v>
                </c:pt>
                <c:pt idx="11">
                  <c:v>540</c:v>
                </c:pt>
                <c:pt idx="12">
                  <c:v>540</c:v>
                </c:pt>
                <c:pt idx="13">
                  <c:v>540</c:v>
                </c:pt>
                <c:pt idx="14">
                  <c:v>540</c:v>
                </c:pt>
                <c:pt idx="15">
                  <c:v>540</c:v>
                </c:pt>
                <c:pt idx="16">
                  <c:v>540</c:v>
                </c:pt>
                <c:pt idx="17">
                  <c:v>540</c:v>
                </c:pt>
                <c:pt idx="18">
                  <c:v>540</c:v>
                </c:pt>
                <c:pt idx="19">
                  <c:v>540</c:v>
                </c:pt>
                <c:pt idx="20">
                  <c:v>540</c:v>
                </c:pt>
                <c:pt idx="21">
                  <c:v>540</c:v>
                </c:pt>
                <c:pt idx="22">
                  <c:v>540</c:v>
                </c:pt>
                <c:pt idx="23">
                  <c:v>540</c:v>
                </c:pt>
                <c:pt idx="24">
                  <c:v>540</c:v>
                </c:pt>
                <c:pt idx="25">
                  <c:v>540</c:v>
                </c:pt>
                <c:pt idx="26">
                  <c:v>540</c:v>
                </c:pt>
                <c:pt idx="27">
                  <c:v>540</c:v>
                </c:pt>
                <c:pt idx="28">
                  <c:v>540</c:v>
                </c:pt>
                <c:pt idx="29">
                  <c:v>540</c:v>
                </c:pt>
                <c:pt idx="30">
                  <c:v>540</c:v>
                </c:pt>
                <c:pt idx="31">
                  <c:v>540</c:v>
                </c:pt>
                <c:pt idx="32">
                  <c:v>540</c:v>
                </c:pt>
                <c:pt idx="33">
                  <c:v>540</c:v>
                </c:pt>
                <c:pt idx="34">
                  <c:v>540</c:v>
                </c:pt>
                <c:pt idx="35">
                  <c:v>540</c:v>
                </c:pt>
                <c:pt idx="36">
                  <c:v>540</c:v>
                </c:pt>
                <c:pt idx="37">
                  <c:v>540</c:v>
                </c:pt>
                <c:pt idx="38">
                  <c:v>540</c:v>
                </c:pt>
                <c:pt idx="39">
                  <c:v>540</c:v>
                </c:pt>
                <c:pt idx="40">
                  <c:v>540</c:v>
                </c:pt>
              </c:numCache>
            </c:numRef>
          </c:yVal>
          <c:smooth val="1"/>
          <c:extLst xmlns:c16r2="http://schemas.microsoft.com/office/drawing/2015/06/chart">
            <c:ext xmlns:c16="http://schemas.microsoft.com/office/drawing/2014/chart" uri="{C3380CC4-5D6E-409C-BE32-E72D297353CC}">
              <c16:uniqueId val="{00000003-F20E-4ABD-A412-5706E91038EA}"/>
            </c:ext>
          </c:extLst>
        </c:ser>
        <c:ser>
          <c:idx val="4"/>
          <c:order val="4"/>
          <c:tx>
            <c:strRef>
              <c:f>'E Coli Analysis'!$F$1</c:f>
              <c:strCache>
                <c:ptCount val="1"/>
                <c:pt idx="0">
                  <c:v>1000</c:v>
                </c:pt>
              </c:strCache>
            </c:strRef>
          </c:tx>
          <c:spPr>
            <a:ln w="19050" cap="rnd">
              <a:solidFill>
                <a:schemeClr val="accent5"/>
              </a:solidFill>
              <a:round/>
            </a:ln>
            <a:effectLst/>
          </c:spPr>
          <c:marker>
            <c:symbol val="none"/>
          </c:marker>
          <c:xVal>
            <c:numRef>
              <c:f>'E Coli Analysis'!$A$2:$A$42</c:f>
              <c:numCache>
                <c:formatCode>m/d/yy;@</c:formatCode>
                <c:ptCount val="41"/>
                <c:pt idx="0">
                  <c:v>42704</c:v>
                </c:pt>
                <c:pt idx="1">
                  <c:v>42710</c:v>
                </c:pt>
                <c:pt idx="2">
                  <c:v>42716</c:v>
                </c:pt>
                <c:pt idx="3">
                  <c:v>42723</c:v>
                </c:pt>
                <c:pt idx="4">
                  <c:v>42732</c:v>
                </c:pt>
                <c:pt idx="5">
                  <c:v>42739</c:v>
                </c:pt>
                <c:pt idx="6">
                  <c:v>42744</c:v>
                </c:pt>
                <c:pt idx="7">
                  <c:v>42751</c:v>
                </c:pt>
                <c:pt idx="8">
                  <c:v>42759</c:v>
                </c:pt>
                <c:pt idx="9">
                  <c:v>42765</c:v>
                </c:pt>
                <c:pt idx="10">
                  <c:v>42773</c:v>
                </c:pt>
                <c:pt idx="11">
                  <c:v>42779</c:v>
                </c:pt>
                <c:pt idx="12">
                  <c:v>42786</c:v>
                </c:pt>
                <c:pt idx="13">
                  <c:v>42793</c:v>
                </c:pt>
                <c:pt idx="14">
                  <c:v>42800</c:v>
                </c:pt>
                <c:pt idx="15">
                  <c:v>42807</c:v>
                </c:pt>
                <c:pt idx="16">
                  <c:v>42814</c:v>
                </c:pt>
                <c:pt idx="17">
                  <c:v>42821</c:v>
                </c:pt>
                <c:pt idx="18">
                  <c:v>42828</c:v>
                </c:pt>
                <c:pt idx="19">
                  <c:v>42835</c:v>
                </c:pt>
                <c:pt idx="20">
                  <c:v>42843</c:v>
                </c:pt>
                <c:pt idx="21">
                  <c:v>42852</c:v>
                </c:pt>
                <c:pt idx="22">
                  <c:v>43044</c:v>
                </c:pt>
                <c:pt idx="23">
                  <c:v>43053</c:v>
                </c:pt>
                <c:pt idx="24">
                  <c:v>43059</c:v>
                </c:pt>
                <c:pt idx="25">
                  <c:v>43066</c:v>
                </c:pt>
                <c:pt idx="26">
                  <c:v>43074</c:v>
                </c:pt>
                <c:pt idx="27">
                  <c:v>43080</c:v>
                </c:pt>
                <c:pt idx="28">
                  <c:v>43086</c:v>
                </c:pt>
                <c:pt idx="29">
                  <c:v>43093</c:v>
                </c:pt>
                <c:pt idx="30">
                  <c:v>43100</c:v>
                </c:pt>
                <c:pt idx="31">
                  <c:v>43107</c:v>
                </c:pt>
                <c:pt idx="32">
                  <c:v>43116</c:v>
                </c:pt>
                <c:pt idx="33">
                  <c:v>43123</c:v>
                </c:pt>
                <c:pt idx="34">
                  <c:v>43128</c:v>
                </c:pt>
                <c:pt idx="35">
                  <c:v>43138</c:v>
                </c:pt>
                <c:pt idx="36">
                  <c:v>43143</c:v>
                </c:pt>
                <c:pt idx="37">
                  <c:v>43149</c:v>
                </c:pt>
                <c:pt idx="38">
                  <c:v>43158</c:v>
                </c:pt>
                <c:pt idx="39">
                  <c:v>43164</c:v>
                </c:pt>
                <c:pt idx="40">
                  <c:v>43170</c:v>
                </c:pt>
              </c:numCache>
            </c:numRef>
          </c:xVal>
          <c:yVal>
            <c:numRef>
              <c:f>'E Coli Analysis'!$F$2:$F$42</c:f>
              <c:numCache>
                <c:formatCode>General</c:formatCode>
                <c:ptCount val="41"/>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pt idx="20">
                  <c:v>1000</c:v>
                </c:pt>
                <c:pt idx="21">
                  <c:v>1000</c:v>
                </c:pt>
                <c:pt idx="22">
                  <c:v>1000</c:v>
                </c:pt>
                <c:pt idx="23">
                  <c:v>1000</c:v>
                </c:pt>
                <c:pt idx="24">
                  <c:v>1000</c:v>
                </c:pt>
                <c:pt idx="25">
                  <c:v>1000</c:v>
                </c:pt>
                <c:pt idx="26">
                  <c:v>1000</c:v>
                </c:pt>
                <c:pt idx="27">
                  <c:v>1000</c:v>
                </c:pt>
                <c:pt idx="28">
                  <c:v>1000</c:v>
                </c:pt>
                <c:pt idx="29">
                  <c:v>1000</c:v>
                </c:pt>
                <c:pt idx="30">
                  <c:v>1000</c:v>
                </c:pt>
                <c:pt idx="31">
                  <c:v>1000</c:v>
                </c:pt>
                <c:pt idx="32">
                  <c:v>1000</c:v>
                </c:pt>
                <c:pt idx="33">
                  <c:v>1000</c:v>
                </c:pt>
                <c:pt idx="34">
                  <c:v>1000</c:v>
                </c:pt>
                <c:pt idx="35">
                  <c:v>1000</c:v>
                </c:pt>
                <c:pt idx="36">
                  <c:v>1000</c:v>
                </c:pt>
                <c:pt idx="37">
                  <c:v>1000</c:v>
                </c:pt>
                <c:pt idx="38">
                  <c:v>1000</c:v>
                </c:pt>
                <c:pt idx="39">
                  <c:v>1000</c:v>
                </c:pt>
                <c:pt idx="40">
                  <c:v>1000</c:v>
                </c:pt>
              </c:numCache>
            </c:numRef>
          </c:yVal>
          <c:smooth val="1"/>
          <c:extLst xmlns:c16r2="http://schemas.microsoft.com/office/drawing/2015/06/chart">
            <c:ext xmlns:c16="http://schemas.microsoft.com/office/drawing/2014/chart" uri="{C3380CC4-5D6E-409C-BE32-E72D297353CC}">
              <c16:uniqueId val="{00000004-F20E-4ABD-A412-5706E91038EA}"/>
            </c:ext>
          </c:extLst>
        </c:ser>
        <c:ser>
          <c:idx val="5"/>
          <c:order val="5"/>
          <c:tx>
            <c:strRef>
              <c:f>'E Coli Analysis'!$G$1</c:f>
              <c:strCache>
                <c:ptCount val="1"/>
                <c:pt idx="0">
                  <c:v>1200</c:v>
                </c:pt>
              </c:strCache>
            </c:strRef>
          </c:tx>
          <c:spPr>
            <a:ln w="19050" cap="rnd">
              <a:solidFill>
                <a:schemeClr val="accent6"/>
              </a:solidFill>
              <a:round/>
            </a:ln>
            <a:effectLst/>
          </c:spPr>
          <c:marker>
            <c:symbol val="none"/>
          </c:marker>
          <c:xVal>
            <c:numRef>
              <c:f>'E Coli Analysis'!$A$2:$A$42</c:f>
              <c:numCache>
                <c:formatCode>m/d/yy;@</c:formatCode>
                <c:ptCount val="41"/>
                <c:pt idx="0">
                  <c:v>42704</c:v>
                </c:pt>
                <c:pt idx="1">
                  <c:v>42710</c:v>
                </c:pt>
                <c:pt idx="2">
                  <c:v>42716</c:v>
                </c:pt>
                <c:pt idx="3">
                  <c:v>42723</c:v>
                </c:pt>
                <c:pt idx="4">
                  <c:v>42732</c:v>
                </c:pt>
                <c:pt idx="5">
                  <c:v>42739</c:v>
                </c:pt>
                <c:pt idx="6">
                  <c:v>42744</c:v>
                </c:pt>
                <c:pt idx="7">
                  <c:v>42751</c:v>
                </c:pt>
                <c:pt idx="8">
                  <c:v>42759</c:v>
                </c:pt>
                <c:pt idx="9">
                  <c:v>42765</c:v>
                </c:pt>
                <c:pt idx="10">
                  <c:v>42773</c:v>
                </c:pt>
                <c:pt idx="11">
                  <c:v>42779</c:v>
                </c:pt>
                <c:pt idx="12">
                  <c:v>42786</c:v>
                </c:pt>
                <c:pt idx="13">
                  <c:v>42793</c:v>
                </c:pt>
                <c:pt idx="14">
                  <c:v>42800</c:v>
                </c:pt>
                <c:pt idx="15">
                  <c:v>42807</c:v>
                </c:pt>
                <c:pt idx="16">
                  <c:v>42814</c:v>
                </c:pt>
                <c:pt idx="17">
                  <c:v>42821</c:v>
                </c:pt>
                <c:pt idx="18">
                  <c:v>42828</c:v>
                </c:pt>
                <c:pt idx="19">
                  <c:v>42835</c:v>
                </c:pt>
                <c:pt idx="20">
                  <c:v>42843</c:v>
                </c:pt>
                <c:pt idx="21">
                  <c:v>42852</c:v>
                </c:pt>
                <c:pt idx="22">
                  <c:v>43044</c:v>
                </c:pt>
                <c:pt idx="23">
                  <c:v>43053</c:v>
                </c:pt>
                <c:pt idx="24">
                  <c:v>43059</c:v>
                </c:pt>
                <c:pt idx="25">
                  <c:v>43066</c:v>
                </c:pt>
                <c:pt idx="26">
                  <c:v>43074</c:v>
                </c:pt>
                <c:pt idx="27">
                  <c:v>43080</c:v>
                </c:pt>
                <c:pt idx="28">
                  <c:v>43086</c:v>
                </c:pt>
                <c:pt idx="29">
                  <c:v>43093</c:v>
                </c:pt>
                <c:pt idx="30">
                  <c:v>43100</c:v>
                </c:pt>
                <c:pt idx="31">
                  <c:v>43107</c:v>
                </c:pt>
                <c:pt idx="32">
                  <c:v>43116</c:v>
                </c:pt>
                <c:pt idx="33">
                  <c:v>43123</c:v>
                </c:pt>
                <c:pt idx="34">
                  <c:v>43128</c:v>
                </c:pt>
                <c:pt idx="35">
                  <c:v>43138</c:v>
                </c:pt>
                <c:pt idx="36">
                  <c:v>43143</c:v>
                </c:pt>
                <c:pt idx="37">
                  <c:v>43149</c:v>
                </c:pt>
                <c:pt idx="38">
                  <c:v>43158</c:v>
                </c:pt>
                <c:pt idx="39">
                  <c:v>43164</c:v>
                </c:pt>
                <c:pt idx="40">
                  <c:v>43170</c:v>
                </c:pt>
              </c:numCache>
            </c:numRef>
          </c:xVal>
          <c:yVal>
            <c:numRef>
              <c:f>'E Coli Analysis'!$G$2:$G$42</c:f>
              <c:numCache>
                <c:formatCode>General</c:formatCode>
                <c:ptCount val="41"/>
                <c:pt idx="0">
                  <c:v>1200</c:v>
                </c:pt>
                <c:pt idx="1">
                  <c:v>1200</c:v>
                </c:pt>
                <c:pt idx="2">
                  <c:v>1200</c:v>
                </c:pt>
                <c:pt idx="3">
                  <c:v>1200</c:v>
                </c:pt>
                <c:pt idx="4">
                  <c:v>1200</c:v>
                </c:pt>
                <c:pt idx="5">
                  <c:v>1200</c:v>
                </c:pt>
                <c:pt idx="6">
                  <c:v>1200</c:v>
                </c:pt>
                <c:pt idx="7">
                  <c:v>1200</c:v>
                </c:pt>
                <c:pt idx="8">
                  <c:v>1200</c:v>
                </c:pt>
                <c:pt idx="9">
                  <c:v>1200</c:v>
                </c:pt>
                <c:pt idx="10">
                  <c:v>1200</c:v>
                </c:pt>
                <c:pt idx="11">
                  <c:v>1200</c:v>
                </c:pt>
                <c:pt idx="12">
                  <c:v>1200</c:v>
                </c:pt>
                <c:pt idx="13">
                  <c:v>1200</c:v>
                </c:pt>
                <c:pt idx="14">
                  <c:v>1200</c:v>
                </c:pt>
                <c:pt idx="15">
                  <c:v>1200</c:v>
                </c:pt>
                <c:pt idx="16">
                  <c:v>1200</c:v>
                </c:pt>
                <c:pt idx="17">
                  <c:v>1200</c:v>
                </c:pt>
                <c:pt idx="18">
                  <c:v>1200</c:v>
                </c:pt>
                <c:pt idx="19">
                  <c:v>1200</c:v>
                </c:pt>
                <c:pt idx="20">
                  <c:v>1200</c:v>
                </c:pt>
                <c:pt idx="21">
                  <c:v>1200</c:v>
                </c:pt>
                <c:pt idx="22">
                  <c:v>1200</c:v>
                </c:pt>
                <c:pt idx="23">
                  <c:v>1200</c:v>
                </c:pt>
                <c:pt idx="24">
                  <c:v>1200</c:v>
                </c:pt>
                <c:pt idx="25">
                  <c:v>1200</c:v>
                </c:pt>
                <c:pt idx="26">
                  <c:v>1200</c:v>
                </c:pt>
                <c:pt idx="27">
                  <c:v>1200</c:v>
                </c:pt>
                <c:pt idx="28">
                  <c:v>1200</c:v>
                </c:pt>
                <c:pt idx="29">
                  <c:v>1200</c:v>
                </c:pt>
                <c:pt idx="30">
                  <c:v>1200</c:v>
                </c:pt>
                <c:pt idx="31">
                  <c:v>1200</c:v>
                </c:pt>
                <c:pt idx="32">
                  <c:v>1200</c:v>
                </c:pt>
                <c:pt idx="33">
                  <c:v>1200</c:v>
                </c:pt>
                <c:pt idx="34">
                  <c:v>1200</c:v>
                </c:pt>
                <c:pt idx="35">
                  <c:v>1200</c:v>
                </c:pt>
                <c:pt idx="36">
                  <c:v>1200</c:v>
                </c:pt>
                <c:pt idx="37">
                  <c:v>1200</c:v>
                </c:pt>
                <c:pt idx="38">
                  <c:v>1200</c:v>
                </c:pt>
                <c:pt idx="39">
                  <c:v>1200</c:v>
                </c:pt>
                <c:pt idx="40">
                  <c:v>1200</c:v>
                </c:pt>
              </c:numCache>
            </c:numRef>
          </c:yVal>
          <c:smooth val="1"/>
          <c:extLst xmlns:c16r2="http://schemas.microsoft.com/office/drawing/2015/06/chart">
            <c:ext xmlns:c16="http://schemas.microsoft.com/office/drawing/2014/chart" uri="{C3380CC4-5D6E-409C-BE32-E72D297353CC}">
              <c16:uniqueId val="{00000005-F20E-4ABD-A412-5706E91038EA}"/>
            </c:ext>
          </c:extLst>
        </c:ser>
        <c:dLbls>
          <c:showLegendKey val="0"/>
          <c:showVal val="0"/>
          <c:showCatName val="0"/>
          <c:showSerName val="0"/>
          <c:showPercent val="0"/>
          <c:showBubbleSize val="0"/>
        </c:dLbls>
        <c:axId val="238041832"/>
        <c:axId val="238042224"/>
      </c:scatterChart>
      <c:valAx>
        <c:axId val="238041832"/>
        <c:scaling>
          <c:orientation val="minMax"/>
        </c:scaling>
        <c:delete val="0"/>
        <c:axPos val="b"/>
        <c:majorGridlines>
          <c:spPr>
            <a:ln w="9525" cap="flat" cmpd="sng" algn="ctr">
              <a:solidFill>
                <a:schemeClr val="tx1">
                  <a:lumMod val="15000"/>
                  <a:lumOff val="85000"/>
                </a:schemeClr>
              </a:solidFill>
              <a:round/>
            </a:ln>
            <a:effectLst/>
          </c:spPr>
        </c:majorGridlines>
        <c:numFmt formatCode="m/d/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042224"/>
        <c:crosses val="autoZero"/>
        <c:crossBetween val="midCat"/>
      </c:valAx>
      <c:valAx>
        <c:axId val="238042224"/>
        <c:scaling>
          <c:logBase val="10"/>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CFU/100mL</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3804183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897</Words>
  <Characters>5117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Cockrell School of Engineering</Company>
  <LinksUpToDate>false</LinksUpToDate>
  <CharactersWithSpaces>6002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Maidment, David R</dc:creator>
  <cp:keywords/>
  <dc:description/>
  <cp:lastModifiedBy>David Maidment</cp:lastModifiedBy>
  <cp:revision>3</cp:revision>
  <dcterms:created xsi:type="dcterms:W3CDTF">2018-03-18T22:15:00Z</dcterms:created>
  <dcterms:modified xsi:type="dcterms:W3CDTF">2018-03-18T22:31:00Z</dcterms:modified>
</cp:coreProperties>
</file>