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C6DDA" w14:textId="77777777" w:rsidR="009F6ECD" w:rsidRPr="008D3590" w:rsidRDefault="009F6ECD" w:rsidP="009F6ECD">
      <w:pPr>
        <w:spacing w:line="240" w:lineRule="auto"/>
        <w:contextualSpacing/>
        <w:jc w:val="center"/>
        <w:rPr>
          <w:b/>
          <w:sz w:val="24"/>
          <w:szCs w:val="24"/>
        </w:rPr>
      </w:pPr>
    </w:p>
    <w:p w14:paraId="1E5AB748" w14:textId="77777777" w:rsidR="00860EFB" w:rsidRDefault="00860EFB" w:rsidP="009F6ECD">
      <w:pPr>
        <w:spacing w:line="240" w:lineRule="auto"/>
        <w:contextualSpacing/>
        <w:jc w:val="center"/>
        <w:rPr>
          <w:rFonts w:cs="Times New Roman"/>
          <w:b/>
          <w:sz w:val="24"/>
          <w:szCs w:val="24"/>
        </w:rPr>
      </w:pPr>
    </w:p>
    <w:p w14:paraId="1935FB55" w14:textId="77777777" w:rsidR="00860EFB" w:rsidRDefault="00860EFB" w:rsidP="009F6ECD">
      <w:pPr>
        <w:spacing w:line="240" w:lineRule="auto"/>
        <w:contextualSpacing/>
        <w:jc w:val="center"/>
        <w:rPr>
          <w:rFonts w:cs="Times New Roman"/>
          <w:b/>
          <w:sz w:val="24"/>
          <w:szCs w:val="24"/>
        </w:rPr>
      </w:pPr>
    </w:p>
    <w:p w14:paraId="5DD6210E" w14:textId="1DF91799" w:rsidR="00A82D05" w:rsidRPr="008D3590" w:rsidRDefault="00A82D05" w:rsidP="009F6ECD">
      <w:pPr>
        <w:spacing w:line="240" w:lineRule="auto"/>
        <w:contextualSpacing/>
        <w:jc w:val="center"/>
        <w:rPr>
          <w:b/>
          <w:sz w:val="24"/>
          <w:szCs w:val="24"/>
        </w:rPr>
      </w:pPr>
      <w:r w:rsidRPr="008D3590">
        <w:rPr>
          <w:rFonts w:cs="Times New Roman"/>
          <w:b/>
          <w:sz w:val="24"/>
          <w:szCs w:val="24"/>
        </w:rPr>
        <w:t xml:space="preserve">Using </w:t>
      </w:r>
      <w:r w:rsidR="00860EFB">
        <w:rPr>
          <w:rFonts w:cs="Times New Roman"/>
          <w:b/>
          <w:sz w:val="24"/>
          <w:szCs w:val="24"/>
        </w:rPr>
        <w:t>V</w:t>
      </w:r>
      <w:r w:rsidR="00285CF8" w:rsidRPr="008D3590">
        <w:rPr>
          <w:rFonts w:cs="Times New Roman"/>
          <w:b/>
          <w:sz w:val="24"/>
          <w:szCs w:val="24"/>
        </w:rPr>
        <w:t xml:space="preserve">irtual </w:t>
      </w:r>
      <w:r w:rsidR="00860EFB">
        <w:rPr>
          <w:rFonts w:cs="Times New Roman"/>
          <w:b/>
          <w:sz w:val="24"/>
          <w:szCs w:val="24"/>
        </w:rPr>
        <w:t>A</w:t>
      </w:r>
      <w:r w:rsidR="00285CF8" w:rsidRPr="008D3590">
        <w:rPr>
          <w:rFonts w:cs="Times New Roman"/>
          <w:b/>
          <w:sz w:val="24"/>
          <w:szCs w:val="24"/>
        </w:rPr>
        <w:t xml:space="preserve">ccessibility and </w:t>
      </w:r>
      <w:r w:rsidR="00860EFB">
        <w:rPr>
          <w:rFonts w:cs="Times New Roman"/>
          <w:b/>
          <w:sz w:val="24"/>
          <w:szCs w:val="24"/>
        </w:rPr>
        <w:t>P</w:t>
      </w:r>
      <w:r w:rsidRPr="008D3590">
        <w:rPr>
          <w:rFonts w:cs="Times New Roman"/>
          <w:b/>
          <w:sz w:val="24"/>
          <w:szCs w:val="24"/>
        </w:rPr>
        <w:t xml:space="preserve">hysical </w:t>
      </w:r>
      <w:r w:rsidR="00860EFB">
        <w:rPr>
          <w:rFonts w:cs="Times New Roman"/>
          <w:b/>
          <w:sz w:val="24"/>
          <w:szCs w:val="24"/>
        </w:rPr>
        <w:t>Accessibility as Joint Predictors of Activity-Travel B</w:t>
      </w:r>
      <w:r w:rsidRPr="008D3590">
        <w:rPr>
          <w:rFonts w:cs="Times New Roman"/>
          <w:b/>
          <w:sz w:val="24"/>
          <w:szCs w:val="24"/>
        </w:rPr>
        <w:t>ehavior</w:t>
      </w:r>
    </w:p>
    <w:p w14:paraId="521F193D" w14:textId="77777777" w:rsidR="009F6ECD" w:rsidRPr="008D3590" w:rsidRDefault="009F6ECD" w:rsidP="009F6ECD">
      <w:pPr>
        <w:spacing w:line="240" w:lineRule="auto"/>
        <w:contextualSpacing/>
        <w:jc w:val="center"/>
        <w:rPr>
          <w:b/>
          <w:sz w:val="24"/>
          <w:szCs w:val="24"/>
        </w:rPr>
      </w:pPr>
    </w:p>
    <w:p w14:paraId="0E181939" w14:textId="77777777" w:rsidR="009F6ECD" w:rsidRPr="00426BD1" w:rsidRDefault="009F6ECD" w:rsidP="009F6ECD">
      <w:pPr>
        <w:spacing w:line="240" w:lineRule="auto"/>
        <w:contextualSpacing/>
        <w:jc w:val="center"/>
        <w:rPr>
          <w:b/>
          <w:sz w:val="24"/>
          <w:szCs w:val="24"/>
        </w:rPr>
      </w:pPr>
    </w:p>
    <w:p w14:paraId="2364C037" w14:textId="77777777" w:rsidR="00A82D05" w:rsidRPr="00426BD1" w:rsidRDefault="00A82D05" w:rsidP="009F6ECD">
      <w:pPr>
        <w:spacing w:line="240" w:lineRule="auto"/>
        <w:contextualSpacing/>
        <w:jc w:val="center"/>
        <w:rPr>
          <w:b/>
          <w:sz w:val="24"/>
          <w:szCs w:val="24"/>
        </w:rPr>
      </w:pPr>
    </w:p>
    <w:p w14:paraId="6B2EC5D6" w14:textId="77777777" w:rsidR="00A82D05" w:rsidRPr="00426BD1" w:rsidRDefault="00A82D05" w:rsidP="009F6ECD">
      <w:pPr>
        <w:spacing w:line="240" w:lineRule="auto"/>
        <w:contextualSpacing/>
        <w:jc w:val="center"/>
        <w:rPr>
          <w:b/>
          <w:sz w:val="24"/>
          <w:szCs w:val="24"/>
        </w:rPr>
      </w:pPr>
    </w:p>
    <w:p w14:paraId="1A96CCCD" w14:textId="77777777" w:rsidR="009F6ECD" w:rsidRPr="00426BD1" w:rsidRDefault="009F6ECD" w:rsidP="009F6ECD">
      <w:pPr>
        <w:spacing w:line="240" w:lineRule="auto"/>
        <w:contextualSpacing/>
        <w:jc w:val="center"/>
        <w:rPr>
          <w:b/>
          <w:sz w:val="24"/>
          <w:szCs w:val="24"/>
        </w:rPr>
      </w:pPr>
      <w:bookmarkStart w:id="0" w:name="_GoBack"/>
      <w:bookmarkEnd w:id="0"/>
    </w:p>
    <w:p w14:paraId="31AFB91C" w14:textId="77777777" w:rsidR="009F6ECD" w:rsidRPr="00426BD1" w:rsidRDefault="009F6ECD" w:rsidP="009F6ECD">
      <w:pPr>
        <w:spacing w:line="240" w:lineRule="auto"/>
        <w:contextualSpacing/>
        <w:jc w:val="center"/>
        <w:rPr>
          <w:sz w:val="24"/>
          <w:szCs w:val="24"/>
          <w:lang w:val="fr-FR"/>
        </w:rPr>
      </w:pPr>
    </w:p>
    <w:p w14:paraId="470A2B7E" w14:textId="77777777" w:rsidR="009F6ECD" w:rsidRPr="00426BD1" w:rsidRDefault="009F6ECD" w:rsidP="004356A9">
      <w:pPr>
        <w:spacing w:line="240" w:lineRule="auto"/>
        <w:contextualSpacing/>
        <w:jc w:val="center"/>
        <w:outlineLvl w:val="0"/>
        <w:rPr>
          <w:b/>
          <w:sz w:val="24"/>
          <w:szCs w:val="24"/>
          <w:lang w:val="fr-FR"/>
        </w:rPr>
      </w:pPr>
      <w:proofErr w:type="spellStart"/>
      <w:r w:rsidRPr="00426BD1">
        <w:rPr>
          <w:b/>
          <w:sz w:val="24"/>
          <w:szCs w:val="24"/>
          <w:lang w:val="fr-FR"/>
        </w:rPr>
        <w:t>Patrícia</w:t>
      </w:r>
      <w:proofErr w:type="spellEnd"/>
      <w:r w:rsidRPr="00426BD1">
        <w:rPr>
          <w:b/>
          <w:sz w:val="24"/>
          <w:szCs w:val="24"/>
          <w:lang w:val="fr-FR"/>
        </w:rPr>
        <w:t xml:space="preserve"> S. </w:t>
      </w:r>
      <w:proofErr w:type="spellStart"/>
      <w:r w:rsidRPr="00426BD1">
        <w:rPr>
          <w:b/>
          <w:sz w:val="24"/>
          <w:szCs w:val="24"/>
          <w:lang w:val="fr-FR"/>
        </w:rPr>
        <w:t>Lavieri</w:t>
      </w:r>
      <w:proofErr w:type="spellEnd"/>
    </w:p>
    <w:p w14:paraId="6C336A32" w14:textId="77777777" w:rsidR="009F6ECD" w:rsidRPr="00426BD1" w:rsidRDefault="009F6ECD" w:rsidP="009F6ECD">
      <w:pPr>
        <w:spacing w:line="240" w:lineRule="auto"/>
        <w:contextualSpacing/>
        <w:jc w:val="center"/>
        <w:rPr>
          <w:sz w:val="24"/>
          <w:szCs w:val="24"/>
        </w:rPr>
      </w:pPr>
      <w:r w:rsidRPr="00426BD1">
        <w:rPr>
          <w:sz w:val="24"/>
          <w:szCs w:val="24"/>
        </w:rPr>
        <w:t xml:space="preserve">The University of Texas at Austin </w:t>
      </w:r>
    </w:p>
    <w:p w14:paraId="0B7DEFD0" w14:textId="77777777" w:rsidR="009F6ECD" w:rsidRPr="00426BD1" w:rsidRDefault="009F6ECD" w:rsidP="009F6ECD">
      <w:pPr>
        <w:spacing w:line="240" w:lineRule="auto"/>
        <w:contextualSpacing/>
        <w:jc w:val="center"/>
        <w:rPr>
          <w:sz w:val="24"/>
          <w:szCs w:val="24"/>
        </w:rPr>
      </w:pPr>
      <w:r w:rsidRPr="00426BD1">
        <w:rPr>
          <w:sz w:val="24"/>
          <w:szCs w:val="24"/>
        </w:rPr>
        <w:t>Department of Civil, Architectural and Environmental Engineering</w:t>
      </w:r>
    </w:p>
    <w:p w14:paraId="7965A48C" w14:textId="77777777" w:rsidR="009F6ECD" w:rsidRPr="00426BD1" w:rsidRDefault="009F6ECD" w:rsidP="009F6ECD">
      <w:pPr>
        <w:spacing w:line="240" w:lineRule="auto"/>
        <w:contextualSpacing/>
        <w:jc w:val="center"/>
        <w:rPr>
          <w:sz w:val="24"/>
          <w:szCs w:val="24"/>
        </w:rPr>
      </w:pPr>
      <w:r w:rsidRPr="00426BD1">
        <w:rPr>
          <w:sz w:val="24"/>
          <w:szCs w:val="24"/>
        </w:rPr>
        <w:t>301 E. Dean Keeton St. Stop C1761, Austin TX 78712, USA</w:t>
      </w:r>
    </w:p>
    <w:p w14:paraId="4B669295" w14:textId="7853C8F2" w:rsidR="009F6ECD" w:rsidRPr="00426BD1" w:rsidRDefault="009F6ECD" w:rsidP="009F6ECD">
      <w:pPr>
        <w:spacing w:line="240" w:lineRule="auto"/>
        <w:contextualSpacing/>
        <w:jc w:val="center"/>
        <w:rPr>
          <w:sz w:val="24"/>
          <w:szCs w:val="24"/>
        </w:rPr>
      </w:pPr>
      <w:r w:rsidRPr="00426BD1">
        <w:rPr>
          <w:sz w:val="24"/>
          <w:szCs w:val="24"/>
        </w:rPr>
        <w:t xml:space="preserve">Tel: 1-512-471-4535; Email: </w:t>
      </w:r>
      <w:hyperlink r:id="rId8" w:history="1">
        <w:r w:rsidRPr="00426BD1">
          <w:rPr>
            <w:rStyle w:val="Hyperlink"/>
            <w:sz w:val="24"/>
            <w:szCs w:val="24"/>
          </w:rPr>
          <w:t>lavieri@utexas.edu</w:t>
        </w:r>
      </w:hyperlink>
      <w:r w:rsidRPr="00426BD1">
        <w:rPr>
          <w:sz w:val="24"/>
          <w:szCs w:val="24"/>
        </w:rPr>
        <w:t xml:space="preserve"> </w:t>
      </w:r>
    </w:p>
    <w:p w14:paraId="4150D9E9" w14:textId="55C48BFF" w:rsidR="006F3A25" w:rsidRDefault="006F3A25" w:rsidP="009F6ECD">
      <w:pPr>
        <w:spacing w:line="240" w:lineRule="auto"/>
        <w:contextualSpacing/>
        <w:jc w:val="center"/>
        <w:rPr>
          <w:b/>
          <w:sz w:val="24"/>
          <w:szCs w:val="24"/>
        </w:rPr>
      </w:pPr>
    </w:p>
    <w:p w14:paraId="6FA78C66" w14:textId="77777777" w:rsidR="00426BD1" w:rsidRPr="00426BD1" w:rsidRDefault="00426BD1" w:rsidP="009F6ECD">
      <w:pPr>
        <w:spacing w:line="240" w:lineRule="auto"/>
        <w:contextualSpacing/>
        <w:jc w:val="center"/>
        <w:rPr>
          <w:b/>
          <w:sz w:val="24"/>
          <w:szCs w:val="24"/>
        </w:rPr>
      </w:pPr>
    </w:p>
    <w:p w14:paraId="40FFE1CC" w14:textId="5C92C2DA" w:rsidR="006F3A25" w:rsidRPr="00426BD1" w:rsidRDefault="006F3A25" w:rsidP="006F3A25">
      <w:pPr>
        <w:spacing w:line="240" w:lineRule="auto"/>
        <w:contextualSpacing/>
        <w:jc w:val="center"/>
        <w:outlineLvl w:val="0"/>
        <w:rPr>
          <w:b/>
          <w:sz w:val="24"/>
          <w:szCs w:val="24"/>
        </w:rPr>
      </w:pPr>
      <w:proofErr w:type="spellStart"/>
      <w:r w:rsidRPr="00426BD1">
        <w:rPr>
          <w:b/>
          <w:sz w:val="24"/>
          <w:szCs w:val="24"/>
        </w:rPr>
        <w:t>Qichun</w:t>
      </w:r>
      <w:proofErr w:type="spellEnd"/>
      <w:r w:rsidRPr="00426BD1">
        <w:rPr>
          <w:b/>
          <w:sz w:val="24"/>
          <w:szCs w:val="24"/>
        </w:rPr>
        <w:t xml:space="preserve"> Dai</w:t>
      </w:r>
      <w:r w:rsidR="00BC53A5" w:rsidRPr="00426BD1">
        <w:rPr>
          <w:sz w:val="24"/>
          <w:szCs w:val="24"/>
        </w:rPr>
        <w:t>*</w:t>
      </w:r>
    </w:p>
    <w:p w14:paraId="222D6DD3" w14:textId="77777777" w:rsidR="00BC53A5" w:rsidRPr="00426BD1" w:rsidRDefault="00BC53A5" w:rsidP="006F3A25">
      <w:pPr>
        <w:spacing w:line="240" w:lineRule="auto"/>
        <w:contextualSpacing/>
        <w:jc w:val="center"/>
        <w:outlineLvl w:val="0"/>
        <w:rPr>
          <w:sz w:val="24"/>
          <w:szCs w:val="24"/>
        </w:rPr>
      </w:pPr>
      <w:r w:rsidRPr="00426BD1">
        <w:rPr>
          <w:sz w:val="24"/>
          <w:szCs w:val="24"/>
        </w:rPr>
        <w:t>AECOM</w:t>
      </w:r>
    </w:p>
    <w:p w14:paraId="73D69610" w14:textId="61C1B0C6" w:rsidR="006F3A25" w:rsidRPr="00426BD1" w:rsidRDefault="00BC53A5" w:rsidP="006F3A25">
      <w:pPr>
        <w:spacing w:line="240" w:lineRule="auto"/>
        <w:contextualSpacing/>
        <w:jc w:val="center"/>
        <w:outlineLvl w:val="0"/>
        <w:rPr>
          <w:sz w:val="24"/>
          <w:szCs w:val="24"/>
        </w:rPr>
      </w:pPr>
      <w:r w:rsidRPr="00426BD1">
        <w:rPr>
          <w:sz w:val="24"/>
          <w:szCs w:val="24"/>
        </w:rPr>
        <w:t xml:space="preserve">9400 </w:t>
      </w:r>
      <w:proofErr w:type="spellStart"/>
      <w:r w:rsidRPr="00426BD1">
        <w:rPr>
          <w:sz w:val="24"/>
          <w:szCs w:val="24"/>
        </w:rPr>
        <w:t>Amberglen</w:t>
      </w:r>
      <w:proofErr w:type="spellEnd"/>
      <w:r w:rsidRPr="00426BD1">
        <w:rPr>
          <w:sz w:val="24"/>
          <w:szCs w:val="24"/>
        </w:rPr>
        <w:t xml:space="preserve"> Blvd, Austin</w:t>
      </w:r>
      <w:r w:rsidRPr="00426BD1">
        <w:rPr>
          <w:sz w:val="24"/>
          <w:szCs w:val="24"/>
        </w:rPr>
        <w:t xml:space="preserve"> TX 78729</w:t>
      </w:r>
      <w:r w:rsidRPr="00426BD1">
        <w:rPr>
          <w:sz w:val="24"/>
          <w:szCs w:val="24"/>
        </w:rPr>
        <w:t>, USA</w:t>
      </w:r>
    </w:p>
    <w:p w14:paraId="2BE8056E" w14:textId="0AC685C5" w:rsidR="009F6ECD" w:rsidRPr="00426BD1" w:rsidRDefault="006F3A25" w:rsidP="006F3A25">
      <w:pPr>
        <w:spacing w:line="240" w:lineRule="auto"/>
        <w:contextualSpacing/>
        <w:jc w:val="center"/>
        <w:outlineLvl w:val="0"/>
        <w:rPr>
          <w:color w:val="0000FF" w:themeColor="hyperlink"/>
          <w:sz w:val="24"/>
          <w:szCs w:val="24"/>
          <w:u w:val="single"/>
          <w:lang w:val="fr-FR"/>
        </w:rPr>
      </w:pPr>
      <w:proofErr w:type="gramStart"/>
      <w:r w:rsidRPr="00426BD1">
        <w:rPr>
          <w:sz w:val="24"/>
          <w:szCs w:val="24"/>
          <w:lang w:val="fr-FR"/>
        </w:rPr>
        <w:t>Tel:</w:t>
      </w:r>
      <w:proofErr w:type="gramEnd"/>
      <w:r w:rsidRPr="00426BD1">
        <w:rPr>
          <w:sz w:val="24"/>
          <w:szCs w:val="24"/>
          <w:lang w:val="fr-FR"/>
        </w:rPr>
        <w:t xml:space="preserve"> 1-512-471-4535; Email: qichun.dai@utexas.edu</w:t>
      </w:r>
    </w:p>
    <w:p w14:paraId="3D5D3C11" w14:textId="77777777" w:rsidR="009F6ECD" w:rsidRDefault="009F6ECD" w:rsidP="009F6ECD">
      <w:pPr>
        <w:spacing w:line="240" w:lineRule="auto"/>
        <w:contextualSpacing/>
        <w:jc w:val="center"/>
        <w:rPr>
          <w:sz w:val="24"/>
          <w:szCs w:val="24"/>
        </w:rPr>
      </w:pPr>
    </w:p>
    <w:p w14:paraId="09C20C76" w14:textId="77777777" w:rsidR="00426BD1" w:rsidRPr="00426BD1" w:rsidRDefault="00426BD1" w:rsidP="009F6ECD">
      <w:pPr>
        <w:spacing w:line="240" w:lineRule="auto"/>
        <w:contextualSpacing/>
        <w:jc w:val="center"/>
        <w:rPr>
          <w:sz w:val="24"/>
          <w:szCs w:val="24"/>
        </w:rPr>
      </w:pPr>
    </w:p>
    <w:p w14:paraId="7F2518A3" w14:textId="77777777" w:rsidR="009F6ECD" w:rsidRPr="00426BD1" w:rsidRDefault="009F6ECD" w:rsidP="004356A9">
      <w:pPr>
        <w:spacing w:line="240" w:lineRule="auto"/>
        <w:contextualSpacing/>
        <w:jc w:val="center"/>
        <w:outlineLvl w:val="0"/>
        <w:rPr>
          <w:b/>
          <w:sz w:val="24"/>
          <w:szCs w:val="24"/>
        </w:rPr>
      </w:pPr>
      <w:r w:rsidRPr="00426BD1">
        <w:rPr>
          <w:b/>
          <w:sz w:val="24"/>
          <w:szCs w:val="24"/>
        </w:rPr>
        <w:t>Chandra R. Bhat (corresponding author)</w:t>
      </w:r>
    </w:p>
    <w:p w14:paraId="4D2F1096" w14:textId="77777777" w:rsidR="009F6ECD" w:rsidRPr="00426BD1" w:rsidRDefault="009F6ECD" w:rsidP="009F6ECD">
      <w:pPr>
        <w:spacing w:line="240" w:lineRule="auto"/>
        <w:contextualSpacing/>
        <w:jc w:val="center"/>
        <w:rPr>
          <w:sz w:val="24"/>
          <w:szCs w:val="24"/>
        </w:rPr>
      </w:pPr>
      <w:r w:rsidRPr="00426BD1">
        <w:rPr>
          <w:sz w:val="24"/>
          <w:szCs w:val="24"/>
        </w:rPr>
        <w:t xml:space="preserve">The University of Texas at Austin </w:t>
      </w:r>
    </w:p>
    <w:p w14:paraId="219C2F93" w14:textId="77777777" w:rsidR="009F6ECD" w:rsidRPr="00426BD1" w:rsidRDefault="009F6ECD" w:rsidP="009F6ECD">
      <w:pPr>
        <w:spacing w:line="240" w:lineRule="auto"/>
        <w:contextualSpacing/>
        <w:jc w:val="center"/>
        <w:rPr>
          <w:sz w:val="24"/>
          <w:szCs w:val="24"/>
        </w:rPr>
      </w:pPr>
      <w:r w:rsidRPr="00426BD1">
        <w:rPr>
          <w:sz w:val="24"/>
          <w:szCs w:val="24"/>
        </w:rPr>
        <w:t>Department of Civil, Architectural and Environmental Engineering</w:t>
      </w:r>
    </w:p>
    <w:p w14:paraId="7FD9CF26" w14:textId="77777777" w:rsidR="009F6ECD" w:rsidRPr="00426BD1" w:rsidRDefault="009F6ECD" w:rsidP="009F6ECD">
      <w:pPr>
        <w:spacing w:line="240" w:lineRule="auto"/>
        <w:contextualSpacing/>
        <w:jc w:val="center"/>
        <w:rPr>
          <w:sz w:val="24"/>
          <w:szCs w:val="24"/>
        </w:rPr>
      </w:pPr>
      <w:r w:rsidRPr="00426BD1">
        <w:rPr>
          <w:sz w:val="24"/>
          <w:szCs w:val="24"/>
        </w:rPr>
        <w:t>301 E. Dean Keeton St. Stop C1761, Austin TX 78712, USA</w:t>
      </w:r>
    </w:p>
    <w:p w14:paraId="61ECE036" w14:textId="77777777" w:rsidR="009F6ECD" w:rsidRPr="00426BD1" w:rsidRDefault="009F6ECD" w:rsidP="009F6ECD">
      <w:pPr>
        <w:spacing w:line="240" w:lineRule="auto"/>
        <w:contextualSpacing/>
        <w:jc w:val="center"/>
        <w:rPr>
          <w:sz w:val="24"/>
          <w:szCs w:val="24"/>
        </w:rPr>
      </w:pPr>
      <w:r w:rsidRPr="00426BD1">
        <w:rPr>
          <w:sz w:val="24"/>
          <w:szCs w:val="24"/>
        </w:rPr>
        <w:t xml:space="preserve">Tel: 1-512-471-4535; Email: </w:t>
      </w:r>
      <w:hyperlink r:id="rId9" w:history="1">
        <w:r w:rsidRPr="00426BD1">
          <w:rPr>
            <w:rStyle w:val="Hyperlink"/>
            <w:sz w:val="24"/>
            <w:szCs w:val="24"/>
          </w:rPr>
          <w:t>bhat@mail.utexas.edu</w:t>
        </w:r>
      </w:hyperlink>
    </w:p>
    <w:p w14:paraId="576257C0" w14:textId="77777777" w:rsidR="009F6ECD" w:rsidRPr="00426BD1" w:rsidRDefault="009F6ECD" w:rsidP="009F6ECD">
      <w:pPr>
        <w:spacing w:line="240" w:lineRule="auto"/>
        <w:contextualSpacing/>
        <w:jc w:val="center"/>
        <w:rPr>
          <w:sz w:val="24"/>
          <w:szCs w:val="24"/>
        </w:rPr>
      </w:pPr>
      <w:proofErr w:type="gramStart"/>
      <w:r w:rsidRPr="00426BD1">
        <w:rPr>
          <w:sz w:val="24"/>
          <w:szCs w:val="24"/>
        </w:rPr>
        <w:t>and</w:t>
      </w:r>
      <w:proofErr w:type="gramEnd"/>
    </w:p>
    <w:p w14:paraId="72CD3C4F" w14:textId="64A59443" w:rsidR="009F6ECD" w:rsidRPr="00426BD1" w:rsidRDefault="009F6ECD" w:rsidP="009F6ECD">
      <w:pPr>
        <w:spacing w:line="240" w:lineRule="auto"/>
        <w:contextualSpacing/>
        <w:jc w:val="center"/>
        <w:rPr>
          <w:sz w:val="24"/>
          <w:szCs w:val="24"/>
        </w:rPr>
      </w:pPr>
      <w:r w:rsidRPr="00426BD1">
        <w:rPr>
          <w:sz w:val="24"/>
          <w:szCs w:val="24"/>
        </w:rPr>
        <w:t xml:space="preserve">The Hong Kong Polytechnic University, Hung </w:t>
      </w:r>
      <w:proofErr w:type="spellStart"/>
      <w:r w:rsidRPr="00426BD1">
        <w:rPr>
          <w:sz w:val="24"/>
          <w:szCs w:val="24"/>
        </w:rPr>
        <w:t>Hom</w:t>
      </w:r>
      <w:proofErr w:type="spellEnd"/>
      <w:r w:rsidRPr="00426BD1">
        <w:rPr>
          <w:sz w:val="24"/>
          <w:szCs w:val="24"/>
        </w:rPr>
        <w:t>, Kowloon, Hong Kong</w:t>
      </w:r>
    </w:p>
    <w:p w14:paraId="51D3F224" w14:textId="77777777" w:rsidR="00BC53A5" w:rsidRPr="00426BD1" w:rsidRDefault="00BC53A5" w:rsidP="00BC53A5">
      <w:pPr>
        <w:spacing w:line="240" w:lineRule="auto"/>
        <w:rPr>
          <w:sz w:val="24"/>
          <w:szCs w:val="24"/>
        </w:rPr>
      </w:pPr>
    </w:p>
    <w:p w14:paraId="4AFD1ECD" w14:textId="77777777" w:rsidR="00BC53A5" w:rsidRPr="00426BD1" w:rsidRDefault="00BC53A5" w:rsidP="00BC53A5">
      <w:pPr>
        <w:spacing w:line="240" w:lineRule="auto"/>
        <w:rPr>
          <w:sz w:val="24"/>
          <w:szCs w:val="24"/>
        </w:rPr>
      </w:pPr>
    </w:p>
    <w:p w14:paraId="548942BF" w14:textId="77777777" w:rsidR="00BC53A5" w:rsidRDefault="00BC53A5" w:rsidP="00BC53A5">
      <w:pPr>
        <w:spacing w:line="240" w:lineRule="auto"/>
        <w:rPr>
          <w:sz w:val="20"/>
          <w:szCs w:val="20"/>
        </w:rPr>
      </w:pPr>
    </w:p>
    <w:p w14:paraId="30D28BCE" w14:textId="77777777" w:rsidR="00BC53A5" w:rsidRDefault="00BC53A5" w:rsidP="00BC53A5">
      <w:pPr>
        <w:spacing w:line="240" w:lineRule="auto"/>
        <w:rPr>
          <w:sz w:val="20"/>
          <w:szCs w:val="20"/>
        </w:rPr>
      </w:pPr>
    </w:p>
    <w:p w14:paraId="0CEF426C" w14:textId="5D20F5F9" w:rsidR="00BC53A5" w:rsidRDefault="00BC53A5" w:rsidP="00BC53A5">
      <w:pPr>
        <w:spacing w:line="240" w:lineRule="auto"/>
        <w:jc w:val="center"/>
        <w:rPr>
          <w:b/>
          <w:szCs w:val="24"/>
        </w:rPr>
      </w:pPr>
      <w:r>
        <w:rPr>
          <w:sz w:val="20"/>
          <w:szCs w:val="20"/>
        </w:rPr>
        <w:t>*</w:t>
      </w:r>
      <w:r>
        <w:rPr>
          <w:rFonts w:eastAsia="Times New Roman"/>
          <w:sz w:val="20"/>
          <w:szCs w:val="20"/>
        </w:rPr>
        <w:t xml:space="preserve"> This</w:t>
      </w:r>
      <w:r>
        <w:rPr>
          <w:rFonts w:eastAsia="Times New Roman"/>
          <w:sz w:val="20"/>
          <w:szCs w:val="20"/>
        </w:rPr>
        <w:t xml:space="preserve"> research was undertaken when Ms</w:t>
      </w:r>
      <w:r>
        <w:rPr>
          <w:rFonts w:eastAsia="Times New Roman"/>
          <w:sz w:val="20"/>
          <w:szCs w:val="20"/>
        </w:rPr>
        <w:t xml:space="preserve">. </w:t>
      </w:r>
      <w:r>
        <w:rPr>
          <w:rFonts w:eastAsia="Times New Roman"/>
          <w:sz w:val="20"/>
          <w:szCs w:val="20"/>
        </w:rPr>
        <w:t>Dai</w:t>
      </w:r>
      <w:r>
        <w:rPr>
          <w:rFonts w:eastAsia="Times New Roman"/>
          <w:sz w:val="20"/>
          <w:szCs w:val="20"/>
        </w:rPr>
        <w:t xml:space="preserve"> was a graduate student at UT Austin.</w:t>
      </w:r>
    </w:p>
    <w:p w14:paraId="3F35B810" w14:textId="77777777" w:rsidR="006F3A25" w:rsidRPr="008D3590" w:rsidRDefault="006F3A25" w:rsidP="009F6ECD">
      <w:pPr>
        <w:spacing w:line="240" w:lineRule="auto"/>
        <w:contextualSpacing/>
        <w:jc w:val="center"/>
        <w:rPr>
          <w:sz w:val="24"/>
          <w:szCs w:val="24"/>
        </w:rPr>
      </w:pPr>
    </w:p>
    <w:p w14:paraId="7FF18158" w14:textId="77777777" w:rsidR="009F6ECD" w:rsidRPr="008D3590" w:rsidRDefault="009F6ECD" w:rsidP="0022645A">
      <w:pPr>
        <w:rPr>
          <w:rFonts w:cs="Times New Roman"/>
          <w:b/>
          <w:sz w:val="24"/>
          <w:szCs w:val="24"/>
        </w:rPr>
      </w:pPr>
    </w:p>
    <w:p w14:paraId="7F930970" w14:textId="7D9C4B35" w:rsidR="00154674" w:rsidRPr="008D3590" w:rsidRDefault="009F6ECD" w:rsidP="008D3590">
      <w:pPr>
        <w:spacing w:after="200" w:line="276" w:lineRule="auto"/>
        <w:jc w:val="left"/>
        <w:rPr>
          <w:rFonts w:cs="Times New Roman"/>
          <w:b/>
          <w:sz w:val="24"/>
          <w:szCs w:val="24"/>
        </w:rPr>
      </w:pPr>
      <w:r w:rsidRPr="008D3590">
        <w:rPr>
          <w:rFonts w:cs="Times New Roman"/>
          <w:b/>
          <w:sz w:val="24"/>
          <w:szCs w:val="24"/>
        </w:rPr>
        <w:br w:type="page"/>
      </w:r>
    </w:p>
    <w:p w14:paraId="57F08BF3" w14:textId="77777777" w:rsidR="008D3590" w:rsidRPr="008D3590" w:rsidRDefault="008D3590" w:rsidP="008D3590">
      <w:pPr>
        <w:ind w:left="-360"/>
        <w:outlineLvl w:val="0"/>
        <w:rPr>
          <w:rFonts w:cs="Times New Roman"/>
          <w:b/>
          <w:sz w:val="24"/>
          <w:szCs w:val="24"/>
        </w:rPr>
        <w:sectPr w:rsidR="008D3590" w:rsidRPr="008D3590" w:rsidSect="008D3590">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08"/>
          <w:titlePg/>
          <w:docGrid w:linePitch="360"/>
        </w:sectPr>
      </w:pPr>
    </w:p>
    <w:p w14:paraId="749F1811" w14:textId="54A4F8FB" w:rsidR="00E01E32" w:rsidRDefault="00E01E32" w:rsidP="008D3590">
      <w:pPr>
        <w:outlineLvl w:val="0"/>
        <w:rPr>
          <w:rFonts w:cs="Times New Roman"/>
          <w:b/>
          <w:sz w:val="24"/>
          <w:szCs w:val="24"/>
        </w:rPr>
      </w:pPr>
      <w:r>
        <w:rPr>
          <w:rFonts w:cs="Times New Roman"/>
          <w:b/>
          <w:sz w:val="24"/>
          <w:szCs w:val="24"/>
        </w:rPr>
        <w:lastRenderedPageBreak/>
        <w:t>ABSTRACT</w:t>
      </w:r>
    </w:p>
    <w:p w14:paraId="52BF218D" w14:textId="00AAA578" w:rsidR="00154674" w:rsidRPr="008D3590" w:rsidRDefault="00154674" w:rsidP="008D3590">
      <w:pPr>
        <w:rPr>
          <w:sz w:val="24"/>
          <w:szCs w:val="24"/>
        </w:rPr>
      </w:pPr>
      <w:r w:rsidRPr="008D3590">
        <w:rPr>
          <w:sz w:val="24"/>
          <w:szCs w:val="24"/>
        </w:rPr>
        <w:t>In this study, we propose a conceptual and analytic framework anchored on the concepts of physical and virtual accessibility (the “ease” with which opportunities or activities can be reached in the physical and in the virtual space, respectively) to investigate the rich interplay between virtual and physical activity engagements in multiple activity purposes, while controlling for information and communication technology (ICT) use measures, physical accessibility measures, and demographics. Our framework considers that activity-travel choices are consequences of individual, household, and work characteristics that are mediated by virtual accessibility and physical accessibility. As part of our analysis, we also analyze activity chaining characteristics during travel to study any fragmentation impacts caused by ICT use on activity engagement and scheduling. We use data from the 2011 and 201</w:t>
      </w:r>
      <w:r w:rsidRPr="008D3590">
        <w:rPr>
          <w:rFonts w:hint="eastAsia"/>
          <w:sz w:val="24"/>
          <w:szCs w:val="24"/>
          <w:lang w:eastAsia="zh-CN"/>
        </w:rPr>
        <w:t>2</w:t>
      </w:r>
      <w:r w:rsidRPr="008D3590">
        <w:rPr>
          <w:sz w:val="24"/>
          <w:szCs w:val="24"/>
        </w:rPr>
        <w:t xml:space="preserve"> National Travel Survey in Great Britain and apply Bhat’s (2015) generalized heterogeneous data model (GHDM) to jointly model multiple activity and travel outcomes. Our results provide important insights for social welfare, work-life balance, and equity policies, and suggest </w:t>
      </w:r>
      <w:r w:rsidR="00BD620A">
        <w:rPr>
          <w:sz w:val="24"/>
          <w:szCs w:val="24"/>
        </w:rPr>
        <w:t xml:space="preserve">that decisions regarding virtual activity participations and in-person </w:t>
      </w:r>
      <w:r w:rsidR="007326DA">
        <w:rPr>
          <w:sz w:val="24"/>
          <w:szCs w:val="24"/>
        </w:rPr>
        <w:t xml:space="preserve">out-of-home </w:t>
      </w:r>
      <w:r w:rsidR="00BD620A">
        <w:rPr>
          <w:sz w:val="24"/>
          <w:szCs w:val="24"/>
        </w:rPr>
        <w:t xml:space="preserve">activity participations are determined as a package. </w:t>
      </w:r>
      <w:r w:rsidR="007326DA">
        <w:rPr>
          <w:sz w:val="24"/>
          <w:szCs w:val="24"/>
        </w:rPr>
        <w:t xml:space="preserve">Ignoring this package nature of choices can lead to misleading inferences about the effects of virtual activity participations on in-person out-of-home activity participations. </w:t>
      </w:r>
    </w:p>
    <w:p w14:paraId="0976FF8F" w14:textId="77777777" w:rsidR="00154674" w:rsidRPr="008D3590" w:rsidRDefault="00154674" w:rsidP="008D3590">
      <w:pPr>
        <w:rPr>
          <w:sz w:val="24"/>
          <w:szCs w:val="24"/>
        </w:rPr>
      </w:pPr>
      <w:r w:rsidRPr="008D3590">
        <w:rPr>
          <w:sz w:val="24"/>
          <w:szCs w:val="24"/>
        </w:rPr>
        <w:t xml:space="preserve"> </w:t>
      </w:r>
    </w:p>
    <w:p w14:paraId="4235D027" w14:textId="3467650C" w:rsidR="008D3590" w:rsidRPr="008D3590" w:rsidRDefault="00154674" w:rsidP="008D3590">
      <w:pPr>
        <w:rPr>
          <w:sz w:val="24"/>
          <w:szCs w:val="24"/>
        </w:rPr>
      </w:pPr>
      <w:r w:rsidRPr="008D3590">
        <w:rPr>
          <w:i/>
          <w:sz w:val="24"/>
          <w:szCs w:val="24"/>
        </w:rPr>
        <w:t>Keywords</w:t>
      </w:r>
      <w:r w:rsidRPr="008D3590">
        <w:rPr>
          <w:sz w:val="24"/>
          <w:szCs w:val="24"/>
        </w:rPr>
        <w:t xml:space="preserve">: ICT </w:t>
      </w:r>
      <w:r w:rsidR="008D3590" w:rsidRPr="008D3590">
        <w:rPr>
          <w:sz w:val="24"/>
          <w:szCs w:val="24"/>
        </w:rPr>
        <w:t xml:space="preserve">use, virtual/physical activity participation, GHMD model, </w:t>
      </w:r>
      <w:r w:rsidRPr="008D3590">
        <w:rPr>
          <w:sz w:val="24"/>
          <w:szCs w:val="24"/>
        </w:rPr>
        <w:t>time poverty, social exclusion, social roles.</w:t>
      </w:r>
    </w:p>
    <w:p w14:paraId="2DD8B516" w14:textId="257F5112" w:rsidR="00AD2733" w:rsidRPr="008D3590" w:rsidRDefault="00154674" w:rsidP="008D3590">
      <w:pPr>
        <w:rPr>
          <w:sz w:val="24"/>
          <w:szCs w:val="24"/>
        </w:rPr>
        <w:sectPr w:rsidR="00AD2733" w:rsidRPr="008D3590" w:rsidSect="008D3590">
          <w:pgSz w:w="12240" w:h="15840" w:code="1"/>
          <w:pgMar w:top="1440" w:right="1440" w:bottom="1440" w:left="1440" w:header="720" w:footer="720" w:gutter="0"/>
          <w:cols w:space="708"/>
          <w:titlePg/>
          <w:docGrid w:linePitch="360"/>
        </w:sectPr>
      </w:pPr>
      <w:r w:rsidRPr="008D3590">
        <w:rPr>
          <w:sz w:val="24"/>
          <w:szCs w:val="24"/>
        </w:rPr>
        <w:t xml:space="preserve"> </w:t>
      </w:r>
    </w:p>
    <w:p w14:paraId="28CCB5C9" w14:textId="0A3973C6" w:rsidR="00E01E32" w:rsidRPr="008D3590" w:rsidRDefault="005B7DEB" w:rsidP="004356A9">
      <w:pPr>
        <w:outlineLvl w:val="0"/>
        <w:rPr>
          <w:rFonts w:cs="Times New Roman"/>
          <w:b/>
          <w:sz w:val="24"/>
          <w:szCs w:val="24"/>
        </w:rPr>
      </w:pPr>
      <w:r>
        <w:rPr>
          <w:rFonts w:cs="Times New Roman"/>
          <w:b/>
          <w:sz w:val="24"/>
          <w:szCs w:val="24"/>
        </w:rPr>
        <w:lastRenderedPageBreak/>
        <w:t xml:space="preserve">1. </w:t>
      </w:r>
      <w:r w:rsidR="00E01E32" w:rsidRPr="008D3590">
        <w:rPr>
          <w:rFonts w:cs="Times New Roman"/>
          <w:b/>
          <w:sz w:val="24"/>
          <w:szCs w:val="24"/>
        </w:rPr>
        <w:t>INTRODUCTION</w:t>
      </w:r>
    </w:p>
    <w:p w14:paraId="0EE93D11" w14:textId="079D3874" w:rsidR="003B7479" w:rsidRPr="008D3590" w:rsidRDefault="007D4922" w:rsidP="006E19AE">
      <w:pPr>
        <w:rPr>
          <w:sz w:val="24"/>
          <w:szCs w:val="24"/>
        </w:rPr>
      </w:pPr>
      <w:r w:rsidRPr="008D3590">
        <w:rPr>
          <w:sz w:val="24"/>
          <w:szCs w:val="24"/>
        </w:rPr>
        <w:t xml:space="preserve">As </w:t>
      </w:r>
      <w:r w:rsidR="0021466A">
        <w:rPr>
          <w:sz w:val="24"/>
          <w:szCs w:val="24"/>
        </w:rPr>
        <w:t>information and communication technologies (</w:t>
      </w:r>
      <w:r w:rsidR="00CF7145" w:rsidRPr="008D3590">
        <w:rPr>
          <w:sz w:val="24"/>
          <w:szCs w:val="24"/>
        </w:rPr>
        <w:t>ICT</w:t>
      </w:r>
      <w:r w:rsidR="00A625C2" w:rsidRPr="008D3590">
        <w:rPr>
          <w:sz w:val="24"/>
          <w:szCs w:val="24"/>
        </w:rPr>
        <w:t>s</w:t>
      </w:r>
      <w:r w:rsidR="0021466A">
        <w:rPr>
          <w:sz w:val="24"/>
          <w:szCs w:val="24"/>
        </w:rPr>
        <w:t>)</w:t>
      </w:r>
      <w:r w:rsidRPr="008D3590">
        <w:rPr>
          <w:sz w:val="24"/>
          <w:szCs w:val="24"/>
        </w:rPr>
        <w:t xml:space="preserve"> become more popular</w:t>
      </w:r>
      <w:r w:rsidR="006A5F8F" w:rsidRPr="008D3590">
        <w:rPr>
          <w:sz w:val="24"/>
          <w:szCs w:val="24"/>
        </w:rPr>
        <w:t>,</w:t>
      </w:r>
      <w:r w:rsidR="008338B8" w:rsidRPr="008D3590">
        <w:rPr>
          <w:sz w:val="24"/>
          <w:szCs w:val="24"/>
        </w:rPr>
        <w:t xml:space="preserve"> and </w:t>
      </w:r>
      <w:r w:rsidR="00C31DFD" w:rsidRPr="008D3590">
        <w:rPr>
          <w:sz w:val="24"/>
          <w:szCs w:val="24"/>
        </w:rPr>
        <w:t>the digital world permeates</w:t>
      </w:r>
      <w:r w:rsidR="00D31AAA" w:rsidRPr="008D3590">
        <w:rPr>
          <w:rFonts w:hint="eastAsia"/>
          <w:sz w:val="24"/>
          <w:szCs w:val="24"/>
          <w:lang w:eastAsia="zh-CN"/>
        </w:rPr>
        <w:t xml:space="preserve"> into</w:t>
      </w:r>
      <w:r w:rsidR="00E87574" w:rsidRPr="008D3590">
        <w:rPr>
          <w:sz w:val="24"/>
          <w:szCs w:val="24"/>
        </w:rPr>
        <w:t xml:space="preserve"> </w:t>
      </w:r>
      <w:r w:rsidR="008338B8" w:rsidRPr="008D3590">
        <w:rPr>
          <w:sz w:val="24"/>
          <w:szCs w:val="24"/>
        </w:rPr>
        <w:t>our everyday lives</w:t>
      </w:r>
      <w:r w:rsidRPr="008D3590">
        <w:rPr>
          <w:sz w:val="24"/>
          <w:szCs w:val="24"/>
        </w:rPr>
        <w:t>, t</w:t>
      </w:r>
      <w:r w:rsidR="00CB0956" w:rsidRPr="008D3590">
        <w:rPr>
          <w:sz w:val="24"/>
          <w:szCs w:val="24"/>
        </w:rPr>
        <w:t xml:space="preserve">he </w:t>
      </w:r>
      <w:r w:rsidR="008338B8" w:rsidRPr="008D3590">
        <w:rPr>
          <w:sz w:val="24"/>
          <w:szCs w:val="24"/>
        </w:rPr>
        <w:t xml:space="preserve">divide between </w:t>
      </w:r>
      <w:r w:rsidR="00285CF8" w:rsidRPr="008D3590">
        <w:rPr>
          <w:sz w:val="24"/>
          <w:szCs w:val="24"/>
        </w:rPr>
        <w:t xml:space="preserve">the </w:t>
      </w:r>
      <w:r w:rsidR="006B5669" w:rsidRPr="008D3590">
        <w:rPr>
          <w:sz w:val="24"/>
          <w:szCs w:val="24"/>
        </w:rPr>
        <w:t>virtual</w:t>
      </w:r>
      <w:r w:rsidR="00CB0956" w:rsidRPr="008D3590">
        <w:rPr>
          <w:sz w:val="24"/>
          <w:szCs w:val="24"/>
        </w:rPr>
        <w:t xml:space="preserve"> </w:t>
      </w:r>
      <w:r w:rsidR="008338B8" w:rsidRPr="008D3590">
        <w:rPr>
          <w:sz w:val="24"/>
          <w:szCs w:val="24"/>
        </w:rPr>
        <w:t xml:space="preserve">and physical </w:t>
      </w:r>
      <w:r w:rsidR="00285CF8" w:rsidRPr="008D3590">
        <w:rPr>
          <w:sz w:val="24"/>
          <w:szCs w:val="24"/>
        </w:rPr>
        <w:t xml:space="preserve">worlds </w:t>
      </w:r>
      <w:r w:rsidR="00285E8D" w:rsidRPr="008D3590">
        <w:rPr>
          <w:sz w:val="24"/>
          <w:szCs w:val="24"/>
        </w:rPr>
        <w:t>begins to blur</w:t>
      </w:r>
      <w:r w:rsidR="00790669" w:rsidRPr="008D3590">
        <w:rPr>
          <w:sz w:val="24"/>
          <w:szCs w:val="24"/>
        </w:rPr>
        <w:t xml:space="preserve"> as we make continuous and joint decisions </w:t>
      </w:r>
      <w:r w:rsidR="00AF4E42" w:rsidRPr="008D3590">
        <w:rPr>
          <w:sz w:val="24"/>
          <w:szCs w:val="24"/>
        </w:rPr>
        <w:t>about</w:t>
      </w:r>
      <w:r w:rsidR="00790669" w:rsidRPr="008D3590">
        <w:rPr>
          <w:sz w:val="24"/>
          <w:szCs w:val="24"/>
        </w:rPr>
        <w:t xml:space="preserve"> which activities we can, need</w:t>
      </w:r>
      <w:r w:rsidR="00285E8D" w:rsidRPr="008D3590">
        <w:rPr>
          <w:sz w:val="24"/>
          <w:szCs w:val="24"/>
        </w:rPr>
        <w:t>,</w:t>
      </w:r>
      <w:r w:rsidR="00790669" w:rsidRPr="008D3590">
        <w:rPr>
          <w:sz w:val="24"/>
          <w:szCs w:val="24"/>
        </w:rPr>
        <w:t xml:space="preserve"> and want to perform in person</w:t>
      </w:r>
      <w:r w:rsidR="007A38AC" w:rsidRPr="008D3590">
        <w:rPr>
          <w:sz w:val="24"/>
          <w:szCs w:val="24"/>
        </w:rPr>
        <w:t xml:space="preserve"> </w:t>
      </w:r>
      <w:r w:rsidR="002F542D" w:rsidRPr="008D3590">
        <w:rPr>
          <w:sz w:val="24"/>
          <w:szCs w:val="24"/>
        </w:rPr>
        <w:t>or</w:t>
      </w:r>
      <w:r w:rsidR="007A38AC" w:rsidRPr="008D3590">
        <w:rPr>
          <w:sz w:val="24"/>
          <w:szCs w:val="24"/>
        </w:rPr>
        <w:t xml:space="preserve"> virtually</w:t>
      </w:r>
      <w:r w:rsidR="00790669" w:rsidRPr="008D3590">
        <w:rPr>
          <w:sz w:val="24"/>
          <w:szCs w:val="24"/>
        </w:rPr>
        <w:t xml:space="preserve">. </w:t>
      </w:r>
      <w:r w:rsidR="00C40DB2" w:rsidRPr="008D3590">
        <w:rPr>
          <w:sz w:val="24"/>
          <w:szCs w:val="24"/>
        </w:rPr>
        <w:t xml:space="preserve">Because of the interdependency </w:t>
      </w:r>
      <w:r w:rsidR="00A625C2" w:rsidRPr="008D3590">
        <w:rPr>
          <w:sz w:val="24"/>
          <w:szCs w:val="24"/>
        </w:rPr>
        <w:t>across</w:t>
      </w:r>
      <w:r w:rsidR="00C40DB2" w:rsidRPr="008D3590">
        <w:rPr>
          <w:sz w:val="24"/>
          <w:szCs w:val="24"/>
        </w:rPr>
        <w:t xml:space="preserve"> </w:t>
      </w:r>
      <w:r w:rsidR="003B7479" w:rsidRPr="008D3590">
        <w:rPr>
          <w:sz w:val="24"/>
          <w:szCs w:val="24"/>
        </w:rPr>
        <w:t>choices associated with</w:t>
      </w:r>
      <w:r w:rsidR="00C40DB2" w:rsidRPr="008D3590">
        <w:rPr>
          <w:sz w:val="24"/>
          <w:szCs w:val="24"/>
        </w:rPr>
        <w:t xml:space="preserve"> different types of activities</w:t>
      </w:r>
      <w:r w:rsidR="003B7479" w:rsidRPr="008D3590">
        <w:rPr>
          <w:sz w:val="24"/>
          <w:szCs w:val="24"/>
        </w:rPr>
        <w:t xml:space="preserve"> </w:t>
      </w:r>
      <w:r w:rsidR="006B5669" w:rsidRPr="008D3590">
        <w:rPr>
          <w:sz w:val="24"/>
          <w:szCs w:val="24"/>
        </w:rPr>
        <w:t xml:space="preserve">in </w:t>
      </w:r>
      <w:r w:rsidR="00AF4E42" w:rsidRPr="008D3590">
        <w:rPr>
          <w:sz w:val="24"/>
          <w:szCs w:val="24"/>
        </w:rPr>
        <w:t>one</w:t>
      </w:r>
      <w:r w:rsidR="006B5669" w:rsidRPr="008D3590">
        <w:rPr>
          <w:sz w:val="24"/>
          <w:szCs w:val="24"/>
        </w:rPr>
        <w:t xml:space="preserve">’s schedule </w:t>
      </w:r>
      <w:r w:rsidR="003B7479" w:rsidRPr="008D3590">
        <w:rPr>
          <w:sz w:val="24"/>
          <w:szCs w:val="24"/>
        </w:rPr>
        <w:t xml:space="preserve">(due to, for example, time allocation, </w:t>
      </w:r>
      <w:r w:rsidR="00124906" w:rsidRPr="008D3590">
        <w:rPr>
          <w:sz w:val="24"/>
          <w:szCs w:val="24"/>
        </w:rPr>
        <w:t>geography</w:t>
      </w:r>
      <w:r w:rsidR="003B7479" w:rsidRPr="008D3590">
        <w:rPr>
          <w:sz w:val="24"/>
          <w:szCs w:val="24"/>
        </w:rPr>
        <w:t xml:space="preserve">, trip chaining, </w:t>
      </w:r>
      <w:r w:rsidR="00A625C2" w:rsidRPr="008D3590">
        <w:rPr>
          <w:sz w:val="24"/>
          <w:szCs w:val="24"/>
        </w:rPr>
        <w:t xml:space="preserve">and </w:t>
      </w:r>
      <w:r w:rsidR="003B7479" w:rsidRPr="008D3590">
        <w:rPr>
          <w:sz w:val="24"/>
          <w:szCs w:val="24"/>
        </w:rPr>
        <w:t>joint participation)</w:t>
      </w:r>
      <w:r w:rsidR="00C40DB2" w:rsidRPr="008D3590">
        <w:rPr>
          <w:sz w:val="24"/>
          <w:szCs w:val="24"/>
        </w:rPr>
        <w:t xml:space="preserve">, it is expected that the opportunity to conduct </w:t>
      </w:r>
      <w:r w:rsidR="00A625C2" w:rsidRPr="008D3590">
        <w:rPr>
          <w:sz w:val="24"/>
          <w:szCs w:val="24"/>
        </w:rPr>
        <w:t xml:space="preserve">an </w:t>
      </w:r>
      <w:r w:rsidR="00C40DB2" w:rsidRPr="008D3590">
        <w:rPr>
          <w:sz w:val="24"/>
          <w:szCs w:val="24"/>
        </w:rPr>
        <w:t xml:space="preserve">activity </w:t>
      </w:r>
      <w:r w:rsidR="003B7479" w:rsidRPr="008D3590">
        <w:rPr>
          <w:sz w:val="24"/>
          <w:szCs w:val="24"/>
        </w:rPr>
        <w:t xml:space="preserve">virtually </w:t>
      </w:r>
      <w:r w:rsidR="007A38AC" w:rsidRPr="008D3590">
        <w:rPr>
          <w:sz w:val="24"/>
          <w:szCs w:val="24"/>
        </w:rPr>
        <w:t>or</w:t>
      </w:r>
      <w:r w:rsidR="003B7479" w:rsidRPr="008D3590">
        <w:rPr>
          <w:sz w:val="24"/>
          <w:szCs w:val="24"/>
        </w:rPr>
        <w:t xml:space="preserve">, </w:t>
      </w:r>
      <w:r w:rsidR="00A625C2" w:rsidRPr="008D3590">
        <w:rPr>
          <w:sz w:val="24"/>
          <w:szCs w:val="24"/>
        </w:rPr>
        <w:t>at</w:t>
      </w:r>
      <w:r w:rsidR="003B7479" w:rsidRPr="008D3590">
        <w:rPr>
          <w:sz w:val="24"/>
          <w:szCs w:val="24"/>
        </w:rPr>
        <w:t xml:space="preserve"> the other extreme,</w:t>
      </w:r>
      <w:r w:rsidR="007A38AC" w:rsidRPr="008D3590">
        <w:rPr>
          <w:sz w:val="24"/>
          <w:szCs w:val="24"/>
        </w:rPr>
        <w:t xml:space="preserve"> the lack of opportunity to access an activity physically</w:t>
      </w:r>
      <w:r w:rsidR="00100D90" w:rsidRPr="008D3590">
        <w:rPr>
          <w:sz w:val="24"/>
          <w:szCs w:val="24"/>
        </w:rPr>
        <w:t>,</w:t>
      </w:r>
      <w:r w:rsidR="007A38AC" w:rsidRPr="008D3590">
        <w:rPr>
          <w:sz w:val="24"/>
          <w:szCs w:val="24"/>
        </w:rPr>
        <w:t xml:space="preserve"> will </w:t>
      </w:r>
      <w:r w:rsidR="00C40DB2" w:rsidRPr="008D3590">
        <w:rPr>
          <w:sz w:val="24"/>
          <w:szCs w:val="24"/>
        </w:rPr>
        <w:t xml:space="preserve">affect the overall activity </w:t>
      </w:r>
      <w:r w:rsidR="003B7479" w:rsidRPr="008D3590">
        <w:rPr>
          <w:sz w:val="24"/>
          <w:szCs w:val="24"/>
        </w:rPr>
        <w:t>planning</w:t>
      </w:r>
      <w:r w:rsidR="00C40DB2" w:rsidRPr="008D3590">
        <w:rPr>
          <w:sz w:val="24"/>
          <w:szCs w:val="24"/>
        </w:rPr>
        <w:t xml:space="preserve"> of th</w:t>
      </w:r>
      <w:r w:rsidR="00AF4E42" w:rsidRPr="008D3590">
        <w:rPr>
          <w:sz w:val="24"/>
          <w:szCs w:val="24"/>
        </w:rPr>
        <w:t>e</w:t>
      </w:r>
      <w:r w:rsidR="00C40DB2" w:rsidRPr="008D3590">
        <w:rPr>
          <w:sz w:val="24"/>
          <w:szCs w:val="24"/>
        </w:rPr>
        <w:t xml:space="preserve"> individual</w:t>
      </w:r>
      <w:r w:rsidR="00002FF6" w:rsidRPr="008D3590">
        <w:rPr>
          <w:sz w:val="24"/>
          <w:szCs w:val="24"/>
        </w:rPr>
        <w:t xml:space="preserve">. </w:t>
      </w:r>
      <w:r w:rsidR="003B7479" w:rsidRPr="008D3590">
        <w:rPr>
          <w:sz w:val="24"/>
          <w:szCs w:val="24"/>
        </w:rPr>
        <w:t xml:space="preserve">Thus, although approaches that analyze isolated interactions between </w:t>
      </w:r>
      <w:r w:rsidR="00A625C2" w:rsidRPr="008D3590">
        <w:rPr>
          <w:sz w:val="24"/>
          <w:szCs w:val="24"/>
        </w:rPr>
        <w:t xml:space="preserve">specific single types of </w:t>
      </w:r>
      <w:r w:rsidR="006B5669" w:rsidRPr="008D3590">
        <w:rPr>
          <w:sz w:val="24"/>
          <w:szCs w:val="24"/>
        </w:rPr>
        <w:t>tele-</w:t>
      </w:r>
      <w:r w:rsidR="003B7479" w:rsidRPr="008D3590">
        <w:rPr>
          <w:sz w:val="24"/>
          <w:szCs w:val="24"/>
        </w:rPr>
        <w:t>activit</w:t>
      </w:r>
      <w:r w:rsidR="00A625C2" w:rsidRPr="008D3590">
        <w:rPr>
          <w:sz w:val="24"/>
          <w:szCs w:val="24"/>
        </w:rPr>
        <w:t>y</w:t>
      </w:r>
      <w:r w:rsidR="003B7479" w:rsidRPr="008D3590">
        <w:rPr>
          <w:sz w:val="24"/>
          <w:szCs w:val="24"/>
        </w:rPr>
        <w:t xml:space="preserve"> and their immediate location-based counterparts (for example, online shopping versus in-store shopping) can </w:t>
      </w:r>
      <w:r w:rsidR="006F3A25">
        <w:rPr>
          <w:sz w:val="24"/>
          <w:szCs w:val="24"/>
        </w:rPr>
        <w:t xml:space="preserve">potentially </w:t>
      </w:r>
      <w:r w:rsidR="003B7479" w:rsidRPr="008D3590">
        <w:rPr>
          <w:sz w:val="24"/>
          <w:szCs w:val="24"/>
        </w:rPr>
        <w:t>provide important insights on immediate substitution and complementarity patterns,</w:t>
      </w:r>
      <w:r w:rsidR="008A3701" w:rsidRPr="008D3590">
        <w:rPr>
          <w:sz w:val="24"/>
          <w:szCs w:val="24"/>
        </w:rPr>
        <w:t xml:space="preserve"> </w:t>
      </w:r>
      <w:r w:rsidR="003B7479" w:rsidRPr="008D3590">
        <w:rPr>
          <w:sz w:val="24"/>
          <w:szCs w:val="24"/>
        </w:rPr>
        <w:t xml:space="preserve">they are limited </w:t>
      </w:r>
      <w:r w:rsidR="00100D90" w:rsidRPr="008D3590">
        <w:rPr>
          <w:sz w:val="24"/>
          <w:szCs w:val="24"/>
        </w:rPr>
        <w:t xml:space="preserve">in their ability </w:t>
      </w:r>
      <w:r w:rsidR="006B5669" w:rsidRPr="008D3590">
        <w:rPr>
          <w:sz w:val="24"/>
          <w:szCs w:val="24"/>
        </w:rPr>
        <w:t>to</w:t>
      </w:r>
      <w:r w:rsidR="003B7479" w:rsidRPr="008D3590">
        <w:rPr>
          <w:sz w:val="24"/>
          <w:szCs w:val="24"/>
        </w:rPr>
        <w:t xml:space="preserve"> guid</w:t>
      </w:r>
      <w:r w:rsidR="006B5669" w:rsidRPr="008D3590">
        <w:rPr>
          <w:sz w:val="24"/>
          <w:szCs w:val="24"/>
        </w:rPr>
        <w:t>e future</w:t>
      </w:r>
      <w:r w:rsidR="003B7479" w:rsidRPr="008D3590">
        <w:rPr>
          <w:sz w:val="24"/>
          <w:szCs w:val="24"/>
        </w:rPr>
        <w:t xml:space="preserve"> transportation and land use planning.</w:t>
      </w:r>
      <w:r w:rsidR="006A5F8F" w:rsidRPr="008D3590">
        <w:rPr>
          <w:rStyle w:val="FootnoteReference"/>
          <w:sz w:val="24"/>
          <w:szCs w:val="24"/>
        </w:rPr>
        <w:footnoteReference w:id="1"/>
      </w:r>
      <w:r w:rsidR="003B7479" w:rsidRPr="008D3590">
        <w:rPr>
          <w:sz w:val="24"/>
          <w:szCs w:val="24"/>
        </w:rPr>
        <w:t xml:space="preserve"> </w:t>
      </w:r>
    </w:p>
    <w:p w14:paraId="005E7D6A" w14:textId="5C379B5A" w:rsidR="00285CF8" w:rsidRPr="008D3590" w:rsidRDefault="002D52EF" w:rsidP="00606842">
      <w:pPr>
        <w:ind w:firstLine="720"/>
        <w:rPr>
          <w:rFonts w:cs="Times New Roman"/>
          <w:i/>
          <w:sz w:val="24"/>
          <w:szCs w:val="24"/>
        </w:rPr>
      </w:pPr>
      <w:r w:rsidRPr="008D3590">
        <w:rPr>
          <w:sz w:val="24"/>
          <w:szCs w:val="24"/>
        </w:rPr>
        <w:t xml:space="preserve">In this study, we propose a </w:t>
      </w:r>
      <w:r w:rsidR="00A625C2" w:rsidRPr="008D3590">
        <w:rPr>
          <w:sz w:val="24"/>
          <w:szCs w:val="24"/>
        </w:rPr>
        <w:t xml:space="preserve">comprehensive </w:t>
      </w:r>
      <w:r w:rsidRPr="008D3590">
        <w:rPr>
          <w:sz w:val="24"/>
          <w:szCs w:val="24"/>
        </w:rPr>
        <w:t>modeling framework</w:t>
      </w:r>
      <w:r w:rsidR="00A625C2" w:rsidRPr="008D3590">
        <w:rPr>
          <w:sz w:val="24"/>
          <w:szCs w:val="24"/>
        </w:rPr>
        <w:t>,</w:t>
      </w:r>
      <w:r w:rsidRPr="008D3590">
        <w:rPr>
          <w:sz w:val="24"/>
          <w:szCs w:val="24"/>
        </w:rPr>
        <w:t xml:space="preserve"> anchored on the concepts of virtual</w:t>
      </w:r>
      <w:r w:rsidR="00975E80" w:rsidRPr="008D3590">
        <w:rPr>
          <w:sz w:val="24"/>
          <w:szCs w:val="24"/>
        </w:rPr>
        <w:t xml:space="preserve"> </w:t>
      </w:r>
      <w:r w:rsidR="00104827" w:rsidRPr="008D3590">
        <w:rPr>
          <w:sz w:val="24"/>
          <w:szCs w:val="24"/>
        </w:rPr>
        <w:t xml:space="preserve">and physical </w:t>
      </w:r>
      <w:r w:rsidRPr="008D3590">
        <w:rPr>
          <w:sz w:val="24"/>
          <w:szCs w:val="24"/>
        </w:rPr>
        <w:t xml:space="preserve">accessibility </w:t>
      </w:r>
      <w:r w:rsidR="006B5669" w:rsidRPr="008D3590">
        <w:rPr>
          <w:sz w:val="24"/>
          <w:szCs w:val="24"/>
        </w:rPr>
        <w:t>(</w:t>
      </w:r>
      <w:r w:rsidR="00285E8D" w:rsidRPr="008D3590">
        <w:rPr>
          <w:sz w:val="24"/>
          <w:szCs w:val="24"/>
        </w:rPr>
        <w:t xml:space="preserve">the “ease” </w:t>
      </w:r>
      <w:r w:rsidR="006B5669" w:rsidRPr="008D3590">
        <w:rPr>
          <w:sz w:val="24"/>
          <w:szCs w:val="24"/>
        </w:rPr>
        <w:t xml:space="preserve">with which opportunities or activities can be reached in the </w:t>
      </w:r>
      <w:r w:rsidR="00104827" w:rsidRPr="008D3590">
        <w:rPr>
          <w:sz w:val="24"/>
          <w:szCs w:val="24"/>
        </w:rPr>
        <w:t xml:space="preserve">virtual space and </w:t>
      </w:r>
      <w:r w:rsidR="006B5669" w:rsidRPr="008D3590">
        <w:rPr>
          <w:sz w:val="24"/>
          <w:szCs w:val="24"/>
        </w:rPr>
        <w:t xml:space="preserve">in the </w:t>
      </w:r>
      <w:r w:rsidR="00104827" w:rsidRPr="008D3590">
        <w:rPr>
          <w:sz w:val="24"/>
          <w:szCs w:val="24"/>
        </w:rPr>
        <w:t>physical</w:t>
      </w:r>
      <w:r w:rsidR="006B5669" w:rsidRPr="008D3590">
        <w:rPr>
          <w:sz w:val="24"/>
          <w:szCs w:val="24"/>
        </w:rPr>
        <w:t xml:space="preserve"> space</w:t>
      </w:r>
      <w:r w:rsidR="00100D90" w:rsidRPr="008D3590">
        <w:rPr>
          <w:sz w:val="24"/>
          <w:szCs w:val="24"/>
        </w:rPr>
        <w:t>,</w:t>
      </w:r>
      <w:r w:rsidR="006B5669" w:rsidRPr="008D3590">
        <w:rPr>
          <w:sz w:val="24"/>
          <w:szCs w:val="24"/>
        </w:rPr>
        <w:t xml:space="preserve"> respectively)</w:t>
      </w:r>
      <w:r w:rsidR="00A625C2" w:rsidRPr="008D3590">
        <w:rPr>
          <w:sz w:val="24"/>
          <w:szCs w:val="24"/>
        </w:rPr>
        <w:t>,</w:t>
      </w:r>
      <w:r w:rsidR="006B5669" w:rsidRPr="008D3590">
        <w:rPr>
          <w:sz w:val="24"/>
          <w:szCs w:val="24"/>
        </w:rPr>
        <w:t xml:space="preserve"> </w:t>
      </w:r>
      <w:r w:rsidRPr="008D3590">
        <w:rPr>
          <w:sz w:val="24"/>
          <w:szCs w:val="24"/>
        </w:rPr>
        <w:t xml:space="preserve">to </w:t>
      </w:r>
      <w:r w:rsidR="00A625C2" w:rsidRPr="008D3590">
        <w:rPr>
          <w:sz w:val="24"/>
          <w:szCs w:val="24"/>
        </w:rPr>
        <w:t xml:space="preserve">examine and capture interactions in activity-travel choices associated with both </w:t>
      </w:r>
      <w:r w:rsidR="00104827" w:rsidRPr="008D3590">
        <w:rPr>
          <w:sz w:val="24"/>
          <w:szCs w:val="24"/>
        </w:rPr>
        <w:t xml:space="preserve">virtual and </w:t>
      </w:r>
      <w:r w:rsidR="00A625C2" w:rsidRPr="008D3590">
        <w:rPr>
          <w:sz w:val="24"/>
          <w:szCs w:val="24"/>
        </w:rPr>
        <w:t>ph</w:t>
      </w:r>
      <w:r w:rsidR="00104827" w:rsidRPr="008D3590">
        <w:rPr>
          <w:sz w:val="24"/>
          <w:szCs w:val="24"/>
        </w:rPr>
        <w:t xml:space="preserve">ysical </w:t>
      </w:r>
      <w:r w:rsidR="00F151EF" w:rsidRPr="008D3590">
        <w:rPr>
          <w:sz w:val="24"/>
          <w:szCs w:val="24"/>
        </w:rPr>
        <w:t>participations</w:t>
      </w:r>
      <w:r w:rsidR="00A625C2" w:rsidRPr="008D3590">
        <w:rPr>
          <w:sz w:val="24"/>
          <w:szCs w:val="24"/>
        </w:rPr>
        <w:t xml:space="preserve"> and for multiple activity purposes at the same time</w:t>
      </w:r>
      <w:r w:rsidR="002A1BD9" w:rsidRPr="008D3590">
        <w:rPr>
          <w:sz w:val="24"/>
          <w:szCs w:val="24"/>
        </w:rPr>
        <w:t xml:space="preserve"> (in this paper, the term “physical activity participation” implies out-of-home (OH) activity participations undertaken in physical presence, as opposed to virtually)</w:t>
      </w:r>
      <w:r w:rsidR="00A625C2" w:rsidRPr="008D3590">
        <w:rPr>
          <w:sz w:val="24"/>
          <w:szCs w:val="24"/>
        </w:rPr>
        <w:t xml:space="preserve">. </w:t>
      </w:r>
      <w:r w:rsidR="00100D90" w:rsidRPr="008D3590">
        <w:rPr>
          <w:sz w:val="24"/>
          <w:szCs w:val="24"/>
        </w:rPr>
        <w:t>In particular, w</w:t>
      </w:r>
      <w:r w:rsidRPr="008D3590">
        <w:rPr>
          <w:sz w:val="24"/>
          <w:szCs w:val="24"/>
        </w:rPr>
        <w:t>e define</w:t>
      </w:r>
      <w:r w:rsidR="00104827" w:rsidRPr="008D3590">
        <w:rPr>
          <w:sz w:val="24"/>
          <w:szCs w:val="24"/>
        </w:rPr>
        <w:t xml:space="preserve"> </w:t>
      </w:r>
      <w:r w:rsidRPr="008D3590">
        <w:rPr>
          <w:sz w:val="24"/>
          <w:szCs w:val="24"/>
        </w:rPr>
        <w:t xml:space="preserve">virtual accessibility and physical accessibility as two major latent constructs that mediate </w:t>
      </w:r>
      <w:r w:rsidR="003A0ED1" w:rsidRPr="008D3590">
        <w:rPr>
          <w:sz w:val="24"/>
          <w:szCs w:val="24"/>
        </w:rPr>
        <w:t>individuals’</w:t>
      </w:r>
      <w:r w:rsidRPr="008D3590">
        <w:rPr>
          <w:sz w:val="24"/>
          <w:szCs w:val="24"/>
        </w:rPr>
        <w:t xml:space="preserve"> </w:t>
      </w:r>
      <w:r w:rsidR="00285CF8" w:rsidRPr="008D3590">
        <w:rPr>
          <w:sz w:val="24"/>
          <w:szCs w:val="24"/>
        </w:rPr>
        <w:t xml:space="preserve">activity engagement </w:t>
      </w:r>
      <w:r w:rsidRPr="008D3590">
        <w:rPr>
          <w:sz w:val="24"/>
          <w:szCs w:val="24"/>
        </w:rPr>
        <w:t xml:space="preserve">decisions </w:t>
      </w:r>
      <w:r w:rsidR="00285CF8" w:rsidRPr="008D3590">
        <w:rPr>
          <w:sz w:val="24"/>
          <w:szCs w:val="24"/>
        </w:rPr>
        <w:t xml:space="preserve">(both </w:t>
      </w:r>
      <w:r w:rsidR="00F151EF" w:rsidRPr="008D3590">
        <w:rPr>
          <w:sz w:val="24"/>
          <w:szCs w:val="24"/>
        </w:rPr>
        <w:t>virtual</w:t>
      </w:r>
      <w:r w:rsidR="00285CF8" w:rsidRPr="008D3590">
        <w:rPr>
          <w:sz w:val="24"/>
          <w:szCs w:val="24"/>
        </w:rPr>
        <w:t xml:space="preserve">ly and </w:t>
      </w:r>
      <w:r w:rsidR="00F151EF" w:rsidRPr="008D3590">
        <w:rPr>
          <w:sz w:val="24"/>
          <w:szCs w:val="24"/>
        </w:rPr>
        <w:t>physical</w:t>
      </w:r>
      <w:r w:rsidR="00285CF8" w:rsidRPr="008D3590">
        <w:rPr>
          <w:sz w:val="24"/>
          <w:szCs w:val="24"/>
        </w:rPr>
        <w:t>ly)</w:t>
      </w:r>
      <w:r w:rsidRPr="008D3590">
        <w:rPr>
          <w:sz w:val="24"/>
          <w:szCs w:val="24"/>
        </w:rPr>
        <w:t xml:space="preserve">. </w:t>
      </w:r>
    </w:p>
    <w:p w14:paraId="7665FD1B" w14:textId="265AB3F2" w:rsidR="00751917" w:rsidRPr="00606842" w:rsidRDefault="00B9161E" w:rsidP="00606842">
      <w:pPr>
        <w:ind w:firstLine="708"/>
        <w:rPr>
          <w:rFonts w:cs="Times New Roman"/>
          <w:i/>
          <w:sz w:val="24"/>
          <w:szCs w:val="24"/>
        </w:rPr>
      </w:pPr>
      <w:r w:rsidRPr="008D3590">
        <w:rPr>
          <w:rFonts w:cs="Times New Roman"/>
          <w:sz w:val="24"/>
          <w:szCs w:val="24"/>
        </w:rPr>
        <w:t>A significant amount</w:t>
      </w:r>
      <w:r w:rsidR="009067DC" w:rsidRPr="008D3590">
        <w:rPr>
          <w:rFonts w:cs="Times New Roman"/>
          <w:sz w:val="24"/>
          <w:szCs w:val="24"/>
        </w:rPr>
        <w:t xml:space="preserve"> of the empirical work investigating the relationship</w:t>
      </w:r>
      <w:r w:rsidR="0078501C" w:rsidRPr="008D3590">
        <w:rPr>
          <w:rFonts w:cs="Times New Roman"/>
          <w:sz w:val="24"/>
          <w:szCs w:val="24"/>
        </w:rPr>
        <w:t xml:space="preserve"> between</w:t>
      </w:r>
      <w:r w:rsidR="009067DC" w:rsidRPr="008D3590">
        <w:rPr>
          <w:rFonts w:cs="Times New Roman"/>
          <w:sz w:val="24"/>
          <w:szCs w:val="24"/>
        </w:rPr>
        <w:t xml:space="preserve"> </w:t>
      </w:r>
      <w:r w:rsidR="00473A0B" w:rsidRPr="008D3590">
        <w:rPr>
          <w:rFonts w:cs="Times New Roman"/>
          <w:sz w:val="24"/>
          <w:szCs w:val="24"/>
        </w:rPr>
        <w:t xml:space="preserve">ICT </w:t>
      </w:r>
      <w:r w:rsidR="009067DC" w:rsidRPr="008D3590">
        <w:rPr>
          <w:rFonts w:cs="Times New Roman"/>
          <w:sz w:val="24"/>
          <w:szCs w:val="24"/>
        </w:rPr>
        <w:t xml:space="preserve">use </w:t>
      </w:r>
      <w:r w:rsidR="00C52B86">
        <w:rPr>
          <w:rFonts w:cs="Times New Roman"/>
          <w:sz w:val="24"/>
          <w:szCs w:val="24"/>
        </w:rPr>
        <w:t xml:space="preserve">(that is, virtual activity behavior) </w:t>
      </w:r>
      <w:r w:rsidR="009067DC" w:rsidRPr="008D3590">
        <w:rPr>
          <w:rFonts w:cs="Times New Roman"/>
          <w:sz w:val="24"/>
          <w:szCs w:val="24"/>
        </w:rPr>
        <w:t>and</w:t>
      </w:r>
      <w:r w:rsidR="002A1BD9" w:rsidRPr="008D3590">
        <w:rPr>
          <w:rFonts w:cs="Times New Roman"/>
          <w:sz w:val="24"/>
          <w:szCs w:val="24"/>
        </w:rPr>
        <w:t xml:space="preserve"> physical activity-</w:t>
      </w:r>
      <w:r w:rsidR="00473A0B" w:rsidRPr="008D3590">
        <w:rPr>
          <w:rFonts w:cs="Times New Roman"/>
          <w:sz w:val="24"/>
          <w:szCs w:val="24"/>
        </w:rPr>
        <w:t xml:space="preserve">travel behavior </w:t>
      </w:r>
      <w:r w:rsidR="00EF3AAB">
        <w:rPr>
          <w:rFonts w:cs="Times New Roman"/>
          <w:sz w:val="24"/>
          <w:szCs w:val="24"/>
        </w:rPr>
        <w:t xml:space="preserve">is based on </w:t>
      </w:r>
      <w:r w:rsidR="009067DC" w:rsidRPr="008D3590">
        <w:rPr>
          <w:rFonts w:cs="Times New Roman"/>
          <w:sz w:val="24"/>
          <w:szCs w:val="24"/>
        </w:rPr>
        <w:t xml:space="preserve">the typology developed by Salomon (1986) </w:t>
      </w:r>
      <w:r w:rsidR="00EF3AAB">
        <w:rPr>
          <w:rFonts w:cs="Times New Roman"/>
          <w:sz w:val="24"/>
          <w:szCs w:val="24"/>
        </w:rPr>
        <w:t>and built upon by other researchers (</w:t>
      </w:r>
      <w:proofErr w:type="spellStart"/>
      <w:r w:rsidR="00EF3AAB" w:rsidRPr="008D3590">
        <w:rPr>
          <w:rFonts w:cs="Times New Roman"/>
          <w:sz w:val="24"/>
          <w:szCs w:val="24"/>
        </w:rPr>
        <w:t>Couclelis</w:t>
      </w:r>
      <w:proofErr w:type="spellEnd"/>
      <w:r w:rsidR="00EF3AAB" w:rsidRPr="008D3590">
        <w:rPr>
          <w:rFonts w:cs="Times New Roman"/>
          <w:sz w:val="24"/>
          <w:szCs w:val="24"/>
        </w:rPr>
        <w:t>, 2000</w:t>
      </w:r>
      <w:r w:rsidR="00B32C09">
        <w:rPr>
          <w:rFonts w:cs="Times New Roman"/>
          <w:sz w:val="24"/>
          <w:szCs w:val="24"/>
        </w:rPr>
        <w:t>;</w:t>
      </w:r>
      <w:r w:rsidR="00EF3AAB">
        <w:rPr>
          <w:rFonts w:cs="Times New Roman"/>
          <w:sz w:val="24"/>
          <w:szCs w:val="24"/>
        </w:rPr>
        <w:t xml:space="preserve"> </w:t>
      </w:r>
      <w:proofErr w:type="spellStart"/>
      <w:r w:rsidR="00EF3AAB" w:rsidRPr="008D3590">
        <w:rPr>
          <w:rFonts w:cs="Times New Roman"/>
          <w:sz w:val="24"/>
          <w:szCs w:val="24"/>
        </w:rPr>
        <w:t>Hubers</w:t>
      </w:r>
      <w:proofErr w:type="spellEnd"/>
      <w:r w:rsidR="00EF3AAB" w:rsidRPr="008D3590">
        <w:rPr>
          <w:rFonts w:cs="Times New Roman"/>
          <w:sz w:val="24"/>
          <w:szCs w:val="24"/>
        </w:rPr>
        <w:t xml:space="preserve"> et al., 2015</w:t>
      </w:r>
      <w:r w:rsidR="00B32C09">
        <w:rPr>
          <w:rFonts w:cs="Times New Roman"/>
          <w:sz w:val="24"/>
          <w:szCs w:val="24"/>
        </w:rPr>
        <w:t>;</w:t>
      </w:r>
      <w:r w:rsidR="00EF3AAB">
        <w:rPr>
          <w:rFonts w:cs="Times New Roman"/>
          <w:sz w:val="24"/>
          <w:szCs w:val="24"/>
        </w:rPr>
        <w:t xml:space="preserve"> </w:t>
      </w:r>
      <w:r w:rsidR="00EF3AAB" w:rsidRPr="008D3590">
        <w:rPr>
          <w:rFonts w:cs="Times New Roman"/>
          <w:sz w:val="24"/>
          <w:szCs w:val="24"/>
        </w:rPr>
        <w:t>Kenyon and Lyons, 2007</w:t>
      </w:r>
      <w:r w:rsidR="00B32C09">
        <w:rPr>
          <w:rFonts w:cs="Times New Roman"/>
          <w:sz w:val="24"/>
          <w:szCs w:val="24"/>
        </w:rPr>
        <w:t>;</w:t>
      </w:r>
      <w:r w:rsidR="00EF3AAB" w:rsidRPr="008D3590">
        <w:rPr>
          <w:rFonts w:cs="Times New Roman"/>
          <w:sz w:val="24"/>
          <w:szCs w:val="24"/>
        </w:rPr>
        <w:t xml:space="preserve"> Berliner et al., 2015)</w:t>
      </w:r>
      <w:r w:rsidR="00EF3AAB">
        <w:rPr>
          <w:rFonts w:cs="Times New Roman"/>
          <w:sz w:val="24"/>
          <w:szCs w:val="24"/>
        </w:rPr>
        <w:t xml:space="preserve"> </w:t>
      </w:r>
      <w:r w:rsidR="009067DC" w:rsidRPr="008D3590">
        <w:rPr>
          <w:rFonts w:cs="Times New Roman"/>
          <w:sz w:val="24"/>
          <w:szCs w:val="24"/>
        </w:rPr>
        <w:t xml:space="preserve">that establishes </w:t>
      </w:r>
      <w:r w:rsidR="00EF3AAB">
        <w:rPr>
          <w:rFonts w:cs="Times New Roman"/>
          <w:sz w:val="24"/>
          <w:szCs w:val="24"/>
        </w:rPr>
        <w:t>six</w:t>
      </w:r>
      <w:r w:rsidR="009067DC" w:rsidRPr="008D3590">
        <w:rPr>
          <w:rFonts w:cs="Times New Roman"/>
          <w:sz w:val="24"/>
          <w:szCs w:val="24"/>
        </w:rPr>
        <w:t xml:space="preserve"> main impacts of </w:t>
      </w:r>
      <w:r w:rsidR="00C52B86">
        <w:rPr>
          <w:rFonts w:cs="Times New Roman"/>
          <w:sz w:val="24"/>
          <w:szCs w:val="24"/>
        </w:rPr>
        <w:t>virtual activities</w:t>
      </w:r>
      <w:r w:rsidR="009067DC" w:rsidRPr="008D3590">
        <w:rPr>
          <w:rFonts w:cs="Times New Roman"/>
          <w:sz w:val="24"/>
          <w:szCs w:val="24"/>
        </w:rPr>
        <w:t xml:space="preserve"> on personal </w:t>
      </w:r>
      <w:r w:rsidR="005C3720">
        <w:rPr>
          <w:rFonts w:cs="Times New Roman"/>
          <w:sz w:val="24"/>
          <w:szCs w:val="24"/>
        </w:rPr>
        <w:t xml:space="preserve">physical </w:t>
      </w:r>
      <w:r w:rsidR="009067DC" w:rsidRPr="008D3590">
        <w:rPr>
          <w:rFonts w:cs="Times New Roman"/>
          <w:sz w:val="24"/>
          <w:szCs w:val="24"/>
        </w:rPr>
        <w:t>activities and travel:</w:t>
      </w:r>
      <w:r w:rsidR="00473A0B" w:rsidRPr="008D3590">
        <w:rPr>
          <w:rFonts w:cs="Times New Roman"/>
          <w:sz w:val="24"/>
          <w:szCs w:val="24"/>
        </w:rPr>
        <w:t xml:space="preserve"> </w:t>
      </w:r>
      <w:r w:rsidR="009067DC" w:rsidRPr="008D3590">
        <w:rPr>
          <w:rFonts w:cs="Times New Roman"/>
          <w:sz w:val="24"/>
          <w:szCs w:val="24"/>
        </w:rPr>
        <w:t>substitution (replacement of a location-based activity by a tele-activity</w:t>
      </w:r>
      <w:r w:rsidR="007F0273" w:rsidRPr="008D3590">
        <w:rPr>
          <w:rFonts w:cs="Times New Roman"/>
          <w:sz w:val="24"/>
          <w:szCs w:val="24"/>
        </w:rPr>
        <w:t>, thus eliminating travel</w:t>
      </w:r>
      <w:r w:rsidR="009067DC" w:rsidRPr="008D3590">
        <w:rPr>
          <w:rFonts w:cs="Times New Roman"/>
          <w:sz w:val="24"/>
          <w:szCs w:val="24"/>
        </w:rPr>
        <w:t>), complementarity (a virtual</w:t>
      </w:r>
      <w:r w:rsidR="006F3A25">
        <w:rPr>
          <w:rFonts w:cs="Times New Roman"/>
          <w:sz w:val="24"/>
          <w:szCs w:val="24"/>
        </w:rPr>
        <w:t xml:space="preserve"> </w:t>
      </w:r>
      <w:r w:rsidR="009067DC" w:rsidRPr="008D3590">
        <w:rPr>
          <w:rFonts w:cs="Times New Roman"/>
          <w:sz w:val="24"/>
          <w:szCs w:val="24"/>
        </w:rPr>
        <w:lastRenderedPageBreak/>
        <w:t>activity leads to new location-based activities), modification (virtual activity changes the timing, duration or place of a location-based activity)</w:t>
      </w:r>
      <w:r w:rsidR="00C75240" w:rsidRPr="008D3590">
        <w:rPr>
          <w:rFonts w:cs="Times New Roman"/>
          <w:sz w:val="24"/>
          <w:szCs w:val="24"/>
        </w:rPr>
        <w:t>,</w:t>
      </w:r>
      <w:r w:rsidR="009067DC" w:rsidRPr="008D3590">
        <w:rPr>
          <w:rFonts w:cs="Times New Roman"/>
          <w:sz w:val="24"/>
          <w:szCs w:val="24"/>
        </w:rPr>
        <w:t xml:space="preserve"> neutrality (there is no observed effect of the virtual activity on location-based activities</w:t>
      </w:r>
      <w:r w:rsidR="00B5484B" w:rsidRPr="008D3590">
        <w:rPr>
          <w:rFonts w:cs="Times New Roman"/>
          <w:sz w:val="24"/>
          <w:szCs w:val="24"/>
        </w:rPr>
        <w:t>)</w:t>
      </w:r>
      <w:r w:rsidR="00EF3AAB">
        <w:rPr>
          <w:rFonts w:cs="Times New Roman"/>
          <w:sz w:val="24"/>
          <w:szCs w:val="24"/>
        </w:rPr>
        <w:t xml:space="preserve">, </w:t>
      </w:r>
      <w:r w:rsidR="008A2FF3">
        <w:rPr>
          <w:rFonts w:cs="Times New Roman"/>
          <w:sz w:val="24"/>
          <w:szCs w:val="24"/>
        </w:rPr>
        <w:t>a</w:t>
      </w:r>
      <w:r w:rsidR="008A2FF3" w:rsidRPr="008D3590">
        <w:rPr>
          <w:rFonts w:cs="Times New Roman"/>
          <w:sz w:val="24"/>
          <w:szCs w:val="24"/>
        </w:rPr>
        <w:t>ctivity fragmentation (splitting of a certain activity into several smaller pieces that can be performed at different times and locations</w:t>
      </w:r>
      <w:r w:rsidR="008A2FF3">
        <w:rPr>
          <w:rFonts w:cs="Times New Roman"/>
          <w:sz w:val="24"/>
          <w:szCs w:val="24"/>
        </w:rPr>
        <w:t xml:space="preserve">, because </w:t>
      </w:r>
      <w:r w:rsidR="008A2FF3" w:rsidRPr="008D3590">
        <w:rPr>
          <w:rFonts w:cs="Times New Roman"/>
          <w:sz w:val="24"/>
          <w:szCs w:val="24"/>
        </w:rPr>
        <w:t>ICT allows remote and continuous access to files, information, and people</w:t>
      </w:r>
      <w:r w:rsidR="008A2FF3">
        <w:rPr>
          <w:rFonts w:cs="Times New Roman"/>
          <w:sz w:val="24"/>
          <w:szCs w:val="24"/>
        </w:rPr>
        <w:t>), and m</w:t>
      </w:r>
      <w:r w:rsidR="008A2FF3" w:rsidRPr="008D3590">
        <w:rPr>
          <w:rFonts w:cs="Times New Roman"/>
          <w:sz w:val="24"/>
          <w:szCs w:val="24"/>
        </w:rPr>
        <w:t>ultitaskin</w:t>
      </w:r>
      <w:r w:rsidR="008A2FF3">
        <w:rPr>
          <w:rFonts w:cs="Times New Roman"/>
          <w:sz w:val="24"/>
          <w:szCs w:val="24"/>
        </w:rPr>
        <w:t>g (</w:t>
      </w:r>
      <w:r w:rsidR="008A2FF3" w:rsidRPr="008D3590">
        <w:rPr>
          <w:rFonts w:cs="Times New Roman"/>
          <w:sz w:val="24"/>
          <w:szCs w:val="24"/>
        </w:rPr>
        <w:t>the simultaneous realization of two or more activities during the same time period</w:t>
      </w:r>
      <w:r w:rsidR="008A2FF3">
        <w:rPr>
          <w:rFonts w:cs="Times New Roman"/>
          <w:sz w:val="24"/>
          <w:szCs w:val="24"/>
        </w:rPr>
        <w:t xml:space="preserve">, such as </w:t>
      </w:r>
      <w:r w:rsidR="008A2FF3" w:rsidRPr="008D3590">
        <w:rPr>
          <w:rFonts w:cs="Times New Roman"/>
          <w:sz w:val="24"/>
          <w:szCs w:val="24"/>
        </w:rPr>
        <w:t xml:space="preserve">teleworking or shopping online while traveling as a passenger </w:t>
      </w:r>
      <w:r w:rsidR="006F3A25">
        <w:rPr>
          <w:rFonts w:cs="Times New Roman"/>
          <w:sz w:val="24"/>
          <w:szCs w:val="24"/>
        </w:rPr>
        <w:t xml:space="preserve">or even physically shopping </w:t>
      </w:r>
      <w:r w:rsidR="008A2FF3" w:rsidRPr="008D3590">
        <w:rPr>
          <w:rFonts w:cs="Times New Roman"/>
          <w:sz w:val="24"/>
          <w:szCs w:val="24"/>
        </w:rPr>
        <w:t>at the same time</w:t>
      </w:r>
      <w:r w:rsidR="00047F9A">
        <w:rPr>
          <w:rFonts w:cs="Times New Roman"/>
          <w:sz w:val="24"/>
          <w:szCs w:val="24"/>
        </w:rPr>
        <w:t>; in our empirical analysis later, we are unable to consider multitasking due to data limitations). T</w:t>
      </w:r>
      <w:r w:rsidR="00326CF6" w:rsidRPr="008D3590">
        <w:rPr>
          <w:rFonts w:cs="Times New Roman"/>
          <w:sz w:val="24"/>
          <w:szCs w:val="24"/>
        </w:rPr>
        <w:t xml:space="preserve">hese </w:t>
      </w:r>
      <w:r w:rsidR="006F3A25">
        <w:rPr>
          <w:rFonts w:cs="Times New Roman"/>
          <w:sz w:val="24"/>
          <w:szCs w:val="24"/>
        </w:rPr>
        <w:t>“</w:t>
      </w:r>
      <w:r w:rsidR="008A2FF3">
        <w:rPr>
          <w:rFonts w:cs="Times New Roman"/>
          <w:sz w:val="24"/>
          <w:szCs w:val="24"/>
        </w:rPr>
        <w:t xml:space="preserve">six </w:t>
      </w:r>
      <w:r w:rsidR="00326CF6" w:rsidRPr="008D3590">
        <w:rPr>
          <w:rFonts w:cs="Times New Roman"/>
          <w:sz w:val="24"/>
          <w:szCs w:val="24"/>
        </w:rPr>
        <w:t>effects</w:t>
      </w:r>
      <w:r w:rsidR="006F3A25">
        <w:rPr>
          <w:rFonts w:cs="Times New Roman"/>
          <w:sz w:val="24"/>
          <w:szCs w:val="24"/>
        </w:rPr>
        <w:t>”</w:t>
      </w:r>
      <w:r w:rsidR="00326CF6" w:rsidRPr="008D3590">
        <w:rPr>
          <w:rFonts w:cs="Times New Roman"/>
          <w:sz w:val="24"/>
          <w:szCs w:val="24"/>
        </w:rPr>
        <w:t xml:space="preserve"> </w:t>
      </w:r>
      <w:r w:rsidR="006F3A25">
        <w:rPr>
          <w:rFonts w:cs="Times New Roman"/>
          <w:sz w:val="24"/>
          <w:szCs w:val="24"/>
        </w:rPr>
        <w:t xml:space="preserve">impacts </w:t>
      </w:r>
      <w:r w:rsidR="00326CF6" w:rsidRPr="008D3590">
        <w:rPr>
          <w:rFonts w:cs="Times New Roman"/>
          <w:sz w:val="24"/>
          <w:szCs w:val="24"/>
        </w:rPr>
        <w:t>have generally be</w:t>
      </w:r>
      <w:r w:rsidR="002D45F0" w:rsidRPr="008D3590">
        <w:rPr>
          <w:rFonts w:cs="Times New Roman"/>
          <w:sz w:val="24"/>
          <w:szCs w:val="24"/>
        </w:rPr>
        <w:t>en</w:t>
      </w:r>
      <w:r w:rsidR="00326CF6" w:rsidRPr="008D3590">
        <w:rPr>
          <w:rFonts w:cs="Times New Roman"/>
          <w:sz w:val="24"/>
          <w:szCs w:val="24"/>
        </w:rPr>
        <w:t xml:space="preserve"> studied by </w:t>
      </w:r>
      <w:r w:rsidR="002D45F0" w:rsidRPr="008D3590">
        <w:rPr>
          <w:rFonts w:cs="Times New Roman"/>
          <w:sz w:val="24"/>
          <w:szCs w:val="24"/>
        </w:rPr>
        <w:t>examining</w:t>
      </w:r>
      <w:r w:rsidR="00326CF6" w:rsidRPr="008D3590">
        <w:rPr>
          <w:rFonts w:cs="Times New Roman"/>
          <w:sz w:val="24"/>
          <w:szCs w:val="24"/>
        </w:rPr>
        <w:t xml:space="preserve"> specific tele-activities and their direct </w:t>
      </w:r>
      <w:r w:rsidR="00C45250" w:rsidRPr="008D3590">
        <w:rPr>
          <w:rFonts w:cs="Times New Roman"/>
          <w:sz w:val="24"/>
          <w:szCs w:val="24"/>
        </w:rPr>
        <w:t>location-based counter</w:t>
      </w:r>
      <w:r w:rsidR="002D45F0" w:rsidRPr="008D3590">
        <w:rPr>
          <w:rFonts w:cs="Times New Roman"/>
          <w:sz w:val="24"/>
          <w:szCs w:val="24"/>
        </w:rPr>
        <w:t>parts</w:t>
      </w:r>
      <w:r w:rsidR="00326CF6" w:rsidRPr="008D3590">
        <w:rPr>
          <w:rFonts w:cs="Times New Roman"/>
          <w:sz w:val="24"/>
          <w:szCs w:val="24"/>
        </w:rPr>
        <w:t xml:space="preserve"> </w:t>
      </w:r>
      <w:r w:rsidR="002D45F0" w:rsidRPr="008D3590">
        <w:rPr>
          <w:rFonts w:cs="Times New Roman"/>
          <w:sz w:val="24"/>
          <w:szCs w:val="24"/>
        </w:rPr>
        <w:t xml:space="preserve">such as, </w:t>
      </w:r>
      <w:r w:rsidR="00326CF6" w:rsidRPr="008D3590">
        <w:rPr>
          <w:rFonts w:cs="Times New Roman"/>
          <w:sz w:val="24"/>
          <w:szCs w:val="24"/>
        </w:rPr>
        <w:t xml:space="preserve">for example, telecommuting </w:t>
      </w:r>
      <w:r w:rsidR="00C45250" w:rsidRPr="008D3590">
        <w:rPr>
          <w:rFonts w:cs="Times New Roman"/>
          <w:sz w:val="24"/>
          <w:szCs w:val="24"/>
        </w:rPr>
        <w:t>and</w:t>
      </w:r>
      <w:r w:rsidR="00326CF6" w:rsidRPr="008D3590">
        <w:rPr>
          <w:rFonts w:cs="Times New Roman"/>
          <w:sz w:val="24"/>
          <w:szCs w:val="24"/>
        </w:rPr>
        <w:t xml:space="preserve"> commuting</w:t>
      </w:r>
      <w:r w:rsidR="00606842">
        <w:rPr>
          <w:rFonts w:cs="Times New Roman"/>
          <w:sz w:val="24"/>
          <w:szCs w:val="24"/>
        </w:rPr>
        <w:t xml:space="preserve"> </w:t>
      </w:r>
      <w:r w:rsidR="00606842" w:rsidRPr="008D3590">
        <w:rPr>
          <w:rFonts w:cs="Times New Roman"/>
          <w:sz w:val="24"/>
          <w:szCs w:val="24"/>
        </w:rPr>
        <w:t>(see, for example, Zhu, 2012</w:t>
      </w:r>
      <w:r w:rsidR="00B32C09">
        <w:rPr>
          <w:rFonts w:cs="Times New Roman"/>
          <w:sz w:val="24"/>
          <w:szCs w:val="24"/>
          <w:lang w:eastAsia="zh-CN"/>
        </w:rPr>
        <w:t>;</w:t>
      </w:r>
      <w:r w:rsidR="00606842" w:rsidRPr="008D3590">
        <w:rPr>
          <w:rFonts w:cs="Times New Roman"/>
          <w:sz w:val="24"/>
          <w:szCs w:val="24"/>
        </w:rPr>
        <w:t xml:space="preserve"> </w:t>
      </w:r>
      <w:r w:rsidR="00606842" w:rsidRPr="008D3590">
        <w:rPr>
          <w:rFonts w:cs="Times New Roman"/>
          <w:sz w:val="24"/>
          <w:szCs w:val="24"/>
          <w:lang w:eastAsia="zh-CN"/>
        </w:rPr>
        <w:t>Hu and He, 2016</w:t>
      </w:r>
      <w:r w:rsidR="00606842" w:rsidRPr="008D3590">
        <w:rPr>
          <w:rFonts w:cs="Times New Roman"/>
          <w:sz w:val="24"/>
          <w:szCs w:val="24"/>
        </w:rPr>
        <w:t>)</w:t>
      </w:r>
      <w:r w:rsidR="00C45250" w:rsidRPr="008D3590">
        <w:rPr>
          <w:rFonts w:cs="Times New Roman"/>
          <w:sz w:val="24"/>
          <w:szCs w:val="24"/>
        </w:rPr>
        <w:t xml:space="preserve"> or</w:t>
      </w:r>
      <w:r w:rsidR="00326CF6" w:rsidRPr="008D3590">
        <w:rPr>
          <w:rFonts w:cs="Times New Roman"/>
          <w:sz w:val="24"/>
          <w:szCs w:val="24"/>
        </w:rPr>
        <w:t xml:space="preserve"> online shopping </w:t>
      </w:r>
      <w:r w:rsidR="00C45250" w:rsidRPr="008D3590">
        <w:rPr>
          <w:rFonts w:cs="Times New Roman"/>
          <w:sz w:val="24"/>
          <w:szCs w:val="24"/>
        </w:rPr>
        <w:t>and</w:t>
      </w:r>
      <w:r w:rsidR="00326CF6" w:rsidRPr="008D3590">
        <w:rPr>
          <w:rFonts w:cs="Times New Roman"/>
          <w:sz w:val="24"/>
          <w:szCs w:val="24"/>
        </w:rPr>
        <w:t xml:space="preserve"> in-store shopping</w:t>
      </w:r>
      <w:r w:rsidR="00606842">
        <w:rPr>
          <w:rFonts w:cs="Times New Roman"/>
          <w:sz w:val="24"/>
          <w:szCs w:val="24"/>
        </w:rPr>
        <w:t xml:space="preserve"> </w:t>
      </w:r>
      <w:r w:rsidR="00606842" w:rsidRPr="008D3590">
        <w:rPr>
          <w:rFonts w:cs="Times New Roman"/>
          <w:sz w:val="24"/>
          <w:szCs w:val="24"/>
        </w:rPr>
        <w:t>(see, for example, Ding and Lu, 2017</w:t>
      </w:r>
      <w:r w:rsidR="00B32C09">
        <w:rPr>
          <w:rFonts w:cs="Times New Roman"/>
          <w:sz w:val="24"/>
          <w:szCs w:val="24"/>
        </w:rPr>
        <w:t>;</w:t>
      </w:r>
      <w:r w:rsidR="00606842" w:rsidRPr="008D3590">
        <w:rPr>
          <w:rFonts w:cs="Times New Roman"/>
          <w:sz w:val="24"/>
          <w:szCs w:val="24"/>
        </w:rPr>
        <w:t xml:space="preserve"> Lee et al., 2017)</w:t>
      </w:r>
      <w:r w:rsidR="00326CF6" w:rsidRPr="008D3590">
        <w:rPr>
          <w:rFonts w:cs="Times New Roman"/>
          <w:sz w:val="24"/>
          <w:szCs w:val="24"/>
        </w:rPr>
        <w:t xml:space="preserve">. </w:t>
      </w:r>
      <w:r w:rsidR="00606842">
        <w:rPr>
          <w:rFonts w:cs="Times New Roman"/>
          <w:sz w:val="24"/>
          <w:szCs w:val="24"/>
        </w:rPr>
        <w:t>But, while a</w:t>
      </w:r>
      <w:r w:rsidR="000271BF" w:rsidRPr="008D3590">
        <w:rPr>
          <w:rFonts w:cs="Times New Roman"/>
          <w:sz w:val="24"/>
          <w:szCs w:val="24"/>
        </w:rPr>
        <w:t>nalyses that focus on a single activity purpose can provide useful insights to understand general tendencies of behavioral pattern</w:t>
      </w:r>
      <w:r w:rsidR="00606842">
        <w:rPr>
          <w:rFonts w:cs="Times New Roman"/>
          <w:sz w:val="24"/>
          <w:szCs w:val="24"/>
        </w:rPr>
        <w:t xml:space="preserve">s, </w:t>
      </w:r>
      <w:r w:rsidR="000271BF" w:rsidRPr="008D3590">
        <w:rPr>
          <w:rFonts w:cs="Times New Roman"/>
          <w:sz w:val="24"/>
          <w:szCs w:val="24"/>
        </w:rPr>
        <w:t xml:space="preserve">they underestimate the true potential that </w:t>
      </w:r>
      <w:r w:rsidR="006F3A25">
        <w:rPr>
          <w:rFonts w:cs="Times New Roman"/>
          <w:sz w:val="24"/>
          <w:szCs w:val="24"/>
        </w:rPr>
        <w:t xml:space="preserve">virtual </w:t>
      </w:r>
      <w:r w:rsidR="001D562E">
        <w:rPr>
          <w:rFonts w:cs="Times New Roman"/>
          <w:sz w:val="24"/>
          <w:szCs w:val="24"/>
        </w:rPr>
        <w:t xml:space="preserve">activities </w:t>
      </w:r>
      <w:r w:rsidR="006F3A25">
        <w:rPr>
          <w:rFonts w:cs="Times New Roman"/>
          <w:sz w:val="24"/>
          <w:szCs w:val="24"/>
        </w:rPr>
        <w:t xml:space="preserve">may have </w:t>
      </w:r>
      <w:r w:rsidR="000271BF" w:rsidRPr="008D3590">
        <w:rPr>
          <w:rFonts w:cs="Times New Roman"/>
          <w:sz w:val="24"/>
          <w:szCs w:val="24"/>
        </w:rPr>
        <w:t xml:space="preserve">in re-shaping individuals’ schedules and activity-travel choices. </w:t>
      </w:r>
      <w:r w:rsidR="00606842">
        <w:rPr>
          <w:rFonts w:cs="Times New Roman"/>
          <w:sz w:val="24"/>
          <w:szCs w:val="24"/>
        </w:rPr>
        <w:t>Thus, the</w:t>
      </w:r>
      <w:r w:rsidR="00AD3923" w:rsidRPr="008D3590">
        <w:rPr>
          <w:rFonts w:cs="Times New Roman"/>
          <w:sz w:val="24"/>
          <w:szCs w:val="24"/>
        </w:rPr>
        <w:t xml:space="preserve"> few studies in the literature </w:t>
      </w:r>
      <w:r w:rsidR="00606842">
        <w:rPr>
          <w:rFonts w:cs="Times New Roman"/>
          <w:sz w:val="24"/>
          <w:szCs w:val="24"/>
        </w:rPr>
        <w:t xml:space="preserve">that </w:t>
      </w:r>
      <w:r w:rsidR="00AD3923" w:rsidRPr="008D3590">
        <w:rPr>
          <w:rFonts w:cs="Times New Roman"/>
          <w:sz w:val="24"/>
          <w:szCs w:val="24"/>
        </w:rPr>
        <w:t xml:space="preserve">have taken a more comprehensive </w:t>
      </w:r>
      <w:r w:rsidR="00606842">
        <w:rPr>
          <w:rFonts w:cs="Times New Roman"/>
          <w:sz w:val="24"/>
          <w:szCs w:val="24"/>
        </w:rPr>
        <w:t xml:space="preserve">multi-activity purpose </w:t>
      </w:r>
      <w:r w:rsidR="00AD3923" w:rsidRPr="008D3590">
        <w:rPr>
          <w:rFonts w:cs="Times New Roman"/>
          <w:sz w:val="24"/>
          <w:szCs w:val="24"/>
        </w:rPr>
        <w:t xml:space="preserve">approach </w:t>
      </w:r>
      <w:r w:rsidR="00EE440F" w:rsidRPr="008D3590">
        <w:rPr>
          <w:rFonts w:cs="Times New Roman"/>
          <w:sz w:val="24"/>
          <w:szCs w:val="24"/>
        </w:rPr>
        <w:t>(</w:t>
      </w:r>
      <w:r w:rsidR="00606842">
        <w:rPr>
          <w:rFonts w:cs="Times New Roman"/>
          <w:sz w:val="24"/>
          <w:szCs w:val="24"/>
        </w:rPr>
        <w:t xml:space="preserve">see </w:t>
      </w:r>
      <w:r w:rsidR="00EE440F" w:rsidRPr="008D3590">
        <w:rPr>
          <w:rFonts w:cs="Times New Roman"/>
          <w:sz w:val="24"/>
          <w:szCs w:val="24"/>
        </w:rPr>
        <w:t>Wang and Law, 2007</w:t>
      </w:r>
      <w:r w:rsidR="00B32C09">
        <w:rPr>
          <w:rFonts w:cs="Times New Roman"/>
          <w:sz w:val="24"/>
          <w:szCs w:val="24"/>
        </w:rPr>
        <w:t>;</w:t>
      </w:r>
      <w:r w:rsidR="00EE440F" w:rsidRPr="008D3590">
        <w:rPr>
          <w:rFonts w:cs="Times New Roman"/>
          <w:sz w:val="24"/>
          <w:szCs w:val="24"/>
        </w:rPr>
        <w:t xml:space="preserve"> Ren and Kwan, 2009</w:t>
      </w:r>
      <w:r w:rsidR="00B32C09">
        <w:rPr>
          <w:rFonts w:cs="Times New Roman"/>
          <w:sz w:val="24"/>
          <w:szCs w:val="24"/>
        </w:rPr>
        <w:t>;</w:t>
      </w:r>
      <w:r w:rsidR="00EE440F" w:rsidRPr="008D3590">
        <w:rPr>
          <w:rFonts w:cs="Times New Roman"/>
          <w:sz w:val="24"/>
          <w:szCs w:val="24"/>
        </w:rPr>
        <w:t xml:space="preserve"> Lila and </w:t>
      </w:r>
      <w:proofErr w:type="spellStart"/>
      <w:r w:rsidR="00EE440F" w:rsidRPr="008D3590">
        <w:rPr>
          <w:rFonts w:cs="Times New Roman"/>
          <w:sz w:val="24"/>
          <w:szCs w:val="24"/>
        </w:rPr>
        <w:t>Anjaneyulu</w:t>
      </w:r>
      <w:proofErr w:type="spellEnd"/>
      <w:r w:rsidR="00EE440F" w:rsidRPr="008D3590">
        <w:rPr>
          <w:rFonts w:cs="Times New Roman"/>
          <w:sz w:val="24"/>
          <w:szCs w:val="24"/>
        </w:rPr>
        <w:t>,</w:t>
      </w:r>
      <w:r w:rsidR="008C3B25" w:rsidRPr="008D3590">
        <w:rPr>
          <w:rFonts w:cs="Times New Roman"/>
          <w:sz w:val="24"/>
          <w:szCs w:val="24"/>
        </w:rPr>
        <w:t xml:space="preserve"> </w:t>
      </w:r>
      <w:r w:rsidR="00EE440F" w:rsidRPr="008D3590">
        <w:rPr>
          <w:rFonts w:cs="Times New Roman"/>
          <w:sz w:val="24"/>
          <w:szCs w:val="24"/>
        </w:rPr>
        <w:t>2016)</w:t>
      </w:r>
      <w:r w:rsidR="00606842">
        <w:rPr>
          <w:rFonts w:cs="Times New Roman"/>
          <w:sz w:val="24"/>
          <w:szCs w:val="24"/>
        </w:rPr>
        <w:t xml:space="preserve"> </w:t>
      </w:r>
      <w:r w:rsidR="00285CF8" w:rsidRPr="008D3590">
        <w:rPr>
          <w:rFonts w:cs="Times New Roman"/>
          <w:sz w:val="24"/>
          <w:szCs w:val="24"/>
        </w:rPr>
        <w:t xml:space="preserve">underscore </w:t>
      </w:r>
      <w:r w:rsidR="00B270C6" w:rsidRPr="008D3590">
        <w:rPr>
          <w:rFonts w:cs="Times New Roman"/>
          <w:sz w:val="24"/>
          <w:szCs w:val="24"/>
        </w:rPr>
        <w:t xml:space="preserve">the intricate and complex nature of the interactions between the digital and the physical world. </w:t>
      </w:r>
      <w:r w:rsidR="00542949" w:rsidRPr="008D3590">
        <w:rPr>
          <w:rFonts w:cs="Times New Roman"/>
          <w:sz w:val="24"/>
          <w:szCs w:val="24"/>
        </w:rPr>
        <w:t xml:space="preserve">For example, </w:t>
      </w:r>
      <w:r w:rsidR="00285CF8" w:rsidRPr="008D3590">
        <w:rPr>
          <w:rFonts w:cs="Times New Roman"/>
          <w:sz w:val="24"/>
          <w:szCs w:val="24"/>
        </w:rPr>
        <w:t xml:space="preserve">as suggested by some of these studies, </w:t>
      </w:r>
      <w:r w:rsidR="00542949" w:rsidRPr="008D3590">
        <w:rPr>
          <w:rFonts w:cs="Times New Roman"/>
          <w:sz w:val="24"/>
          <w:szCs w:val="24"/>
        </w:rPr>
        <w:t xml:space="preserve">the combination </w:t>
      </w:r>
      <w:r w:rsidR="00285CF8" w:rsidRPr="008D3590">
        <w:rPr>
          <w:rFonts w:cs="Times New Roman"/>
          <w:sz w:val="24"/>
          <w:szCs w:val="24"/>
        </w:rPr>
        <w:t xml:space="preserve">of </w:t>
      </w:r>
      <w:r w:rsidR="00542949" w:rsidRPr="008D3590">
        <w:rPr>
          <w:rFonts w:cs="Times New Roman"/>
          <w:sz w:val="24"/>
          <w:szCs w:val="24"/>
        </w:rPr>
        <w:t>online shopping and in-store shopping</w:t>
      </w:r>
      <w:r w:rsidR="003E14FE" w:rsidRPr="008D3590">
        <w:rPr>
          <w:rFonts w:cs="Times New Roman"/>
          <w:sz w:val="24"/>
          <w:szCs w:val="24"/>
        </w:rPr>
        <w:t xml:space="preserve"> </w:t>
      </w:r>
      <w:r w:rsidR="00285CF8" w:rsidRPr="008D3590">
        <w:rPr>
          <w:rFonts w:cs="Times New Roman"/>
          <w:sz w:val="24"/>
          <w:szCs w:val="24"/>
        </w:rPr>
        <w:t xml:space="preserve">can </w:t>
      </w:r>
      <w:r w:rsidR="00542949" w:rsidRPr="008D3590">
        <w:rPr>
          <w:rFonts w:cs="Times New Roman"/>
          <w:sz w:val="24"/>
          <w:szCs w:val="24"/>
        </w:rPr>
        <w:t>increase the overall efficiency of shopping activities and reduce the overall time spent shopping, which in t</w:t>
      </w:r>
      <w:r w:rsidRPr="008D3590">
        <w:rPr>
          <w:rFonts w:cs="Times New Roman"/>
          <w:sz w:val="24"/>
          <w:szCs w:val="24"/>
        </w:rPr>
        <w:t>urn</w:t>
      </w:r>
      <w:r w:rsidR="00542949" w:rsidRPr="008D3590">
        <w:rPr>
          <w:rFonts w:cs="Times New Roman"/>
          <w:sz w:val="24"/>
          <w:szCs w:val="24"/>
        </w:rPr>
        <w:t xml:space="preserve"> c</w:t>
      </w:r>
      <w:r w:rsidR="00285CF8" w:rsidRPr="008D3590">
        <w:rPr>
          <w:rFonts w:cs="Times New Roman"/>
          <w:sz w:val="24"/>
          <w:szCs w:val="24"/>
        </w:rPr>
        <w:t xml:space="preserve">an </w:t>
      </w:r>
      <w:r w:rsidR="00542949" w:rsidRPr="008D3590">
        <w:rPr>
          <w:rFonts w:cs="Times New Roman"/>
          <w:sz w:val="24"/>
          <w:szCs w:val="24"/>
        </w:rPr>
        <w:t xml:space="preserve">increase </w:t>
      </w:r>
      <w:r w:rsidR="00285CF8" w:rsidRPr="008D3590">
        <w:rPr>
          <w:rFonts w:cs="Times New Roman"/>
          <w:sz w:val="24"/>
          <w:szCs w:val="24"/>
        </w:rPr>
        <w:t xml:space="preserve">the </w:t>
      </w:r>
      <w:r w:rsidR="002B14AC" w:rsidRPr="008D3590">
        <w:rPr>
          <w:rFonts w:cs="Times New Roman"/>
          <w:sz w:val="24"/>
          <w:szCs w:val="24"/>
        </w:rPr>
        <w:t xml:space="preserve">frequency </w:t>
      </w:r>
      <w:r w:rsidR="00285CF8" w:rsidRPr="008D3590">
        <w:rPr>
          <w:rFonts w:cs="Times New Roman"/>
          <w:sz w:val="24"/>
          <w:szCs w:val="24"/>
        </w:rPr>
        <w:t>and/</w:t>
      </w:r>
      <w:r w:rsidR="002B14AC" w:rsidRPr="008D3590">
        <w:rPr>
          <w:rFonts w:cs="Times New Roman"/>
          <w:sz w:val="24"/>
          <w:szCs w:val="24"/>
        </w:rPr>
        <w:t xml:space="preserve">or time spent in </w:t>
      </w:r>
      <w:r w:rsidR="00650BA4">
        <w:rPr>
          <w:rFonts w:cs="Times New Roman"/>
          <w:sz w:val="24"/>
          <w:szCs w:val="24"/>
        </w:rPr>
        <w:t xml:space="preserve">physical </w:t>
      </w:r>
      <w:r w:rsidR="005B3601">
        <w:rPr>
          <w:rFonts w:cs="Times New Roman"/>
          <w:sz w:val="24"/>
          <w:szCs w:val="24"/>
        </w:rPr>
        <w:t>discretionary</w:t>
      </w:r>
      <w:r w:rsidR="00542949" w:rsidRPr="008D3590">
        <w:rPr>
          <w:rFonts w:cs="Times New Roman"/>
          <w:sz w:val="24"/>
          <w:szCs w:val="24"/>
        </w:rPr>
        <w:t xml:space="preserve"> activities.</w:t>
      </w:r>
      <w:r w:rsidR="008A3701" w:rsidRPr="008D3590">
        <w:rPr>
          <w:rFonts w:cs="Times New Roman"/>
          <w:sz w:val="24"/>
          <w:szCs w:val="24"/>
        </w:rPr>
        <w:t xml:space="preserve"> </w:t>
      </w:r>
      <w:r w:rsidR="008B346E" w:rsidRPr="008D3590">
        <w:rPr>
          <w:rFonts w:cs="Times New Roman"/>
          <w:sz w:val="24"/>
          <w:szCs w:val="24"/>
        </w:rPr>
        <w:t xml:space="preserve">At the same time, </w:t>
      </w:r>
      <w:r w:rsidR="000271BF" w:rsidRPr="008D3590">
        <w:rPr>
          <w:rFonts w:cs="Times New Roman"/>
          <w:sz w:val="24"/>
          <w:szCs w:val="24"/>
        </w:rPr>
        <w:t xml:space="preserve">as some of these multiple activity purpose studies suggest, in examining the impacts of an increasingly ICT-driven world, </w:t>
      </w:r>
      <w:r w:rsidR="007B1DD9" w:rsidRPr="008D3590">
        <w:rPr>
          <w:rFonts w:cs="Times New Roman"/>
          <w:sz w:val="24"/>
          <w:szCs w:val="24"/>
        </w:rPr>
        <w:t xml:space="preserve">it is </w:t>
      </w:r>
      <w:r w:rsidR="00BE577B">
        <w:rPr>
          <w:rFonts w:cs="Times New Roman"/>
          <w:sz w:val="24"/>
          <w:szCs w:val="24"/>
        </w:rPr>
        <w:t xml:space="preserve">also </w:t>
      </w:r>
      <w:r w:rsidR="007B1DD9" w:rsidRPr="008D3590">
        <w:rPr>
          <w:rFonts w:cs="Times New Roman"/>
          <w:sz w:val="24"/>
          <w:szCs w:val="24"/>
        </w:rPr>
        <w:t xml:space="preserve">important to consider physical activity accessibility in the form of physical built environment (BE) variables. </w:t>
      </w:r>
    </w:p>
    <w:p w14:paraId="45F8374F" w14:textId="56F1D95D" w:rsidR="00F72168" w:rsidRDefault="0011637E" w:rsidP="0059420D">
      <w:pPr>
        <w:ind w:firstLine="708"/>
        <w:rPr>
          <w:rFonts w:cs="Times New Roman"/>
          <w:sz w:val="24"/>
          <w:szCs w:val="24"/>
        </w:rPr>
      </w:pPr>
      <w:bookmarkStart w:id="1" w:name="_Hlk505149221"/>
      <w:r w:rsidRPr="008D3590">
        <w:rPr>
          <w:rFonts w:cs="Times New Roman"/>
          <w:sz w:val="24"/>
          <w:szCs w:val="24"/>
        </w:rPr>
        <w:t xml:space="preserve">To summarize, there is a need to </w:t>
      </w:r>
      <w:r w:rsidR="008A2FF3">
        <w:rPr>
          <w:rFonts w:cs="Times New Roman"/>
          <w:sz w:val="24"/>
          <w:szCs w:val="24"/>
        </w:rPr>
        <w:t>jointly examine the different</w:t>
      </w:r>
      <w:r w:rsidR="007A5233">
        <w:rPr>
          <w:rFonts w:cs="Times New Roman"/>
          <w:sz w:val="24"/>
          <w:szCs w:val="24"/>
        </w:rPr>
        <w:t xml:space="preserve"> </w:t>
      </w:r>
      <w:r w:rsidRPr="008D3590">
        <w:rPr>
          <w:rFonts w:cs="Times New Roman"/>
          <w:sz w:val="24"/>
          <w:szCs w:val="24"/>
        </w:rPr>
        <w:t xml:space="preserve">types of </w:t>
      </w:r>
      <w:r w:rsidR="006F3A25">
        <w:rPr>
          <w:rFonts w:cs="Times New Roman"/>
          <w:sz w:val="24"/>
          <w:szCs w:val="24"/>
        </w:rPr>
        <w:t xml:space="preserve">virtual activities </w:t>
      </w:r>
      <w:r w:rsidR="007A5233">
        <w:rPr>
          <w:rFonts w:cs="Times New Roman"/>
          <w:sz w:val="24"/>
          <w:szCs w:val="24"/>
        </w:rPr>
        <w:t xml:space="preserve">with </w:t>
      </w:r>
      <w:r w:rsidR="006F3A25">
        <w:rPr>
          <w:rFonts w:cs="Times New Roman"/>
          <w:sz w:val="24"/>
          <w:szCs w:val="24"/>
        </w:rPr>
        <w:t xml:space="preserve">physical </w:t>
      </w:r>
      <w:r w:rsidR="009D10AA" w:rsidRPr="008D3590">
        <w:rPr>
          <w:rFonts w:cs="Times New Roman"/>
          <w:sz w:val="24"/>
          <w:szCs w:val="24"/>
        </w:rPr>
        <w:t>activi</w:t>
      </w:r>
      <w:r w:rsidR="00920B1C" w:rsidRPr="008D3590">
        <w:rPr>
          <w:rFonts w:cs="Times New Roman"/>
          <w:sz w:val="24"/>
          <w:szCs w:val="24"/>
        </w:rPr>
        <w:t>ty-</w:t>
      </w:r>
      <w:r w:rsidR="009D10AA" w:rsidRPr="008D3590">
        <w:rPr>
          <w:rFonts w:cs="Times New Roman"/>
          <w:sz w:val="24"/>
          <w:szCs w:val="24"/>
        </w:rPr>
        <w:t>travel</w:t>
      </w:r>
      <w:r w:rsidR="006F3665" w:rsidRPr="008D3590">
        <w:rPr>
          <w:rFonts w:cs="Times New Roman"/>
          <w:sz w:val="24"/>
          <w:szCs w:val="24"/>
        </w:rPr>
        <w:t xml:space="preserve"> </w:t>
      </w:r>
      <w:r w:rsidR="007A5233">
        <w:rPr>
          <w:rFonts w:cs="Times New Roman"/>
          <w:sz w:val="24"/>
          <w:szCs w:val="24"/>
        </w:rPr>
        <w:t xml:space="preserve">characteristics, </w:t>
      </w:r>
      <w:r w:rsidR="006F3665" w:rsidRPr="008D3590">
        <w:rPr>
          <w:rFonts w:cs="Times New Roman"/>
          <w:sz w:val="24"/>
          <w:szCs w:val="24"/>
        </w:rPr>
        <w:t xml:space="preserve">and to consider </w:t>
      </w:r>
      <w:r w:rsidR="00920B1C" w:rsidRPr="008D3590">
        <w:rPr>
          <w:rFonts w:cs="Times New Roman"/>
          <w:sz w:val="24"/>
          <w:szCs w:val="24"/>
        </w:rPr>
        <w:t xml:space="preserve">multiple </w:t>
      </w:r>
      <w:r w:rsidR="006F3665" w:rsidRPr="008D3590">
        <w:rPr>
          <w:rFonts w:cs="Times New Roman"/>
          <w:sz w:val="24"/>
          <w:szCs w:val="24"/>
        </w:rPr>
        <w:t>types of activities of an individual’s everyday life in a single comprehensive framework</w:t>
      </w:r>
      <w:r w:rsidR="000E277C" w:rsidRPr="008D3590">
        <w:rPr>
          <w:rFonts w:cs="Times New Roman"/>
          <w:sz w:val="24"/>
          <w:szCs w:val="24"/>
        </w:rPr>
        <w:t>.</w:t>
      </w:r>
      <w:r w:rsidRPr="008D3590">
        <w:rPr>
          <w:rFonts w:cs="Times New Roman"/>
          <w:sz w:val="24"/>
          <w:szCs w:val="24"/>
        </w:rPr>
        <w:t xml:space="preserve"> </w:t>
      </w:r>
      <w:r w:rsidR="00776420">
        <w:rPr>
          <w:rFonts w:cs="Times New Roman"/>
          <w:sz w:val="24"/>
          <w:szCs w:val="24"/>
        </w:rPr>
        <w:t>M</w:t>
      </w:r>
      <w:r w:rsidR="007A5233">
        <w:rPr>
          <w:rFonts w:cs="Times New Roman"/>
          <w:sz w:val="24"/>
          <w:szCs w:val="24"/>
        </w:rPr>
        <w:t xml:space="preserve">ost </w:t>
      </w:r>
      <w:r w:rsidR="003E2B1F">
        <w:rPr>
          <w:rFonts w:cs="Times New Roman"/>
          <w:sz w:val="24"/>
          <w:szCs w:val="24"/>
        </w:rPr>
        <w:t>importantly,</w:t>
      </w:r>
      <w:r w:rsidR="007A5233">
        <w:rPr>
          <w:rFonts w:cs="Times New Roman"/>
          <w:sz w:val="24"/>
          <w:szCs w:val="24"/>
        </w:rPr>
        <w:t xml:space="preserve"> </w:t>
      </w:r>
      <w:r w:rsidR="007A5233" w:rsidRPr="008D3590">
        <w:rPr>
          <w:rFonts w:cs="Times New Roman"/>
          <w:sz w:val="24"/>
          <w:szCs w:val="24"/>
        </w:rPr>
        <w:t xml:space="preserve">we believe that </w:t>
      </w:r>
      <w:r w:rsidR="00776420">
        <w:rPr>
          <w:rFonts w:cs="Times New Roman"/>
          <w:sz w:val="24"/>
          <w:szCs w:val="24"/>
        </w:rPr>
        <w:t xml:space="preserve">the </w:t>
      </w:r>
      <w:r w:rsidR="007A5233" w:rsidRPr="008D3590">
        <w:rPr>
          <w:rFonts w:cs="Times New Roman"/>
          <w:sz w:val="24"/>
          <w:szCs w:val="24"/>
        </w:rPr>
        <w:t xml:space="preserve">earlier literature that uses the </w:t>
      </w:r>
      <w:r w:rsidR="007A5233">
        <w:rPr>
          <w:rFonts w:cs="Times New Roman"/>
          <w:sz w:val="24"/>
          <w:szCs w:val="24"/>
        </w:rPr>
        <w:t>“</w:t>
      </w:r>
      <w:proofErr w:type="gramStart"/>
      <w:r w:rsidR="007A5233">
        <w:rPr>
          <w:rFonts w:cs="Times New Roman"/>
          <w:sz w:val="24"/>
          <w:szCs w:val="24"/>
        </w:rPr>
        <w:t>six-effects</w:t>
      </w:r>
      <w:proofErr w:type="gramEnd"/>
      <w:r w:rsidR="007A5233">
        <w:rPr>
          <w:rFonts w:cs="Times New Roman"/>
          <w:sz w:val="24"/>
          <w:szCs w:val="24"/>
        </w:rPr>
        <w:t xml:space="preserve">” </w:t>
      </w:r>
      <w:r w:rsidR="006F3A25">
        <w:rPr>
          <w:rFonts w:cs="Times New Roman"/>
          <w:sz w:val="24"/>
          <w:szCs w:val="24"/>
        </w:rPr>
        <w:t>framework</w:t>
      </w:r>
      <w:r w:rsidR="007A5233" w:rsidRPr="008D3590">
        <w:rPr>
          <w:rFonts w:cs="Times New Roman"/>
          <w:sz w:val="24"/>
          <w:szCs w:val="24"/>
        </w:rPr>
        <w:t xml:space="preserve"> </w:t>
      </w:r>
      <w:r w:rsidR="007A5233">
        <w:rPr>
          <w:rFonts w:cs="Times New Roman"/>
          <w:sz w:val="24"/>
          <w:szCs w:val="24"/>
        </w:rPr>
        <w:t xml:space="preserve">of </w:t>
      </w:r>
      <w:r w:rsidR="006F3A25">
        <w:rPr>
          <w:rFonts w:cs="Times New Roman"/>
          <w:sz w:val="24"/>
          <w:szCs w:val="24"/>
        </w:rPr>
        <w:t xml:space="preserve">virtual activity </w:t>
      </w:r>
      <w:r w:rsidR="007A5233">
        <w:rPr>
          <w:rFonts w:cs="Times New Roman"/>
          <w:sz w:val="24"/>
          <w:szCs w:val="24"/>
        </w:rPr>
        <w:t xml:space="preserve">effects on physical activity-travel behavior </w:t>
      </w:r>
      <w:r w:rsidR="000038EA">
        <w:rPr>
          <w:rFonts w:cs="Times New Roman"/>
          <w:sz w:val="24"/>
          <w:szCs w:val="24"/>
        </w:rPr>
        <w:t xml:space="preserve">is </w:t>
      </w:r>
      <w:r w:rsidR="007A5233" w:rsidRPr="008D3590">
        <w:rPr>
          <w:rFonts w:cs="Times New Roman"/>
          <w:sz w:val="24"/>
          <w:szCs w:val="24"/>
        </w:rPr>
        <w:t>seriously limiting</w:t>
      </w:r>
      <w:r w:rsidR="006F3A25">
        <w:rPr>
          <w:rFonts w:cs="Times New Roman"/>
          <w:sz w:val="24"/>
          <w:szCs w:val="24"/>
        </w:rPr>
        <w:t>, as it is applied,</w:t>
      </w:r>
      <w:r w:rsidR="007A5233" w:rsidRPr="008D3590">
        <w:rPr>
          <w:rFonts w:cs="Times New Roman"/>
          <w:sz w:val="24"/>
          <w:szCs w:val="24"/>
        </w:rPr>
        <w:t xml:space="preserve"> in the sense that it implicitly assumes that decisions regarding virtual activities</w:t>
      </w:r>
      <w:r w:rsidR="00BE577B">
        <w:rPr>
          <w:rFonts w:cs="Times New Roman"/>
          <w:sz w:val="24"/>
          <w:szCs w:val="24"/>
        </w:rPr>
        <w:t xml:space="preserve"> are determined first</w:t>
      </w:r>
      <w:r w:rsidR="007A5233" w:rsidRPr="008D3590">
        <w:rPr>
          <w:rFonts w:cs="Times New Roman"/>
          <w:sz w:val="24"/>
          <w:szCs w:val="24"/>
        </w:rPr>
        <w:t>, which then impact decisions on physical activity engagement. That is, there is the</w:t>
      </w:r>
      <w:r w:rsidR="006F3A25">
        <w:rPr>
          <w:rFonts w:cs="Times New Roman"/>
          <w:sz w:val="24"/>
          <w:szCs w:val="24"/>
        </w:rPr>
        <w:t xml:space="preserve"> assumption in the </w:t>
      </w:r>
      <w:r w:rsidR="006F3A25">
        <w:rPr>
          <w:rFonts w:cs="Times New Roman"/>
          <w:sz w:val="24"/>
          <w:szCs w:val="24"/>
        </w:rPr>
        <w:lastRenderedPageBreak/>
        <w:t xml:space="preserve">literature </w:t>
      </w:r>
      <w:r w:rsidR="007A5233" w:rsidRPr="008D3590">
        <w:rPr>
          <w:rFonts w:cs="Times New Roman"/>
          <w:sz w:val="24"/>
          <w:szCs w:val="24"/>
        </w:rPr>
        <w:t>that virtual activity participation is exogenous to physical activity participation decisions</w:t>
      </w:r>
      <w:r w:rsidR="00246A6F">
        <w:rPr>
          <w:rFonts w:cs="Times New Roman"/>
          <w:sz w:val="24"/>
          <w:szCs w:val="24"/>
        </w:rPr>
        <w:t xml:space="preserve"> when examining the “six-effects”</w:t>
      </w:r>
      <w:r w:rsidR="003E5F36">
        <w:rPr>
          <w:rFonts w:cs="Times New Roman"/>
          <w:sz w:val="24"/>
          <w:szCs w:val="24"/>
        </w:rPr>
        <w:t xml:space="preserve">. </w:t>
      </w:r>
      <w:r w:rsidR="00246A6F">
        <w:rPr>
          <w:rFonts w:cs="Times New Roman"/>
          <w:sz w:val="24"/>
          <w:szCs w:val="24"/>
        </w:rPr>
        <w:t>O</w:t>
      </w:r>
      <w:r w:rsidR="00246A6F" w:rsidRPr="008D3590">
        <w:rPr>
          <w:rFonts w:cs="Times New Roman"/>
          <w:sz w:val="24"/>
          <w:szCs w:val="24"/>
        </w:rPr>
        <w:t>ur viewpoint</w:t>
      </w:r>
      <w:r w:rsidR="003E5F36">
        <w:rPr>
          <w:rFonts w:cs="Times New Roman"/>
          <w:sz w:val="24"/>
          <w:szCs w:val="24"/>
        </w:rPr>
        <w:t>, on the other hand,</w:t>
      </w:r>
      <w:r w:rsidR="00246A6F" w:rsidRPr="008D3590">
        <w:rPr>
          <w:rFonts w:cs="Times New Roman"/>
          <w:sz w:val="24"/>
          <w:szCs w:val="24"/>
        </w:rPr>
        <w:t xml:space="preserve"> models virtual and physical activity participations as a joint package decision</w:t>
      </w:r>
      <w:r w:rsidR="00246A6F">
        <w:rPr>
          <w:rFonts w:cs="Times New Roman"/>
          <w:sz w:val="24"/>
          <w:szCs w:val="24"/>
        </w:rPr>
        <w:t xml:space="preserve">, thus alleviating endogeneity bias issues in the interactions between virtual activities and physical activity engagement. </w:t>
      </w:r>
      <w:r w:rsidR="00776420">
        <w:rPr>
          <w:rFonts w:cs="Times New Roman"/>
          <w:sz w:val="24"/>
          <w:szCs w:val="24"/>
        </w:rPr>
        <w:t xml:space="preserve">As </w:t>
      </w:r>
      <w:r w:rsidR="003E5F36">
        <w:rPr>
          <w:rFonts w:cs="Times New Roman"/>
          <w:sz w:val="24"/>
          <w:szCs w:val="24"/>
        </w:rPr>
        <w:t xml:space="preserve">we </w:t>
      </w:r>
      <w:r w:rsidR="00776420">
        <w:rPr>
          <w:rFonts w:cs="Times New Roman"/>
          <w:sz w:val="24"/>
          <w:szCs w:val="24"/>
        </w:rPr>
        <w:t xml:space="preserve">will show later in our empirical analysis, these endogeneity bias considerations </w:t>
      </w:r>
      <w:r w:rsidR="006F3A25">
        <w:rPr>
          <w:rFonts w:cs="Times New Roman"/>
          <w:sz w:val="24"/>
          <w:szCs w:val="24"/>
        </w:rPr>
        <w:t>can be</w:t>
      </w:r>
      <w:r w:rsidR="00776420">
        <w:rPr>
          <w:rFonts w:cs="Times New Roman"/>
          <w:sz w:val="24"/>
          <w:szCs w:val="24"/>
        </w:rPr>
        <w:t xml:space="preserve"> substantial</w:t>
      </w:r>
      <w:bookmarkStart w:id="2" w:name="_Hlk505151222"/>
      <w:r w:rsidR="00246A6F">
        <w:rPr>
          <w:rFonts w:cs="Times New Roman"/>
          <w:sz w:val="24"/>
          <w:szCs w:val="24"/>
        </w:rPr>
        <w:t xml:space="preserve">. </w:t>
      </w:r>
      <w:r w:rsidR="00776420">
        <w:rPr>
          <w:rFonts w:cs="Times New Roman"/>
          <w:sz w:val="24"/>
          <w:szCs w:val="24"/>
        </w:rPr>
        <w:t xml:space="preserve">In fact, our results suggest that </w:t>
      </w:r>
      <w:r w:rsidR="00776420" w:rsidRPr="008D3590">
        <w:rPr>
          <w:rFonts w:cs="Times New Roman"/>
          <w:sz w:val="24"/>
          <w:szCs w:val="24"/>
        </w:rPr>
        <w:t>virtual accessibility measures</w:t>
      </w:r>
      <w:r w:rsidR="00217BCD">
        <w:rPr>
          <w:rFonts w:cs="Times New Roman"/>
          <w:sz w:val="24"/>
          <w:szCs w:val="24"/>
        </w:rPr>
        <w:t xml:space="preserve"> </w:t>
      </w:r>
      <w:r w:rsidR="00BE577B">
        <w:rPr>
          <w:rFonts w:cs="Times New Roman"/>
          <w:sz w:val="24"/>
          <w:szCs w:val="24"/>
        </w:rPr>
        <w:t>(</w:t>
      </w:r>
      <w:r w:rsidR="00217BCD">
        <w:rPr>
          <w:rFonts w:cs="Times New Roman"/>
          <w:sz w:val="24"/>
          <w:szCs w:val="24"/>
        </w:rPr>
        <w:t>or VAMs</w:t>
      </w:r>
      <w:r w:rsidR="00EA62A4">
        <w:rPr>
          <w:rFonts w:cs="Times New Roman"/>
          <w:sz w:val="24"/>
          <w:szCs w:val="24"/>
        </w:rPr>
        <w:t>)</w:t>
      </w:r>
      <w:r w:rsidR="00776420" w:rsidRPr="008D3590">
        <w:rPr>
          <w:rFonts w:cs="Times New Roman"/>
          <w:sz w:val="24"/>
          <w:szCs w:val="24"/>
        </w:rPr>
        <w:t xml:space="preserve"> </w:t>
      </w:r>
      <w:r w:rsidR="00EA62A4">
        <w:rPr>
          <w:rFonts w:cs="Times New Roman"/>
          <w:sz w:val="24"/>
          <w:szCs w:val="24"/>
        </w:rPr>
        <w:t xml:space="preserve">and </w:t>
      </w:r>
      <w:r w:rsidR="00776420" w:rsidRPr="008D3590">
        <w:rPr>
          <w:rFonts w:cs="Times New Roman"/>
          <w:sz w:val="24"/>
          <w:szCs w:val="24"/>
        </w:rPr>
        <w:t xml:space="preserve">physical accessibility </w:t>
      </w:r>
      <w:r w:rsidR="00EA62A4">
        <w:rPr>
          <w:rFonts w:cs="Times New Roman"/>
          <w:sz w:val="24"/>
          <w:szCs w:val="24"/>
        </w:rPr>
        <w:t>measures (</w:t>
      </w:r>
      <w:r w:rsidR="00776420" w:rsidRPr="008D3590">
        <w:rPr>
          <w:rFonts w:cs="Times New Roman"/>
          <w:sz w:val="24"/>
          <w:szCs w:val="24"/>
        </w:rPr>
        <w:t xml:space="preserve">or </w:t>
      </w:r>
      <w:r w:rsidR="00217BCD">
        <w:rPr>
          <w:rFonts w:cs="Times New Roman"/>
          <w:sz w:val="24"/>
          <w:szCs w:val="24"/>
        </w:rPr>
        <w:t xml:space="preserve">PAMs or </w:t>
      </w:r>
      <w:r w:rsidR="00776420" w:rsidRPr="008D3590">
        <w:rPr>
          <w:rFonts w:cs="Times New Roman"/>
          <w:sz w:val="24"/>
          <w:szCs w:val="24"/>
        </w:rPr>
        <w:t>BE measures</w:t>
      </w:r>
      <w:r w:rsidR="00776420">
        <w:rPr>
          <w:rFonts w:cs="Times New Roman"/>
          <w:sz w:val="24"/>
          <w:szCs w:val="24"/>
        </w:rPr>
        <w:t xml:space="preserve">) </w:t>
      </w:r>
      <w:r w:rsidR="003E5F36">
        <w:rPr>
          <w:rFonts w:cs="Times New Roman"/>
          <w:sz w:val="24"/>
          <w:szCs w:val="24"/>
        </w:rPr>
        <w:t>jointly (and simultaneously) affect</w:t>
      </w:r>
      <w:r w:rsidR="00246A6F" w:rsidRPr="008D3590">
        <w:rPr>
          <w:rFonts w:cs="Times New Roman"/>
          <w:sz w:val="24"/>
          <w:szCs w:val="24"/>
        </w:rPr>
        <w:t xml:space="preserve"> virtual </w:t>
      </w:r>
      <w:r w:rsidR="00DC6510">
        <w:rPr>
          <w:rFonts w:cs="Times New Roman"/>
          <w:sz w:val="24"/>
          <w:szCs w:val="24"/>
        </w:rPr>
        <w:t xml:space="preserve">activity engagement (VAG) </w:t>
      </w:r>
      <w:r w:rsidR="00246A6F" w:rsidRPr="008D3590">
        <w:rPr>
          <w:rFonts w:cs="Times New Roman"/>
          <w:sz w:val="24"/>
          <w:szCs w:val="24"/>
        </w:rPr>
        <w:t>and physical activity engagement</w:t>
      </w:r>
      <w:r w:rsidR="00DC6510">
        <w:rPr>
          <w:rFonts w:cs="Times New Roman"/>
          <w:sz w:val="24"/>
          <w:szCs w:val="24"/>
        </w:rPr>
        <w:t xml:space="preserve"> (PAG)</w:t>
      </w:r>
      <w:r w:rsidR="00246A6F" w:rsidRPr="008D3590">
        <w:rPr>
          <w:rFonts w:cs="Times New Roman"/>
          <w:sz w:val="24"/>
          <w:szCs w:val="24"/>
        </w:rPr>
        <w:t xml:space="preserve">, </w:t>
      </w:r>
      <w:r w:rsidR="003E5F36">
        <w:rPr>
          <w:rFonts w:cs="Times New Roman"/>
          <w:sz w:val="24"/>
          <w:szCs w:val="24"/>
        </w:rPr>
        <w:t xml:space="preserve">with </w:t>
      </w:r>
      <w:r w:rsidR="00A53A32">
        <w:rPr>
          <w:rFonts w:cs="Times New Roman"/>
          <w:sz w:val="24"/>
          <w:szCs w:val="24"/>
        </w:rPr>
        <w:t xml:space="preserve">relatively </w:t>
      </w:r>
      <w:r w:rsidR="003E5F36">
        <w:rPr>
          <w:rFonts w:cs="Times New Roman"/>
          <w:sz w:val="24"/>
          <w:szCs w:val="24"/>
        </w:rPr>
        <w:t xml:space="preserve">little remnant impacts of virtual activity engagements </w:t>
      </w:r>
      <w:r w:rsidR="0059420D">
        <w:rPr>
          <w:rFonts w:cs="Times New Roman"/>
          <w:sz w:val="24"/>
          <w:szCs w:val="24"/>
        </w:rPr>
        <w:t xml:space="preserve">themselves </w:t>
      </w:r>
      <w:r w:rsidR="003E5F36">
        <w:rPr>
          <w:rFonts w:cs="Times New Roman"/>
          <w:sz w:val="24"/>
          <w:szCs w:val="24"/>
        </w:rPr>
        <w:t xml:space="preserve">on physical activity engagements in the way the literature has characterized the “six effects”. </w:t>
      </w:r>
      <w:bookmarkEnd w:id="2"/>
      <w:r w:rsidR="00EA62A4">
        <w:rPr>
          <w:rFonts w:cs="Times New Roman"/>
          <w:sz w:val="24"/>
          <w:szCs w:val="24"/>
        </w:rPr>
        <w:t xml:space="preserve">The next section discusses </w:t>
      </w:r>
      <w:r w:rsidR="006F3665" w:rsidRPr="008D3590">
        <w:rPr>
          <w:rFonts w:cs="Times New Roman"/>
          <w:sz w:val="24"/>
          <w:szCs w:val="24"/>
        </w:rPr>
        <w:t xml:space="preserve">the concept of virtual accessibility </w:t>
      </w:r>
      <w:r w:rsidR="00EA62A4">
        <w:rPr>
          <w:rFonts w:cs="Times New Roman"/>
          <w:sz w:val="24"/>
          <w:szCs w:val="24"/>
        </w:rPr>
        <w:t>in some</w:t>
      </w:r>
      <w:r w:rsidR="00217BCD">
        <w:rPr>
          <w:rFonts w:cs="Times New Roman"/>
          <w:sz w:val="24"/>
          <w:szCs w:val="24"/>
        </w:rPr>
        <w:t xml:space="preserve"> </w:t>
      </w:r>
      <w:r w:rsidR="00EA62A4">
        <w:rPr>
          <w:rFonts w:cs="Times New Roman"/>
          <w:sz w:val="24"/>
          <w:szCs w:val="24"/>
        </w:rPr>
        <w:t>detail</w:t>
      </w:r>
      <w:r w:rsidR="0059420D">
        <w:rPr>
          <w:rFonts w:cs="Times New Roman"/>
          <w:sz w:val="24"/>
          <w:szCs w:val="24"/>
        </w:rPr>
        <w:t xml:space="preserve"> (as a</w:t>
      </w:r>
      <w:r w:rsidR="003E3310">
        <w:rPr>
          <w:rFonts w:cs="Times New Roman"/>
          <w:sz w:val="24"/>
          <w:szCs w:val="24"/>
        </w:rPr>
        <w:t xml:space="preserve"> complement </w:t>
      </w:r>
      <w:r w:rsidR="0059420D">
        <w:rPr>
          <w:rFonts w:cs="Times New Roman"/>
          <w:sz w:val="24"/>
          <w:szCs w:val="24"/>
        </w:rPr>
        <w:t>to the more often-used concept of physical accessibility).</w:t>
      </w:r>
      <w:r w:rsidR="00EA62A4">
        <w:rPr>
          <w:rFonts w:cs="Times New Roman"/>
          <w:sz w:val="24"/>
          <w:szCs w:val="24"/>
        </w:rPr>
        <w:t xml:space="preserve"> </w:t>
      </w:r>
    </w:p>
    <w:bookmarkEnd w:id="1"/>
    <w:p w14:paraId="71203DB8" w14:textId="77777777" w:rsidR="00EA62A4" w:rsidRPr="008D3590" w:rsidRDefault="00EA62A4" w:rsidP="00EA62A4">
      <w:pPr>
        <w:ind w:firstLine="720"/>
        <w:rPr>
          <w:rFonts w:cs="Times New Roman"/>
          <w:sz w:val="24"/>
          <w:szCs w:val="24"/>
        </w:rPr>
      </w:pPr>
    </w:p>
    <w:p w14:paraId="2B4621AE" w14:textId="09755DA6" w:rsidR="005B7DEB" w:rsidRPr="008D3590" w:rsidRDefault="009F6ECD" w:rsidP="0022645A">
      <w:pPr>
        <w:rPr>
          <w:rFonts w:cs="Times New Roman"/>
          <w:b/>
          <w:sz w:val="24"/>
          <w:szCs w:val="24"/>
        </w:rPr>
      </w:pPr>
      <w:r w:rsidRPr="008D3590">
        <w:rPr>
          <w:rFonts w:cs="Times New Roman"/>
          <w:b/>
          <w:sz w:val="24"/>
          <w:szCs w:val="24"/>
        </w:rPr>
        <w:t>1</w:t>
      </w:r>
      <w:r w:rsidR="005B7DEB" w:rsidRPr="008D3590">
        <w:rPr>
          <w:rFonts w:cs="Times New Roman"/>
          <w:b/>
          <w:sz w:val="24"/>
          <w:szCs w:val="24"/>
        </w:rPr>
        <w:t>.</w:t>
      </w:r>
      <w:r w:rsidR="000F7CA1">
        <w:rPr>
          <w:rFonts w:cs="Times New Roman"/>
          <w:b/>
          <w:sz w:val="24"/>
          <w:szCs w:val="24"/>
        </w:rPr>
        <w:t>1</w:t>
      </w:r>
      <w:r w:rsidR="005B7DEB" w:rsidRPr="008D3590">
        <w:rPr>
          <w:rFonts w:cs="Times New Roman"/>
          <w:b/>
          <w:sz w:val="24"/>
          <w:szCs w:val="24"/>
        </w:rPr>
        <w:t xml:space="preserve"> </w:t>
      </w:r>
      <w:r w:rsidR="00990538" w:rsidRPr="008D3590">
        <w:rPr>
          <w:rFonts w:cs="Times New Roman"/>
          <w:b/>
          <w:sz w:val="24"/>
          <w:szCs w:val="24"/>
        </w:rPr>
        <w:t>T</w:t>
      </w:r>
      <w:r w:rsidR="00EA62A4">
        <w:rPr>
          <w:rFonts w:cs="Times New Roman"/>
          <w:b/>
          <w:sz w:val="24"/>
          <w:szCs w:val="24"/>
        </w:rPr>
        <w:t xml:space="preserve">he </w:t>
      </w:r>
      <w:r w:rsidR="008D3590" w:rsidRPr="008D3590">
        <w:rPr>
          <w:rFonts w:cs="Times New Roman"/>
          <w:b/>
          <w:sz w:val="24"/>
          <w:szCs w:val="24"/>
        </w:rPr>
        <w:t>V</w:t>
      </w:r>
      <w:r w:rsidR="00990538" w:rsidRPr="008D3590">
        <w:rPr>
          <w:rFonts w:cs="Times New Roman"/>
          <w:b/>
          <w:sz w:val="24"/>
          <w:szCs w:val="24"/>
        </w:rPr>
        <w:t xml:space="preserve">irtual </w:t>
      </w:r>
      <w:r w:rsidR="008D3590" w:rsidRPr="008D3590">
        <w:rPr>
          <w:rFonts w:cs="Times New Roman"/>
          <w:b/>
          <w:sz w:val="24"/>
          <w:szCs w:val="24"/>
        </w:rPr>
        <w:t>A</w:t>
      </w:r>
      <w:r w:rsidR="00990538" w:rsidRPr="008D3590">
        <w:rPr>
          <w:rFonts w:cs="Times New Roman"/>
          <w:b/>
          <w:sz w:val="24"/>
          <w:szCs w:val="24"/>
        </w:rPr>
        <w:t xml:space="preserve">ccessibility </w:t>
      </w:r>
      <w:r w:rsidR="008D3590" w:rsidRPr="008D3590">
        <w:rPr>
          <w:rFonts w:cs="Times New Roman"/>
          <w:b/>
          <w:sz w:val="24"/>
          <w:szCs w:val="24"/>
        </w:rPr>
        <w:t>C</w:t>
      </w:r>
      <w:r w:rsidR="001E3085" w:rsidRPr="008D3590">
        <w:rPr>
          <w:rFonts w:cs="Times New Roman"/>
          <w:b/>
          <w:sz w:val="24"/>
          <w:szCs w:val="24"/>
        </w:rPr>
        <w:t>oncept</w:t>
      </w:r>
    </w:p>
    <w:p w14:paraId="687E7A55" w14:textId="146465AF" w:rsidR="0059420D" w:rsidRDefault="003A6D5B" w:rsidP="00FC17D0">
      <w:pPr>
        <w:rPr>
          <w:rFonts w:cs="Times New Roman"/>
          <w:sz w:val="24"/>
          <w:szCs w:val="24"/>
        </w:rPr>
      </w:pPr>
      <w:r>
        <w:rPr>
          <w:rFonts w:cs="Times New Roman"/>
          <w:sz w:val="24"/>
          <w:szCs w:val="24"/>
        </w:rPr>
        <w:t>Kenyon et al.</w:t>
      </w:r>
      <w:r w:rsidR="0046230F" w:rsidRPr="008D3590">
        <w:rPr>
          <w:rFonts w:cs="Times New Roman"/>
          <w:sz w:val="24"/>
          <w:szCs w:val="24"/>
        </w:rPr>
        <w:t xml:space="preserve"> (2003) and Kenyon (2010) define virtual accessibility as the “</w:t>
      </w:r>
      <w:r w:rsidR="00535C5E" w:rsidRPr="008D3590">
        <w:rPr>
          <w:rFonts w:cs="Times New Roman"/>
          <w:sz w:val="24"/>
          <w:szCs w:val="24"/>
        </w:rPr>
        <w:t xml:space="preserve">Internet </w:t>
      </w:r>
      <w:r w:rsidR="0046230F" w:rsidRPr="008D3590">
        <w:rPr>
          <w:rFonts w:cs="Times New Roman"/>
          <w:sz w:val="24"/>
          <w:szCs w:val="24"/>
        </w:rPr>
        <w:t>enabled accessibility [that] provides an alternative to reaching opportunities, goods, services</w:t>
      </w:r>
      <w:r w:rsidR="00535C5E" w:rsidRPr="008D3590">
        <w:rPr>
          <w:rFonts w:cs="Times New Roman"/>
          <w:sz w:val="24"/>
          <w:szCs w:val="24"/>
        </w:rPr>
        <w:t>,</w:t>
      </w:r>
      <w:r w:rsidR="0046230F" w:rsidRPr="008D3590">
        <w:rPr>
          <w:rFonts w:cs="Times New Roman"/>
          <w:sz w:val="24"/>
          <w:szCs w:val="24"/>
        </w:rPr>
        <w:t xml:space="preserve"> and social networks, providing access without physical travel </w:t>
      </w:r>
      <w:r w:rsidR="00535C5E" w:rsidRPr="008D3590">
        <w:rPr>
          <w:rFonts w:cs="Times New Roman"/>
          <w:sz w:val="24"/>
          <w:szCs w:val="24"/>
        </w:rPr>
        <w:t>. . .</w:t>
      </w:r>
      <w:r w:rsidR="0046230F" w:rsidRPr="008D3590">
        <w:rPr>
          <w:rFonts w:cs="Times New Roman"/>
          <w:sz w:val="24"/>
          <w:szCs w:val="24"/>
        </w:rPr>
        <w:t xml:space="preserve"> [it] acts to substitute for physical mobility</w:t>
      </w:r>
      <w:r w:rsidR="00535C5E" w:rsidRPr="008D3590">
        <w:rPr>
          <w:rFonts w:cs="Times New Roman"/>
          <w:sz w:val="24"/>
          <w:szCs w:val="24"/>
        </w:rPr>
        <w:t>.</w:t>
      </w:r>
      <w:r w:rsidR="0046230F" w:rsidRPr="008D3590">
        <w:rPr>
          <w:rFonts w:cs="Times New Roman"/>
          <w:sz w:val="24"/>
          <w:szCs w:val="24"/>
        </w:rPr>
        <w:t xml:space="preserve"> </w:t>
      </w:r>
      <w:r w:rsidR="0054162B">
        <w:rPr>
          <w:rFonts w:cs="Times New Roman"/>
          <w:sz w:val="24"/>
          <w:szCs w:val="24"/>
        </w:rPr>
        <w:t xml:space="preserve">. . </w:t>
      </w:r>
      <w:r w:rsidR="0046230F" w:rsidRPr="008D3590">
        <w:rPr>
          <w:rFonts w:cs="Times New Roman"/>
          <w:sz w:val="24"/>
          <w:szCs w:val="24"/>
        </w:rPr>
        <w:t>It can also act to supplement for [physical] accessibility where previously there was a deficit</w:t>
      </w:r>
      <w:r w:rsidR="00535C5E" w:rsidRPr="008D3590">
        <w:rPr>
          <w:rFonts w:cs="Times New Roman"/>
          <w:sz w:val="24"/>
          <w:szCs w:val="24"/>
        </w:rPr>
        <w:t>.</w:t>
      </w:r>
      <w:r w:rsidR="0046230F" w:rsidRPr="008D3590">
        <w:rPr>
          <w:rFonts w:cs="Times New Roman"/>
          <w:sz w:val="24"/>
          <w:szCs w:val="24"/>
        </w:rPr>
        <w:t>”</w:t>
      </w:r>
      <w:r w:rsidR="00535C5E" w:rsidRPr="008D3590">
        <w:rPr>
          <w:rStyle w:val="FootnoteReference"/>
          <w:rFonts w:cs="Times New Roman"/>
          <w:sz w:val="24"/>
          <w:szCs w:val="24"/>
        </w:rPr>
        <w:footnoteReference w:id="2"/>
      </w:r>
      <w:r w:rsidR="0046230F" w:rsidRPr="008D3590">
        <w:rPr>
          <w:rFonts w:cs="Times New Roman"/>
          <w:sz w:val="24"/>
          <w:szCs w:val="24"/>
        </w:rPr>
        <w:t xml:space="preserve"> Virtual accessibility can represent more than access without travel</w:t>
      </w:r>
      <w:r w:rsidR="00DB2308" w:rsidRPr="008D3590">
        <w:rPr>
          <w:rFonts w:cs="Times New Roman"/>
          <w:sz w:val="24"/>
          <w:szCs w:val="24"/>
        </w:rPr>
        <w:t>;</w:t>
      </w:r>
      <w:r w:rsidR="0046230F" w:rsidRPr="008D3590">
        <w:rPr>
          <w:rFonts w:cs="Times New Roman"/>
          <w:sz w:val="24"/>
          <w:szCs w:val="24"/>
        </w:rPr>
        <w:t xml:space="preserve"> it can also characterize the enhancement of the travel experience and physical accessibility by the use of real-time information provided by ICT use (van Wee et al., 2013</w:t>
      </w:r>
      <w:r w:rsidR="00B32C09">
        <w:rPr>
          <w:rFonts w:cs="Times New Roman"/>
          <w:sz w:val="24"/>
          <w:szCs w:val="24"/>
        </w:rPr>
        <w:t>;</w:t>
      </w:r>
      <w:r w:rsidR="0046230F" w:rsidRPr="008D3590">
        <w:rPr>
          <w:rFonts w:cs="Times New Roman"/>
          <w:sz w:val="24"/>
          <w:szCs w:val="24"/>
        </w:rPr>
        <w:t xml:space="preserve"> Lu et al., 2014).</w:t>
      </w:r>
      <w:r w:rsidR="007322FB" w:rsidRPr="008D3590">
        <w:rPr>
          <w:rFonts w:cs="Times New Roman"/>
          <w:sz w:val="24"/>
          <w:szCs w:val="24"/>
        </w:rPr>
        <w:t xml:space="preserve"> </w:t>
      </w:r>
      <w:r w:rsidR="0046230F" w:rsidRPr="008D3590">
        <w:rPr>
          <w:rFonts w:cs="Times New Roman"/>
          <w:sz w:val="24"/>
          <w:szCs w:val="24"/>
        </w:rPr>
        <w:t xml:space="preserve">The use of this </w:t>
      </w:r>
      <w:r w:rsidR="00217BCD">
        <w:rPr>
          <w:rFonts w:cs="Times New Roman"/>
          <w:sz w:val="24"/>
          <w:szCs w:val="24"/>
        </w:rPr>
        <w:t>concept</w:t>
      </w:r>
      <w:r w:rsidR="0046230F" w:rsidRPr="008D3590">
        <w:rPr>
          <w:rFonts w:cs="Times New Roman"/>
          <w:sz w:val="24"/>
          <w:szCs w:val="24"/>
        </w:rPr>
        <w:t xml:space="preserve"> allows a parallel with physical accessibility </w:t>
      </w:r>
      <w:r w:rsidR="003F1598" w:rsidRPr="008D3590">
        <w:rPr>
          <w:rFonts w:cs="Times New Roman"/>
          <w:sz w:val="24"/>
          <w:szCs w:val="24"/>
        </w:rPr>
        <w:t>and can</w:t>
      </w:r>
      <w:r w:rsidR="0046230F" w:rsidRPr="008D3590">
        <w:rPr>
          <w:rFonts w:cs="Times New Roman"/>
          <w:sz w:val="24"/>
          <w:szCs w:val="24"/>
        </w:rPr>
        <w:t xml:space="preserve"> also incorporate constraints and behavioral aspects associated with </w:t>
      </w:r>
      <w:r w:rsidR="00DB2308" w:rsidRPr="008D3590">
        <w:rPr>
          <w:rFonts w:cs="Times New Roman"/>
          <w:sz w:val="24"/>
          <w:szCs w:val="24"/>
        </w:rPr>
        <w:t xml:space="preserve">ICT </w:t>
      </w:r>
      <w:r w:rsidR="0046230F" w:rsidRPr="008D3590">
        <w:rPr>
          <w:rFonts w:cs="Times New Roman"/>
          <w:sz w:val="24"/>
          <w:szCs w:val="24"/>
        </w:rPr>
        <w:t>adoption</w:t>
      </w:r>
      <w:r w:rsidR="004D7B95" w:rsidRPr="008D3590">
        <w:rPr>
          <w:rFonts w:cs="Times New Roman"/>
          <w:sz w:val="24"/>
          <w:szCs w:val="24"/>
        </w:rPr>
        <w:t xml:space="preserve"> and use</w:t>
      </w:r>
      <w:r w:rsidR="003F1598" w:rsidRPr="008D3590">
        <w:rPr>
          <w:rFonts w:cs="Times New Roman"/>
          <w:sz w:val="24"/>
          <w:szCs w:val="24"/>
        </w:rPr>
        <w:t xml:space="preserve">. </w:t>
      </w:r>
      <w:r w:rsidR="00217BCD">
        <w:rPr>
          <w:rFonts w:cs="Times New Roman"/>
          <w:sz w:val="24"/>
          <w:szCs w:val="24"/>
        </w:rPr>
        <w:t xml:space="preserve">We posit that </w:t>
      </w:r>
      <w:r w:rsidR="0046230F" w:rsidRPr="008D3590">
        <w:rPr>
          <w:rFonts w:cs="Times New Roman"/>
          <w:sz w:val="24"/>
          <w:szCs w:val="24"/>
        </w:rPr>
        <w:t xml:space="preserve">the level of virtual accessibility that one may </w:t>
      </w:r>
      <w:r w:rsidR="007D522E" w:rsidRPr="008D3590">
        <w:rPr>
          <w:rFonts w:cs="Times New Roman"/>
          <w:sz w:val="24"/>
          <w:szCs w:val="24"/>
        </w:rPr>
        <w:t>experience</w:t>
      </w:r>
      <w:r w:rsidR="0046230F" w:rsidRPr="008D3590">
        <w:rPr>
          <w:rFonts w:cs="Times New Roman"/>
          <w:sz w:val="24"/>
          <w:szCs w:val="24"/>
        </w:rPr>
        <w:t xml:space="preserve"> </w:t>
      </w:r>
      <w:r w:rsidR="00361FAB" w:rsidRPr="008D3590">
        <w:rPr>
          <w:rFonts w:cs="Times New Roman"/>
          <w:sz w:val="24"/>
          <w:szCs w:val="24"/>
        </w:rPr>
        <w:t xml:space="preserve">should </w:t>
      </w:r>
      <w:r w:rsidR="0046230F" w:rsidRPr="008D3590">
        <w:rPr>
          <w:rFonts w:cs="Times New Roman"/>
          <w:sz w:val="24"/>
          <w:szCs w:val="24"/>
        </w:rPr>
        <w:t xml:space="preserve">depend on </w:t>
      </w:r>
      <w:r w:rsidR="00152160" w:rsidRPr="008D3590">
        <w:rPr>
          <w:rFonts w:cs="Times New Roman"/>
          <w:sz w:val="24"/>
          <w:szCs w:val="24"/>
        </w:rPr>
        <w:t xml:space="preserve">at least five aspects: (1) </w:t>
      </w:r>
      <w:r w:rsidR="0046230F" w:rsidRPr="008D3590">
        <w:rPr>
          <w:rFonts w:cs="Times New Roman"/>
          <w:sz w:val="24"/>
          <w:szCs w:val="24"/>
        </w:rPr>
        <w:t xml:space="preserve">the ownership of an ICT </w:t>
      </w:r>
      <w:r w:rsidR="00947A12" w:rsidRPr="008D3590">
        <w:rPr>
          <w:rFonts w:cs="Times New Roman"/>
          <w:sz w:val="24"/>
          <w:szCs w:val="24"/>
        </w:rPr>
        <w:t>device</w:t>
      </w:r>
      <w:r w:rsidR="00B32C09">
        <w:rPr>
          <w:rFonts w:cs="Times New Roman"/>
          <w:sz w:val="24"/>
          <w:szCs w:val="24"/>
        </w:rPr>
        <w:t>,</w:t>
      </w:r>
      <w:r w:rsidR="00947A12" w:rsidRPr="008D3590">
        <w:rPr>
          <w:rFonts w:cs="Times New Roman"/>
          <w:sz w:val="24"/>
          <w:szCs w:val="24"/>
        </w:rPr>
        <w:t xml:space="preserve"> </w:t>
      </w:r>
      <w:r w:rsidR="00152160" w:rsidRPr="008D3590">
        <w:rPr>
          <w:rFonts w:cs="Times New Roman"/>
          <w:sz w:val="24"/>
          <w:szCs w:val="24"/>
        </w:rPr>
        <w:t xml:space="preserve">(2) </w:t>
      </w:r>
      <w:r w:rsidR="0046230F" w:rsidRPr="008D3590">
        <w:rPr>
          <w:rFonts w:cs="Times New Roman"/>
          <w:sz w:val="24"/>
          <w:szCs w:val="24"/>
        </w:rPr>
        <w:t xml:space="preserve">the subscription to a network provider (can refer both to </w:t>
      </w:r>
      <w:r w:rsidR="00947A12" w:rsidRPr="008D3590">
        <w:rPr>
          <w:rFonts w:cs="Times New Roman"/>
          <w:sz w:val="24"/>
          <w:szCs w:val="24"/>
        </w:rPr>
        <w:t xml:space="preserve">Internet </w:t>
      </w:r>
      <w:r w:rsidR="0046230F" w:rsidRPr="008D3590">
        <w:rPr>
          <w:rFonts w:cs="Times New Roman"/>
          <w:sz w:val="24"/>
          <w:szCs w:val="24"/>
        </w:rPr>
        <w:t xml:space="preserve">and calls) and the coverage of such </w:t>
      </w:r>
      <w:r w:rsidR="00DB2308" w:rsidRPr="008D3590">
        <w:rPr>
          <w:rFonts w:cs="Times New Roman"/>
          <w:sz w:val="24"/>
          <w:szCs w:val="24"/>
        </w:rPr>
        <w:t xml:space="preserve">a </w:t>
      </w:r>
      <w:r w:rsidR="0046230F" w:rsidRPr="008D3590">
        <w:rPr>
          <w:rFonts w:cs="Times New Roman"/>
          <w:sz w:val="24"/>
          <w:szCs w:val="24"/>
        </w:rPr>
        <w:t>network</w:t>
      </w:r>
      <w:r w:rsidR="00B32C09">
        <w:rPr>
          <w:rFonts w:cs="Times New Roman"/>
          <w:sz w:val="24"/>
          <w:szCs w:val="24"/>
        </w:rPr>
        <w:t>,</w:t>
      </w:r>
      <w:r w:rsidR="00947A12" w:rsidRPr="008D3590">
        <w:rPr>
          <w:rFonts w:cs="Times New Roman"/>
          <w:sz w:val="24"/>
          <w:szCs w:val="24"/>
        </w:rPr>
        <w:t xml:space="preserve"> </w:t>
      </w:r>
      <w:r w:rsidR="00152160" w:rsidRPr="008D3590">
        <w:rPr>
          <w:rFonts w:cs="Times New Roman"/>
          <w:sz w:val="24"/>
          <w:szCs w:val="24"/>
        </w:rPr>
        <w:t xml:space="preserve">(3) </w:t>
      </w:r>
      <w:r w:rsidR="0046230F" w:rsidRPr="008D3590">
        <w:rPr>
          <w:rFonts w:cs="Times New Roman"/>
          <w:sz w:val="24"/>
          <w:szCs w:val="24"/>
        </w:rPr>
        <w:t>the ability (or k</w:t>
      </w:r>
      <w:r w:rsidR="00152160" w:rsidRPr="008D3590">
        <w:rPr>
          <w:rFonts w:cs="Times New Roman"/>
          <w:sz w:val="24"/>
          <w:szCs w:val="24"/>
        </w:rPr>
        <w:t>nowledge) to use the gadget and available functionalities (also known as technology-savviness</w:t>
      </w:r>
      <w:r w:rsidR="00947A12" w:rsidRPr="008D3590">
        <w:rPr>
          <w:rFonts w:cs="Times New Roman"/>
          <w:sz w:val="24"/>
          <w:szCs w:val="24"/>
        </w:rPr>
        <w:t>)</w:t>
      </w:r>
      <w:r w:rsidR="00B32C09">
        <w:rPr>
          <w:rFonts w:cs="Times New Roman"/>
          <w:sz w:val="24"/>
          <w:szCs w:val="24"/>
        </w:rPr>
        <w:t>,</w:t>
      </w:r>
      <w:r w:rsidR="00947A12" w:rsidRPr="008D3590">
        <w:rPr>
          <w:rFonts w:cs="Times New Roman"/>
          <w:sz w:val="24"/>
          <w:szCs w:val="24"/>
        </w:rPr>
        <w:t xml:space="preserve"> </w:t>
      </w:r>
      <w:r w:rsidR="00152160" w:rsidRPr="008D3590">
        <w:rPr>
          <w:rFonts w:cs="Times New Roman"/>
          <w:sz w:val="24"/>
          <w:szCs w:val="24"/>
        </w:rPr>
        <w:t>(4) the</w:t>
      </w:r>
      <w:r w:rsidR="00DB2308" w:rsidRPr="008D3590">
        <w:rPr>
          <w:rFonts w:cs="Times New Roman"/>
          <w:sz w:val="24"/>
          <w:szCs w:val="24"/>
        </w:rPr>
        <w:t xml:space="preserve"> ability</w:t>
      </w:r>
      <w:r w:rsidR="00064F02" w:rsidRPr="008D3590">
        <w:rPr>
          <w:rFonts w:cs="Times New Roman"/>
          <w:sz w:val="24"/>
          <w:szCs w:val="24"/>
        </w:rPr>
        <w:t xml:space="preserve"> </w:t>
      </w:r>
      <w:r w:rsidR="00152160" w:rsidRPr="008D3590">
        <w:rPr>
          <w:rFonts w:cs="Times New Roman"/>
          <w:sz w:val="24"/>
          <w:szCs w:val="24"/>
        </w:rPr>
        <w:t>to conduct activities virtually (for example, if the individual’s job</w:t>
      </w:r>
      <w:r w:rsidR="00DB2308" w:rsidRPr="008D3590">
        <w:rPr>
          <w:rFonts w:cs="Times New Roman"/>
          <w:sz w:val="24"/>
          <w:szCs w:val="24"/>
        </w:rPr>
        <w:t xml:space="preserve"> requires </w:t>
      </w:r>
      <w:r w:rsidR="00152160" w:rsidRPr="008D3590">
        <w:rPr>
          <w:rFonts w:cs="Times New Roman"/>
          <w:sz w:val="24"/>
          <w:szCs w:val="24"/>
        </w:rPr>
        <w:t xml:space="preserve">physical presence </w:t>
      </w:r>
      <w:r w:rsidR="00DB2308" w:rsidRPr="008D3590">
        <w:rPr>
          <w:rFonts w:cs="Times New Roman"/>
          <w:sz w:val="24"/>
          <w:szCs w:val="24"/>
        </w:rPr>
        <w:t xml:space="preserve">at the work place, </w:t>
      </w:r>
      <w:r w:rsidR="00152160" w:rsidRPr="008D3590">
        <w:rPr>
          <w:rFonts w:cs="Times New Roman"/>
          <w:sz w:val="24"/>
          <w:szCs w:val="24"/>
        </w:rPr>
        <w:t xml:space="preserve">then his/her virtual accessibility is immediately limited, at least </w:t>
      </w:r>
      <w:r w:rsidR="00DB2308" w:rsidRPr="008D3590">
        <w:rPr>
          <w:rFonts w:cs="Times New Roman"/>
          <w:sz w:val="24"/>
          <w:szCs w:val="24"/>
        </w:rPr>
        <w:t xml:space="preserve">as related to </w:t>
      </w:r>
      <w:r w:rsidR="00152160" w:rsidRPr="008D3590">
        <w:rPr>
          <w:rFonts w:cs="Times New Roman"/>
          <w:sz w:val="24"/>
          <w:szCs w:val="24"/>
        </w:rPr>
        <w:t xml:space="preserve">the work </w:t>
      </w:r>
      <w:r w:rsidR="00DB2308" w:rsidRPr="008D3590">
        <w:rPr>
          <w:rFonts w:cs="Times New Roman"/>
          <w:sz w:val="24"/>
          <w:szCs w:val="24"/>
        </w:rPr>
        <w:lastRenderedPageBreak/>
        <w:t>activity purpose</w:t>
      </w:r>
      <w:r w:rsidR="00947A12" w:rsidRPr="008D3590">
        <w:rPr>
          <w:rFonts w:cs="Times New Roman"/>
          <w:sz w:val="24"/>
          <w:szCs w:val="24"/>
        </w:rPr>
        <w:t>)</w:t>
      </w:r>
      <w:r w:rsidR="00B32C09">
        <w:rPr>
          <w:rFonts w:cs="Times New Roman"/>
          <w:sz w:val="24"/>
          <w:szCs w:val="24"/>
        </w:rPr>
        <w:t>, and</w:t>
      </w:r>
      <w:r w:rsidR="00947A12" w:rsidRPr="008D3590">
        <w:rPr>
          <w:rFonts w:cs="Times New Roman"/>
          <w:sz w:val="24"/>
          <w:szCs w:val="24"/>
        </w:rPr>
        <w:t xml:space="preserve"> </w:t>
      </w:r>
      <w:r w:rsidR="00152160" w:rsidRPr="008D3590">
        <w:rPr>
          <w:rFonts w:cs="Times New Roman"/>
          <w:sz w:val="24"/>
          <w:szCs w:val="24"/>
        </w:rPr>
        <w:t xml:space="preserve">(5) the </w:t>
      </w:r>
      <w:r w:rsidR="00DB2308" w:rsidRPr="008D3590">
        <w:rPr>
          <w:rFonts w:cs="Times New Roman"/>
          <w:sz w:val="24"/>
          <w:szCs w:val="24"/>
        </w:rPr>
        <w:t xml:space="preserve">overall </w:t>
      </w:r>
      <w:r w:rsidR="00152160" w:rsidRPr="008D3590">
        <w:rPr>
          <w:rFonts w:cs="Times New Roman"/>
          <w:sz w:val="24"/>
          <w:szCs w:val="24"/>
        </w:rPr>
        <w:t>time availabl</w:t>
      </w:r>
      <w:r w:rsidR="00DB2308" w:rsidRPr="008D3590">
        <w:rPr>
          <w:rFonts w:cs="Times New Roman"/>
          <w:sz w:val="24"/>
          <w:szCs w:val="24"/>
        </w:rPr>
        <w:t xml:space="preserve">e to </w:t>
      </w:r>
      <w:r w:rsidR="00152160" w:rsidRPr="008D3590">
        <w:rPr>
          <w:rFonts w:cs="Times New Roman"/>
          <w:sz w:val="24"/>
          <w:szCs w:val="24"/>
        </w:rPr>
        <w:t>the person</w:t>
      </w:r>
      <w:r w:rsidR="00DB2308" w:rsidRPr="008D3590">
        <w:rPr>
          <w:rFonts w:cs="Times New Roman"/>
          <w:sz w:val="24"/>
          <w:szCs w:val="24"/>
        </w:rPr>
        <w:t xml:space="preserve"> </w:t>
      </w:r>
      <w:r w:rsidR="004D7B95" w:rsidRPr="008D3590">
        <w:rPr>
          <w:rFonts w:cs="Times New Roman"/>
          <w:sz w:val="24"/>
          <w:szCs w:val="24"/>
        </w:rPr>
        <w:t xml:space="preserve">to pursue specific types of activities </w:t>
      </w:r>
      <w:r w:rsidR="00DB2308" w:rsidRPr="008D3590">
        <w:rPr>
          <w:rFonts w:cs="Times New Roman"/>
          <w:sz w:val="24"/>
          <w:szCs w:val="24"/>
        </w:rPr>
        <w:t>(</w:t>
      </w:r>
      <w:r w:rsidR="004D7B95" w:rsidRPr="008D3590">
        <w:rPr>
          <w:rFonts w:cs="Times New Roman"/>
          <w:sz w:val="24"/>
          <w:szCs w:val="24"/>
        </w:rPr>
        <w:t>for example, time available after work to pursue shopping or leisure). C</w:t>
      </w:r>
      <w:r w:rsidR="003F1598" w:rsidRPr="008D3590">
        <w:rPr>
          <w:rFonts w:cs="Times New Roman"/>
          <w:sz w:val="24"/>
          <w:szCs w:val="24"/>
        </w:rPr>
        <w:t>onsider</w:t>
      </w:r>
      <w:r w:rsidR="004D7B95" w:rsidRPr="008D3590">
        <w:rPr>
          <w:rFonts w:cs="Times New Roman"/>
          <w:sz w:val="24"/>
          <w:szCs w:val="24"/>
        </w:rPr>
        <w:t xml:space="preserve">ing such abilities and </w:t>
      </w:r>
      <w:r w:rsidR="003F1598" w:rsidRPr="008D3590">
        <w:rPr>
          <w:rFonts w:cs="Times New Roman"/>
          <w:sz w:val="24"/>
          <w:szCs w:val="24"/>
        </w:rPr>
        <w:t xml:space="preserve">constraints to virtual accessibility is fundamental to understanding </w:t>
      </w:r>
      <w:r w:rsidR="00C71282" w:rsidRPr="008D3590">
        <w:rPr>
          <w:rFonts w:cs="Times New Roman"/>
          <w:sz w:val="24"/>
          <w:szCs w:val="24"/>
        </w:rPr>
        <w:t xml:space="preserve">the potential impacts of </w:t>
      </w:r>
      <w:r w:rsidR="00CF7145" w:rsidRPr="008D3590">
        <w:rPr>
          <w:rFonts w:cs="Times New Roman"/>
          <w:sz w:val="24"/>
          <w:szCs w:val="24"/>
        </w:rPr>
        <w:t>ICT</w:t>
      </w:r>
      <w:r w:rsidR="00C71282" w:rsidRPr="008D3590">
        <w:rPr>
          <w:rFonts w:cs="Times New Roman"/>
          <w:sz w:val="24"/>
          <w:szCs w:val="24"/>
        </w:rPr>
        <w:t>, since i</w:t>
      </w:r>
      <w:r w:rsidR="003F1598" w:rsidRPr="008D3590">
        <w:rPr>
          <w:rFonts w:cs="Times New Roman"/>
          <w:sz w:val="24"/>
          <w:szCs w:val="24"/>
        </w:rPr>
        <w:t>t is well known that there is a large gap between technology development</w:t>
      </w:r>
      <w:r w:rsidR="00222087" w:rsidRPr="008D3590">
        <w:rPr>
          <w:rFonts w:cs="Times New Roman"/>
          <w:sz w:val="24"/>
          <w:szCs w:val="24"/>
        </w:rPr>
        <w:t>,</w:t>
      </w:r>
      <w:r w:rsidR="003F1598" w:rsidRPr="008D3590">
        <w:rPr>
          <w:rFonts w:cs="Times New Roman"/>
          <w:sz w:val="24"/>
          <w:szCs w:val="24"/>
        </w:rPr>
        <w:t xml:space="preserve"> technology adoption</w:t>
      </w:r>
      <w:r w:rsidR="00947A12" w:rsidRPr="008D3590">
        <w:rPr>
          <w:rFonts w:cs="Times New Roman"/>
          <w:sz w:val="24"/>
          <w:szCs w:val="24"/>
        </w:rPr>
        <w:t>,</w:t>
      </w:r>
      <w:r w:rsidR="003F1598" w:rsidRPr="008D3590">
        <w:rPr>
          <w:rFonts w:cs="Times New Roman"/>
          <w:sz w:val="24"/>
          <w:szCs w:val="24"/>
        </w:rPr>
        <w:t xml:space="preserve"> </w:t>
      </w:r>
      <w:r w:rsidR="00222087" w:rsidRPr="008D3590">
        <w:rPr>
          <w:rFonts w:cs="Times New Roman"/>
          <w:sz w:val="24"/>
          <w:szCs w:val="24"/>
        </w:rPr>
        <w:t>and technology impacts on behavior</w:t>
      </w:r>
      <w:r w:rsidR="003F1598" w:rsidRPr="008D3590">
        <w:rPr>
          <w:rFonts w:cs="Times New Roman"/>
          <w:sz w:val="24"/>
          <w:szCs w:val="24"/>
        </w:rPr>
        <w:t xml:space="preserve">. </w:t>
      </w:r>
      <w:r w:rsidR="004D7B95" w:rsidRPr="008D3590">
        <w:rPr>
          <w:rFonts w:cs="Times New Roman"/>
          <w:sz w:val="24"/>
          <w:szCs w:val="24"/>
        </w:rPr>
        <w:t xml:space="preserve">As discussed earlier, </w:t>
      </w:r>
      <w:r w:rsidR="00FD4155" w:rsidRPr="008D3590">
        <w:rPr>
          <w:rFonts w:cs="Times New Roman"/>
          <w:sz w:val="24"/>
          <w:szCs w:val="24"/>
        </w:rPr>
        <w:t xml:space="preserve">starting with the concept of </w:t>
      </w:r>
      <w:r w:rsidR="00361FAB" w:rsidRPr="008D3590">
        <w:rPr>
          <w:rFonts w:cs="Times New Roman"/>
          <w:sz w:val="24"/>
          <w:szCs w:val="24"/>
        </w:rPr>
        <w:t>virtual accessibility</w:t>
      </w:r>
      <w:r w:rsidR="00217BCD">
        <w:rPr>
          <w:rFonts w:cs="Times New Roman"/>
          <w:sz w:val="24"/>
          <w:szCs w:val="24"/>
        </w:rPr>
        <w:t xml:space="preserve"> (formed on the basis of perceptions of </w:t>
      </w:r>
      <w:r w:rsidR="00E3438E">
        <w:rPr>
          <w:rFonts w:cs="Times New Roman"/>
          <w:sz w:val="24"/>
          <w:szCs w:val="24"/>
        </w:rPr>
        <w:t xml:space="preserve">virtual accessibility measures or </w:t>
      </w:r>
      <w:r w:rsidR="00217BCD">
        <w:rPr>
          <w:rFonts w:cs="Times New Roman"/>
          <w:sz w:val="24"/>
          <w:szCs w:val="24"/>
        </w:rPr>
        <w:t>VAMs)</w:t>
      </w:r>
      <w:r w:rsidR="004D7B95" w:rsidRPr="008D3590">
        <w:rPr>
          <w:rFonts w:cs="Times New Roman"/>
          <w:sz w:val="24"/>
          <w:szCs w:val="24"/>
        </w:rPr>
        <w:t>, and its interaction with physical accessibility</w:t>
      </w:r>
      <w:r w:rsidR="00023181" w:rsidRPr="008D3590">
        <w:rPr>
          <w:rFonts w:cs="Times New Roman"/>
          <w:sz w:val="24"/>
          <w:szCs w:val="24"/>
        </w:rPr>
        <w:t xml:space="preserve"> (formed on the basis of </w:t>
      </w:r>
      <w:r w:rsidR="00217BCD">
        <w:rPr>
          <w:rFonts w:cs="Times New Roman"/>
          <w:sz w:val="24"/>
          <w:szCs w:val="24"/>
        </w:rPr>
        <w:t xml:space="preserve">perceptions of </w:t>
      </w:r>
      <w:r w:rsidR="00E3438E">
        <w:rPr>
          <w:rFonts w:cs="Times New Roman"/>
          <w:sz w:val="24"/>
          <w:szCs w:val="24"/>
        </w:rPr>
        <w:t xml:space="preserve">physical accessibility measures or </w:t>
      </w:r>
      <w:r w:rsidR="00217BCD">
        <w:rPr>
          <w:rFonts w:cs="Times New Roman"/>
          <w:sz w:val="24"/>
          <w:szCs w:val="24"/>
        </w:rPr>
        <w:t>PAMs</w:t>
      </w:r>
      <w:r w:rsidR="00023181" w:rsidRPr="008D3590">
        <w:rPr>
          <w:rFonts w:cs="Times New Roman"/>
          <w:sz w:val="24"/>
          <w:szCs w:val="24"/>
        </w:rPr>
        <w:t>)</w:t>
      </w:r>
      <w:r w:rsidR="004D7B95" w:rsidRPr="008D3590">
        <w:rPr>
          <w:rFonts w:cs="Times New Roman"/>
          <w:sz w:val="24"/>
          <w:szCs w:val="24"/>
        </w:rPr>
        <w:t xml:space="preserve">, </w:t>
      </w:r>
      <w:r w:rsidR="00FD4155" w:rsidRPr="008D3590">
        <w:rPr>
          <w:rFonts w:cs="Times New Roman"/>
          <w:sz w:val="24"/>
          <w:szCs w:val="24"/>
        </w:rPr>
        <w:t>has the advantage of appropriately recognizing the trade-offs and r</w:t>
      </w:r>
      <w:r w:rsidR="00D93884">
        <w:rPr>
          <w:rFonts w:cs="Times New Roman"/>
          <w:sz w:val="24"/>
          <w:szCs w:val="24"/>
        </w:rPr>
        <w:t>ich interplay</w:t>
      </w:r>
      <w:r w:rsidR="00FD4155" w:rsidRPr="008D3590">
        <w:rPr>
          <w:rFonts w:cs="Times New Roman"/>
          <w:sz w:val="24"/>
          <w:szCs w:val="24"/>
        </w:rPr>
        <w:t xml:space="preserve"> in the decisions that </w:t>
      </w:r>
      <w:r w:rsidR="000E091F">
        <w:rPr>
          <w:rFonts w:cs="Times New Roman"/>
          <w:sz w:val="24"/>
          <w:szCs w:val="24"/>
        </w:rPr>
        <w:t xml:space="preserve">simultaneously </w:t>
      </w:r>
      <w:r w:rsidR="00FD4155" w:rsidRPr="008D3590">
        <w:rPr>
          <w:rFonts w:cs="Times New Roman"/>
          <w:sz w:val="24"/>
          <w:szCs w:val="24"/>
        </w:rPr>
        <w:t xml:space="preserve">drive </w:t>
      </w:r>
      <w:r w:rsidR="003E3310">
        <w:rPr>
          <w:rFonts w:cs="Times New Roman"/>
          <w:sz w:val="24"/>
          <w:szCs w:val="24"/>
        </w:rPr>
        <w:t>virtual</w:t>
      </w:r>
      <w:r w:rsidR="00FD4155" w:rsidRPr="008D3590">
        <w:rPr>
          <w:rFonts w:cs="Times New Roman"/>
          <w:sz w:val="24"/>
          <w:szCs w:val="24"/>
        </w:rPr>
        <w:t xml:space="preserve"> </w:t>
      </w:r>
      <w:r w:rsidR="00E3438E">
        <w:rPr>
          <w:rFonts w:cs="Times New Roman"/>
          <w:sz w:val="24"/>
          <w:szCs w:val="24"/>
        </w:rPr>
        <w:t xml:space="preserve">activity engagement (VAG) and </w:t>
      </w:r>
      <w:r w:rsidR="003E3310">
        <w:rPr>
          <w:rFonts w:cs="Times New Roman"/>
          <w:sz w:val="24"/>
          <w:szCs w:val="24"/>
        </w:rPr>
        <w:t xml:space="preserve">physical </w:t>
      </w:r>
      <w:r w:rsidR="00CC7A60">
        <w:rPr>
          <w:rFonts w:cs="Times New Roman"/>
          <w:sz w:val="24"/>
          <w:szCs w:val="24"/>
        </w:rPr>
        <w:t>activity</w:t>
      </w:r>
      <w:r w:rsidR="00E3438E">
        <w:rPr>
          <w:rFonts w:cs="Times New Roman"/>
          <w:sz w:val="24"/>
          <w:szCs w:val="24"/>
        </w:rPr>
        <w:t xml:space="preserve"> engagement (VAG)</w:t>
      </w:r>
      <w:r w:rsidR="00D93884">
        <w:rPr>
          <w:rFonts w:cs="Times New Roman"/>
          <w:sz w:val="24"/>
          <w:szCs w:val="24"/>
        </w:rPr>
        <w:t xml:space="preserve"> </w:t>
      </w:r>
      <w:r w:rsidR="00642B63" w:rsidRPr="008D3590">
        <w:rPr>
          <w:rFonts w:cs="Times New Roman"/>
          <w:sz w:val="24"/>
          <w:szCs w:val="24"/>
        </w:rPr>
        <w:t xml:space="preserve">in multiple activity purposes, while controlling for </w:t>
      </w:r>
      <w:r w:rsidR="00D93884">
        <w:rPr>
          <w:rFonts w:cs="Times New Roman"/>
          <w:sz w:val="24"/>
          <w:szCs w:val="24"/>
        </w:rPr>
        <w:t xml:space="preserve">VAMs, PAMs, </w:t>
      </w:r>
      <w:r w:rsidR="00642B63" w:rsidRPr="008D3590">
        <w:rPr>
          <w:rFonts w:cs="Times New Roman"/>
          <w:sz w:val="24"/>
          <w:szCs w:val="24"/>
        </w:rPr>
        <w:t xml:space="preserve">and demographics. </w:t>
      </w:r>
    </w:p>
    <w:p w14:paraId="615C6F9A" w14:textId="77777777" w:rsidR="00E0584D" w:rsidRPr="008D3590" w:rsidRDefault="00E0584D" w:rsidP="003211E6">
      <w:pPr>
        <w:rPr>
          <w:rFonts w:cs="Times New Roman"/>
          <w:b/>
          <w:sz w:val="24"/>
          <w:szCs w:val="24"/>
        </w:rPr>
      </w:pPr>
    </w:p>
    <w:p w14:paraId="68A8240E" w14:textId="56D261EF" w:rsidR="00426487" w:rsidRPr="008D3590" w:rsidRDefault="001B1597" w:rsidP="004356A9">
      <w:pPr>
        <w:outlineLvl w:val="0"/>
        <w:rPr>
          <w:rFonts w:cs="Times New Roman"/>
          <w:b/>
          <w:sz w:val="24"/>
          <w:szCs w:val="24"/>
        </w:rPr>
      </w:pPr>
      <w:r>
        <w:rPr>
          <w:rFonts w:cs="Times New Roman"/>
          <w:b/>
          <w:sz w:val="24"/>
          <w:szCs w:val="24"/>
        </w:rPr>
        <w:t>1.</w:t>
      </w:r>
      <w:r w:rsidR="00426487" w:rsidRPr="008D3590">
        <w:rPr>
          <w:rFonts w:cs="Times New Roman"/>
          <w:b/>
          <w:sz w:val="24"/>
          <w:szCs w:val="24"/>
        </w:rPr>
        <w:t xml:space="preserve">2. </w:t>
      </w:r>
      <w:r>
        <w:rPr>
          <w:rFonts w:cs="Times New Roman"/>
          <w:b/>
          <w:sz w:val="24"/>
          <w:szCs w:val="24"/>
        </w:rPr>
        <w:t xml:space="preserve">Virtual and Physical Accessibility as </w:t>
      </w:r>
      <w:r w:rsidR="007757DE">
        <w:rPr>
          <w:rFonts w:cs="Times New Roman"/>
          <w:b/>
          <w:sz w:val="24"/>
          <w:szCs w:val="24"/>
        </w:rPr>
        <w:t>(</w:t>
      </w:r>
      <w:r>
        <w:rPr>
          <w:rFonts w:cs="Times New Roman"/>
          <w:b/>
          <w:sz w:val="24"/>
          <w:szCs w:val="24"/>
        </w:rPr>
        <w:t>Latent</w:t>
      </w:r>
      <w:r w:rsidR="007757DE">
        <w:rPr>
          <w:rFonts w:cs="Times New Roman"/>
          <w:b/>
          <w:sz w:val="24"/>
          <w:szCs w:val="24"/>
        </w:rPr>
        <w:t>) Perceptions</w:t>
      </w:r>
    </w:p>
    <w:p w14:paraId="44F73EB4" w14:textId="420B65C5" w:rsidR="003C0BED" w:rsidRPr="00F649D6" w:rsidRDefault="00CE0C36" w:rsidP="00054828">
      <w:pPr>
        <w:rPr>
          <w:rFonts w:cs="Times New Roman"/>
          <w:b/>
          <w:sz w:val="24"/>
          <w:szCs w:val="24"/>
        </w:rPr>
      </w:pPr>
      <w:r>
        <w:rPr>
          <w:rFonts w:cs="Times New Roman"/>
          <w:sz w:val="24"/>
          <w:szCs w:val="24"/>
        </w:rPr>
        <w:t>In this paper, t</w:t>
      </w:r>
      <w:r w:rsidR="001B1597">
        <w:rPr>
          <w:rFonts w:cs="Times New Roman"/>
          <w:sz w:val="24"/>
          <w:szCs w:val="24"/>
        </w:rPr>
        <w:t xml:space="preserve">he </w:t>
      </w:r>
      <w:r w:rsidR="00426487" w:rsidRPr="008D3590">
        <w:rPr>
          <w:rFonts w:cs="Times New Roman"/>
          <w:sz w:val="24"/>
          <w:szCs w:val="24"/>
        </w:rPr>
        <w:t xml:space="preserve">virtual and physical accessibility </w:t>
      </w:r>
      <w:r w:rsidR="001B1597">
        <w:rPr>
          <w:rFonts w:cs="Times New Roman"/>
          <w:sz w:val="24"/>
          <w:szCs w:val="24"/>
        </w:rPr>
        <w:t>“</w:t>
      </w:r>
      <w:r w:rsidR="00426487" w:rsidRPr="008D3590">
        <w:rPr>
          <w:rFonts w:cs="Times New Roman"/>
          <w:sz w:val="24"/>
          <w:szCs w:val="24"/>
        </w:rPr>
        <w:t>mediators</w:t>
      </w:r>
      <w:r w:rsidR="001B1597">
        <w:rPr>
          <w:rFonts w:cs="Times New Roman"/>
          <w:sz w:val="24"/>
          <w:szCs w:val="24"/>
        </w:rPr>
        <w:t>”</w:t>
      </w:r>
      <w:r w:rsidR="00426487" w:rsidRPr="008D3590">
        <w:rPr>
          <w:rFonts w:cs="Times New Roman"/>
          <w:sz w:val="24"/>
          <w:szCs w:val="24"/>
        </w:rPr>
        <w:t xml:space="preserve"> </w:t>
      </w:r>
      <w:r w:rsidR="00DF5CA7" w:rsidRPr="008D3590">
        <w:rPr>
          <w:rFonts w:cs="Times New Roman"/>
          <w:sz w:val="24"/>
          <w:szCs w:val="24"/>
        </w:rPr>
        <w:t>are considered as latent constructs that represent the subjective perceptions of each individual, based on (and impacted by)</w:t>
      </w:r>
      <w:r w:rsidR="00F649D6">
        <w:rPr>
          <w:rFonts w:cs="Times New Roman"/>
          <w:sz w:val="24"/>
          <w:szCs w:val="24"/>
        </w:rPr>
        <w:t xml:space="preserve"> VAMs and PAMs, respectively</w:t>
      </w:r>
      <w:r w:rsidR="00F649D6" w:rsidRPr="00947C26">
        <w:rPr>
          <w:rFonts w:cs="Times New Roman"/>
          <w:sz w:val="24"/>
          <w:szCs w:val="24"/>
        </w:rPr>
        <w:t>.</w:t>
      </w:r>
      <w:r w:rsidR="00F649D6">
        <w:rPr>
          <w:rFonts w:cs="Times New Roman"/>
          <w:b/>
          <w:sz w:val="24"/>
          <w:szCs w:val="24"/>
        </w:rPr>
        <w:t xml:space="preserve"> </w:t>
      </w:r>
      <w:r w:rsidR="00B4210A" w:rsidRPr="008D3590">
        <w:rPr>
          <w:rFonts w:cs="Times New Roman"/>
          <w:sz w:val="24"/>
          <w:szCs w:val="24"/>
        </w:rPr>
        <w:t xml:space="preserve">Accessibility can be broadly defined as the ease with which opportunities or activities can be </w:t>
      </w:r>
      <w:r w:rsidR="004776BB" w:rsidRPr="008D3590">
        <w:rPr>
          <w:rFonts w:cs="Times New Roman"/>
          <w:sz w:val="24"/>
          <w:szCs w:val="24"/>
        </w:rPr>
        <w:t>“</w:t>
      </w:r>
      <w:r w:rsidR="00B4210A" w:rsidRPr="008D3590">
        <w:rPr>
          <w:rFonts w:cs="Times New Roman"/>
          <w:sz w:val="24"/>
          <w:szCs w:val="24"/>
        </w:rPr>
        <w:t>reached</w:t>
      </w:r>
      <w:r w:rsidR="004776BB" w:rsidRPr="008D3590">
        <w:rPr>
          <w:rFonts w:cs="Times New Roman"/>
          <w:sz w:val="24"/>
          <w:szCs w:val="24"/>
        </w:rPr>
        <w:t>”</w:t>
      </w:r>
      <w:r w:rsidR="00B4210A" w:rsidRPr="008D3590">
        <w:rPr>
          <w:rFonts w:cs="Times New Roman"/>
          <w:sz w:val="24"/>
          <w:szCs w:val="24"/>
        </w:rPr>
        <w:t xml:space="preserve">. </w:t>
      </w:r>
      <w:r w:rsidR="00F649D6">
        <w:rPr>
          <w:rFonts w:cs="Times New Roman"/>
          <w:sz w:val="24"/>
          <w:szCs w:val="24"/>
        </w:rPr>
        <w:t>It</w:t>
      </w:r>
      <w:r w:rsidR="00B4210A" w:rsidRPr="008D3590">
        <w:rPr>
          <w:rFonts w:cs="Times New Roman"/>
          <w:sz w:val="24"/>
          <w:szCs w:val="24"/>
        </w:rPr>
        <w:t xml:space="preserve"> is a multidimensional concept and a result of the interaction </w:t>
      </w:r>
      <w:r w:rsidR="00DF5CA7" w:rsidRPr="008D3590">
        <w:rPr>
          <w:rFonts w:cs="Times New Roman"/>
          <w:sz w:val="24"/>
          <w:szCs w:val="24"/>
        </w:rPr>
        <w:t>among</w:t>
      </w:r>
      <w:r w:rsidR="00B4210A" w:rsidRPr="008D3590">
        <w:rPr>
          <w:rFonts w:cs="Times New Roman"/>
          <w:sz w:val="24"/>
          <w:szCs w:val="24"/>
        </w:rPr>
        <w:t xml:space="preserve"> multiple factors</w:t>
      </w:r>
      <w:r w:rsidR="00104827" w:rsidRPr="008D3590">
        <w:rPr>
          <w:rFonts w:cs="Times New Roman"/>
          <w:sz w:val="24"/>
          <w:szCs w:val="24"/>
        </w:rPr>
        <w:t xml:space="preserve">, including </w:t>
      </w:r>
      <w:r w:rsidR="00B4210A" w:rsidRPr="008D3590">
        <w:rPr>
          <w:rFonts w:cs="Times New Roman"/>
          <w:sz w:val="24"/>
          <w:szCs w:val="24"/>
        </w:rPr>
        <w:t xml:space="preserve">the needs and abilities of the individual depending on </w:t>
      </w:r>
      <w:r w:rsidR="00104827" w:rsidRPr="008D3590">
        <w:rPr>
          <w:rFonts w:cs="Times New Roman"/>
          <w:sz w:val="24"/>
          <w:szCs w:val="24"/>
        </w:rPr>
        <w:t xml:space="preserve">such characteristics as </w:t>
      </w:r>
      <w:r w:rsidR="00B4210A" w:rsidRPr="008D3590">
        <w:rPr>
          <w:rFonts w:cs="Times New Roman"/>
          <w:sz w:val="24"/>
          <w:szCs w:val="24"/>
        </w:rPr>
        <w:t xml:space="preserve">age, income, educational level, </w:t>
      </w:r>
      <w:r w:rsidR="00104827" w:rsidRPr="008D3590">
        <w:rPr>
          <w:rFonts w:cs="Times New Roman"/>
          <w:sz w:val="24"/>
          <w:szCs w:val="24"/>
        </w:rPr>
        <w:t xml:space="preserve">and </w:t>
      </w:r>
      <w:r w:rsidR="00B4210A" w:rsidRPr="008D3590">
        <w:rPr>
          <w:rFonts w:cs="Times New Roman"/>
          <w:sz w:val="24"/>
          <w:szCs w:val="24"/>
        </w:rPr>
        <w:t xml:space="preserve">household </w:t>
      </w:r>
      <w:r w:rsidR="00104827" w:rsidRPr="008D3590">
        <w:rPr>
          <w:rFonts w:cs="Times New Roman"/>
          <w:sz w:val="24"/>
          <w:szCs w:val="24"/>
        </w:rPr>
        <w:t>context</w:t>
      </w:r>
      <w:r w:rsidR="00054828" w:rsidRPr="008D3590">
        <w:rPr>
          <w:rFonts w:cs="Times New Roman"/>
          <w:sz w:val="24"/>
          <w:szCs w:val="24"/>
        </w:rPr>
        <w:t xml:space="preserve"> (</w:t>
      </w:r>
      <w:proofErr w:type="spellStart"/>
      <w:r w:rsidR="00054828" w:rsidRPr="008D3590">
        <w:rPr>
          <w:rFonts w:cs="Times New Roman"/>
          <w:sz w:val="24"/>
          <w:szCs w:val="24"/>
        </w:rPr>
        <w:t>Geurs</w:t>
      </w:r>
      <w:proofErr w:type="spellEnd"/>
      <w:r w:rsidR="00054828" w:rsidRPr="008D3590">
        <w:rPr>
          <w:rFonts w:cs="Times New Roman"/>
          <w:sz w:val="24"/>
          <w:szCs w:val="24"/>
        </w:rPr>
        <w:t xml:space="preserve"> and van Wee, 2004)</w:t>
      </w:r>
      <w:r w:rsidR="00B4210A" w:rsidRPr="008D3590">
        <w:rPr>
          <w:rFonts w:cs="Times New Roman"/>
          <w:sz w:val="24"/>
          <w:szCs w:val="24"/>
        </w:rPr>
        <w:t xml:space="preserve">. Although </w:t>
      </w:r>
      <w:r w:rsidR="003C0BED" w:rsidRPr="008D3590">
        <w:rPr>
          <w:rFonts w:cs="Times New Roman"/>
          <w:sz w:val="24"/>
          <w:szCs w:val="24"/>
        </w:rPr>
        <w:t xml:space="preserve">the </w:t>
      </w:r>
      <w:r w:rsidR="00B4210A" w:rsidRPr="008D3590">
        <w:rPr>
          <w:rFonts w:cs="Times New Roman"/>
          <w:sz w:val="24"/>
          <w:szCs w:val="24"/>
        </w:rPr>
        <w:t xml:space="preserve">literature presents an extensive list of possible </w:t>
      </w:r>
      <w:r w:rsidR="00F649D6">
        <w:rPr>
          <w:rFonts w:cs="Times New Roman"/>
          <w:sz w:val="24"/>
          <w:szCs w:val="24"/>
        </w:rPr>
        <w:t>PAMs</w:t>
      </w:r>
      <w:r w:rsidR="00B4210A" w:rsidRPr="008D3590">
        <w:rPr>
          <w:rFonts w:cs="Times New Roman"/>
          <w:sz w:val="24"/>
          <w:szCs w:val="24"/>
        </w:rPr>
        <w:t xml:space="preserve"> (see </w:t>
      </w:r>
      <w:proofErr w:type="spellStart"/>
      <w:r w:rsidR="00B4210A" w:rsidRPr="008D3590">
        <w:rPr>
          <w:rFonts w:cs="Times New Roman"/>
          <w:sz w:val="24"/>
          <w:szCs w:val="24"/>
        </w:rPr>
        <w:t>P</w:t>
      </w:r>
      <w:r w:rsidR="00FC2F22" w:rsidRPr="008D3590">
        <w:rPr>
          <w:rFonts w:cs="Times New Roman"/>
          <w:sz w:val="24"/>
          <w:szCs w:val="24"/>
          <w:shd w:val="clear" w:color="auto" w:fill="FFFFFF"/>
        </w:rPr>
        <w:t>á</w:t>
      </w:r>
      <w:r w:rsidR="00B4210A" w:rsidRPr="008D3590">
        <w:rPr>
          <w:rFonts w:cs="Times New Roman"/>
          <w:sz w:val="24"/>
          <w:szCs w:val="24"/>
        </w:rPr>
        <w:t>ez</w:t>
      </w:r>
      <w:proofErr w:type="spellEnd"/>
      <w:r w:rsidR="00B4210A" w:rsidRPr="008D3590">
        <w:rPr>
          <w:rFonts w:cs="Times New Roman"/>
          <w:sz w:val="24"/>
          <w:szCs w:val="24"/>
        </w:rPr>
        <w:t xml:space="preserve"> et al., 2012</w:t>
      </w:r>
      <w:r w:rsidR="003C0BED" w:rsidRPr="008D3590">
        <w:rPr>
          <w:rFonts w:cs="Times New Roman"/>
          <w:sz w:val="24"/>
          <w:szCs w:val="24"/>
        </w:rPr>
        <w:t>,</w:t>
      </w:r>
      <w:r w:rsidR="00B4210A" w:rsidRPr="008D3590">
        <w:rPr>
          <w:rFonts w:cs="Times New Roman"/>
          <w:sz w:val="24"/>
          <w:szCs w:val="24"/>
        </w:rPr>
        <w:t xml:space="preserve"> for a review), </w:t>
      </w:r>
      <w:r w:rsidR="003E3310">
        <w:rPr>
          <w:rFonts w:cs="Times New Roman"/>
          <w:sz w:val="24"/>
          <w:szCs w:val="24"/>
        </w:rPr>
        <w:t xml:space="preserve">simply </w:t>
      </w:r>
      <w:r w:rsidR="00B4210A" w:rsidRPr="008D3590">
        <w:rPr>
          <w:rFonts w:cs="Times New Roman"/>
          <w:sz w:val="24"/>
          <w:szCs w:val="24"/>
        </w:rPr>
        <w:t>focusing on objective measurements of the built environment, transportation system</w:t>
      </w:r>
      <w:r w:rsidR="003C0BED" w:rsidRPr="008D3590">
        <w:rPr>
          <w:rFonts w:cs="Times New Roman"/>
          <w:sz w:val="24"/>
          <w:szCs w:val="24"/>
        </w:rPr>
        <w:t>,</w:t>
      </w:r>
      <w:r w:rsidR="00B4210A" w:rsidRPr="008D3590">
        <w:rPr>
          <w:rFonts w:cs="Times New Roman"/>
          <w:sz w:val="24"/>
          <w:szCs w:val="24"/>
        </w:rPr>
        <w:t xml:space="preserve"> and even temporal constraints (associated with business hours, for example) may not be</w:t>
      </w:r>
      <w:r w:rsidR="0065578D" w:rsidRPr="008D3590">
        <w:rPr>
          <w:rFonts w:cs="Times New Roman"/>
          <w:sz w:val="24"/>
          <w:szCs w:val="24"/>
        </w:rPr>
        <w:t xml:space="preserve"> </w:t>
      </w:r>
      <w:r w:rsidR="006C2129" w:rsidRPr="008D3590">
        <w:rPr>
          <w:rFonts w:cs="Times New Roman"/>
          <w:sz w:val="24"/>
          <w:szCs w:val="24"/>
        </w:rPr>
        <w:t>adequate</w:t>
      </w:r>
      <w:r w:rsidR="00B4210A" w:rsidRPr="008D3590">
        <w:rPr>
          <w:rFonts w:cs="Times New Roman"/>
          <w:sz w:val="24"/>
          <w:szCs w:val="24"/>
        </w:rPr>
        <w:t xml:space="preserve">. Individuals living in very similar locations may </w:t>
      </w:r>
      <w:r w:rsidR="003E3310">
        <w:rPr>
          <w:rFonts w:cs="Times New Roman"/>
          <w:sz w:val="24"/>
          <w:szCs w:val="24"/>
        </w:rPr>
        <w:t xml:space="preserve">have distinct and different </w:t>
      </w:r>
      <w:r w:rsidR="00B4210A" w:rsidRPr="008D3590">
        <w:rPr>
          <w:rFonts w:cs="Times New Roman"/>
          <w:sz w:val="24"/>
          <w:szCs w:val="24"/>
        </w:rPr>
        <w:t>p</w:t>
      </w:r>
      <w:r w:rsidR="003E3310">
        <w:rPr>
          <w:rFonts w:cs="Times New Roman"/>
          <w:sz w:val="24"/>
          <w:szCs w:val="24"/>
        </w:rPr>
        <w:t xml:space="preserve">erceptions of physical accessibility </w:t>
      </w:r>
      <w:r w:rsidR="00B4210A" w:rsidRPr="008D3590">
        <w:rPr>
          <w:rFonts w:cs="Times New Roman"/>
          <w:sz w:val="24"/>
          <w:szCs w:val="24"/>
        </w:rPr>
        <w:t>due to differences in time budgets and space–time restrictions resulting from engagement in fixed activities</w:t>
      </w:r>
      <w:r w:rsidR="003C0BED" w:rsidRPr="008D3590">
        <w:rPr>
          <w:rFonts w:cs="Times New Roman"/>
          <w:sz w:val="24"/>
          <w:szCs w:val="24"/>
        </w:rPr>
        <w:t>,</w:t>
      </w:r>
      <w:r w:rsidR="00B4210A" w:rsidRPr="008D3590">
        <w:rPr>
          <w:rFonts w:cs="Times New Roman"/>
          <w:sz w:val="24"/>
          <w:szCs w:val="24"/>
        </w:rPr>
        <w:t xml:space="preserve"> </w:t>
      </w:r>
      <w:r w:rsidR="003C0BED" w:rsidRPr="008D3590">
        <w:rPr>
          <w:rFonts w:cs="Times New Roman"/>
          <w:sz w:val="24"/>
          <w:szCs w:val="24"/>
        </w:rPr>
        <w:t>or even</w:t>
      </w:r>
      <w:r w:rsidR="00B4210A" w:rsidRPr="008D3590">
        <w:rPr>
          <w:rFonts w:cs="Times New Roman"/>
          <w:sz w:val="24"/>
          <w:szCs w:val="24"/>
        </w:rPr>
        <w:t xml:space="preserve"> </w:t>
      </w:r>
      <w:r w:rsidR="003E3310">
        <w:rPr>
          <w:rFonts w:cs="Times New Roman"/>
          <w:sz w:val="24"/>
          <w:szCs w:val="24"/>
        </w:rPr>
        <w:t xml:space="preserve">due to </w:t>
      </w:r>
      <w:r w:rsidR="00B4210A" w:rsidRPr="008D3590">
        <w:rPr>
          <w:rFonts w:cs="Times New Roman"/>
          <w:sz w:val="24"/>
          <w:szCs w:val="24"/>
        </w:rPr>
        <w:t>differences in perceptions associated with personalities, societal roles</w:t>
      </w:r>
      <w:r w:rsidR="003C0BED" w:rsidRPr="008D3590">
        <w:rPr>
          <w:rFonts w:cs="Times New Roman"/>
          <w:sz w:val="24"/>
          <w:szCs w:val="24"/>
        </w:rPr>
        <w:t>,</w:t>
      </w:r>
      <w:r w:rsidR="00B4210A" w:rsidRPr="008D3590">
        <w:rPr>
          <w:rFonts w:cs="Times New Roman"/>
          <w:sz w:val="24"/>
          <w:szCs w:val="24"/>
        </w:rPr>
        <w:t xml:space="preserve"> and lifestyles. </w:t>
      </w:r>
      <w:r w:rsidR="006C2129" w:rsidRPr="008D3590">
        <w:rPr>
          <w:rFonts w:cs="Times New Roman"/>
          <w:sz w:val="24"/>
          <w:szCs w:val="24"/>
        </w:rPr>
        <w:t xml:space="preserve">Indeed, </w:t>
      </w:r>
      <w:r w:rsidR="00B4210A" w:rsidRPr="008D3590">
        <w:rPr>
          <w:rFonts w:cs="Times New Roman"/>
          <w:sz w:val="24"/>
          <w:szCs w:val="24"/>
        </w:rPr>
        <w:t xml:space="preserve">Curl et al. (2011) conducted semi-structured interviews with </w:t>
      </w:r>
      <w:r w:rsidR="00FC2F22" w:rsidRPr="008D3590">
        <w:rPr>
          <w:rFonts w:cs="Times New Roman"/>
          <w:sz w:val="24"/>
          <w:szCs w:val="24"/>
        </w:rPr>
        <w:t>L</w:t>
      </w:r>
      <w:r w:rsidR="00B4210A" w:rsidRPr="008D3590">
        <w:rPr>
          <w:rFonts w:cs="Times New Roman"/>
          <w:sz w:val="24"/>
          <w:szCs w:val="24"/>
        </w:rPr>
        <w:t xml:space="preserve">ocal </w:t>
      </w:r>
      <w:r w:rsidR="00FC2F22" w:rsidRPr="008D3590">
        <w:rPr>
          <w:rFonts w:cs="Times New Roman"/>
          <w:sz w:val="24"/>
          <w:szCs w:val="24"/>
        </w:rPr>
        <w:t>T</w:t>
      </w:r>
      <w:r w:rsidR="00B4210A" w:rsidRPr="008D3590">
        <w:rPr>
          <w:rFonts w:cs="Times New Roman"/>
          <w:sz w:val="24"/>
          <w:szCs w:val="24"/>
        </w:rPr>
        <w:t xml:space="preserve">ransport </w:t>
      </w:r>
      <w:r w:rsidR="00FC2F22" w:rsidRPr="008D3590">
        <w:rPr>
          <w:rFonts w:cs="Times New Roman"/>
          <w:sz w:val="24"/>
          <w:szCs w:val="24"/>
        </w:rPr>
        <w:t>A</w:t>
      </w:r>
      <w:r w:rsidR="00B4210A" w:rsidRPr="008D3590">
        <w:rPr>
          <w:rFonts w:cs="Times New Roman"/>
          <w:sz w:val="24"/>
          <w:szCs w:val="24"/>
        </w:rPr>
        <w:t xml:space="preserve">uthorities (LTA) in England </w:t>
      </w:r>
      <w:r w:rsidR="003E3310">
        <w:rPr>
          <w:rFonts w:cs="Times New Roman"/>
          <w:sz w:val="24"/>
          <w:szCs w:val="24"/>
        </w:rPr>
        <w:t>and conclude</w:t>
      </w:r>
      <w:r w:rsidR="00EC06E2">
        <w:rPr>
          <w:rFonts w:cs="Times New Roman"/>
          <w:sz w:val="24"/>
          <w:szCs w:val="24"/>
        </w:rPr>
        <w:t>d</w:t>
      </w:r>
      <w:r w:rsidR="003E3310">
        <w:rPr>
          <w:rFonts w:cs="Times New Roman"/>
          <w:sz w:val="24"/>
          <w:szCs w:val="24"/>
        </w:rPr>
        <w:t xml:space="preserve"> that </w:t>
      </w:r>
      <w:r w:rsidR="003C0BED" w:rsidRPr="008D3590">
        <w:rPr>
          <w:rFonts w:cs="Times New Roman"/>
          <w:sz w:val="24"/>
          <w:szCs w:val="24"/>
        </w:rPr>
        <w:t xml:space="preserve">the </w:t>
      </w:r>
      <w:r w:rsidR="00B4210A" w:rsidRPr="008D3590">
        <w:rPr>
          <w:rFonts w:cs="Times New Roman"/>
          <w:sz w:val="24"/>
          <w:szCs w:val="24"/>
        </w:rPr>
        <w:t xml:space="preserve">measures of accessibility often used by planners may not </w:t>
      </w:r>
      <w:r w:rsidR="003E3310">
        <w:rPr>
          <w:rFonts w:cs="Times New Roman"/>
          <w:sz w:val="24"/>
          <w:szCs w:val="24"/>
        </w:rPr>
        <w:t>capture</w:t>
      </w:r>
      <w:r w:rsidR="00B4210A" w:rsidRPr="008D3590">
        <w:rPr>
          <w:rFonts w:cs="Times New Roman"/>
          <w:sz w:val="24"/>
          <w:szCs w:val="24"/>
        </w:rPr>
        <w:t xml:space="preserve"> the complex social interactions, perception</w:t>
      </w:r>
      <w:r w:rsidR="00EC06E2">
        <w:rPr>
          <w:rFonts w:cs="Times New Roman"/>
          <w:sz w:val="24"/>
          <w:szCs w:val="24"/>
        </w:rPr>
        <w:t>s</w:t>
      </w:r>
      <w:r w:rsidR="003C0BED" w:rsidRPr="008D3590">
        <w:rPr>
          <w:rFonts w:cs="Times New Roman"/>
          <w:sz w:val="24"/>
          <w:szCs w:val="24"/>
        </w:rPr>
        <w:t>,</w:t>
      </w:r>
      <w:r w:rsidR="00B4210A" w:rsidRPr="008D3590">
        <w:rPr>
          <w:rFonts w:cs="Times New Roman"/>
          <w:sz w:val="24"/>
          <w:szCs w:val="24"/>
        </w:rPr>
        <w:t xml:space="preserve"> and behaviors </w:t>
      </w:r>
      <w:r w:rsidR="003C0BED" w:rsidRPr="008D3590">
        <w:rPr>
          <w:rFonts w:cs="Times New Roman"/>
          <w:sz w:val="24"/>
          <w:szCs w:val="24"/>
        </w:rPr>
        <w:t xml:space="preserve">that </w:t>
      </w:r>
      <w:r w:rsidR="00B4210A" w:rsidRPr="008D3590">
        <w:rPr>
          <w:rFonts w:cs="Times New Roman"/>
          <w:sz w:val="24"/>
          <w:szCs w:val="24"/>
        </w:rPr>
        <w:t xml:space="preserve">influence travel. A number of respondents suggested that a good measure of accessibility would incorporate how people </w:t>
      </w:r>
      <w:r w:rsidR="00A07646">
        <w:rPr>
          <w:rFonts w:cs="Times New Roman"/>
          <w:sz w:val="24"/>
          <w:szCs w:val="24"/>
        </w:rPr>
        <w:t xml:space="preserve">psychologically </w:t>
      </w:r>
      <w:r w:rsidR="00B4210A" w:rsidRPr="008D3590">
        <w:rPr>
          <w:rFonts w:cs="Times New Roman"/>
          <w:sz w:val="24"/>
          <w:szCs w:val="24"/>
        </w:rPr>
        <w:lastRenderedPageBreak/>
        <w:t>perceive accessibility</w:t>
      </w:r>
      <w:r w:rsidR="006C2129" w:rsidRPr="008D3590">
        <w:rPr>
          <w:rFonts w:cs="Times New Roman"/>
          <w:sz w:val="24"/>
          <w:szCs w:val="24"/>
        </w:rPr>
        <w:t>.</w:t>
      </w:r>
      <w:r w:rsidR="00B4210A" w:rsidRPr="008D3590">
        <w:rPr>
          <w:rFonts w:cs="Times New Roman"/>
          <w:sz w:val="24"/>
          <w:szCs w:val="24"/>
        </w:rPr>
        <w:t xml:space="preserve"> </w:t>
      </w:r>
      <w:r w:rsidR="003E3310">
        <w:rPr>
          <w:rFonts w:cs="Times New Roman"/>
          <w:sz w:val="24"/>
          <w:szCs w:val="24"/>
        </w:rPr>
        <w:t>A similar case may be made about the importance of considering intrinsic perceptions in forming a good measure of virtual accessibility</w:t>
      </w:r>
      <w:r w:rsidR="00EC06E2">
        <w:rPr>
          <w:rFonts w:cs="Times New Roman"/>
          <w:sz w:val="24"/>
          <w:szCs w:val="24"/>
        </w:rPr>
        <w:t xml:space="preserve">.  </w:t>
      </w:r>
    </w:p>
    <w:p w14:paraId="6620C385" w14:textId="346EB4AD" w:rsidR="00762839" w:rsidRPr="008D3590" w:rsidRDefault="00361FAB" w:rsidP="008D3590">
      <w:pPr>
        <w:ind w:firstLine="720"/>
        <w:rPr>
          <w:rFonts w:cs="Times New Roman"/>
          <w:sz w:val="24"/>
          <w:szCs w:val="24"/>
          <w:lang w:eastAsia="zh-CN"/>
        </w:rPr>
      </w:pPr>
      <w:r w:rsidRPr="008D3590">
        <w:rPr>
          <w:rFonts w:cs="Times New Roman"/>
          <w:sz w:val="24"/>
          <w:szCs w:val="24"/>
        </w:rPr>
        <w:t xml:space="preserve">Similar to other </w:t>
      </w:r>
      <w:r w:rsidR="007757DE">
        <w:rPr>
          <w:rFonts w:cs="Times New Roman"/>
          <w:sz w:val="24"/>
          <w:szCs w:val="24"/>
        </w:rPr>
        <w:t>psychological</w:t>
      </w:r>
      <w:r w:rsidRPr="008D3590">
        <w:rPr>
          <w:rFonts w:cs="Times New Roman"/>
          <w:sz w:val="24"/>
          <w:szCs w:val="24"/>
        </w:rPr>
        <w:t xml:space="preserve"> constructs, </w:t>
      </w:r>
      <w:r w:rsidR="000D68AD" w:rsidRPr="008D3590">
        <w:rPr>
          <w:rFonts w:cs="Times New Roman"/>
          <w:sz w:val="24"/>
          <w:szCs w:val="24"/>
        </w:rPr>
        <w:t xml:space="preserve">however, </w:t>
      </w:r>
      <w:r w:rsidRPr="008D3590">
        <w:rPr>
          <w:rFonts w:cs="Times New Roman"/>
          <w:sz w:val="24"/>
          <w:szCs w:val="24"/>
        </w:rPr>
        <w:t xml:space="preserve">there is not a single or specific measure to quantify perceived accessibility. Therefore, it is appropriate to consider that perceived accessibility is an underlying </w:t>
      </w:r>
      <w:r w:rsidR="000D2AFF" w:rsidRPr="008D3590">
        <w:rPr>
          <w:rFonts w:cs="Times New Roman"/>
          <w:sz w:val="24"/>
          <w:szCs w:val="24"/>
        </w:rPr>
        <w:t xml:space="preserve">latent (to the analyst) </w:t>
      </w:r>
      <w:r w:rsidRPr="008D3590">
        <w:rPr>
          <w:rFonts w:cs="Times New Roman"/>
          <w:sz w:val="24"/>
          <w:szCs w:val="24"/>
        </w:rPr>
        <w:t>factor that</w:t>
      </w:r>
      <w:r w:rsidR="000D2AFF" w:rsidRPr="008D3590">
        <w:rPr>
          <w:rFonts w:cs="Times New Roman"/>
          <w:sz w:val="24"/>
          <w:szCs w:val="24"/>
        </w:rPr>
        <w:t xml:space="preserve"> gets manifested in the form of multiple expressed indicators</w:t>
      </w:r>
      <w:r w:rsidRPr="008D3590">
        <w:rPr>
          <w:rFonts w:cs="Times New Roman"/>
          <w:sz w:val="24"/>
          <w:szCs w:val="24"/>
        </w:rPr>
        <w:t>. This latent variable may have a structural relationship with (be explained by) individual characteristics and objective</w:t>
      </w:r>
      <w:r w:rsidR="00D91CF6">
        <w:rPr>
          <w:rFonts w:cs="Times New Roman"/>
          <w:sz w:val="24"/>
          <w:szCs w:val="24"/>
        </w:rPr>
        <w:t xml:space="preserve"> </w:t>
      </w:r>
      <w:r w:rsidRPr="008D3590">
        <w:rPr>
          <w:rFonts w:cs="Times New Roman"/>
          <w:sz w:val="24"/>
          <w:szCs w:val="24"/>
        </w:rPr>
        <w:t xml:space="preserve">accessibility measures, and </w:t>
      </w:r>
      <w:r w:rsidR="000D2AFF" w:rsidRPr="008D3590">
        <w:rPr>
          <w:rFonts w:cs="Times New Roman"/>
          <w:sz w:val="24"/>
          <w:szCs w:val="24"/>
        </w:rPr>
        <w:t xml:space="preserve">also </w:t>
      </w:r>
      <w:r w:rsidRPr="008D3590">
        <w:rPr>
          <w:rFonts w:cs="Times New Roman"/>
          <w:sz w:val="24"/>
          <w:szCs w:val="24"/>
        </w:rPr>
        <w:t xml:space="preserve">have a stochastic component to account for </w:t>
      </w:r>
      <w:r w:rsidR="004776BB" w:rsidRPr="008D3590">
        <w:rPr>
          <w:rFonts w:cs="Times New Roman"/>
          <w:sz w:val="24"/>
          <w:szCs w:val="24"/>
        </w:rPr>
        <w:t>individual-perceived and analyst</w:t>
      </w:r>
      <w:r w:rsidR="00D91CF6">
        <w:rPr>
          <w:rFonts w:cs="Times New Roman"/>
          <w:sz w:val="24"/>
          <w:szCs w:val="24"/>
        </w:rPr>
        <w:t xml:space="preserve"> </w:t>
      </w:r>
      <w:r w:rsidRPr="008D3590">
        <w:rPr>
          <w:rFonts w:cs="Times New Roman"/>
          <w:sz w:val="24"/>
          <w:szCs w:val="24"/>
        </w:rPr>
        <w:t>measur</w:t>
      </w:r>
      <w:r w:rsidR="004776BB" w:rsidRPr="008D3590">
        <w:rPr>
          <w:rFonts w:cs="Times New Roman"/>
          <w:sz w:val="24"/>
          <w:szCs w:val="24"/>
        </w:rPr>
        <w:t>e</w:t>
      </w:r>
      <w:r w:rsidR="00D91CF6">
        <w:rPr>
          <w:rFonts w:cs="Times New Roman"/>
          <w:sz w:val="24"/>
          <w:szCs w:val="24"/>
        </w:rPr>
        <w:t xml:space="preserve">ment </w:t>
      </w:r>
      <w:r w:rsidRPr="008D3590">
        <w:rPr>
          <w:rFonts w:cs="Times New Roman"/>
          <w:sz w:val="24"/>
          <w:szCs w:val="24"/>
        </w:rPr>
        <w:t xml:space="preserve">errors. This notion </w:t>
      </w:r>
      <w:r w:rsidR="004776BB" w:rsidRPr="008D3590">
        <w:rPr>
          <w:rFonts w:cs="Times New Roman"/>
          <w:sz w:val="24"/>
          <w:szCs w:val="24"/>
        </w:rPr>
        <w:t xml:space="preserve">of a latent construct for accessibility </w:t>
      </w:r>
      <w:r w:rsidRPr="008D3590">
        <w:rPr>
          <w:rFonts w:cs="Times New Roman"/>
          <w:sz w:val="24"/>
          <w:szCs w:val="24"/>
        </w:rPr>
        <w:t xml:space="preserve">and modeling approach is applicable to both </w:t>
      </w:r>
      <w:r w:rsidR="000D68AD" w:rsidRPr="008D3590">
        <w:rPr>
          <w:rFonts w:cs="Times New Roman"/>
          <w:sz w:val="24"/>
          <w:szCs w:val="24"/>
        </w:rPr>
        <w:t xml:space="preserve">virtual and </w:t>
      </w:r>
      <w:r w:rsidRPr="008D3590">
        <w:rPr>
          <w:rFonts w:cs="Times New Roman"/>
          <w:sz w:val="24"/>
          <w:szCs w:val="24"/>
        </w:rPr>
        <w:t xml:space="preserve">physical accessibility, and if both types of accessibility are used in the same model, the relationship between the two </w:t>
      </w:r>
      <w:r w:rsidR="000D2AFF" w:rsidRPr="008D3590">
        <w:rPr>
          <w:rFonts w:cs="Times New Roman"/>
          <w:sz w:val="24"/>
          <w:szCs w:val="24"/>
        </w:rPr>
        <w:t xml:space="preserve">stochastic </w:t>
      </w:r>
      <w:r w:rsidRPr="008D3590">
        <w:rPr>
          <w:rFonts w:cs="Times New Roman"/>
          <w:sz w:val="24"/>
          <w:szCs w:val="24"/>
        </w:rPr>
        <w:t xml:space="preserve">types of accessibility can be quantified by the correlation between the two latent </w:t>
      </w:r>
      <w:r w:rsidR="004776BB" w:rsidRPr="008D3590">
        <w:rPr>
          <w:rFonts w:cs="Times New Roman"/>
          <w:sz w:val="24"/>
          <w:szCs w:val="24"/>
        </w:rPr>
        <w:t>constructs</w:t>
      </w:r>
      <w:r w:rsidRPr="008D3590">
        <w:rPr>
          <w:rFonts w:cs="Times New Roman"/>
          <w:sz w:val="24"/>
          <w:szCs w:val="24"/>
        </w:rPr>
        <w:t xml:space="preserve">. </w:t>
      </w:r>
      <w:r w:rsidR="000D2AFF" w:rsidRPr="008D3590">
        <w:rPr>
          <w:rFonts w:cs="Times New Roman"/>
          <w:sz w:val="24"/>
          <w:szCs w:val="24"/>
        </w:rPr>
        <w:t xml:space="preserve">Further, the presence of individual-specific stochasticity in these latent constructs, and the impact of these latent constructs on </w:t>
      </w:r>
      <w:r w:rsidR="003473F5">
        <w:rPr>
          <w:rFonts w:cs="Times New Roman"/>
          <w:sz w:val="24"/>
          <w:szCs w:val="24"/>
        </w:rPr>
        <w:t>VAG</w:t>
      </w:r>
      <w:r w:rsidR="000D2AFF" w:rsidRPr="008D3590">
        <w:rPr>
          <w:rFonts w:cs="Times New Roman"/>
          <w:sz w:val="24"/>
          <w:szCs w:val="24"/>
        </w:rPr>
        <w:t xml:space="preserve"> (such as </w:t>
      </w:r>
      <w:r w:rsidR="00C23B27" w:rsidRPr="008D3590">
        <w:rPr>
          <w:rFonts w:cs="Times New Roman"/>
          <w:sz w:val="24"/>
          <w:szCs w:val="24"/>
        </w:rPr>
        <w:t xml:space="preserve">working from home, </w:t>
      </w:r>
      <w:r w:rsidR="00566F7B" w:rsidRPr="008D3590">
        <w:rPr>
          <w:rFonts w:cs="Times New Roman"/>
          <w:sz w:val="24"/>
          <w:szCs w:val="24"/>
        </w:rPr>
        <w:t xml:space="preserve">and </w:t>
      </w:r>
      <w:r w:rsidR="00C23B27" w:rsidRPr="008D3590">
        <w:rPr>
          <w:rFonts w:cs="Times New Roman"/>
          <w:sz w:val="24"/>
          <w:szCs w:val="24"/>
        </w:rPr>
        <w:t xml:space="preserve">shopping </w:t>
      </w:r>
      <w:r w:rsidR="00566F7B" w:rsidRPr="008D3590">
        <w:rPr>
          <w:rFonts w:cs="Times New Roman"/>
          <w:sz w:val="24"/>
          <w:szCs w:val="24"/>
        </w:rPr>
        <w:t>for food/other goods on-line</w:t>
      </w:r>
      <w:r w:rsidR="00C23B27" w:rsidRPr="008D3590">
        <w:rPr>
          <w:rFonts w:cs="Times New Roman"/>
          <w:sz w:val="24"/>
          <w:szCs w:val="24"/>
        </w:rPr>
        <w:t xml:space="preserve">) </w:t>
      </w:r>
      <w:r w:rsidR="000D2AFF" w:rsidRPr="008D3590">
        <w:rPr>
          <w:rFonts w:cs="Times New Roman"/>
          <w:sz w:val="24"/>
          <w:szCs w:val="24"/>
        </w:rPr>
        <w:t xml:space="preserve">as well as </w:t>
      </w:r>
      <w:r w:rsidR="003473F5">
        <w:rPr>
          <w:rFonts w:cs="Times New Roman"/>
          <w:sz w:val="24"/>
          <w:szCs w:val="24"/>
        </w:rPr>
        <w:t xml:space="preserve">PAG </w:t>
      </w:r>
      <w:r w:rsidR="00C23B27" w:rsidRPr="008D3590">
        <w:rPr>
          <w:rFonts w:cs="Times New Roman"/>
          <w:sz w:val="24"/>
          <w:szCs w:val="24"/>
        </w:rPr>
        <w:t xml:space="preserve">(such as participation and duration in OH mandatory, maintenance, and discretionary activity episodes) </w:t>
      </w:r>
      <w:r w:rsidR="000D2AFF" w:rsidRPr="008D3590">
        <w:rPr>
          <w:rFonts w:cs="Times New Roman"/>
          <w:sz w:val="24"/>
          <w:szCs w:val="24"/>
        </w:rPr>
        <w:t xml:space="preserve">immediately implies </w:t>
      </w:r>
      <w:proofErr w:type="spellStart"/>
      <w:r w:rsidR="000D2AFF" w:rsidRPr="008D3590">
        <w:rPr>
          <w:rFonts w:cs="Times New Roman"/>
          <w:sz w:val="24"/>
          <w:szCs w:val="24"/>
        </w:rPr>
        <w:t>jointness</w:t>
      </w:r>
      <w:proofErr w:type="spellEnd"/>
      <w:r w:rsidR="000D2AFF" w:rsidRPr="008D3590">
        <w:rPr>
          <w:rFonts w:cs="Times New Roman"/>
          <w:sz w:val="24"/>
          <w:szCs w:val="24"/>
        </w:rPr>
        <w:t xml:space="preserve"> </w:t>
      </w:r>
      <w:r w:rsidR="0078789F">
        <w:rPr>
          <w:rFonts w:cs="Times New Roman"/>
          <w:sz w:val="24"/>
          <w:szCs w:val="24"/>
        </w:rPr>
        <w:t xml:space="preserve">(unobserved correlation) </w:t>
      </w:r>
      <w:r w:rsidR="000D2AFF" w:rsidRPr="008D3590">
        <w:rPr>
          <w:rFonts w:cs="Times New Roman"/>
          <w:sz w:val="24"/>
          <w:szCs w:val="24"/>
        </w:rPr>
        <w:t>in decisio</w:t>
      </w:r>
      <w:r w:rsidR="0078789F">
        <w:rPr>
          <w:rFonts w:cs="Times New Roman"/>
          <w:sz w:val="24"/>
          <w:szCs w:val="24"/>
        </w:rPr>
        <w:t xml:space="preserve">n outcomes </w:t>
      </w:r>
      <w:r w:rsidR="00F42C6A" w:rsidRPr="008D3590">
        <w:rPr>
          <w:rFonts w:cs="Times New Roman"/>
          <w:sz w:val="24"/>
          <w:szCs w:val="24"/>
        </w:rPr>
        <w:t xml:space="preserve">across </w:t>
      </w:r>
      <w:r w:rsidR="00E3438E">
        <w:rPr>
          <w:rFonts w:cs="Times New Roman"/>
          <w:sz w:val="24"/>
          <w:szCs w:val="24"/>
        </w:rPr>
        <w:t>VAG and PAG behaviors</w:t>
      </w:r>
      <w:r w:rsidR="00C23B27" w:rsidRPr="008D3590">
        <w:rPr>
          <w:rFonts w:cs="Times New Roman"/>
          <w:sz w:val="24"/>
          <w:szCs w:val="24"/>
        </w:rPr>
        <w:t xml:space="preserve">. </w:t>
      </w:r>
      <w:r w:rsidR="003473F5">
        <w:rPr>
          <w:rFonts w:cs="Times New Roman"/>
          <w:sz w:val="24"/>
          <w:szCs w:val="24"/>
          <w:lang w:eastAsia="zh-CN"/>
        </w:rPr>
        <w:t>Such a framework</w:t>
      </w:r>
      <w:r w:rsidR="00C23B27" w:rsidRPr="008D3590">
        <w:rPr>
          <w:rFonts w:cs="Times New Roman"/>
          <w:sz w:val="24"/>
          <w:szCs w:val="24"/>
          <w:lang w:eastAsia="zh-CN"/>
        </w:rPr>
        <w:t xml:space="preserve"> also enables us to capture any additional recursive impacts among the </w:t>
      </w:r>
      <w:r w:rsidR="00E3438E">
        <w:rPr>
          <w:rFonts w:cs="Times New Roman"/>
          <w:sz w:val="24"/>
          <w:szCs w:val="24"/>
          <w:lang w:eastAsia="zh-CN"/>
        </w:rPr>
        <w:t xml:space="preserve">VAG and PAG </w:t>
      </w:r>
      <w:r w:rsidR="00C23B27" w:rsidRPr="008D3590">
        <w:rPr>
          <w:rFonts w:cs="Times New Roman"/>
          <w:sz w:val="24"/>
          <w:szCs w:val="24"/>
          <w:lang w:eastAsia="zh-CN"/>
        </w:rPr>
        <w:t xml:space="preserve">behaviors, </w:t>
      </w:r>
      <w:r w:rsidR="00C23B27" w:rsidRPr="003473F5">
        <w:rPr>
          <w:rFonts w:cs="Times New Roman"/>
          <w:sz w:val="24"/>
          <w:szCs w:val="24"/>
          <w:u w:val="single"/>
          <w:lang w:eastAsia="zh-CN"/>
        </w:rPr>
        <w:t>after</w:t>
      </w:r>
      <w:r w:rsidR="00C23B27" w:rsidRPr="00947C26">
        <w:rPr>
          <w:rFonts w:cs="Times New Roman"/>
          <w:sz w:val="24"/>
          <w:szCs w:val="24"/>
          <w:lang w:eastAsia="zh-CN"/>
        </w:rPr>
        <w:t xml:space="preserve"> </w:t>
      </w:r>
      <w:r w:rsidR="00C23B27" w:rsidRPr="008D3590">
        <w:rPr>
          <w:rFonts w:cs="Times New Roman"/>
          <w:sz w:val="24"/>
          <w:szCs w:val="24"/>
          <w:lang w:eastAsia="zh-CN"/>
        </w:rPr>
        <w:t xml:space="preserve">accounting for the </w:t>
      </w:r>
      <w:proofErr w:type="spellStart"/>
      <w:r w:rsidR="00C23B27" w:rsidRPr="008D3590">
        <w:rPr>
          <w:rFonts w:cs="Times New Roman"/>
          <w:sz w:val="24"/>
          <w:szCs w:val="24"/>
          <w:lang w:eastAsia="zh-CN"/>
        </w:rPr>
        <w:t>jointness</w:t>
      </w:r>
      <w:proofErr w:type="spellEnd"/>
      <w:r w:rsidR="00C23B27" w:rsidRPr="008D3590">
        <w:rPr>
          <w:rFonts w:cs="Times New Roman"/>
          <w:sz w:val="24"/>
          <w:szCs w:val="24"/>
          <w:lang w:eastAsia="zh-CN"/>
        </w:rPr>
        <w:t xml:space="preserve"> among these behaviors.</w:t>
      </w:r>
    </w:p>
    <w:p w14:paraId="171DE163" w14:textId="77777777" w:rsidR="0057651E" w:rsidRPr="008D3590" w:rsidRDefault="0057651E" w:rsidP="00FC2F22">
      <w:pPr>
        <w:ind w:firstLine="708"/>
        <w:rPr>
          <w:rFonts w:cs="Times New Roman"/>
          <w:sz w:val="24"/>
          <w:szCs w:val="24"/>
        </w:rPr>
      </w:pPr>
    </w:p>
    <w:p w14:paraId="47F42AB7" w14:textId="4BC59D16" w:rsidR="00B64FAC" w:rsidRPr="008D3590" w:rsidRDefault="00B64FAC" w:rsidP="004356A9">
      <w:pPr>
        <w:outlineLvl w:val="0"/>
        <w:rPr>
          <w:rFonts w:cs="Times New Roman"/>
          <w:b/>
          <w:sz w:val="24"/>
          <w:szCs w:val="24"/>
        </w:rPr>
      </w:pPr>
      <w:r w:rsidRPr="008D3590">
        <w:rPr>
          <w:rFonts w:cs="Times New Roman"/>
          <w:b/>
          <w:sz w:val="24"/>
          <w:szCs w:val="24"/>
        </w:rPr>
        <w:t>2.</w:t>
      </w:r>
      <w:r w:rsidR="003473F5">
        <w:rPr>
          <w:rFonts w:cs="Times New Roman"/>
          <w:b/>
          <w:sz w:val="24"/>
          <w:szCs w:val="24"/>
        </w:rPr>
        <w:t xml:space="preserve"> </w:t>
      </w:r>
      <w:r w:rsidRPr="008D3590">
        <w:rPr>
          <w:rFonts w:cs="Times New Roman"/>
          <w:b/>
          <w:sz w:val="24"/>
          <w:szCs w:val="24"/>
        </w:rPr>
        <w:t>Data Source and</w:t>
      </w:r>
      <w:r w:rsidR="00CE7F3A" w:rsidRPr="008D3590">
        <w:rPr>
          <w:rFonts w:cs="Times New Roman"/>
          <w:b/>
          <w:sz w:val="24"/>
          <w:szCs w:val="24"/>
        </w:rPr>
        <w:t xml:space="preserve"> </w:t>
      </w:r>
      <w:r w:rsidR="003473F5">
        <w:rPr>
          <w:rFonts w:cs="Times New Roman"/>
          <w:b/>
          <w:sz w:val="24"/>
          <w:szCs w:val="24"/>
        </w:rPr>
        <w:t xml:space="preserve">Analysis </w:t>
      </w:r>
      <w:r w:rsidR="00CE7F3A" w:rsidRPr="008D3590">
        <w:rPr>
          <w:rFonts w:cs="Times New Roman"/>
          <w:b/>
          <w:sz w:val="24"/>
          <w:szCs w:val="24"/>
        </w:rPr>
        <w:t>Framework</w:t>
      </w:r>
    </w:p>
    <w:p w14:paraId="1825DEC0" w14:textId="6A9DA05F" w:rsidR="00D530BB" w:rsidRPr="008D3590" w:rsidRDefault="00DA3994" w:rsidP="00DA3994">
      <w:pPr>
        <w:rPr>
          <w:rFonts w:eastAsia="SimSun" w:cs="Times New Roman"/>
          <w:sz w:val="24"/>
          <w:szCs w:val="24"/>
        </w:rPr>
      </w:pPr>
      <w:r w:rsidRPr="008D3590">
        <w:rPr>
          <w:rFonts w:eastAsia="SimSun" w:cs="Times New Roman"/>
          <w:sz w:val="24"/>
          <w:szCs w:val="24"/>
        </w:rPr>
        <w:t xml:space="preserve">The </w:t>
      </w:r>
      <w:r w:rsidR="004A487E" w:rsidRPr="008D3590">
        <w:rPr>
          <w:rFonts w:eastAsia="SimSun" w:cs="Times New Roman"/>
          <w:sz w:val="24"/>
          <w:szCs w:val="24"/>
        </w:rPr>
        <w:t>2011 and 2012 National Travel Survey in Great Britain</w:t>
      </w:r>
      <w:r w:rsidRPr="008D3590">
        <w:rPr>
          <w:rFonts w:eastAsia="SimSun" w:cs="Times New Roman"/>
          <w:sz w:val="24"/>
          <w:szCs w:val="24"/>
        </w:rPr>
        <w:t xml:space="preserve"> collected detailed information on socio-economic</w:t>
      </w:r>
      <w:r w:rsidR="008A3701" w:rsidRPr="008D3590">
        <w:rPr>
          <w:rFonts w:eastAsia="SimSun" w:cs="Times New Roman"/>
          <w:sz w:val="24"/>
          <w:szCs w:val="24"/>
        </w:rPr>
        <w:t xml:space="preserve"> </w:t>
      </w:r>
      <w:r w:rsidR="004A487E" w:rsidRPr="008D3590">
        <w:rPr>
          <w:rFonts w:eastAsia="SimSun" w:cs="Times New Roman"/>
          <w:sz w:val="24"/>
          <w:szCs w:val="24"/>
        </w:rPr>
        <w:t xml:space="preserve">and </w:t>
      </w:r>
      <w:r w:rsidRPr="008D3590">
        <w:rPr>
          <w:rFonts w:eastAsia="SimSun" w:cs="Times New Roman"/>
          <w:sz w:val="24"/>
          <w:szCs w:val="24"/>
        </w:rPr>
        <w:t>demographic characteristics of households</w:t>
      </w:r>
      <w:r w:rsidR="00E9481D" w:rsidRPr="008D3590">
        <w:rPr>
          <w:rFonts w:eastAsia="SimSun" w:cs="Times New Roman"/>
          <w:sz w:val="24"/>
          <w:szCs w:val="24"/>
        </w:rPr>
        <w:t xml:space="preserve"> and </w:t>
      </w:r>
      <w:r w:rsidRPr="008D3590">
        <w:rPr>
          <w:rFonts w:eastAsia="SimSun" w:cs="Times New Roman"/>
          <w:sz w:val="24"/>
          <w:szCs w:val="24"/>
        </w:rPr>
        <w:t xml:space="preserve">individuals. It also </w:t>
      </w:r>
      <w:r w:rsidR="004A487E" w:rsidRPr="008D3590">
        <w:rPr>
          <w:rFonts w:eastAsia="SimSun" w:cs="Times New Roman"/>
          <w:sz w:val="24"/>
          <w:szCs w:val="24"/>
        </w:rPr>
        <w:t xml:space="preserve">asked every individual in the household to </w:t>
      </w:r>
      <w:r w:rsidR="00E9481D" w:rsidRPr="008D3590">
        <w:rPr>
          <w:rFonts w:eastAsia="SimSun" w:cs="Times New Roman"/>
          <w:sz w:val="24"/>
          <w:szCs w:val="24"/>
        </w:rPr>
        <w:t>maintain</w:t>
      </w:r>
      <w:r w:rsidR="004A487E" w:rsidRPr="008D3590">
        <w:rPr>
          <w:rFonts w:eastAsia="SimSun" w:cs="Times New Roman"/>
          <w:sz w:val="24"/>
          <w:szCs w:val="24"/>
        </w:rPr>
        <w:t xml:space="preserve"> </w:t>
      </w:r>
      <w:r w:rsidRPr="008D3590">
        <w:rPr>
          <w:rFonts w:eastAsia="SimSun" w:cs="Times New Roman"/>
          <w:sz w:val="24"/>
          <w:szCs w:val="24"/>
        </w:rPr>
        <w:t xml:space="preserve">a seven-day travel diary. </w:t>
      </w:r>
      <w:r w:rsidR="00EE047F" w:rsidRPr="008D3590">
        <w:rPr>
          <w:rFonts w:eastAsia="SimSun" w:cs="Times New Roman"/>
          <w:sz w:val="24"/>
          <w:szCs w:val="24"/>
        </w:rPr>
        <w:t xml:space="preserve">Details of the data set and survey administration are available in </w:t>
      </w:r>
      <w:r w:rsidR="00447432">
        <w:rPr>
          <w:rFonts w:eastAsia="SimSun" w:cs="Times New Roman"/>
          <w:sz w:val="24"/>
          <w:szCs w:val="24"/>
        </w:rPr>
        <w:t>the technical report (Taylor et</w:t>
      </w:r>
      <w:r w:rsidR="00FC2F22" w:rsidRPr="008D3590">
        <w:rPr>
          <w:rFonts w:eastAsia="SimSun" w:cs="Times New Roman"/>
          <w:sz w:val="24"/>
          <w:szCs w:val="24"/>
        </w:rPr>
        <w:t xml:space="preserve"> al.</w:t>
      </w:r>
      <w:r w:rsidR="00B32C09">
        <w:rPr>
          <w:rFonts w:eastAsia="SimSun" w:cs="Times New Roman"/>
          <w:sz w:val="24"/>
          <w:szCs w:val="24"/>
        </w:rPr>
        <w:t>,</w:t>
      </w:r>
      <w:r w:rsidR="00FC2F22" w:rsidRPr="008D3590">
        <w:rPr>
          <w:rFonts w:eastAsia="SimSun" w:cs="Times New Roman"/>
          <w:sz w:val="24"/>
          <w:szCs w:val="24"/>
        </w:rPr>
        <w:t xml:space="preserve"> 2013)</w:t>
      </w:r>
      <w:r w:rsidR="00EE047F" w:rsidRPr="008D3590">
        <w:rPr>
          <w:rFonts w:eastAsia="SimSun" w:cs="Times New Roman"/>
          <w:sz w:val="24"/>
          <w:szCs w:val="24"/>
        </w:rPr>
        <w:t>. For the current analysis, we selected the individual in the household who was both a worker (full-time and part-time) and the main person responsible for food shopping</w:t>
      </w:r>
      <w:r w:rsidR="00D530BB" w:rsidRPr="008D3590">
        <w:rPr>
          <w:rFonts w:eastAsia="SimSun" w:cs="Times New Roman"/>
          <w:sz w:val="24"/>
          <w:szCs w:val="24"/>
        </w:rPr>
        <w:t xml:space="preserve"> (for reasons that we make clear in the next paragraph). The final sample in our analysis comprises </w:t>
      </w:r>
      <w:r w:rsidR="00E662B3" w:rsidRPr="008D3590">
        <w:rPr>
          <w:rFonts w:eastAsia="SimSun" w:cs="Times New Roman"/>
          <w:sz w:val="24"/>
          <w:szCs w:val="24"/>
        </w:rPr>
        <w:t>33</w:t>
      </w:r>
      <w:r w:rsidR="00E662B3">
        <w:rPr>
          <w:rFonts w:eastAsia="SimSun" w:cs="Times New Roman"/>
          <w:sz w:val="24"/>
          <w:szCs w:val="24"/>
        </w:rPr>
        <w:t>19</w:t>
      </w:r>
      <w:r w:rsidR="00E662B3" w:rsidRPr="008D3590">
        <w:rPr>
          <w:rFonts w:eastAsia="SimSun" w:cs="Times New Roman"/>
          <w:sz w:val="24"/>
          <w:szCs w:val="24"/>
        </w:rPr>
        <w:t xml:space="preserve"> </w:t>
      </w:r>
      <w:r w:rsidR="00D530BB" w:rsidRPr="008D3590">
        <w:rPr>
          <w:rFonts w:eastAsia="SimSun" w:cs="Times New Roman"/>
          <w:sz w:val="24"/>
          <w:szCs w:val="24"/>
        </w:rPr>
        <w:t xml:space="preserve">workers. </w:t>
      </w:r>
    </w:p>
    <w:p w14:paraId="60A39406" w14:textId="6496C682" w:rsidR="008D6CA2" w:rsidRPr="008D3590" w:rsidRDefault="00D530BB" w:rsidP="008D3590">
      <w:pPr>
        <w:ind w:firstLine="720"/>
        <w:rPr>
          <w:rFonts w:eastAsia="SimSun" w:cs="Times New Roman"/>
          <w:sz w:val="24"/>
          <w:szCs w:val="24"/>
        </w:rPr>
      </w:pPr>
      <w:r w:rsidRPr="008D3590">
        <w:rPr>
          <w:rFonts w:eastAsia="SimSun" w:cs="Times New Roman"/>
          <w:sz w:val="24"/>
          <w:szCs w:val="24"/>
        </w:rPr>
        <w:t>T</w:t>
      </w:r>
      <w:r w:rsidR="00EE047F" w:rsidRPr="008D3590">
        <w:rPr>
          <w:rFonts w:eastAsia="SimSun" w:cs="Times New Roman"/>
          <w:sz w:val="24"/>
          <w:szCs w:val="24"/>
        </w:rPr>
        <w:t xml:space="preserve">he outcomes related to virtual activity engagement </w:t>
      </w:r>
      <w:r w:rsidR="00AA4C12" w:rsidRPr="008D3590">
        <w:rPr>
          <w:rFonts w:eastAsia="SimSun" w:cs="Times New Roman"/>
          <w:sz w:val="24"/>
          <w:szCs w:val="24"/>
        </w:rPr>
        <w:t xml:space="preserve">(VAG) </w:t>
      </w:r>
      <w:r w:rsidR="00EE047F" w:rsidRPr="008D3590">
        <w:rPr>
          <w:rFonts w:eastAsia="SimSun" w:cs="Times New Roman"/>
          <w:sz w:val="24"/>
          <w:szCs w:val="24"/>
        </w:rPr>
        <w:t xml:space="preserve">collected in the survey pertained to the frequency of working from home, </w:t>
      </w:r>
      <w:r w:rsidR="001532B8" w:rsidRPr="008D3590">
        <w:rPr>
          <w:rFonts w:eastAsia="SimSun" w:cs="Times New Roman"/>
          <w:sz w:val="24"/>
          <w:szCs w:val="24"/>
        </w:rPr>
        <w:t xml:space="preserve">whether the household’s main method of food shopping was online and/or by phone, and </w:t>
      </w:r>
      <w:r w:rsidR="00EE047F" w:rsidRPr="008D3590">
        <w:rPr>
          <w:rFonts w:eastAsia="SimSun" w:cs="Times New Roman"/>
          <w:sz w:val="24"/>
          <w:szCs w:val="24"/>
        </w:rPr>
        <w:t>the frequency of food and goods purchased online or by phone (and delivered to the house)</w:t>
      </w:r>
      <w:r w:rsidR="000D68AD" w:rsidRPr="008D3590">
        <w:rPr>
          <w:rFonts w:eastAsia="SimSun" w:cs="Times New Roman"/>
          <w:sz w:val="24"/>
          <w:szCs w:val="24"/>
        </w:rPr>
        <w:t xml:space="preserve">. The frequency variables, however, are not actual count </w:t>
      </w:r>
      <w:r w:rsidR="000D68AD" w:rsidRPr="008D3590">
        <w:rPr>
          <w:rFonts w:eastAsia="SimSun" w:cs="Times New Roman"/>
          <w:sz w:val="24"/>
          <w:szCs w:val="24"/>
        </w:rPr>
        <w:lastRenderedPageBreak/>
        <w:t>variables, but are collected in ordinal categories. For example, the frequency of food purchased online/by phone and delivered to the house (which we will simply refer to as the “frequency of food deliveries” from here</w:t>
      </w:r>
      <w:r w:rsidR="00A53E67">
        <w:rPr>
          <w:rFonts w:eastAsia="SimSun" w:cs="Times New Roman"/>
          <w:sz w:val="24"/>
          <w:szCs w:val="24"/>
        </w:rPr>
        <w:t xml:space="preserve"> </w:t>
      </w:r>
      <w:r w:rsidR="000D68AD" w:rsidRPr="008D3590">
        <w:rPr>
          <w:rFonts w:eastAsia="SimSun" w:cs="Times New Roman"/>
          <w:sz w:val="24"/>
          <w:szCs w:val="24"/>
        </w:rPr>
        <w:t>on, and similarly we will refer to the frequency of goods purchase</w:t>
      </w:r>
      <w:r w:rsidR="00E003ED" w:rsidRPr="008D3590">
        <w:rPr>
          <w:rFonts w:eastAsia="SimSun" w:cs="Times New Roman"/>
          <w:sz w:val="24"/>
          <w:szCs w:val="24"/>
        </w:rPr>
        <w:t>d</w:t>
      </w:r>
      <w:r w:rsidR="000D68AD" w:rsidRPr="008D3590">
        <w:rPr>
          <w:rFonts w:eastAsia="SimSun" w:cs="Times New Roman"/>
          <w:sz w:val="24"/>
          <w:szCs w:val="24"/>
        </w:rPr>
        <w:t xml:space="preserve"> online or by phone and delivered to the house as the “frequency of good</w:t>
      </w:r>
      <w:r w:rsidR="00FC2F22" w:rsidRPr="008D3590">
        <w:rPr>
          <w:rFonts w:eastAsia="SimSun" w:cs="Times New Roman"/>
          <w:sz w:val="24"/>
          <w:szCs w:val="24"/>
        </w:rPr>
        <w:t>s</w:t>
      </w:r>
      <w:r w:rsidR="000D68AD" w:rsidRPr="008D3590">
        <w:rPr>
          <w:rFonts w:eastAsia="SimSun" w:cs="Times New Roman"/>
          <w:sz w:val="24"/>
          <w:szCs w:val="24"/>
        </w:rPr>
        <w:t xml:space="preserve"> deliveries”) is collected in four ordinal categories: less than once a year, less than once a month, less than once a week, and one or more times per week.</w:t>
      </w:r>
      <w:r w:rsidR="00EE047F" w:rsidRPr="008D3590">
        <w:rPr>
          <w:rFonts w:eastAsia="SimSun" w:cs="Times New Roman"/>
          <w:sz w:val="24"/>
          <w:szCs w:val="24"/>
        </w:rPr>
        <w:t xml:space="preserve"> </w:t>
      </w:r>
      <w:r w:rsidR="00AA0E7A" w:rsidRPr="008D3590">
        <w:rPr>
          <w:rFonts w:eastAsia="SimSun" w:cs="Times New Roman"/>
          <w:sz w:val="24"/>
          <w:szCs w:val="24"/>
        </w:rPr>
        <w:t>Since</w:t>
      </w:r>
      <w:r w:rsidR="000D68AD" w:rsidRPr="008D3590">
        <w:rPr>
          <w:rFonts w:eastAsia="SimSun" w:cs="Times New Roman"/>
          <w:sz w:val="24"/>
          <w:szCs w:val="24"/>
        </w:rPr>
        <w:t xml:space="preserve"> the VAG outcomes</w:t>
      </w:r>
      <w:r w:rsidR="00AA0E7A" w:rsidRPr="008D3590">
        <w:rPr>
          <w:rFonts w:eastAsia="SimSun" w:cs="Times New Roman"/>
          <w:sz w:val="24"/>
          <w:szCs w:val="24"/>
        </w:rPr>
        <w:t xml:space="preserve"> are focused primarily on food purchases, we decided to focus our analysis on </w:t>
      </w:r>
      <w:r w:rsidR="000D68AD" w:rsidRPr="008D3590">
        <w:rPr>
          <w:rFonts w:eastAsia="SimSun" w:cs="Times New Roman"/>
          <w:sz w:val="24"/>
          <w:szCs w:val="24"/>
        </w:rPr>
        <w:t>the individual</w:t>
      </w:r>
      <w:r w:rsidR="00AA0E7A" w:rsidRPr="008D3590">
        <w:rPr>
          <w:rFonts w:eastAsia="SimSun" w:cs="Times New Roman"/>
          <w:sz w:val="24"/>
          <w:szCs w:val="24"/>
        </w:rPr>
        <w:t xml:space="preserve"> in the household who is the main responsible person for food shopping for the household</w:t>
      </w:r>
      <w:r w:rsidR="001316B0">
        <w:rPr>
          <w:rFonts w:eastAsia="SimSun" w:cs="Times New Roman"/>
          <w:sz w:val="24"/>
          <w:szCs w:val="24"/>
        </w:rPr>
        <w:t xml:space="preserve"> </w:t>
      </w:r>
      <w:bookmarkStart w:id="3" w:name="_Hlk505150446"/>
      <w:r w:rsidR="001316B0">
        <w:rPr>
          <w:rFonts w:eastAsia="SimSun" w:cs="Times New Roman"/>
          <w:sz w:val="24"/>
          <w:szCs w:val="24"/>
        </w:rPr>
        <w:t xml:space="preserve">(unfortunately, our data did not elicit information on virtual discretionary activities such as online </w:t>
      </w:r>
      <w:r w:rsidR="00E662B3">
        <w:rPr>
          <w:rFonts w:eastAsia="SimSun" w:cs="Times New Roman"/>
          <w:sz w:val="24"/>
          <w:szCs w:val="24"/>
        </w:rPr>
        <w:t xml:space="preserve">socialization </w:t>
      </w:r>
      <w:r w:rsidR="001316B0">
        <w:rPr>
          <w:rFonts w:eastAsia="SimSun" w:cs="Times New Roman"/>
          <w:sz w:val="24"/>
          <w:szCs w:val="24"/>
        </w:rPr>
        <w:t xml:space="preserve">and recreation, and so we are unable to consider such virtual activities in our empirical analysis; however, our conceptual framework may be extended in a straightforward fashion to include virtual discretionary activity engagement if data were available). </w:t>
      </w:r>
    </w:p>
    <w:bookmarkEnd w:id="3"/>
    <w:p w14:paraId="0E3D788B" w14:textId="696B0AE3" w:rsidR="00EE047F" w:rsidRPr="008D3590" w:rsidRDefault="00EE047F" w:rsidP="008D3590">
      <w:pPr>
        <w:ind w:firstLine="720"/>
        <w:rPr>
          <w:rFonts w:eastAsia="SimSun" w:cs="Times New Roman"/>
          <w:sz w:val="24"/>
          <w:szCs w:val="24"/>
        </w:rPr>
      </w:pPr>
      <w:r w:rsidRPr="008D3590">
        <w:rPr>
          <w:rFonts w:eastAsia="SimSun" w:cs="Times New Roman"/>
          <w:sz w:val="24"/>
          <w:szCs w:val="24"/>
        </w:rPr>
        <w:t xml:space="preserve">The virtual accessibility measures </w:t>
      </w:r>
      <w:r w:rsidR="00AA4C12" w:rsidRPr="008D3590">
        <w:rPr>
          <w:rFonts w:eastAsia="SimSun" w:cs="Times New Roman"/>
          <w:sz w:val="24"/>
          <w:szCs w:val="24"/>
        </w:rPr>
        <w:t xml:space="preserve">(VAMs) </w:t>
      </w:r>
      <w:r w:rsidR="00AA0E7A" w:rsidRPr="008D3590">
        <w:rPr>
          <w:rFonts w:eastAsia="SimSun" w:cs="Times New Roman"/>
          <w:sz w:val="24"/>
          <w:szCs w:val="24"/>
        </w:rPr>
        <w:t xml:space="preserve">impacting virtual activity engagement </w:t>
      </w:r>
      <w:r w:rsidR="00AA4C12" w:rsidRPr="008D3590">
        <w:rPr>
          <w:rFonts w:eastAsia="SimSun" w:cs="Times New Roman"/>
          <w:sz w:val="24"/>
          <w:szCs w:val="24"/>
        </w:rPr>
        <w:t xml:space="preserve">(VAG) </w:t>
      </w:r>
      <w:r w:rsidR="00AA0E7A" w:rsidRPr="008D3590">
        <w:rPr>
          <w:rFonts w:eastAsia="SimSun" w:cs="Times New Roman"/>
          <w:sz w:val="24"/>
          <w:szCs w:val="24"/>
        </w:rPr>
        <w:t xml:space="preserve">frequency (as well as physical activity engagement </w:t>
      </w:r>
      <w:r w:rsidR="00AA4C12" w:rsidRPr="008D3590">
        <w:rPr>
          <w:rFonts w:eastAsia="SimSun" w:cs="Times New Roman"/>
          <w:sz w:val="24"/>
          <w:szCs w:val="24"/>
        </w:rPr>
        <w:t xml:space="preserve">(PAG) </w:t>
      </w:r>
      <w:r w:rsidR="00AA0E7A" w:rsidRPr="008D3590">
        <w:rPr>
          <w:rFonts w:eastAsia="SimSun" w:cs="Times New Roman"/>
          <w:sz w:val="24"/>
          <w:szCs w:val="24"/>
        </w:rPr>
        <w:t xml:space="preserve">characteristics to be discussed later) in our analysis </w:t>
      </w:r>
      <w:r w:rsidRPr="008D3590">
        <w:rPr>
          <w:rFonts w:eastAsia="SimSun" w:cs="Times New Roman"/>
          <w:sz w:val="24"/>
          <w:szCs w:val="24"/>
        </w:rPr>
        <w:t>includ</w:t>
      </w:r>
      <w:r w:rsidR="00A90BC3">
        <w:rPr>
          <w:rFonts w:eastAsia="SimSun" w:cs="Times New Roman"/>
          <w:sz w:val="24"/>
          <w:szCs w:val="24"/>
        </w:rPr>
        <w:t>e</w:t>
      </w:r>
      <w:r w:rsidRPr="008D3590">
        <w:rPr>
          <w:rFonts w:eastAsia="SimSun" w:cs="Times New Roman"/>
          <w:sz w:val="24"/>
          <w:szCs w:val="24"/>
        </w:rPr>
        <w:t xml:space="preserve"> </w:t>
      </w:r>
      <w:r w:rsidR="00E003ED" w:rsidRPr="008D3590">
        <w:rPr>
          <w:rFonts w:eastAsia="SimSun" w:cs="Times New Roman"/>
          <w:sz w:val="24"/>
          <w:szCs w:val="24"/>
        </w:rPr>
        <w:t>(</w:t>
      </w:r>
      <w:r w:rsidR="00712E4A" w:rsidRPr="008D3590">
        <w:rPr>
          <w:rFonts w:eastAsia="SimSun" w:cs="Times New Roman"/>
          <w:sz w:val="24"/>
          <w:szCs w:val="24"/>
        </w:rPr>
        <w:t>a</w:t>
      </w:r>
      <w:r w:rsidR="00E003ED" w:rsidRPr="008D3590">
        <w:rPr>
          <w:rFonts w:eastAsia="SimSun" w:cs="Times New Roman"/>
          <w:sz w:val="24"/>
          <w:szCs w:val="24"/>
        </w:rPr>
        <w:t>) occupation type (managerial/professional jobs relative to other occupation types as a binary variable) that may play a role in determining virtual accessibility,</w:t>
      </w:r>
      <w:r w:rsidRPr="008D3590">
        <w:rPr>
          <w:rFonts w:eastAsia="SimSun" w:cs="Times New Roman"/>
          <w:sz w:val="24"/>
          <w:szCs w:val="24"/>
        </w:rPr>
        <w:t xml:space="preserve"> and </w:t>
      </w:r>
      <w:r w:rsidR="00E003ED" w:rsidRPr="008D3590">
        <w:rPr>
          <w:rFonts w:eastAsia="SimSun" w:cs="Times New Roman"/>
          <w:sz w:val="24"/>
          <w:szCs w:val="24"/>
        </w:rPr>
        <w:t>(</w:t>
      </w:r>
      <w:r w:rsidR="00712E4A" w:rsidRPr="008D3590">
        <w:rPr>
          <w:rFonts w:eastAsia="SimSun" w:cs="Times New Roman"/>
          <w:sz w:val="24"/>
          <w:szCs w:val="24"/>
        </w:rPr>
        <w:t>b</w:t>
      </w:r>
      <w:r w:rsidR="00E003ED" w:rsidRPr="008D3590">
        <w:rPr>
          <w:rFonts w:eastAsia="SimSun" w:cs="Times New Roman"/>
          <w:sz w:val="24"/>
          <w:szCs w:val="24"/>
        </w:rPr>
        <w:t xml:space="preserve">) </w:t>
      </w:r>
      <w:r w:rsidRPr="008D3590">
        <w:rPr>
          <w:rFonts w:eastAsia="SimSun" w:cs="Times New Roman"/>
          <w:sz w:val="24"/>
          <w:szCs w:val="24"/>
        </w:rPr>
        <w:t>internet availability within the home</w:t>
      </w:r>
      <w:r w:rsidR="00D530BB" w:rsidRPr="008D3590">
        <w:rPr>
          <w:rFonts w:eastAsia="SimSun" w:cs="Times New Roman"/>
          <w:sz w:val="24"/>
          <w:szCs w:val="24"/>
        </w:rPr>
        <w:t xml:space="preserve"> (a binary variable)</w:t>
      </w:r>
      <w:r w:rsidRPr="008D3590">
        <w:rPr>
          <w:rFonts w:eastAsia="SimSun" w:cs="Times New Roman"/>
          <w:sz w:val="24"/>
          <w:szCs w:val="24"/>
        </w:rPr>
        <w:t xml:space="preserve">. </w:t>
      </w:r>
      <w:bookmarkStart w:id="4" w:name="_Hlk505151719"/>
      <w:r w:rsidR="00F8643A" w:rsidRPr="008D3590">
        <w:rPr>
          <w:rFonts w:eastAsia="SimSun" w:cs="Times New Roman"/>
          <w:sz w:val="24"/>
          <w:szCs w:val="24"/>
        </w:rPr>
        <w:t xml:space="preserve">While additional information related to </w:t>
      </w:r>
      <w:r w:rsidR="00D530BB" w:rsidRPr="008D3590">
        <w:rPr>
          <w:rFonts w:eastAsia="SimSun" w:cs="Times New Roman"/>
          <w:sz w:val="24"/>
          <w:szCs w:val="24"/>
        </w:rPr>
        <w:t>ICT ownership</w:t>
      </w:r>
      <w:r w:rsidR="00CD5BE8">
        <w:rPr>
          <w:rFonts w:eastAsia="SimSun" w:cs="Times New Roman"/>
          <w:sz w:val="24"/>
          <w:szCs w:val="24"/>
        </w:rPr>
        <w:t xml:space="preserve"> </w:t>
      </w:r>
      <w:r w:rsidR="00D530BB" w:rsidRPr="008D3590">
        <w:rPr>
          <w:rFonts w:eastAsia="SimSun" w:cs="Times New Roman"/>
          <w:sz w:val="24"/>
          <w:szCs w:val="24"/>
        </w:rPr>
        <w:t xml:space="preserve">such as </w:t>
      </w:r>
      <w:r w:rsidR="00E003ED" w:rsidRPr="008D3590">
        <w:rPr>
          <w:rFonts w:eastAsia="SimSun" w:cs="Times New Roman"/>
          <w:sz w:val="24"/>
          <w:szCs w:val="24"/>
        </w:rPr>
        <w:t xml:space="preserve">the </w:t>
      </w:r>
      <w:r w:rsidR="00D530BB" w:rsidRPr="008D3590">
        <w:rPr>
          <w:rFonts w:eastAsia="SimSun" w:cs="Times New Roman"/>
          <w:sz w:val="24"/>
          <w:szCs w:val="24"/>
        </w:rPr>
        <w:t>availability of laptop computers and smartphones</w:t>
      </w:r>
      <w:r w:rsidR="00CD5BE8">
        <w:rPr>
          <w:rFonts w:eastAsia="SimSun" w:cs="Times New Roman"/>
          <w:sz w:val="24"/>
          <w:szCs w:val="24"/>
        </w:rPr>
        <w:t xml:space="preserve"> (to capture availability effects), subscription t</w:t>
      </w:r>
      <w:r w:rsidR="00CD5BE8" w:rsidRPr="008D3590">
        <w:rPr>
          <w:rFonts w:cs="Times New Roman"/>
          <w:sz w:val="24"/>
          <w:szCs w:val="24"/>
        </w:rPr>
        <w:t>o</w:t>
      </w:r>
      <w:r w:rsidR="00CD5BE8">
        <w:rPr>
          <w:rFonts w:cs="Times New Roman"/>
          <w:sz w:val="24"/>
          <w:szCs w:val="24"/>
        </w:rPr>
        <w:t>/coverage of</w:t>
      </w:r>
      <w:r w:rsidR="00CD5BE8" w:rsidRPr="008D3590">
        <w:rPr>
          <w:rFonts w:cs="Times New Roman"/>
          <w:sz w:val="24"/>
          <w:szCs w:val="24"/>
        </w:rPr>
        <w:t xml:space="preserve"> a network provider (</w:t>
      </w:r>
      <w:r w:rsidR="00CD5BE8">
        <w:rPr>
          <w:rFonts w:cs="Times New Roman"/>
          <w:sz w:val="24"/>
          <w:szCs w:val="24"/>
        </w:rPr>
        <w:t xml:space="preserve">to capture “range” effects of virtual reach), and knowledge/comfort levels with technology use (to capture </w:t>
      </w:r>
      <w:r w:rsidR="00CD5BE8" w:rsidRPr="008D3590">
        <w:rPr>
          <w:rFonts w:cs="Times New Roman"/>
          <w:sz w:val="24"/>
          <w:szCs w:val="24"/>
        </w:rPr>
        <w:t>technology-savviness</w:t>
      </w:r>
      <w:r w:rsidR="00CD5BE8">
        <w:rPr>
          <w:rFonts w:cs="Times New Roman"/>
          <w:sz w:val="24"/>
          <w:szCs w:val="24"/>
        </w:rPr>
        <w:t xml:space="preserve"> effects</w:t>
      </w:r>
      <w:r w:rsidR="00CD5BE8" w:rsidRPr="008D3590">
        <w:rPr>
          <w:rFonts w:cs="Times New Roman"/>
          <w:sz w:val="24"/>
          <w:szCs w:val="24"/>
        </w:rPr>
        <w:t>)</w:t>
      </w:r>
      <w:r w:rsidR="00CD5BE8">
        <w:rPr>
          <w:rFonts w:cs="Times New Roman"/>
          <w:sz w:val="24"/>
          <w:szCs w:val="24"/>
        </w:rPr>
        <w:t xml:space="preserve"> </w:t>
      </w:r>
      <w:r w:rsidR="00D530BB" w:rsidRPr="008D3590">
        <w:rPr>
          <w:rFonts w:eastAsia="SimSun" w:cs="Times New Roman"/>
          <w:sz w:val="24"/>
          <w:szCs w:val="24"/>
        </w:rPr>
        <w:t xml:space="preserve">would have been </w:t>
      </w:r>
      <w:r w:rsidR="00DA4CEF">
        <w:rPr>
          <w:rFonts w:eastAsia="SimSun" w:cs="Times New Roman"/>
          <w:sz w:val="24"/>
          <w:szCs w:val="24"/>
        </w:rPr>
        <w:t xml:space="preserve">ideal </w:t>
      </w:r>
      <w:r w:rsidR="000D68AD" w:rsidRPr="008D3590">
        <w:rPr>
          <w:rFonts w:eastAsia="SimSun" w:cs="Times New Roman"/>
          <w:sz w:val="24"/>
          <w:szCs w:val="24"/>
        </w:rPr>
        <w:t>VAMs</w:t>
      </w:r>
      <w:r w:rsidR="00D530BB" w:rsidRPr="008D3590">
        <w:rPr>
          <w:rFonts w:eastAsia="SimSun" w:cs="Times New Roman"/>
          <w:sz w:val="24"/>
          <w:szCs w:val="24"/>
        </w:rPr>
        <w:t xml:space="preserve">, these were not collected in the </w:t>
      </w:r>
      <w:r w:rsidR="00E003ED" w:rsidRPr="008D3590">
        <w:rPr>
          <w:rFonts w:eastAsia="SimSun" w:cs="Times New Roman"/>
          <w:sz w:val="24"/>
          <w:szCs w:val="24"/>
        </w:rPr>
        <w:t>survey</w:t>
      </w:r>
      <w:r w:rsidR="00D530BB" w:rsidRPr="008D3590">
        <w:rPr>
          <w:rFonts w:eastAsia="SimSun" w:cs="Times New Roman"/>
          <w:sz w:val="24"/>
          <w:szCs w:val="24"/>
        </w:rPr>
        <w:t xml:space="preserve">. </w:t>
      </w:r>
    </w:p>
    <w:bookmarkEnd w:id="4"/>
    <w:p w14:paraId="197AA071" w14:textId="33A88BE1" w:rsidR="00CE7F3A" w:rsidRPr="008D3590" w:rsidRDefault="00DA3994" w:rsidP="008D3590">
      <w:pPr>
        <w:ind w:firstLine="720"/>
        <w:rPr>
          <w:rFonts w:eastAsia="SimSun" w:cs="Times New Roman"/>
          <w:sz w:val="24"/>
          <w:szCs w:val="24"/>
          <w:lang w:eastAsia="zh-CN"/>
        </w:rPr>
      </w:pPr>
      <w:r w:rsidRPr="008D3590">
        <w:rPr>
          <w:rFonts w:eastAsia="SimSun" w:cs="Times New Roman"/>
          <w:sz w:val="24"/>
          <w:szCs w:val="24"/>
        </w:rPr>
        <w:t xml:space="preserve">In </w:t>
      </w:r>
      <w:r w:rsidR="00EE047F" w:rsidRPr="008D3590">
        <w:rPr>
          <w:rFonts w:eastAsia="SimSun" w:cs="Times New Roman"/>
          <w:sz w:val="24"/>
          <w:szCs w:val="24"/>
        </w:rPr>
        <w:t xml:space="preserve">terms of physical </w:t>
      </w:r>
      <w:r w:rsidR="00566F7B" w:rsidRPr="008D3590">
        <w:rPr>
          <w:rFonts w:eastAsia="SimSun" w:cs="Times New Roman"/>
          <w:sz w:val="24"/>
          <w:szCs w:val="24"/>
        </w:rPr>
        <w:t>activity engagement</w:t>
      </w:r>
      <w:r w:rsidR="00AA4C12" w:rsidRPr="008D3590">
        <w:rPr>
          <w:rFonts w:eastAsia="SimSun" w:cs="Times New Roman"/>
          <w:sz w:val="24"/>
          <w:szCs w:val="24"/>
        </w:rPr>
        <w:t xml:space="preserve"> (PAG)</w:t>
      </w:r>
      <w:r w:rsidR="00566F7B" w:rsidRPr="008D3590">
        <w:rPr>
          <w:rFonts w:eastAsia="SimSun" w:cs="Times New Roman"/>
          <w:sz w:val="24"/>
          <w:szCs w:val="24"/>
        </w:rPr>
        <w:t xml:space="preserve">, </w:t>
      </w:r>
      <w:r w:rsidR="00566F7B" w:rsidRPr="008D3590">
        <w:rPr>
          <w:rFonts w:eastAsia="SimSun" w:cs="Times New Roman"/>
          <w:sz w:val="24"/>
          <w:szCs w:val="24"/>
          <w:lang w:eastAsia="zh-CN"/>
        </w:rPr>
        <w:t xml:space="preserve">we computed the number of </w:t>
      </w:r>
      <w:r w:rsidR="00F151EF" w:rsidRPr="008D3590">
        <w:rPr>
          <w:rFonts w:eastAsia="SimSun" w:cs="Times New Roman"/>
          <w:sz w:val="24"/>
          <w:szCs w:val="24"/>
          <w:lang w:eastAsia="zh-CN"/>
        </w:rPr>
        <w:t xml:space="preserve">OH </w:t>
      </w:r>
      <w:r w:rsidR="00566F7B" w:rsidRPr="008D3590">
        <w:rPr>
          <w:rFonts w:eastAsia="SimSun" w:cs="Times New Roman"/>
          <w:sz w:val="24"/>
          <w:szCs w:val="24"/>
          <w:lang w:eastAsia="zh-CN"/>
        </w:rPr>
        <w:t>weekly activity episodes</w:t>
      </w:r>
      <w:r w:rsidR="00B7190A" w:rsidRPr="008D3590">
        <w:rPr>
          <w:rFonts w:eastAsia="SimSun" w:cs="Times New Roman"/>
          <w:sz w:val="24"/>
          <w:szCs w:val="24"/>
          <w:lang w:eastAsia="zh-CN"/>
        </w:rPr>
        <w:t xml:space="preserve"> (a count variable) </w:t>
      </w:r>
      <w:r w:rsidR="00566F7B" w:rsidRPr="008D3590">
        <w:rPr>
          <w:rFonts w:eastAsia="SimSun" w:cs="Times New Roman"/>
          <w:sz w:val="24"/>
          <w:szCs w:val="24"/>
          <w:lang w:eastAsia="zh-CN"/>
        </w:rPr>
        <w:t xml:space="preserve">and the average </w:t>
      </w:r>
      <w:r w:rsidR="00F151EF" w:rsidRPr="008D3590">
        <w:rPr>
          <w:rFonts w:eastAsia="SimSun" w:cs="Times New Roman"/>
          <w:sz w:val="24"/>
          <w:szCs w:val="24"/>
          <w:lang w:eastAsia="zh-CN"/>
        </w:rPr>
        <w:t xml:space="preserve">OH </w:t>
      </w:r>
      <w:r w:rsidR="00566F7B" w:rsidRPr="008D3590">
        <w:rPr>
          <w:rFonts w:eastAsia="SimSun" w:cs="Times New Roman"/>
          <w:sz w:val="24"/>
          <w:szCs w:val="24"/>
          <w:lang w:eastAsia="zh-CN"/>
        </w:rPr>
        <w:t xml:space="preserve">activity episode duration </w:t>
      </w:r>
      <w:r w:rsidR="00B7190A" w:rsidRPr="008D3590">
        <w:rPr>
          <w:rFonts w:eastAsia="SimSun" w:cs="Times New Roman"/>
          <w:sz w:val="24"/>
          <w:szCs w:val="24"/>
          <w:lang w:eastAsia="zh-CN"/>
        </w:rPr>
        <w:t>(</w:t>
      </w:r>
      <w:r w:rsidR="00FC17D0">
        <w:rPr>
          <w:rFonts w:eastAsia="SimSun" w:cs="Times New Roman"/>
          <w:sz w:val="24"/>
          <w:szCs w:val="24"/>
          <w:lang w:eastAsia="zh-CN"/>
        </w:rPr>
        <w:t>grouped in or</w:t>
      </w:r>
      <w:r w:rsidR="004A178C">
        <w:rPr>
          <w:rFonts w:eastAsia="SimSun" w:cs="Times New Roman"/>
          <w:sz w:val="24"/>
          <w:szCs w:val="24"/>
          <w:lang w:eastAsia="zh-CN"/>
        </w:rPr>
        <w:t>dinal categories</w:t>
      </w:r>
      <w:r w:rsidR="00792F3E">
        <w:rPr>
          <w:rFonts w:eastAsia="SimSun" w:cs="Times New Roman"/>
          <w:sz w:val="24"/>
          <w:szCs w:val="24"/>
          <w:lang w:eastAsia="zh-CN"/>
        </w:rPr>
        <w:t>, as</w:t>
      </w:r>
      <w:r w:rsidR="004A178C">
        <w:rPr>
          <w:rFonts w:eastAsia="SimSun" w:cs="Times New Roman"/>
          <w:sz w:val="24"/>
          <w:szCs w:val="24"/>
          <w:lang w:eastAsia="zh-CN"/>
        </w:rPr>
        <w:t xml:space="preserve"> discussed later</w:t>
      </w:r>
      <w:r w:rsidR="00B7190A" w:rsidRPr="008D3590">
        <w:rPr>
          <w:rFonts w:eastAsia="SimSun" w:cs="Times New Roman"/>
          <w:sz w:val="24"/>
          <w:szCs w:val="24"/>
          <w:lang w:eastAsia="zh-CN"/>
        </w:rPr>
        <w:t xml:space="preserve">) </w:t>
      </w:r>
      <w:r w:rsidR="00566F7B" w:rsidRPr="008D3590">
        <w:rPr>
          <w:rFonts w:eastAsia="SimSun" w:cs="Times New Roman"/>
          <w:sz w:val="24"/>
          <w:szCs w:val="24"/>
          <w:lang w:eastAsia="zh-CN"/>
        </w:rPr>
        <w:t xml:space="preserve">in each of the mandatory, maintenance, and discretionary activity purposes (the mapping of the disaggregate activity purposes collected in the survey into the three broad activity purposes just mentioned is available from the authors). </w:t>
      </w:r>
      <w:r w:rsidR="00F42C6A" w:rsidRPr="008D3590">
        <w:rPr>
          <w:rFonts w:eastAsia="SimSun" w:cs="Times New Roman"/>
          <w:sz w:val="24"/>
          <w:szCs w:val="24"/>
          <w:lang w:eastAsia="zh-CN"/>
        </w:rPr>
        <w:t>The reason for our focus on average</w:t>
      </w:r>
      <w:r w:rsidR="00F151EF" w:rsidRPr="008D3590">
        <w:rPr>
          <w:rFonts w:eastAsia="SimSun" w:cs="Times New Roman"/>
          <w:sz w:val="24"/>
          <w:szCs w:val="24"/>
          <w:lang w:eastAsia="zh-CN"/>
        </w:rPr>
        <w:t xml:space="preserve"> </w:t>
      </w:r>
      <w:r w:rsidR="00F42C6A" w:rsidRPr="008D3590">
        <w:rPr>
          <w:rFonts w:eastAsia="SimSun" w:cs="Times New Roman"/>
          <w:sz w:val="24"/>
          <w:szCs w:val="24"/>
          <w:lang w:eastAsia="zh-CN"/>
        </w:rPr>
        <w:t xml:space="preserve">activity episode duration, in addition to </w:t>
      </w:r>
      <w:r w:rsidR="00F151EF" w:rsidRPr="008D3590">
        <w:rPr>
          <w:rFonts w:eastAsia="SimSun" w:cs="Times New Roman"/>
          <w:sz w:val="24"/>
          <w:szCs w:val="24"/>
          <w:lang w:eastAsia="zh-CN"/>
        </w:rPr>
        <w:t>the count of weekly activity episodes</w:t>
      </w:r>
      <w:r w:rsidR="008D6CA2" w:rsidRPr="008D3590">
        <w:rPr>
          <w:rFonts w:eastAsia="SimSun" w:cs="Times New Roman"/>
          <w:sz w:val="24"/>
          <w:szCs w:val="24"/>
          <w:lang w:eastAsia="zh-CN"/>
        </w:rPr>
        <w:t xml:space="preserve">, is to examine potential activity fragmentation </w:t>
      </w:r>
      <w:r w:rsidR="00C52B86">
        <w:rPr>
          <w:rFonts w:eastAsia="SimSun" w:cs="Times New Roman"/>
          <w:sz w:val="24"/>
          <w:szCs w:val="24"/>
          <w:lang w:eastAsia="zh-CN"/>
        </w:rPr>
        <w:t xml:space="preserve">(as defined in the literature) due to VAG. </w:t>
      </w:r>
      <w:r w:rsidR="0052444A" w:rsidRPr="008D3590">
        <w:rPr>
          <w:rFonts w:eastAsia="SimSun" w:cs="Times New Roman"/>
          <w:sz w:val="24"/>
          <w:szCs w:val="24"/>
          <w:lang w:eastAsia="zh-CN"/>
        </w:rPr>
        <w:t xml:space="preserve">Within the category of PAG, we also considered </w:t>
      </w:r>
      <w:r w:rsidR="00792F3E" w:rsidRPr="005D7939">
        <w:rPr>
          <w:rFonts w:eastAsia="SimSun" w:cs="Times New Roman"/>
          <w:sz w:val="24"/>
          <w:szCs w:val="24"/>
          <w:lang w:eastAsia="zh-CN"/>
        </w:rPr>
        <w:t xml:space="preserve">household </w:t>
      </w:r>
      <w:r w:rsidR="0052444A" w:rsidRPr="005D7939">
        <w:rPr>
          <w:rFonts w:eastAsia="SimSun" w:cs="Times New Roman"/>
          <w:sz w:val="24"/>
          <w:szCs w:val="24"/>
          <w:lang w:eastAsia="zh-CN"/>
        </w:rPr>
        <w:t xml:space="preserve">vehicle </w:t>
      </w:r>
      <w:r w:rsidR="00792F3E" w:rsidRPr="005D7939">
        <w:rPr>
          <w:rFonts w:eastAsia="SimSun" w:cs="Times New Roman"/>
          <w:sz w:val="24"/>
          <w:szCs w:val="24"/>
          <w:lang w:eastAsia="zh-CN"/>
        </w:rPr>
        <w:t xml:space="preserve">availability </w:t>
      </w:r>
      <w:r w:rsidR="00B7190A" w:rsidRPr="005D7939">
        <w:rPr>
          <w:rFonts w:eastAsia="SimSun" w:cs="Times New Roman"/>
          <w:sz w:val="24"/>
          <w:szCs w:val="24"/>
          <w:lang w:eastAsia="zh-CN"/>
        </w:rPr>
        <w:t>(</w:t>
      </w:r>
      <w:r w:rsidR="00917FA7" w:rsidRPr="005D7939">
        <w:rPr>
          <w:rFonts w:eastAsia="SimSun" w:cs="Times New Roman"/>
          <w:sz w:val="24"/>
          <w:szCs w:val="24"/>
          <w:lang w:eastAsia="zh-CN"/>
        </w:rPr>
        <w:t xml:space="preserve">represented as an </w:t>
      </w:r>
      <w:r w:rsidR="00792F3E" w:rsidRPr="005D7939">
        <w:rPr>
          <w:rFonts w:eastAsia="SimSun" w:cs="Times New Roman"/>
          <w:sz w:val="24"/>
          <w:szCs w:val="24"/>
          <w:lang w:eastAsia="zh-CN"/>
        </w:rPr>
        <w:t xml:space="preserve">ordinal variable based on the ratio </w:t>
      </w:r>
      <w:r w:rsidR="00917FA7" w:rsidRPr="005D7939">
        <w:rPr>
          <w:rFonts w:eastAsia="SimSun" w:cs="Times New Roman"/>
          <w:sz w:val="24"/>
          <w:szCs w:val="24"/>
          <w:lang w:eastAsia="zh-CN"/>
        </w:rPr>
        <w:t xml:space="preserve">of </w:t>
      </w:r>
      <w:r w:rsidR="00792F3E" w:rsidRPr="005D7939">
        <w:rPr>
          <w:rFonts w:eastAsia="SimSun" w:cs="Times New Roman"/>
          <w:sz w:val="24"/>
          <w:szCs w:val="24"/>
          <w:lang w:eastAsia="zh-CN"/>
        </w:rPr>
        <w:t xml:space="preserve">the number of vehicles </w:t>
      </w:r>
      <w:r w:rsidR="00917FA7" w:rsidRPr="005D7939">
        <w:rPr>
          <w:rFonts w:eastAsia="SimSun" w:cs="Times New Roman"/>
          <w:sz w:val="24"/>
          <w:szCs w:val="24"/>
          <w:lang w:eastAsia="zh-CN"/>
        </w:rPr>
        <w:t xml:space="preserve">to </w:t>
      </w:r>
      <w:r w:rsidR="00792F3E" w:rsidRPr="005D7939">
        <w:rPr>
          <w:rFonts w:eastAsia="SimSun" w:cs="Times New Roman"/>
          <w:sz w:val="24"/>
          <w:szCs w:val="24"/>
          <w:lang w:eastAsia="zh-CN"/>
        </w:rPr>
        <w:t xml:space="preserve">the number of adults in the </w:t>
      </w:r>
      <w:r w:rsidR="00792F3E" w:rsidRPr="005D7939">
        <w:rPr>
          <w:rFonts w:eastAsia="SimSun" w:cs="Times New Roman"/>
          <w:sz w:val="24"/>
          <w:szCs w:val="24"/>
          <w:lang w:eastAsia="zh-CN"/>
        </w:rPr>
        <w:lastRenderedPageBreak/>
        <w:t>household</w:t>
      </w:r>
      <w:r w:rsidR="00B7190A" w:rsidRPr="005D7939">
        <w:rPr>
          <w:rFonts w:eastAsia="SimSun" w:cs="Times New Roman"/>
          <w:sz w:val="24"/>
          <w:szCs w:val="24"/>
          <w:lang w:eastAsia="zh-CN"/>
        </w:rPr>
        <w:t>)</w:t>
      </w:r>
      <w:r w:rsidR="00196251" w:rsidRPr="005D7939">
        <w:rPr>
          <w:rFonts w:eastAsia="SimSun" w:cs="Times New Roman"/>
          <w:sz w:val="24"/>
          <w:szCs w:val="24"/>
          <w:lang w:eastAsia="zh-CN"/>
        </w:rPr>
        <w:t>.</w:t>
      </w:r>
      <w:r w:rsidR="00196251" w:rsidRPr="008D3590">
        <w:rPr>
          <w:rFonts w:eastAsia="SimSun" w:cs="Times New Roman"/>
          <w:sz w:val="24"/>
          <w:szCs w:val="24"/>
          <w:lang w:eastAsia="zh-CN"/>
        </w:rPr>
        <w:t xml:space="preserve"> While not an activity engagement variable per se, it represents a closely related travel-related variable that can be impacted by the latent accessibility constructs. Further, there is reason to believe that vehicle </w:t>
      </w:r>
      <w:r w:rsidR="00917FA7">
        <w:rPr>
          <w:rFonts w:eastAsia="SimSun" w:cs="Times New Roman"/>
          <w:sz w:val="24"/>
          <w:szCs w:val="24"/>
          <w:lang w:eastAsia="zh-CN"/>
        </w:rPr>
        <w:t>availability</w:t>
      </w:r>
      <w:r w:rsidR="00196251" w:rsidRPr="008D3590">
        <w:rPr>
          <w:rFonts w:eastAsia="SimSun" w:cs="Times New Roman"/>
          <w:sz w:val="24"/>
          <w:szCs w:val="24"/>
          <w:lang w:eastAsia="zh-CN"/>
        </w:rPr>
        <w:t xml:space="preserve"> and PAG patterns are jointly decided on as a package, which implies that vehicle</w:t>
      </w:r>
      <w:r w:rsidR="00917FA7">
        <w:rPr>
          <w:rFonts w:eastAsia="SimSun" w:cs="Times New Roman"/>
          <w:sz w:val="24"/>
          <w:szCs w:val="24"/>
          <w:lang w:eastAsia="zh-CN"/>
        </w:rPr>
        <w:t xml:space="preserve"> availability</w:t>
      </w:r>
      <w:r w:rsidR="00196251" w:rsidRPr="008D3590">
        <w:rPr>
          <w:rFonts w:eastAsia="SimSun" w:cs="Times New Roman"/>
          <w:sz w:val="24"/>
          <w:szCs w:val="24"/>
          <w:lang w:eastAsia="zh-CN"/>
        </w:rPr>
        <w:t xml:space="preserve"> needs to be treated an endogenous variable and not exogenous. </w:t>
      </w:r>
      <w:r w:rsidR="00CE7F3A" w:rsidRPr="008D3590">
        <w:rPr>
          <w:rFonts w:eastAsia="SimSun" w:cs="Times New Roman"/>
          <w:sz w:val="24"/>
          <w:szCs w:val="24"/>
          <w:lang w:eastAsia="zh-CN"/>
        </w:rPr>
        <w:t xml:space="preserve">Finally, to characterize activity </w:t>
      </w:r>
      <w:r w:rsidR="002664F8">
        <w:rPr>
          <w:rFonts w:eastAsia="SimSun" w:cs="Times New Roman"/>
          <w:sz w:val="24"/>
          <w:szCs w:val="24"/>
          <w:lang w:eastAsia="zh-CN"/>
        </w:rPr>
        <w:t>modification/</w:t>
      </w:r>
      <w:r w:rsidR="00CE7F3A" w:rsidRPr="008D3590">
        <w:rPr>
          <w:rFonts w:eastAsia="SimSun" w:cs="Times New Roman"/>
          <w:sz w:val="24"/>
          <w:szCs w:val="24"/>
          <w:lang w:eastAsia="zh-CN"/>
        </w:rPr>
        <w:t xml:space="preserve">scheduling in physical activity engagement, we also computed the average number of </w:t>
      </w:r>
      <w:r w:rsidR="00792F3E">
        <w:rPr>
          <w:rFonts w:eastAsia="SimSun" w:cs="Times New Roman"/>
          <w:sz w:val="24"/>
          <w:szCs w:val="24"/>
          <w:lang w:eastAsia="zh-CN"/>
        </w:rPr>
        <w:t>trips</w:t>
      </w:r>
      <w:r w:rsidR="00CE7F3A" w:rsidRPr="008D3590">
        <w:rPr>
          <w:rFonts w:eastAsia="SimSun" w:cs="Times New Roman"/>
          <w:sz w:val="24"/>
          <w:szCs w:val="24"/>
          <w:lang w:eastAsia="zh-CN"/>
        </w:rPr>
        <w:t xml:space="preserve"> per tour over the seven days of the week</w:t>
      </w:r>
      <w:r w:rsidR="00A90BC3">
        <w:rPr>
          <w:rFonts w:eastAsia="SimSun" w:cs="Times New Roman"/>
          <w:sz w:val="24"/>
          <w:szCs w:val="24"/>
          <w:lang w:eastAsia="zh-CN"/>
        </w:rPr>
        <w:t xml:space="preserve"> </w:t>
      </w:r>
      <w:r w:rsidR="00737210">
        <w:rPr>
          <w:rFonts w:eastAsia="SimSun" w:cs="Times New Roman"/>
          <w:sz w:val="24"/>
          <w:szCs w:val="24"/>
          <w:lang w:eastAsia="zh-CN"/>
        </w:rPr>
        <w:t xml:space="preserve">(averages are expressed </w:t>
      </w:r>
      <w:r w:rsidR="004A178C">
        <w:rPr>
          <w:rFonts w:eastAsia="SimSun" w:cs="Times New Roman"/>
          <w:sz w:val="24"/>
          <w:szCs w:val="24"/>
          <w:lang w:eastAsia="zh-CN"/>
        </w:rPr>
        <w:t>in</w:t>
      </w:r>
      <w:r w:rsidR="00737210">
        <w:rPr>
          <w:rFonts w:eastAsia="SimSun" w:cs="Times New Roman"/>
          <w:sz w:val="24"/>
          <w:szCs w:val="24"/>
          <w:lang w:eastAsia="zh-CN"/>
        </w:rPr>
        <w:t xml:space="preserve"> four ordinal categories) </w:t>
      </w:r>
      <w:r w:rsidR="00CE7F3A" w:rsidRPr="008D3590">
        <w:rPr>
          <w:rFonts w:eastAsia="SimSun" w:cs="Times New Roman"/>
          <w:sz w:val="24"/>
          <w:szCs w:val="24"/>
          <w:lang w:eastAsia="zh-CN"/>
        </w:rPr>
        <w:t>and the average distance across all trips undertaken between successive pairs of activity episodes in a tour (that is, the average trip distance per tour</w:t>
      </w:r>
      <w:r w:rsidR="00737210">
        <w:rPr>
          <w:rFonts w:eastAsia="SimSun" w:cs="Times New Roman"/>
          <w:sz w:val="24"/>
          <w:szCs w:val="24"/>
          <w:lang w:eastAsia="zh-CN"/>
        </w:rPr>
        <w:t>, which is modeled as continuous variable with a natural logarithm parametrization</w:t>
      </w:r>
      <w:r w:rsidR="00CE7F3A" w:rsidRPr="008D3590">
        <w:rPr>
          <w:rFonts w:eastAsia="SimSun" w:cs="Times New Roman"/>
          <w:sz w:val="24"/>
          <w:szCs w:val="24"/>
          <w:lang w:eastAsia="zh-CN"/>
        </w:rPr>
        <w:t>).</w:t>
      </w:r>
      <w:r w:rsidR="00733828" w:rsidRPr="008D3590">
        <w:rPr>
          <w:rFonts w:eastAsia="SimSun" w:cs="Times New Roman"/>
          <w:sz w:val="24"/>
          <w:szCs w:val="24"/>
          <w:lang w:eastAsia="zh-CN"/>
        </w:rPr>
        <w:t xml:space="preserve"> A tour in our paper is defined as a home-based tour (a sojourn starting and ending at home). </w:t>
      </w:r>
    </w:p>
    <w:p w14:paraId="29505F93" w14:textId="483F5A58" w:rsidR="005F78F2" w:rsidRPr="008D3590" w:rsidRDefault="00CE7F3A" w:rsidP="008D3590">
      <w:pPr>
        <w:ind w:firstLine="720"/>
        <w:rPr>
          <w:rFonts w:eastAsia="SimSun" w:cs="Times New Roman"/>
          <w:sz w:val="24"/>
          <w:szCs w:val="24"/>
        </w:rPr>
      </w:pPr>
      <w:r w:rsidRPr="008D3590">
        <w:rPr>
          <w:rFonts w:eastAsia="SimSun" w:cs="Times New Roman"/>
          <w:sz w:val="24"/>
          <w:szCs w:val="24"/>
          <w:lang w:eastAsia="zh-CN"/>
        </w:rPr>
        <w:t xml:space="preserve">The </w:t>
      </w:r>
      <w:r w:rsidRPr="008D3590">
        <w:rPr>
          <w:rFonts w:eastAsia="SimSun" w:cs="Times New Roman"/>
          <w:sz w:val="24"/>
          <w:szCs w:val="24"/>
        </w:rPr>
        <w:t xml:space="preserve">physical accessibility measures </w:t>
      </w:r>
      <w:r w:rsidR="0037550A" w:rsidRPr="008D3590">
        <w:rPr>
          <w:rFonts w:eastAsia="SimSun" w:cs="Times New Roman"/>
          <w:sz w:val="24"/>
          <w:szCs w:val="24"/>
        </w:rPr>
        <w:t>(</w:t>
      </w:r>
      <w:r w:rsidR="00AA4C12" w:rsidRPr="008D3590">
        <w:rPr>
          <w:rFonts w:eastAsia="SimSun" w:cs="Times New Roman"/>
          <w:sz w:val="24"/>
          <w:szCs w:val="24"/>
        </w:rPr>
        <w:t xml:space="preserve">including </w:t>
      </w:r>
      <w:r w:rsidR="0037550A" w:rsidRPr="008D3590">
        <w:rPr>
          <w:rFonts w:eastAsia="SimSun" w:cs="Times New Roman"/>
          <w:sz w:val="24"/>
          <w:szCs w:val="24"/>
        </w:rPr>
        <w:t>BE measures</w:t>
      </w:r>
      <w:r w:rsidR="00AA4C12" w:rsidRPr="008D3590">
        <w:rPr>
          <w:rFonts w:eastAsia="SimSun" w:cs="Times New Roman"/>
          <w:sz w:val="24"/>
          <w:szCs w:val="24"/>
        </w:rPr>
        <w:t>, or more generally PAMs</w:t>
      </w:r>
      <w:r w:rsidR="0037550A" w:rsidRPr="008D3590">
        <w:rPr>
          <w:rFonts w:eastAsia="SimSun" w:cs="Times New Roman"/>
          <w:sz w:val="24"/>
          <w:szCs w:val="24"/>
        </w:rPr>
        <w:t xml:space="preserve">) impacting (virtual and physical) </w:t>
      </w:r>
      <w:r w:rsidRPr="008D3590">
        <w:rPr>
          <w:rFonts w:eastAsia="SimSun" w:cs="Times New Roman"/>
          <w:sz w:val="24"/>
          <w:szCs w:val="24"/>
        </w:rPr>
        <w:t>activit</w:t>
      </w:r>
      <w:r w:rsidR="0037550A" w:rsidRPr="008D3590">
        <w:rPr>
          <w:rFonts w:eastAsia="SimSun" w:cs="Times New Roman"/>
          <w:sz w:val="24"/>
          <w:szCs w:val="24"/>
        </w:rPr>
        <w:t xml:space="preserve">y engagement frequency </w:t>
      </w:r>
      <w:r w:rsidRPr="008D3590">
        <w:rPr>
          <w:rFonts w:eastAsia="SimSun" w:cs="Times New Roman"/>
          <w:sz w:val="24"/>
          <w:szCs w:val="24"/>
        </w:rPr>
        <w:t>charact</w:t>
      </w:r>
      <w:r w:rsidR="0037550A" w:rsidRPr="008D3590">
        <w:rPr>
          <w:rFonts w:eastAsia="SimSun" w:cs="Times New Roman"/>
          <w:sz w:val="24"/>
          <w:szCs w:val="24"/>
        </w:rPr>
        <w:t xml:space="preserve">eristics </w:t>
      </w:r>
      <w:r w:rsidRPr="008D3590">
        <w:rPr>
          <w:rFonts w:eastAsia="SimSun" w:cs="Times New Roman"/>
          <w:sz w:val="24"/>
          <w:szCs w:val="24"/>
        </w:rPr>
        <w:t xml:space="preserve">included </w:t>
      </w:r>
      <w:r w:rsidR="0037550A" w:rsidRPr="008D3590">
        <w:rPr>
          <w:rFonts w:eastAsia="SimSun" w:cs="Times New Roman"/>
          <w:sz w:val="24"/>
          <w:szCs w:val="24"/>
        </w:rPr>
        <w:t xml:space="preserve">respondent-provided </w:t>
      </w:r>
      <w:r w:rsidR="00935F7B" w:rsidRPr="008D3590">
        <w:rPr>
          <w:rFonts w:eastAsia="SimSun" w:cs="Times New Roman"/>
          <w:sz w:val="24"/>
          <w:szCs w:val="24"/>
        </w:rPr>
        <w:t xml:space="preserve">non-auto (walk/transit) </w:t>
      </w:r>
      <w:r w:rsidR="0037550A" w:rsidRPr="008D3590">
        <w:rPr>
          <w:rFonts w:eastAsia="SimSun" w:cs="Times New Roman"/>
          <w:sz w:val="24"/>
          <w:szCs w:val="24"/>
        </w:rPr>
        <w:t>travel times from their homes to the closest railway station, hospital, and shopping center.  The study also collected travel times to other services such as general practitioner, chemist, grocery, and post office. However, the vast majority of the sample have access to these services within very close proximity</w:t>
      </w:r>
      <w:r w:rsidR="005F78F2" w:rsidRPr="008D3590">
        <w:rPr>
          <w:rFonts w:eastAsia="SimSun" w:cs="Times New Roman"/>
          <w:sz w:val="24"/>
          <w:szCs w:val="24"/>
        </w:rPr>
        <w:t xml:space="preserve">, contributing little to </w:t>
      </w:r>
      <w:r w:rsidR="0037550A" w:rsidRPr="008D3590">
        <w:rPr>
          <w:rFonts w:eastAsia="SimSun" w:cs="Times New Roman"/>
          <w:sz w:val="24"/>
          <w:szCs w:val="24"/>
        </w:rPr>
        <w:t xml:space="preserve">heterogeneity </w:t>
      </w:r>
      <w:r w:rsidR="005F78F2" w:rsidRPr="008D3590">
        <w:rPr>
          <w:rFonts w:eastAsia="SimSun" w:cs="Times New Roman"/>
          <w:sz w:val="24"/>
          <w:szCs w:val="24"/>
        </w:rPr>
        <w:t xml:space="preserve">across individuals in these measures. </w:t>
      </w:r>
      <w:r w:rsidR="0037550A" w:rsidRPr="008D3590">
        <w:rPr>
          <w:rFonts w:eastAsia="SimSun" w:cs="Times New Roman"/>
          <w:sz w:val="24"/>
          <w:szCs w:val="24"/>
        </w:rPr>
        <w:t xml:space="preserve">Therefore, only travel time to </w:t>
      </w:r>
      <w:r w:rsidR="005F78F2" w:rsidRPr="008D3590">
        <w:rPr>
          <w:rFonts w:eastAsia="SimSun" w:cs="Times New Roman"/>
          <w:sz w:val="24"/>
          <w:szCs w:val="24"/>
        </w:rPr>
        <w:t xml:space="preserve">the closest </w:t>
      </w:r>
      <w:r w:rsidR="0037550A" w:rsidRPr="008D3590">
        <w:rPr>
          <w:rFonts w:eastAsia="SimSun" w:cs="Times New Roman"/>
          <w:sz w:val="24"/>
          <w:szCs w:val="24"/>
        </w:rPr>
        <w:t xml:space="preserve">railway station, hospital, and shopping center are used in the model. </w:t>
      </w:r>
    </w:p>
    <w:p w14:paraId="5CDB82D7" w14:textId="568377A2" w:rsidR="00935F7B" w:rsidRPr="008D3590" w:rsidRDefault="005F78F2" w:rsidP="008D3590">
      <w:pPr>
        <w:ind w:firstLine="720"/>
        <w:rPr>
          <w:rFonts w:eastAsia="SimSun" w:cs="Times New Roman"/>
          <w:sz w:val="24"/>
          <w:szCs w:val="24"/>
        </w:rPr>
      </w:pPr>
      <w:r w:rsidRPr="008D3590">
        <w:rPr>
          <w:rFonts w:eastAsia="SimSun" w:cs="Times New Roman"/>
          <w:sz w:val="24"/>
          <w:szCs w:val="24"/>
        </w:rPr>
        <w:t xml:space="preserve">Finally, the data also allowed us to use indicators for the physical accessibility latent construct. </w:t>
      </w:r>
      <w:bookmarkStart w:id="5" w:name="_Hlk505154805"/>
      <w:r w:rsidRPr="008D3590">
        <w:rPr>
          <w:rFonts w:eastAsia="SimSun" w:cs="Times New Roman"/>
          <w:sz w:val="24"/>
          <w:szCs w:val="24"/>
        </w:rPr>
        <w:t xml:space="preserve">To be clear, the </w:t>
      </w:r>
      <w:r w:rsidR="00AA4C12" w:rsidRPr="008D3590">
        <w:rPr>
          <w:rFonts w:eastAsia="SimSun" w:cs="Times New Roman"/>
          <w:sz w:val="24"/>
          <w:szCs w:val="24"/>
        </w:rPr>
        <w:t xml:space="preserve">VAG and PAG </w:t>
      </w:r>
      <w:r w:rsidRPr="008D3590">
        <w:rPr>
          <w:rFonts w:eastAsia="SimSun" w:cs="Times New Roman"/>
          <w:sz w:val="24"/>
          <w:szCs w:val="24"/>
        </w:rPr>
        <w:t>variables discussed earlier also are effectively indicators of the virtual and physical accessibility latent constructs, but we will characterize the</w:t>
      </w:r>
      <w:r w:rsidR="008212D2" w:rsidRPr="008D3590">
        <w:rPr>
          <w:rFonts w:eastAsia="SimSun" w:cs="Times New Roman"/>
          <w:sz w:val="24"/>
          <w:szCs w:val="24"/>
        </w:rPr>
        <w:t>se</w:t>
      </w:r>
      <w:r w:rsidRPr="008D3590">
        <w:rPr>
          <w:rFonts w:eastAsia="SimSun" w:cs="Times New Roman"/>
          <w:sz w:val="24"/>
          <w:szCs w:val="24"/>
        </w:rPr>
        <w:t xml:space="preserve"> activity engagement variables as outcomes in this paper (because these outcomes are of primary interest as the endogenous variables in our analytic framework). </w:t>
      </w:r>
      <w:bookmarkEnd w:id="5"/>
      <w:r w:rsidR="008212D2" w:rsidRPr="008D3590">
        <w:rPr>
          <w:rFonts w:eastAsia="SimSun" w:cs="Times New Roman"/>
          <w:sz w:val="24"/>
          <w:szCs w:val="24"/>
        </w:rPr>
        <w:t xml:space="preserve">In terms of the indicators of the physical accessibility latent construct, the data provided information on the following four </w:t>
      </w:r>
      <w:r w:rsidR="00935F7B" w:rsidRPr="008D3590">
        <w:rPr>
          <w:rFonts w:eastAsia="SimSun" w:cs="Times New Roman"/>
          <w:sz w:val="24"/>
          <w:szCs w:val="24"/>
        </w:rPr>
        <w:t xml:space="preserve">respondent-provided perception </w:t>
      </w:r>
      <w:r w:rsidR="008212D2" w:rsidRPr="008D3590">
        <w:rPr>
          <w:rFonts w:eastAsia="SimSun" w:cs="Times New Roman"/>
          <w:sz w:val="24"/>
          <w:szCs w:val="24"/>
        </w:rPr>
        <w:t xml:space="preserve">variables: (a) ease of commute without a car, (b) ease of shopping without car, (c) </w:t>
      </w:r>
      <w:r w:rsidR="00935F7B" w:rsidRPr="008D3590">
        <w:rPr>
          <w:rFonts w:eastAsia="SimSun" w:cs="Times New Roman"/>
          <w:sz w:val="24"/>
          <w:szCs w:val="24"/>
        </w:rPr>
        <w:t>quality of bicycle lanes in the vicinity of the respondent’s residence, and (d) quality of roadway pavement in the vicinity of the respondent’s residence. All of these were collected in ordinal categories.</w:t>
      </w:r>
    </w:p>
    <w:p w14:paraId="05256500" w14:textId="77777777" w:rsidR="004D72FC" w:rsidRDefault="00935F7B" w:rsidP="008D66F5">
      <w:pPr>
        <w:ind w:firstLine="720"/>
        <w:rPr>
          <w:rFonts w:eastAsia="SimSun" w:cs="Times New Roman"/>
          <w:sz w:val="24"/>
          <w:szCs w:val="24"/>
        </w:rPr>
      </w:pPr>
      <w:r w:rsidRPr="008D3590">
        <w:rPr>
          <w:rFonts w:eastAsia="SimSun" w:cs="Times New Roman"/>
          <w:sz w:val="24"/>
          <w:szCs w:val="24"/>
        </w:rPr>
        <w:t xml:space="preserve">The entire </w:t>
      </w:r>
      <w:r w:rsidR="00E003ED" w:rsidRPr="008D3590">
        <w:rPr>
          <w:rFonts w:eastAsia="SimSun" w:cs="Times New Roman"/>
          <w:sz w:val="24"/>
          <w:szCs w:val="24"/>
        </w:rPr>
        <w:t xml:space="preserve">analytic </w:t>
      </w:r>
      <w:r w:rsidRPr="008D3590">
        <w:rPr>
          <w:rFonts w:eastAsia="SimSun" w:cs="Times New Roman"/>
          <w:sz w:val="24"/>
          <w:szCs w:val="24"/>
        </w:rPr>
        <w:t>framework is presented in Figure 1. The virtual accessibility measures</w:t>
      </w:r>
      <w:r w:rsidR="00AA4C12" w:rsidRPr="008D3590">
        <w:rPr>
          <w:rFonts w:eastAsia="SimSun" w:cs="Times New Roman"/>
          <w:sz w:val="24"/>
          <w:szCs w:val="24"/>
        </w:rPr>
        <w:t xml:space="preserve"> (VAM</w:t>
      </w:r>
      <w:r w:rsidR="00B20CE0" w:rsidRPr="008D3590">
        <w:rPr>
          <w:rFonts w:eastAsia="SimSun" w:cs="Times New Roman"/>
          <w:sz w:val="24"/>
          <w:szCs w:val="24"/>
        </w:rPr>
        <w:t>s</w:t>
      </w:r>
      <w:r w:rsidR="00AA4C12" w:rsidRPr="008D3590">
        <w:rPr>
          <w:rFonts w:eastAsia="SimSun" w:cs="Times New Roman"/>
          <w:sz w:val="24"/>
          <w:szCs w:val="24"/>
        </w:rPr>
        <w:t>)</w:t>
      </w:r>
      <w:r w:rsidRPr="008D3590">
        <w:rPr>
          <w:rFonts w:eastAsia="SimSun" w:cs="Times New Roman"/>
          <w:sz w:val="24"/>
          <w:szCs w:val="24"/>
        </w:rPr>
        <w:t>, physical accessibility measures</w:t>
      </w:r>
      <w:r w:rsidR="00AA4C12" w:rsidRPr="008D3590">
        <w:rPr>
          <w:rFonts w:eastAsia="SimSun" w:cs="Times New Roman"/>
          <w:sz w:val="24"/>
          <w:szCs w:val="24"/>
        </w:rPr>
        <w:t xml:space="preserve"> (PAM</w:t>
      </w:r>
      <w:r w:rsidR="00B20CE0" w:rsidRPr="008D3590">
        <w:rPr>
          <w:rFonts w:eastAsia="SimSun" w:cs="Times New Roman"/>
          <w:sz w:val="24"/>
          <w:szCs w:val="24"/>
        </w:rPr>
        <w:t>s</w:t>
      </w:r>
      <w:r w:rsidR="00AA4C12" w:rsidRPr="008D3590">
        <w:rPr>
          <w:rFonts w:eastAsia="SimSun" w:cs="Times New Roman"/>
          <w:sz w:val="24"/>
          <w:szCs w:val="24"/>
        </w:rPr>
        <w:t>)</w:t>
      </w:r>
      <w:r w:rsidRPr="008D3590">
        <w:rPr>
          <w:rFonts w:eastAsia="SimSun" w:cs="Times New Roman"/>
          <w:sz w:val="24"/>
          <w:szCs w:val="24"/>
        </w:rPr>
        <w:t xml:space="preserve">, and socio-demographics </w:t>
      </w:r>
      <w:r w:rsidR="001109D7" w:rsidRPr="008D3590">
        <w:rPr>
          <w:rFonts w:eastAsia="SimSun" w:cs="Times New Roman"/>
          <w:sz w:val="24"/>
          <w:szCs w:val="24"/>
        </w:rPr>
        <w:t xml:space="preserve">(age, gender, </w:t>
      </w:r>
      <w:r w:rsidR="001109D7" w:rsidRPr="008D3590">
        <w:rPr>
          <w:rFonts w:eastAsia="SimSun" w:cs="Times New Roman"/>
          <w:sz w:val="24"/>
          <w:szCs w:val="24"/>
        </w:rPr>
        <w:lastRenderedPageBreak/>
        <w:t>presence of children in the hous</w:t>
      </w:r>
      <w:r w:rsidR="00FC2F22" w:rsidRPr="008D3590">
        <w:rPr>
          <w:rFonts w:eastAsia="SimSun" w:cs="Times New Roman"/>
          <w:sz w:val="24"/>
          <w:szCs w:val="24"/>
        </w:rPr>
        <w:t>e</w:t>
      </w:r>
      <w:r w:rsidR="001109D7" w:rsidRPr="008D3590">
        <w:rPr>
          <w:rFonts w:eastAsia="SimSun" w:cs="Times New Roman"/>
          <w:sz w:val="24"/>
          <w:szCs w:val="24"/>
        </w:rPr>
        <w:t>hold,</w:t>
      </w:r>
      <w:r w:rsidR="000D68AD" w:rsidRPr="008D3590">
        <w:rPr>
          <w:rFonts w:eastAsia="SimSun" w:cs="Times New Roman"/>
          <w:sz w:val="24"/>
          <w:szCs w:val="24"/>
        </w:rPr>
        <w:t xml:space="preserve"> </w:t>
      </w:r>
      <w:r w:rsidR="001109D7" w:rsidRPr="008D3590">
        <w:rPr>
          <w:rFonts w:eastAsia="SimSun" w:cs="Times New Roman"/>
          <w:sz w:val="24"/>
          <w:szCs w:val="24"/>
        </w:rPr>
        <w:t xml:space="preserve">housing type and tenure status, full-time or part-time employment, and household income) </w:t>
      </w:r>
      <w:r w:rsidRPr="008D3590">
        <w:rPr>
          <w:rFonts w:eastAsia="SimSun" w:cs="Times New Roman"/>
          <w:sz w:val="24"/>
          <w:szCs w:val="24"/>
        </w:rPr>
        <w:t>i</w:t>
      </w:r>
      <w:r w:rsidR="00AA4C12" w:rsidRPr="008D3590">
        <w:rPr>
          <w:rFonts w:eastAsia="SimSun" w:cs="Times New Roman"/>
          <w:sz w:val="24"/>
          <w:szCs w:val="24"/>
        </w:rPr>
        <w:t xml:space="preserve">mpact the virtual accessibility latent stochastic construct (VALSC) </w:t>
      </w:r>
      <w:r w:rsidRPr="008D3590">
        <w:rPr>
          <w:rFonts w:eastAsia="SimSun" w:cs="Times New Roman"/>
          <w:sz w:val="24"/>
          <w:szCs w:val="24"/>
        </w:rPr>
        <w:t xml:space="preserve">and </w:t>
      </w:r>
      <w:r w:rsidR="00E003ED" w:rsidRPr="008D3590">
        <w:rPr>
          <w:rFonts w:eastAsia="SimSun" w:cs="Times New Roman"/>
          <w:sz w:val="24"/>
          <w:szCs w:val="24"/>
        </w:rPr>
        <w:t xml:space="preserve">the </w:t>
      </w:r>
      <w:r w:rsidRPr="008D3590">
        <w:rPr>
          <w:rFonts w:eastAsia="SimSun" w:cs="Times New Roman"/>
          <w:sz w:val="24"/>
          <w:szCs w:val="24"/>
        </w:rPr>
        <w:t xml:space="preserve">physical accessibility </w:t>
      </w:r>
      <w:r w:rsidR="00AA4C12" w:rsidRPr="008D3590">
        <w:rPr>
          <w:rFonts w:eastAsia="SimSun" w:cs="Times New Roman"/>
          <w:sz w:val="24"/>
          <w:szCs w:val="24"/>
        </w:rPr>
        <w:t>latent stochastic construct (PALSC)</w:t>
      </w:r>
      <w:r w:rsidR="00A90BC3">
        <w:rPr>
          <w:rFonts w:eastAsia="SimSun" w:cs="Times New Roman"/>
          <w:sz w:val="24"/>
          <w:szCs w:val="24"/>
        </w:rPr>
        <w:t xml:space="preserve"> (these are </w:t>
      </w:r>
      <w:r w:rsidR="00A53E67">
        <w:rPr>
          <w:rFonts w:eastAsia="SimSun" w:cs="Times New Roman"/>
          <w:sz w:val="24"/>
          <w:szCs w:val="24"/>
        </w:rPr>
        <w:t>encapsulated</w:t>
      </w:r>
      <w:r w:rsidR="00A90BC3">
        <w:rPr>
          <w:rFonts w:eastAsia="SimSun" w:cs="Times New Roman"/>
          <w:sz w:val="24"/>
          <w:szCs w:val="24"/>
        </w:rPr>
        <w:t xml:space="preserve"> by ovals to identify them as being latent constructs)</w:t>
      </w:r>
      <w:r w:rsidRPr="008D3590">
        <w:rPr>
          <w:rFonts w:eastAsia="SimSun" w:cs="Times New Roman"/>
          <w:sz w:val="24"/>
          <w:szCs w:val="24"/>
        </w:rPr>
        <w:t xml:space="preserve">. </w:t>
      </w:r>
      <w:r w:rsidR="00AA4C12" w:rsidRPr="008D3590">
        <w:rPr>
          <w:rFonts w:eastAsia="SimSun" w:cs="Times New Roman"/>
          <w:sz w:val="24"/>
          <w:szCs w:val="24"/>
        </w:rPr>
        <w:t xml:space="preserve">The double headed arrow between the VALSC and PALSC represents correlation effects across the unobserved components of the two </w:t>
      </w:r>
      <w:r w:rsidR="0056269D">
        <w:rPr>
          <w:rFonts w:eastAsia="SimSun" w:cs="Times New Roman"/>
          <w:sz w:val="24"/>
          <w:szCs w:val="24"/>
        </w:rPr>
        <w:t xml:space="preserve">latent </w:t>
      </w:r>
      <w:r w:rsidR="00AA4C12" w:rsidRPr="008D3590">
        <w:rPr>
          <w:rFonts w:eastAsia="SimSun" w:cs="Times New Roman"/>
          <w:sz w:val="24"/>
          <w:szCs w:val="24"/>
        </w:rPr>
        <w:t xml:space="preserve">constructs. </w:t>
      </w:r>
      <w:r w:rsidRPr="008D3590">
        <w:rPr>
          <w:rFonts w:eastAsia="SimSun" w:cs="Times New Roman"/>
          <w:sz w:val="24"/>
          <w:szCs w:val="24"/>
        </w:rPr>
        <w:t xml:space="preserve">The </w:t>
      </w:r>
      <w:r w:rsidR="00AA4C12" w:rsidRPr="008D3590">
        <w:rPr>
          <w:rFonts w:eastAsia="SimSun" w:cs="Times New Roman"/>
          <w:sz w:val="24"/>
          <w:szCs w:val="24"/>
        </w:rPr>
        <w:t xml:space="preserve">identification of the PALSC </w:t>
      </w:r>
      <w:r w:rsidRPr="008D3590">
        <w:rPr>
          <w:rFonts w:eastAsia="SimSun" w:cs="Times New Roman"/>
          <w:sz w:val="24"/>
          <w:szCs w:val="24"/>
        </w:rPr>
        <w:t xml:space="preserve">is facilitated by the </w:t>
      </w:r>
      <w:r w:rsidR="00AA4C12" w:rsidRPr="008D3590">
        <w:rPr>
          <w:rFonts w:eastAsia="SimSun" w:cs="Times New Roman"/>
          <w:sz w:val="24"/>
          <w:szCs w:val="24"/>
        </w:rPr>
        <w:t>four indicator</w:t>
      </w:r>
      <w:r w:rsidR="00CE7152" w:rsidRPr="008D3590">
        <w:rPr>
          <w:rFonts w:eastAsia="SimSun" w:cs="Times New Roman"/>
          <w:sz w:val="24"/>
          <w:szCs w:val="24"/>
        </w:rPr>
        <w:t>s</w:t>
      </w:r>
      <w:r w:rsidR="00AA4C12" w:rsidRPr="008D3590">
        <w:rPr>
          <w:rFonts w:eastAsia="SimSun" w:cs="Times New Roman"/>
          <w:sz w:val="24"/>
          <w:szCs w:val="24"/>
        </w:rPr>
        <w:t xml:space="preserve"> just discussed in the previous paragraph. The VALSC and PALSC, in turn, and along with the VAM, PAM, and socio-demographics, impact the virtual activity engagement (VAG) and physical activity engagement (PAG) patterns. </w:t>
      </w:r>
      <w:bookmarkStart w:id="6" w:name="_Hlk505155776"/>
      <w:r w:rsidR="00CE7152" w:rsidRPr="008D3590">
        <w:rPr>
          <w:rFonts w:eastAsia="SimSun" w:cs="Times New Roman"/>
          <w:sz w:val="24"/>
          <w:szCs w:val="24"/>
        </w:rPr>
        <w:t xml:space="preserve">Finally, we test endogenous effects between </w:t>
      </w:r>
      <w:r w:rsidR="00733828" w:rsidRPr="008D3590">
        <w:rPr>
          <w:rFonts w:eastAsia="SimSun" w:cs="Times New Roman"/>
          <w:sz w:val="24"/>
          <w:szCs w:val="24"/>
        </w:rPr>
        <w:t xml:space="preserve">(and within) </w:t>
      </w:r>
      <w:r w:rsidR="00CE7152" w:rsidRPr="008D3590">
        <w:rPr>
          <w:rFonts w:eastAsia="SimSun" w:cs="Times New Roman"/>
          <w:sz w:val="24"/>
          <w:szCs w:val="24"/>
        </w:rPr>
        <w:t>the VAG and PAG outcome variables</w:t>
      </w:r>
      <w:r w:rsidR="00733828" w:rsidRPr="008D3590">
        <w:rPr>
          <w:rFonts w:eastAsia="SimSun" w:cs="Times New Roman"/>
          <w:sz w:val="24"/>
          <w:szCs w:val="24"/>
        </w:rPr>
        <w:t xml:space="preserve"> after controlling for common unobserved effects (through the VALSC and PALSC). </w:t>
      </w:r>
      <w:bookmarkEnd w:id="6"/>
      <w:r w:rsidR="00733828" w:rsidRPr="008D3590">
        <w:rPr>
          <w:rFonts w:eastAsia="SimSun" w:cs="Times New Roman"/>
          <w:sz w:val="24"/>
          <w:szCs w:val="24"/>
        </w:rPr>
        <w:t xml:space="preserve">These endogenous effects must be strictly recursive for identification and logical consistency reasons (see Bhat, 2015). We represent this by arrows in each direction between VAG and PAG in Figure 1. </w:t>
      </w:r>
      <w:r w:rsidR="005C3720">
        <w:rPr>
          <w:rFonts w:eastAsia="SimSun" w:cs="Times New Roman"/>
          <w:sz w:val="24"/>
          <w:szCs w:val="24"/>
        </w:rPr>
        <w:t xml:space="preserve">The extant literature </w:t>
      </w:r>
      <w:r w:rsidR="005C3720" w:rsidRPr="00341EAA">
        <w:rPr>
          <w:rFonts w:eastAsia="SimSun" w:cs="Times New Roman"/>
          <w:i/>
          <w:sz w:val="24"/>
          <w:szCs w:val="24"/>
        </w:rPr>
        <w:t>a priori</w:t>
      </w:r>
      <w:r w:rsidR="005C3720">
        <w:rPr>
          <w:rFonts w:eastAsia="SimSun" w:cs="Times New Roman"/>
          <w:sz w:val="24"/>
          <w:szCs w:val="24"/>
        </w:rPr>
        <w:t xml:space="preserve"> assumes that the directionality of the “six-effects” is from VAG to PAG, without considering that the VAG and PAG outcomes may be jointly determined as a package choice</w:t>
      </w:r>
      <w:r w:rsidR="00CE0C36">
        <w:rPr>
          <w:rFonts w:eastAsia="SimSun" w:cs="Times New Roman"/>
          <w:sz w:val="24"/>
          <w:szCs w:val="24"/>
        </w:rPr>
        <w:t>, as we do</w:t>
      </w:r>
      <w:r w:rsidR="005C3720">
        <w:rPr>
          <w:rFonts w:eastAsia="SimSun" w:cs="Times New Roman"/>
          <w:sz w:val="24"/>
          <w:szCs w:val="24"/>
        </w:rPr>
        <w:t xml:space="preserve">. </w:t>
      </w:r>
    </w:p>
    <w:p w14:paraId="7C1BD3FD" w14:textId="38E0820A" w:rsidR="00935F7B" w:rsidRPr="005D7939" w:rsidRDefault="001109D7" w:rsidP="008D66F5">
      <w:pPr>
        <w:ind w:firstLine="720"/>
        <w:rPr>
          <w:rFonts w:eastAsia="SimSun" w:cs="Times New Roman"/>
          <w:sz w:val="24"/>
          <w:szCs w:val="24"/>
        </w:rPr>
      </w:pPr>
      <w:r w:rsidRPr="005D7939">
        <w:rPr>
          <w:rFonts w:eastAsia="SimSun" w:cs="Times New Roman"/>
          <w:sz w:val="24"/>
          <w:szCs w:val="24"/>
        </w:rPr>
        <w:t xml:space="preserve">The proposed model </w:t>
      </w:r>
      <w:r w:rsidR="00360892" w:rsidRPr="005D7939">
        <w:rPr>
          <w:rFonts w:eastAsia="SimSun" w:cs="Times New Roman"/>
          <w:sz w:val="24"/>
          <w:szCs w:val="24"/>
        </w:rPr>
        <w:t xml:space="preserve">for the VAG and PAG outcomes </w:t>
      </w:r>
      <w:r w:rsidRPr="005D7939">
        <w:rPr>
          <w:rFonts w:eastAsia="SimSun" w:cs="Times New Roman"/>
          <w:sz w:val="24"/>
          <w:szCs w:val="24"/>
        </w:rPr>
        <w:t xml:space="preserve">is a classic fit </w:t>
      </w:r>
      <w:r w:rsidR="00733828" w:rsidRPr="005D7939">
        <w:rPr>
          <w:rFonts w:eastAsia="SimSun" w:cs="Times New Roman"/>
          <w:sz w:val="24"/>
          <w:szCs w:val="24"/>
        </w:rPr>
        <w:t>within Bhat’s (2015) GHDM framework</w:t>
      </w:r>
      <w:r w:rsidR="00B7190A" w:rsidRPr="005D7939">
        <w:rPr>
          <w:rFonts w:eastAsia="SimSun" w:cs="Times New Roman"/>
          <w:sz w:val="24"/>
          <w:szCs w:val="24"/>
        </w:rPr>
        <w:t xml:space="preserve"> that enables the consideration of </w:t>
      </w:r>
      <w:r w:rsidR="00B374E3" w:rsidRPr="005D7939">
        <w:rPr>
          <w:rFonts w:eastAsia="SimSun" w:cs="Times New Roman"/>
          <w:sz w:val="24"/>
          <w:szCs w:val="24"/>
        </w:rPr>
        <w:t xml:space="preserve">the </w:t>
      </w:r>
      <w:r w:rsidR="00B7190A" w:rsidRPr="005D7939">
        <w:rPr>
          <w:rFonts w:eastAsia="SimSun" w:cs="Times New Roman"/>
          <w:sz w:val="24"/>
          <w:szCs w:val="24"/>
        </w:rPr>
        <w:t xml:space="preserve">different types of </w:t>
      </w:r>
      <w:r w:rsidR="00B374E3" w:rsidRPr="005D7939">
        <w:rPr>
          <w:rFonts w:eastAsia="SimSun" w:cs="Times New Roman"/>
          <w:sz w:val="24"/>
          <w:szCs w:val="24"/>
        </w:rPr>
        <w:t xml:space="preserve">PAG and VAG </w:t>
      </w:r>
      <w:r w:rsidR="00B7190A" w:rsidRPr="005D7939">
        <w:rPr>
          <w:rFonts w:eastAsia="SimSun" w:cs="Times New Roman"/>
          <w:sz w:val="24"/>
          <w:szCs w:val="24"/>
        </w:rPr>
        <w:t xml:space="preserve">outcome variables within a joint system. </w:t>
      </w:r>
      <w:r w:rsidR="006E76D0" w:rsidRPr="005D7939">
        <w:rPr>
          <w:rFonts w:eastAsia="SimSun" w:cs="Times New Roman"/>
          <w:sz w:val="24"/>
          <w:szCs w:val="24"/>
        </w:rPr>
        <w:t>The GHDM has two components joined together. The first component</w:t>
      </w:r>
      <w:r w:rsidR="00523D30" w:rsidRPr="005D7939">
        <w:rPr>
          <w:rFonts w:eastAsia="SimSun" w:cs="Times New Roman"/>
          <w:sz w:val="24"/>
          <w:szCs w:val="24"/>
        </w:rPr>
        <w:t>, which is the latent structural equation model (SEM)</w:t>
      </w:r>
      <w:r w:rsidR="00C274A9">
        <w:rPr>
          <w:rFonts w:eastAsia="SimSun" w:cs="Times New Roman"/>
          <w:sz w:val="24"/>
          <w:szCs w:val="24"/>
        </w:rPr>
        <w:t>,</w:t>
      </w:r>
      <w:r w:rsidR="00523D30" w:rsidRPr="005D7939">
        <w:rPr>
          <w:rFonts w:eastAsia="SimSun" w:cs="Times New Roman"/>
          <w:sz w:val="24"/>
          <w:szCs w:val="24"/>
        </w:rPr>
        <w:t xml:space="preserve"> specifies the relationship, in our empirical context, between the VAMs, PAMs, and socio-demographic characteristics on the one hand and the VALSC and PALSC on the other</w:t>
      </w:r>
      <w:r w:rsidR="009266A9" w:rsidRPr="005D7939">
        <w:rPr>
          <w:rFonts w:eastAsia="SimSun" w:cs="Times New Roman"/>
          <w:sz w:val="24"/>
          <w:szCs w:val="24"/>
        </w:rPr>
        <w:t xml:space="preserve"> (the left block to the middle block of Figure 1)</w:t>
      </w:r>
      <w:r w:rsidR="00523D30" w:rsidRPr="005D7939">
        <w:rPr>
          <w:rFonts w:eastAsia="SimSun" w:cs="Times New Roman"/>
          <w:sz w:val="24"/>
          <w:szCs w:val="24"/>
        </w:rPr>
        <w:t xml:space="preserve">. The second component, which is the latent measurement equation model (MEM), relates the VALSC and the PALSC </w:t>
      </w:r>
      <w:r w:rsidR="009266A9" w:rsidRPr="005D7939">
        <w:rPr>
          <w:rFonts w:eastAsia="SimSun" w:cs="Times New Roman"/>
          <w:sz w:val="24"/>
          <w:szCs w:val="24"/>
        </w:rPr>
        <w:t>to its measurement indicators (the PALSC indicators) and the VAG and PAG endogenous outcomes (the middle block to the right block of Figure 1; the endogenous outcomes include continuous, ordinal</w:t>
      </w:r>
      <w:r w:rsidR="004D72FC" w:rsidRPr="005D7939">
        <w:rPr>
          <w:rFonts w:eastAsia="SimSun" w:cs="Times New Roman"/>
          <w:sz w:val="24"/>
          <w:szCs w:val="24"/>
        </w:rPr>
        <w:t>, and count variables</w:t>
      </w:r>
      <w:r w:rsidR="009266A9" w:rsidRPr="005D7939">
        <w:rPr>
          <w:rFonts w:eastAsia="SimSun" w:cs="Times New Roman"/>
          <w:sz w:val="24"/>
          <w:szCs w:val="24"/>
        </w:rPr>
        <w:t>). Because of the stochasticity in the VALSC and PALSC latent constructs</w:t>
      </w:r>
      <w:r w:rsidR="004D72FC" w:rsidRPr="005D7939">
        <w:rPr>
          <w:rFonts w:eastAsia="SimSun" w:cs="Times New Roman"/>
          <w:sz w:val="24"/>
          <w:szCs w:val="24"/>
        </w:rPr>
        <w:t>,</w:t>
      </w:r>
      <w:r w:rsidR="009266A9" w:rsidRPr="005D7939">
        <w:rPr>
          <w:rFonts w:eastAsia="SimSun" w:cs="Times New Roman"/>
          <w:sz w:val="24"/>
          <w:szCs w:val="24"/>
        </w:rPr>
        <w:t xml:space="preserve"> which influence the VAG and PAG endogenous outcomes, </w:t>
      </w:r>
      <w:r w:rsidR="009266A9" w:rsidRPr="005D7939">
        <w:rPr>
          <w:sz w:val="24"/>
          <w:szCs w:val="24"/>
        </w:rPr>
        <w:t xml:space="preserve">there is </w:t>
      </w:r>
      <w:r w:rsidR="001039C9" w:rsidRPr="005D7939">
        <w:rPr>
          <w:sz w:val="24"/>
          <w:szCs w:val="24"/>
        </w:rPr>
        <w:t xml:space="preserve">a </w:t>
      </w:r>
      <w:r w:rsidR="00B374C6" w:rsidRPr="005D7939">
        <w:rPr>
          <w:sz w:val="24"/>
          <w:szCs w:val="24"/>
        </w:rPr>
        <w:t>parsimonious</w:t>
      </w:r>
      <w:r w:rsidR="001039C9" w:rsidRPr="005D7939">
        <w:rPr>
          <w:sz w:val="24"/>
          <w:szCs w:val="24"/>
        </w:rPr>
        <w:t xml:space="preserve"> </w:t>
      </w:r>
      <w:r w:rsidR="009266A9" w:rsidRPr="005D7939">
        <w:rPr>
          <w:sz w:val="24"/>
          <w:szCs w:val="24"/>
        </w:rPr>
        <w:t xml:space="preserve">unobserved </w:t>
      </w:r>
      <w:r w:rsidR="001039C9" w:rsidRPr="005D7939">
        <w:rPr>
          <w:sz w:val="24"/>
          <w:szCs w:val="24"/>
        </w:rPr>
        <w:t xml:space="preserve">dependence structure among all endogenous variables. </w:t>
      </w:r>
      <w:r w:rsidR="001039C9" w:rsidRPr="005D7939">
        <w:rPr>
          <w:rFonts w:eastAsia="SimSun" w:cs="Times New Roman"/>
          <w:sz w:val="24"/>
          <w:szCs w:val="24"/>
        </w:rPr>
        <w:t xml:space="preserve">Due to space considerations, we will not dwell on the model econometrics and estimation of the GHDM model but refer the reader to Bhat (2015). </w:t>
      </w:r>
    </w:p>
    <w:p w14:paraId="265C3A7D" w14:textId="77777777" w:rsidR="001039C9" w:rsidRPr="008D3590" w:rsidRDefault="001039C9" w:rsidP="008D66F5">
      <w:pPr>
        <w:ind w:firstLine="720"/>
        <w:rPr>
          <w:rFonts w:eastAsia="SimSun" w:cs="Times New Roman"/>
          <w:sz w:val="24"/>
          <w:szCs w:val="24"/>
        </w:rPr>
      </w:pPr>
    </w:p>
    <w:p w14:paraId="73943524" w14:textId="77777777" w:rsidR="004D72FC" w:rsidRDefault="004D72FC">
      <w:pPr>
        <w:spacing w:after="200" w:line="276" w:lineRule="auto"/>
        <w:jc w:val="left"/>
        <w:rPr>
          <w:rFonts w:eastAsia="SimSun" w:cs="Times New Roman"/>
          <w:b/>
          <w:sz w:val="24"/>
          <w:szCs w:val="24"/>
        </w:rPr>
      </w:pPr>
      <w:r>
        <w:rPr>
          <w:rFonts w:eastAsia="SimSun" w:cs="Times New Roman"/>
          <w:b/>
          <w:sz w:val="24"/>
          <w:szCs w:val="24"/>
        </w:rPr>
        <w:br w:type="page"/>
      </w:r>
    </w:p>
    <w:p w14:paraId="418B65A0" w14:textId="039B302F" w:rsidR="001109D7" w:rsidRPr="008D3590" w:rsidRDefault="00762839" w:rsidP="000B16CE">
      <w:pPr>
        <w:outlineLvl w:val="0"/>
        <w:rPr>
          <w:rFonts w:eastAsia="SimSun" w:cs="Times New Roman"/>
          <w:b/>
          <w:sz w:val="24"/>
          <w:szCs w:val="24"/>
        </w:rPr>
      </w:pPr>
      <w:r w:rsidRPr="008D3590">
        <w:rPr>
          <w:rFonts w:eastAsia="SimSun" w:cs="Times New Roman"/>
          <w:b/>
          <w:sz w:val="24"/>
          <w:szCs w:val="24"/>
        </w:rPr>
        <w:lastRenderedPageBreak/>
        <w:t>2.</w:t>
      </w:r>
      <w:r w:rsidR="00CE0C36">
        <w:rPr>
          <w:rFonts w:eastAsia="SimSun" w:cs="Times New Roman"/>
          <w:b/>
          <w:sz w:val="24"/>
          <w:szCs w:val="24"/>
        </w:rPr>
        <w:t>1</w:t>
      </w:r>
      <w:r w:rsidRPr="008D3590">
        <w:rPr>
          <w:rFonts w:eastAsia="SimSun" w:cs="Times New Roman"/>
          <w:b/>
          <w:sz w:val="24"/>
          <w:szCs w:val="24"/>
        </w:rPr>
        <w:t xml:space="preserve">. </w:t>
      </w:r>
      <w:r w:rsidR="001109D7" w:rsidRPr="008D3590">
        <w:rPr>
          <w:rFonts w:eastAsia="SimSun" w:cs="Times New Roman"/>
          <w:b/>
          <w:sz w:val="24"/>
          <w:szCs w:val="24"/>
        </w:rPr>
        <w:t>Sample Description</w:t>
      </w:r>
    </w:p>
    <w:p w14:paraId="2A936304" w14:textId="764C14D6" w:rsidR="00086973" w:rsidRPr="008D3590" w:rsidRDefault="001109D7" w:rsidP="000B16CE">
      <w:pPr>
        <w:rPr>
          <w:rFonts w:eastAsia="SimSun" w:cs="Times New Roman"/>
          <w:sz w:val="24"/>
          <w:szCs w:val="24"/>
        </w:rPr>
      </w:pPr>
      <w:r w:rsidRPr="008D3590">
        <w:rPr>
          <w:rFonts w:eastAsia="SimSun" w:cs="Times New Roman"/>
          <w:sz w:val="24"/>
          <w:szCs w:val="24"/>
        </w:rPr>
        <w:t xml:space="preserve">To conserve on space, we present only the statistics associated with the VAG and PAG endogenous outcomes in this paper. The statistics related to the VAM, PAM, socio-demographics, and the four indicators of the PALSC are available </w:t>
      </w:r>
      <w:r w:rsidR="00E003ED" w:rsidRPr="008D3590">
        <w:rPr>
          <w:rFonts w:eastAsia="SimSun" w:cs="Times New Roman"/>
          <w:sz w:val="24"/>
          <w:szCs w:val="24"/>
        </w:rPr>
        <w:t xml:space="preserve">in an </w:t>
      </w:r>
      <w:r w:rsidR="00E003ED" w:rsidRPr="0099662C">
        <w:rPr>
          <w:rFonts w:eastAsia="SimSun" w:cs="Times New Roman"/>
          <w:sz w:val="24"/>
          <w:szCs w:val="24"/>
        </w:rPr>
        <w:t>online supplement</w:t>
      </w:r>
      <w:r w:rsidR="0099662C">
        <w:rPr>
          <w:rFonts w:eastAsia="SimSun" w:cs="Times New Roman"/>
          <w:sz w:val="24"/>
          <w:szCs w:val="24"/>
        </w:rPr>
        <w:t xml:space="preserve"> at </w:t>
      </w:r>
      <w:hyperlink r:id="rId15" w:history="1">
        <w:r w:rsidR="0099662C" w:rsidRPr="003D1C51">
          <w:rPr>
            <w:rStyle w:val="Hyperlink"/>
            <w:rFonts w:eastAsia="SimSun" w:cs="Times New Roman"/>
            <w:sz w:val="24"/>
            <w:szCs w:val="24"/>
          </w:rPr>
          <w:t>http://www.caee.utexas.edu/prof/bhat/ABSTRACTS/Accessibility/OnlineSupplement.pdf</w:t>
        </w:r>
      </w:hyperlink>
      <w:r w:rsidR="00E003ED" w:rsidRPr="008D3590">
        <w:rPr>
          <w:rFonts w:eastAsia="SimSun" w:cs="Times New Roman"/>
          <w:sz w:val="24"/>
          <w:szCs w:val="24"/>
        </w:rPr>
        <w:t>.</w:t>
      </w:r>
      <w:r w:rsidR="0099662C">
        <w:rPr>
          <w:rFonts w:eastAsia="SimSun" w:cs="Times New Roman"/>
          <w:sz w:val="24"/>
          <w:szCs w:val="24"/>
        </w:rPr>
        <w:t xml:space="preserve"> </w:t>
      </w:r>
      <w:r w:rsidR="00E003ED" w:rsidRPr="008D3590">
        <w:rPr>
          <w:rFonts w:eastAsia="SimSun" w:cs="Times New Roman"/>
          <w:sz w:val="24"/>
          <w:szCs w:val="24"/>
        </w:rPr>
        <w:t xml:space="preserve"> </w:t>
      </w:r>
    </w:p>
    <w:p w14:paraId="4FFBF7A2" w14:textId="7B67119C" w:rsidR="002C4A7A" w:rsidRPr="008D3590" w:rsidRDefault="00086973" w:rsidP="002C4A7A">
      <w:pPr>
        <w:ind w:firstLine="708"/>
        <w:rPr>
          <w:rFonts w:eastAsia="SimSun" w:cs="Times New Roman"/>
          <w:sz w:val="24"/>
          <w:szCs w:val="24"/>
          <w:lang w:eastAsia="zh-CN"/>
        </w:rPr>
      </w:pPr>
      <w:r w:rsidRPr="008D3590">
        <w:rPr>
          <w:rFonts w:eastAsia="SimSun" w:cs="Times New Roman"/>
          <w:sz w:val="24"/>
          <w:szCs w:val="24"/>
        </w:rPr>
        <w:t>Table 1 provides the descriptive statis</w:t>
      </w:r>
      <w:r w:rsidR="00961E41" w:rsidRPr="008D3590">
        <w:rPr>
          <w:rFonts w:eastAsia="SimSun" w:cs="Times New Roman"/>
          <w:sz w:val="24"/>
          <w:szCs w:val="24"/>
        </w:rPr>
        <w:t>tics on the VAG and PAG outcome variables</w:t>
      </w:r>
      <w:r w:rsidRPr="008D3590">
        <w:rPr>
          <w:rFonts w:eastAsia="SimSun" w:cs="Times New Roman"/>
          <w:sz w:val="24"/>
          <w:szCs w:val="24"/>
        </w:rPr>
        <w:t xml:space="preserve">. </w:t>
      </w:r>
      <w:r w:rsidR="0039799E" w:rsidRPr="008D3590">
        <w:rPr>
          <w:rFonts w:eastAsia="SimSun" w:cs="Times New Roman"/>
          <w:sz w:val="24"/>
          <w:szCs w:val="24"/>
        </w:rPr>
        <w:t>The first variable under the VAG category is the</w:t>
      </w:r>
      <w:r w:rsidR="00DA5FD0">
        <w:rPr>
          <w:rFonts w:eastAsia="SimSun" w:cs="Times New Roman"/>
          <w:sz w:val="24"/>
          <w:szCs w:val="24"/>
        </w:rPr>
        <w:t xml:space="preserve"> frequency of working at home. </w:t>
      </w:r>
      <w:r w:rsidR="0039799E" w:rsidRPr="008D3590">
        <w:rPr>
          <w:rFonts w:eastAsia="SimSun" w:cs="Times New Roman"/>
          <w:sz w:val="24"/>
          <w:szCs w:val="24"/>
        </w:rPr>
        <w:t xml:space="preserve">Even though the majority of the people telecommute only twice a year or less, there is still </w:t>
      </w:r>
      <w:r w:rsidR="00792F3E">
        <w:rPr>
          <w:rFonts w:eastAsia="SimSun" w:cs="Times New Roman"/>
          <w:sz w:val="24"/>
          <w:szCs w:val="24"/>
        </w:rPr>
        <w:t>7.3%</w:t>
      </w:r>
      <w:r w:rsidR="0039799E" w:rsidRPr="008D3590" w:rsidDel="000C1F5A">
        <w:rPr>
          <w:rFonts w:eastAsia="SimSun" w:cs="Times New Roman"/>
          <w:sz w:val="24"/>
          <w:szCs w:val="24"/>
        </w:rPr>
        <w:t xml:space="preserve"> </w:t>
      </w:r>
      <w:r w:rsidR="0039799E" w:rsidRPr="008D3590">
        <w:rPr>
          <w:rFonts w:eastAsia="SimSun" w:cs="Times New Roman"/>
          <w:sz w:val="24"/>
          <w:szCs w:val="24"/>
        </w:rPr>
        <w:t>of the sample that telecommutes</w:t>
      </w:r>
      <w:r w:rsidR="00961E41" w:rsidRPr="008D3590">
        <w:rPr>
          <w:rFonts w:eastAsia="SimSun" w:cs="Times New Roman"/>
          <w:sz w:val="24"/>
          <w:szCs w:val="24"/>
        </w:rPr>
        <w:t xml:space="preserve"> weekly. </w:t>
      </w:r>
      <w:r w:rsidR="002C4A7A" w:rsidRPr="008D3590">
        <w:rPr>
          <w:rFonts w:eastAsia="SimSun" w:cs="Times New Roman"/>
          <w:sz w:val="24"/>
          <w:szCs w:val="24"/>
        </w:rPr>
        <w:t xml:space="preserve">With respect to food-purchasing behavior, </w:t>
      </w:r>
      <w:r w:rsidR="001532B8" w:rsidRPr="008D3590">
        <w:rPr>
          <w:rFonts w:eastAsia="SimSun" w:cs="Times New Roman"/>
          <w:sz w:val="24"/>
          <w:szCs w:val="24"/>
        </w:rPr>
        <w:t xml:space="preserve">for a vast majority (93.1%) of individuals, the main purchase channel for food is to travel to the grocery store rather than do so online. This is also reflected in the distribution of the frequency of food delivery, with two-thirds of respondents purchasing food online and having it delivered to their respective homes less often than </w:t>
      </w:r>
      <w:r w:rsidR="00792F3E">
        <w:rPr>
          <w:rFonts w:eastAsia="SimSun" w:cs="Times New Roman"/>
          <w:sz w:val="24"/>
          <w:szCs w:val="24"/>
        </w:rPr>
        <w:t>twice</w:t>
      </w:r>
      <w:r w:rsidR="00792F3E" w:rsidRPr="008D3590">
        <w:rPr>
          <w:rFonts w:eastAsia="SimSun" w:cs="Times New Roman"/>
          <w:sz w:val="24"/>
          <w:szCs w:val="24"/>
        </w:rPr>
        <w:t xml:space="preserve"> </w:t>
      </w:r>
      <w:r w:rsidR="001532B8" w:rsidRPr="008D3590">
        <w:rPr>
          <w:rFonts w:eastAsia="SimSun" w:cs="Times New Roman"/>
          <w:sz w:val="24"/>
          <w:szCs w:val="24"/>
        </w:rPr>
        <w:t xml:space="preserve">a year. </w:t>
      </w:r>
      <w:r w:rsidR="00792F3E">
        <w:rPr>
          <w:rFonts w:eastAsia="SimSun" w:cs="Times New Roman"/>
          <w:sz w:val="24"/>
          <w:szCs w:val="24"/>
        </w:rPr>
        <w:t>Yet</w:t>
      </w:r>
      <w:r w:rsidR="001532B8" w:rsidRPr="008D3590">
        <w:rPr>
          <w:rFonts w:eastAsia="SimSun" w:cs="Times New Roman"/>
          <w:sz w:val="24"/>
          <w:szCs w:val="24"/>
        </w:rPr>
        <w:t>, 8.</w:t>
      </w:r>
      <w:r w:rsidR="00C274A9">
        <w:rPr>
          <w:rFonts w:eastAsia="SimSun" w:cs="Times New Roman"/>
          <w:sz w:val="24"/>
          <w:szCs w:val="24"/>
        </w:rPr>
        <w:t>8</w:t>
      </w:r>
      <w:r w:rsidR="001532B8" w:rsidRPr="008D3590">
        <w:rPr>
          <w:rFonts w:eastAsia="SimSun" w:cs="Times New Roman"/>
          <w:sz w:val="24"/>
          <w:szCs w:val="24"/>
        </w:rPr>
        <w:t xml:space="preserve">% of respondents have food delivered to their house one or more </w:t>
      </w:r>
      <w:r w:rsidR="00961E41" w:rsidRPr="008D3590">
        <w:rPr>
          <w:rFonts w:eastAsia="SimSun" w:cs="Times New Roman"/>
          <w:sz w:val="24"/>
          <w:szCs w:val="24"/>
        </w:rPr>
        <w:t xml:space="preserve">times per week. </w:t>
      </w:r>
      <w:r w:rsidR="002C4A7A" w:rsidRPr="008D3590">
        <w:rPr>
          <w:rFonts w:eastAsia="SimSun" w:cs="Times New Roman"/>
          <w:sz w:val="24"/>
          <w:szCs w:val="24"/>
        </w:rPr>
        <w:t xml:space="preserve">Individuals </w:t>
      </w:r>
      <w:r w:rsidR="00961E41" w:rsidRPr="008D3590">
        <w:rPr>
          <w:rFonts w:eastAsia="SimSun" w:cs="Times New Roman"/>
          <w:sz w:val="24"/>
          <w:szCs w:val="24"/>
        </w:rPr>
        <w:t xml:space="preserve">have </w:t>
      </w:r>
      <w:r w:rsidR="002C4A7A" w:rsidRPr="008D3590">
        <w:rPr>
          <w:rFonts w:eastAsia="SimSun" w:cs="Times New Roman"/>
          <w:sz w:val="24"/>
          <w:szCs w:val="24"/>
        </w:rPr>
        <w:t xml:space="preserve">goods </w:t>
      </w:r>
      <w:r w:rsidR="00961E41" w:rsidRPr="008D3590">
        <w:rPr>
          <w:rFonts w:eastAsia="SimSun" w:cs="Times New Roman"/>
          <w:sz w:val="24"/>
          <w:szCs w:val="24"/>
        </w:rPr>
        <w:t xml:space="preserve">delivered more often than food, with </w:t>
      </w:r>
      <w:r w:rsidR="002C4A7A" w:rsidRPr="008D3590">
        <w:rPr>
          <w:rFonts w:eastAsia="SimSun" w:cs="Times New Roman"/>
          <w:sz w:val="24"/>
          <w:szCs w:val="24"/>
        </w:rPr>
        <w:t>27.8 percent</w:t>
      </w:r>
      <w:r w:rsidR="00961E41" w:rsidRPr="008D3590">
        <w:rPr>
          <w:rFonts w:eastAsia="SimSun" w:cs="Times New Roman"/>
          <w:sz w:val="24"/>
          <w:szCs w:val="24"/>
        </w:rPr>
        <w:t xml:space="preserve"> of respondents having</w:t>
      </w:r>
      <w:r w:rsidR="002C4A7A" w:rsidRPr="008D3590">
        <w:rPr>
          <w:rFonts w:eastAsia="SimSun" w:cs="Times New Roman"/>
          <w:sz w:val="24"/>
          <w:szCs w:val="24"/>
        </w:rPr>
        <w:t xml:space="preserve"> good</w:t>
      </w:r>
      <w:r w:rsidR="00961E41" w:rsidRPr="008D3590">
        <w:rPr>
          <w:rFonts w:eastAsia="SimSun" w:cs="Times New Roman"/>
          <w:sz w:val="24"/>
          <w:szCs w:val="24"/>
        </w:rPr>
        <w:t>s delivered one or more times per week</w:t>
      </w:r>
      <w:r w:rsidR="002C4A7A" w:rsidRPr="008D3590">
        <w:rPr>
          <w:rFonts w:eastAsia="SimSun" w:cs="Times New Roman"/>
          <w:sz w:val="24"/>
          <w:szCs w:val="24"/>
        </w:rPr>
        <w:t xml:space="preserve">. </w:t>
      </w:r>
    </w:p>
    <w:p w14:paraId="59733947" w14:textId="456C8EF4" w:rsidR="0037438E" w:rsidRPr="008D3590" w:rsidRDefault="00961E41" w:rsidP="00881C66">
      <w:pPr>
        <w:ind w:firstLine="720"/>
        <w:rPr>
          <w:rFonts w:eastAsia="SimSun" w:cs="Times New Roman"/>
          <w:sz w:val="24"/>
          <w:szCs w:val="24"/>
        </w:rPr>
      </w:pPr>
      <w:r w:rsidRPr="008D3590">
        <w:rPr>
          <w:rFonts w:eastAsia="SimSun" w:cs="Times New Roman"/>
          <w:sz w:val="24"/>
          <w:szCs w:val="24"/>
        </w:rPr>
        <w:t>Among the PAG outcome variables</w:t>
      </w:r>
      <w:r w:rsidR="00E003ED" w:rsidRPr="008D3590">
        <w:rPr>
          <w:rFonts w:eastAsia="SimSun" w:cs="Times New Roman"/>
          <w:sz w:val="24"/>
          <w:szCs w:val="24"/>
        </w:rPr>
        <w:t xml:space="preserve"> (the lower row panel of Table 1)</w:t>
      </w:r>
      <w:r w:rsidRPr="008D3590">
        <w:rPr>
          <w:rFonts w:eastAsia="SimSun" w:cs="Times New Roman"/>
          <w:sz w:val="24"/>
          <w:szCs w:val="24"/>
        </w:rPr>
        <w:t xml:space="preserve">, the mean </w:t>
      </w:r>
      <w:r w:rsidR="00C274A9">
        <w:rPr>
          <w:rFonts w:eastAsia="SimSun" w:cs="Times New Roman"/>
          <w:sz w:val="24"/>
          <w:szCs w:val="24"/>
        </w:rPr>
        <w:t xml:space="preserve">number </w:t>
      </w:r>
      <w:r w:rsidRPr="008D3590">
        <w:rPr>
          <w:rFonts w:eastAsia="SimSun" w:cs="Times New Roman"/>
          <w:sz w:val="24"/>
          <w:szCs w:val="24"/>
        </w:rPr>
        <w:t xml:space="preserve">of </w:t>
      </w:r>
      <w:r w:rsidR="004C43C2" w:rsidRPr="008D3590">
        <w:rPr>
          <w:rFonts w:eastAsia="SimSun" w:cs="Times New Roman"/>
          <w:sz w:val="24"/>
          <w:szCs w:val="24"/>
        </w:rPr>
        <w:t>mandator</w:t>
      </w:r>
      <w:r w:rsidR="00B7190A" w:rsidRPr="008D3590">
        <w:rPr>
          <w:rFonts w:eastAsia="SimSun" w:cs="Times New Roman"/>
          <w:sz w:val="24"/>
          <w:szCs w:val="24"/>
        </w:rPr>
        <w:t xml:space="preserve">y activity episodes </w:t>
      </w:r>
      <w:r w:rsidR="00C274A9">
        <w:rPr>
          <w:rFonts w:eastAsia="SimSun" w:cs="Times New Roman"/>
          <w:sz w:val="24"/>
          <w:szCs w:val="24"/>
        </w:rPr>
        <w:t xml:space="preserve">per week </w:t>
      </w:r>
      <w:r w:rsidR="00B7190A" w:rsidRPr="008D3590">
        <w:rPr>
          <w:rFonts w:eastAsia="SimSun" w:cs="Times New Roman"/>
          <w:sz w:val="24"/>
          <w:szCs w:val="24"/>
        </w:rPr>
        <w:t>is 3.</w:t>
      </w:r>
      <w:r w:rsidR="00792F3E">
        <w:rPr>
          <w:rFonts w:eastAsia="SimSun" w:cs="Times New Roman"/>
          <w:sz w:val="24"/>
          <w:szCs w:val="24"/>
        </w:rPr>
        <w:t>9</w:t>
      </w:r>
      <w:r w:rsidR="00B7190A" w:rsidRPr="008D3590">
        <w:rPr>
          <w:rFonts w:eastAsia="SimSun" w:cs="Times New Roman"/>
          <w:sz w:val="24"/>
          <w:szCs w:val="24"/>
        </w:rPr>
        <w:t>, which is reasonable</w:t>
      </w:r>
      <w:r w:rsidR="004C43C2" w:rsidRPr="008D3590">
        <w:rPr>
          <w:rFonts w:eastAsia="SimSun" w:cs="Times New Roman"/>
          <w:sz w:val="24"/>
          <w:szCs w:val="24"/>
        </w:rPr>
        <w:t xml:space="preserve"> given the level of telecommuting as well as individuals not working at all on some days of the week (due to vacation, illness, or other personal considerations</w:t>
      </w:r>
      <w:r w:rsidR="00C274A9">
        <w:rPr>
          <w:rFonts w:eastAsia="SimSun" w:cs="Times New Roman"/>
          <w:sz w:val="24"/>
          <w:szCs w:val="24"/>
        </w:rPr>
        <w:t>; a</w:t>
      </w:r>
      <w:r w:rsidR="00916D18">
        <w:rPr>
          <w:rFonts w:eastAsia="SimSun" w:cs="Times New Roman"/>
          <w:sz w:val="24"/>
          <w:szCs w:val="24"/>
        </w:rPr>
        <w:t>lmost one fifth of the individuals did not undertake any OH work activity in the survey week</w:t>
      </w:r>
      <w:r w:rsidR="00C274A9">
        <w:rPr>
          <w:rFonts w:eastAsia="SimSun" w:cs="Times New Roman"/>
          <w:sz w:val="24"/>
          <w:szCs w:val="24"/>
        </w:rPr>
        <w:t>)</w:t>
      </w:r>
      <w:r w:rsidR="00916D18">
        <w:rPr>
          <w:rFonts w:eastAsia="SimSun" w:cs="Times New Roman"/>
          <w:sz w:val="24"/>
          <w:szCs w:val="24"/>
        </w:rPr>
        <w:t xml:space="preserve">.  </w:t>
      </w:r>
      <w:r w:rsidR="004C43C2" w:rsidRPr="008D3590">
        <w:rPr>
          <w:rFonts w:eastAsia="SimSun" w:cs="Times New Roman"/>
          <w:sz w:val="24"/>
          <w:szCs w:val="24"/>
        </w:rPr>
        <w:t xml:space="preserve">On average, the number of maintenance activity and discretionary activity episodes </w:t>
      </w:r>
      <w:r w:rsidR="000B16CE" w:rsidRPr="008D3590">
        <w:rPr>
          <w:rFonts w:eastAsia="SimSun" w:cs="Times New Roman"/>
          <w:sz w:val="24"/>
          <w:szCs w:val="24"/>
        </w:rPr>
        <w:t>pursued</w:t>
      </w:r>
      <w:r w:rsidR="004C43C2" w:rsidRPr="008D3590">
        <w:rPr>
          <w:rFonts w:eastAsia="SimSun" w:cs="Times New Roman"/>
          <w:sz w:val="24"/>
          <w:szCs w:val="24"/>
        </w:rPr>
        <w:t xml:space="preserve"> during the survey week is 2.</w:t>
      </w:r>
      <w:r w:rsidR="00792F3E">
        <w:rPr>
          <w:rFonts w:eastAsia="SimSun" w:cs="Times New Roman"/>
          <w:sz w:val="24"/>
          <w:szCs w:val="24"/>
        </w:rPr>
        <w:t>1</w:t>
      </w:r>
      <w:r w:rsidR="00792F3E" w:rsidRPr="008D3590">
        <w:rPr>
          <w:rFonts w:eastAsia="SimSun" w:cs="Times New Roman"/>
          <w:sz w:val="24"/>
          <w:szCs w:val="24"/>
        </w:rPr>
        <w:t xml:space="preserve"> </w:t>
      </w:r>
      <w:r w:rsidR="004C43C2" w:rsidRPr="008D3590">
        <w:rPr>
          <w:rFonts w:eastAsia="SimSun" w:cs="Times New Roman"/>
          <w:sz w:val="24"/>
          <w:szCs w:val="24"/>
        </w:rPr>
        <w:t xml:space="preserve">and 3.0, respectively, well below the number of mandatory activity episodes. </w:t>
      </w:r>
      <w:r w:rsidR="004D72FC">
        <w:rPr>
          <w:rFonts w:eastAsia="SimSun" w:cs="Times New Roman"/>
          <w:sz w:val="24"/>
          <w:szCs w:val="24"/>
        </w:rPr>
        <w:t>In terms of average activity duration</w:t>
      </w:r>
      <w:r w:rsidR="009307C6">
        <w:rPr>
          <w:rFonts w:eastAsia="SimSun" w:cs="Times New Roman"/>
          <w:sz w:val="24"/>
          <w:szCs w:val="24"/>
        </w:rPr>
        <w:t xml:space="preserve"> (in ordinal categories as shown in Table 1)</w:t>
      </w:r>
      <w:r w:rsidR="004D72FC">
        <w:rPr>
          <w:rFonts w:eastAsia="SimSun" w:cs="Times New Roman"/>
          <w:sz w:val="24"/>
          <w:szCs w:val="24"/>
        </w:rPr>
        <w:t xml:space="preserve">, </w:t>
      </w:r>
      <w:r w:rsidR="009307C6">
        <w:rPr>
          <w:rFonts w:eastAsia="SimSun" w:cs="Times New Roman"/>
          <w:sz w:val="24"/>
          <w:szCs w:val="24"/>
        </w:rPr>
        <w:t xml:space="preserve">about half of all </w:t>
      </w:r>
      <w:r w:rsidR="00916D18">
        <w:rPr>
          <w:rFonts w:eastAsia="SimSun" w:cs="Times New Roman"/>
          <w:sz w:val="24"/>
          <w:szCs w:val="24"/>
        </w:rPr>
        <w:t xml:space="preserve">work episodes </w:t>
      </w:r>
      <w:r w:rsidR="009307C6">
        <w:rPr>
          <w:rFonts w:eastAsia="SimSun" w:cs="Times New Roman"/>
          <w:sz w:val="24"/>
          <w:szCs w:val="24"/>
        </w:rPr>
        <w:t xml:space="preserve">are </w:t>
      </w:r>
      <w:r w:rsidR="00916D18">
        <w:rPr>
          <w:rFonts w:eastAsia="SimSun" w:cs="Times New Roman"/>
          <w:sz w:val="24"/>
          <w:szCs w:val="24"/>
        </w:rPr>
        <w:t xml:space="preserve">more than 6 hours, while </w:t>
      </w:r>
      <w:r w:rsidR="00290A22">
        <w:rPr>
          <w:rFonts w:eastAsia="SimSun" w:cs="Times New Roman"/>
          <w:sz w:val="24"/>
          <w:szCs w:val="24"/>
        </w:rPr>
        <w:t xml:space="preserve">most </w:t>
      </w:r>
      <w:r w:rsidR="00916D18">
        <w:rPr>
          <w:rFonts w:eastAsia="SimSun" w:cs="Times New Roman"/>
          <w:sz w:val="24"/>
          <w:szCs w:val="24"/>
        </w:rPr>
        <w:t xml:space="preserve">maintenance episodes </w:t>
      </w:r>
      <w:r w:rsidR="00290A22">
        <w:rPr>
          <w:rFonts w:eastAsia="SimSun" w:cs="Times New Roman"/>
          <w:sz w:val="24"/>
          <w:szCs w:val="24"/>
        </w:rPr>
        <w:t xml:space="preserve">take less than 2 hours. </w:t>
      </w:r>
      <w:r w:rsidR="00C274A9">
        <w:rPr>
          <w:rFonts w:eastAsia="SimSun" w:cs="Times New Roman"/>
          <w:sz w:val="24"/>
          <w:szCs w:val="24"/>
        </w:rPr>
        <w:t>A</w:t>
      </w:r>
      <w:r w:rsidR="00290A22">
        <w:rPr>
          <w:rFonts w:eastAsia="SimSun" w:cs="Times New Roman"/>
          <w:sz w:val="24"/>
          <w:szCs w:val="24"/>
        </w:rPr>
        <w:t xml:space="preserve"> fourth of the sample did not pursue any</w:t>
      </w:r>
      <w:r w:rsidR="009307C6">
        <w:rPr>
          <w:rFonts w:eastAsia="SimSun" w:cs="Times New Roman"/>
          <w:sz w:val="24"/>
          <w:szCs w:val="24"/>
        </w:rPr>
        <w:t xml:space="preserve"> </w:t>
      </w:r>
      <w:r w:rsidR="00290A22">
        <w:rPr>
          <w:rFonts w:eastAsia="SimSun" w:cs="Times New Roman"/>
          <w:sz w:val="24"/>
          <w:szCs w:val="24"/>
        </w:rPr>
        <w:t>discretionary activity, but most who did, spent less than 3 hours per episode. Trip chaining</w:t>
      </w:r>
      <w:r w:rsidR="004D72FC">
        <w:rPr>
          <w:rFonts w:eastAsia="SimSun" w:cs="Times New Roman"/>
          <w:sz w:val="24"/>
          <w:szCs w:val="24"/>
        </w:rPr>
        <w:t xml:space="preserve"> is quite</w:t>
      </w:r>
      <w:r w:rsidR="00290A22">
        <w:rPr>
          <w:rFonts w:eastAsia="SimSun" w:cs="Times New Roman"/>
          <w:sz w:val="24"/>
          <w:szCs w:val="24"/>
        </w:rPr>
        <w:t xml:space="preserve"> prevalent</w:t>
      </w:r>
      <w:r w:rsidR="004D72FC">
        <w:rPr>
          <w:rFonts w:eastAsia="SimSun" w:cs="Times New Roman"/>
          <w:sz w:val="24"/>
          <w:szCs w:val="24"/>
        </w:rPr>
        <w:t>,</w:t>
      </w:r>
      <w:r w:rsidR="00290A22">
        <w:rPr>
          <w:rFonts w:eastAsia="SimSun" w:cs="Times New Roman"/>
          <w:sz w:val="24"/>
          <w:szCs w:val="24"/>
        </w:rPr>
        <w:t xml:space="preserve"> as </w:t>
      </w:r>
      <w:r w:rsidR="004D72FC">
        <w:rPr>
          <w:rFonts w:eastAsia="SimSun" w:cs="Times New Roman"/>
          <w:sz w:val="24"/>
          <w:szCs w:val="24"/>
        </w:rPr>
        <w:t xml:space="preserve">only </w:t>
      </w:r>
      <w:r w:rsidR="00290A22">
        <w:rPr>
          <w:rFonts w:eastAsia="SimSun" w:cs="Times New Roman"/>
          <w:sz w:val="24"/>
          <w:szCs w:val="24"/>
        </w:rPr>
        <w:t xml:space="preserve">32% </w:t>
      </w:r>
      <w:r w:rsidR="00AE3E2B">
        <w:rPr>
          <w:rFonts w:eastAsia="SimSun" w:cs="Times New Roman"/>
          <w:sz w:val="24"/>
          <w:szCs w:val="24"/>
        </w:rPr>
        <w:t xml:space="preserve">of individuals have </w:t>
      </w:r>
      <w:r w:rsidR="00290A22">
        <w:rPr>
          <w:rFonts w:eastAsia="SimSun" w:cs="Times New Roman"/>
          <w:sz w:val="24"/>
          <w:szCs w:val="24"/>
        </w:rPr>
        <w:t>an average of two trips per tour</w:t>
      </w:r>
      <w:r w:rsidR="009307C6">
        <w:rPr>
          <w:rFonts w:eastAsia="SimSun" w:cs="Times New Roman"/>
          <w:sz w:val="24"/>
          <w:szCs w:val="24"/>
        </w:rPr>
        <w:t>. T</w:t>
      </w:r>
      <w:r w:rsidR="00290A22" w:rsidRPr="008D3590">
        <w:rPr>
          <w:rFonts w:eastAsia="SimSun" w:cs="Times New Roman"/>
          <w:sz w:val="24"/>
          <w:szCs w:val="24"/>
        </w:rPr>
        <w:t>he average trip distance in a tour is 9.</w:t>
      </w:r>
      <w:r w:rsidR="004D72FC">
        <w:rPr>
          <w:rFonts w:eastAsia="SimSun" w:cs="Times New Roman"/>
          <w:sz w:val="24"/>
          <w:szCs w:val="24"/>
        </w:rPr>
        <w:t>3</w:t>
      </w:r>
      <w:r w:rsidR="00290A22" w:rsidRPr="008D3590">
        <w:rPr>
          <w:rFonts w:eastAsia="SimSun" w:cs="Times New Roman"/>
          <w:sz w:val="24"/>
          <w:szCs w:val="24"/>
        </w:rPr>
        <w:t xml:space="preserve"> kilometers</w:t>
      </w:r>
      <w:r w:rsidR="00290A22" w:rsidRPr="008D3590">
        <w:rPr>
          <w:rFonts w:cs="Times New Roman"/>
          <w:sz w:val="24"/>
          <w:szCs w:val="24"/>
          <w:lang w:eastAsia="zh-CN"/>
        </w:rPr>
        <w:t>.</w:t>
      </w:r>
      <w:r w:rsidR="00290A22">
        <w:rPr>
          <w:rFonts w:eastAsia="SimSun" w:cs="Times New Roman"/>
          <w:sz w:val="24"/>
          <w:szCs w:val="24"/>
        </w:rPr>
        <w:t xml:space="preserve"> </w:t>
      </w:r>
      <w:r w:rsidR="00290A22" w:rsidRPr="00C274A9">
        <w:rPr>
          <w:rFonts w:eastAsia="SimSun" w:cs="Times New Roman"/>
          <w:sz w:val="24"/>
          <w:szCs w:val="24"/>
        </w:rPr>
        <w:t xml:space="preserve">Lastly, the majority of the households has </w:t>
      </w:r>
      <w:r w:rsidR="009307C6" w:rsidRPr="00C274A9">
        <w:rPr>
          <w:rFonts w:eastAsia="SimSun" w:cs="Times New Roman"/>
          <w:sz w:val="24"/>
          <w:szCs w:val="24"/>
        </w:rPr>
        <w:t xml:space="preserve">motorized </w:t>
      </w:r>
      <w:r w:rsidR="00290A22" w:rsidRPr="00C274A9">
        <w:rPr>
          <w:rFonts w:eastAsia="SimSun" w:cs="Times New Roman"/>
          <w:sz w:val="24"/>
          <w:szCs w:val="24"/>
        </w:rPr>
        <w:t>vehicles, but usually no more than one per adult.</w:t>
      </w:r>
      <w:r w:rsidR="00290A22">
        <w:rPr>
          <w:rFonts w:eastAsia="SimSun" w:cs="Times New Roman"/>
          <w:sz w:val="24"/>
          <w:szCs w:val="24"/>
        </w:rPr>
        <w:t xml:space="preserve">  </w:t>
      </w:r>
      <w:r w:rsidR="00E003ED" w:rsidRPr="008D3590">
        <w:rPr>
          <w:rFonts w:cs="Times New Roman"/>
          <w:sz w:val="24"/>
          <w:szCs w:val="24"/>
          <w:lang w:eastAsia="zh-CN"/>
        </w:rPr>
        <w:t xml:space="preserve"> </w:t>
      </w:r>
    </w:p>
    <w:p w14:paraId="31771EE9" w14:textId="2C37127F" w:rsidR="000D68AD" w:rsidRPr="008D3590" w:rsidRDefault="000D68AD" w:rsidP="0037438E">
      <w:pPr>
        <w:ind w:firstLine="708"/>
        <w:rPr>
          <w:rFonts w:eastAsia="SimSun" w:cs="Times New Roman"/>
          <w:sz w:val="24"/>
          <w:szCs w:val="24"/>
          <w:lang w:eastAsia="zh-CN"/>
        </w:rPr>
      </w:pPr>
    </w:p>
    <w:p w14:paraId="095463C2" w14:textId="61BB9EAE" w:rsidR="00E01E32" w:rsidRPr="008D3590" w:rsidRDefault="00674E52" w:rsidP="00A7416F">
      <w:pPr>
        <w:keepNext/>
        <w:outlineLvl w:val="0"/>
        <w:rPr>
          <w:rFonts w:cs="Times New Roman"/>
          <w:b/>
          <w:sz w:val="24"/>
          <w:szCs w:val="24"/>
        </w:rPr>
      </w:pPr>
      <w:r w:rsidRPr="008D3590">
        <w:rPr>
          <w:rFonts w:cs="Times New Roman"/>
          <w:b/>
          <w:sz w:val="24"/>
          <w:szCs w:val="24"/>
        </w:rPr>
        <w:lastRenderedPageBreak/>
        <w:t>3</w:t>
      </w:r>
      <w:r w:rsidR="00E01E32" w:rsidRPr="008D3590">
        <w:rPr>
          <w:rFonts w:cs="Times New Roman"/>
          <w:b/>
          <w:sz w:val="24"/>
          <w:szCs w:val="24"/>
        </w:rPr>
        <w:t>. RESULTS</w:t>
      </w:r>
      <w:r w:rsidR="00481A44" w:rsidRPr="008D3590">
        <w:rPr>
          <w:rFonts w:cs="Times New Roman"/>
          <w:b/>
          <w:sz w:val="24"/>
          <w:szCs w:val="24"/>
        </w:rPr>
        <w:t xml:space="preserve"> AND DISCUSSION</w:t>
      </w:r>
    </w:p>
    <w:p w14:paraId="0199912C" w14:textId="3EB90D0F" w:rsidR="005A7705" w:rsidRPr="008D3590" w:rsidRDefault="005A7705" w:rsidP="00A7416F">
      <w:pPr>
        <w:keepNext/>
        <w:autoSpaceDE w:val="0"/>
        <w:autoSpaceDN w:val="0"/>
        <w:adjustRightInd w:val="0"/>
        <w:rPr>
          <w:rFonts w:cs="Times New Roman"/>
          <w:sz w:val="24"/>
          <w:szCs w:val="24"/>
        </w:rPr>
      </w:pPr>
      <w:r w:rsidRPr="008D3590">
        <w:rPr>
          <w:rFonts w:cs="Times New Roman"/>
          <w:sz w:val="24"/>
          <w:szCs w:val="24"/>
        </w:rPr>
        <w:t xml:space="preserve">The final variable specification was obtained based on a systematic process of eliminating statistically insignificant variables, supplemented with a healthy dose of judgment and results from earlier studies. However, within this context, we examined a host of different functional forms for variables, variable specifications, and directionalities of possible recursive effects among the many VAG and PAG outcomes, and obtained the specification that provided the best statistical fit, based on the non-nested model comparison measures discussed in Bhat (2015). </w:t>
      </w:r>
      <w:r w:rsidR="0096682D" w:rsidRPr="008D3590">
        <w:rPr>
          <w:rFonts w:cs="Times New Roman"/>
          <w:sz w:val="24"/>
          <w:szCs w:val="24"/>
        </w:rPr>
        <w:t xml:space="preserve">In some cases, we left a variable in the specification even if it had only a marginally significant statistical effect, because of the intuitiveness of the effect of the variable and its potential to guide future research. </w:t>
      </w:r>
    </w:p>
    <w:p w14:paraId="412CB1DE" w14:textId="77777777" w:rsidR="002C6D1D" w:rsidRPr="008D3590" w:rsidRDefault="002C6D1D" w:rsidP="00EE0D14">
      <w:pPr>
        <w:autoSpaceDE w:val="0"/>
        <w:autoSpaceDN w:val="0"/>
        <w:adjustRightInd w:val="0"/>
        <w:rPr>
          <w:rFonts w:cs="Times New Roman"/>
          <w:b/>
          <w:sz w:val="24"/>
          <w:szCs w:val="24"/>
        </w:rPr>
      </w:pPr>
    </w:p>
    <w:p w14:paraId="3E29C72E" w14:textId="2EB3258B" w:rsidR="00CF2B7A" w:rsidRPr="008D3590" w:rsidRDefault="00674E52" w:rsidP="004356A9">
      <w:pPr>
        <w:outlineLvl w:val="0"/>
        <w:rPr>
          <w:rFonts w:cs="Times New Roman"/>
          <w:b/>
          <w:sz w:val="24"/>
          <w:szCs w:val="24"/>
        </w:rPr>
      </w:pPr>
      <w:r w:rsidRPr="008D3590">
        <w:rPr>
          <w:rFonts w:cs="Times New Roman"/>
          <w:b/>
          <w:sz w:val="24"/>
          <w:szCs w:val="24"/>
        </w:rPr>
        <w:t>3</w:t>
      </w:r>
      <w:r w:rsidR="008D3590" w:rsidRPr="008D3590">
        <w:rPr>
          <w:rFonts w:cs="Times New Roman"/>
          <w:b/>
          <w:sz w:val="24"/>
          <w:szCs w:val="24"/>
        </w:rPr>
        <w:t xml:space="preserve">.1 </w:t>
      </w:r>
      <w:r w:rsidR="00271488" w:rsidRPr="008D3590">
        <w:rPr>
          <w:rFonts w:cs="Times New Roman"/>
          <w:b/>
          <w:sz w:val="24"/>
          <w:szCs w:val="24"/>
        </w:rPr>
        <w:t xml:space="preserve">Relationship </w:t>
      </w:r>
      <w:r w:rsidR="00DC05B4">
        <w:rPr>
          <w:rFonts w:cs="Times New Roman"/>
          <w:b/>
          <w:sz w:val="24"/>
          <w:szCs w:val="24"/>
        </w:rPr>
        <w:t>b</w:t>
      </w:r>
      <w:r w:rsidR="00271488" w:rsidRPr="008D3590">
        <w:rPr>
          <w:rFonts w:cs="Times New Roman"/>
          <w:b/>
          <w:sz w:val="24"/>
          <w:szCs w:val="24"/>
        </w:rPr>
        <w:t xml:space="preserve">etween </w:t>
      </w:r>
      <w:r w:rsidR="008D3590" w:rsidRPr="008D3590">
        <w:rPr>
          <w:rFonts w:cs="Times New Roman"/>
          <w:b/>
          <w:sz w:val="24"/>
          <w:szCs w:val="24"/>
        </w:rPr>
        <w:t>E</w:t>
      </w:r>
      <w:r w:rsidR="00271488" w:rsidRPr="008D3590">
        <w:rPr>
          <w:rFonts w:cs="Times New Roman"/>
          <w:b/>
          <w:sz w:val="24"/>
          <w:szCs w:val="24"/>
        </w:rPr>
        <w:t xml:space="preserve">xogenous </w:t>
      </w:r>
      <w:r w:rsidR="008D3590" w:rsidRPr="008D3590">
        <w:rPr>
          <w:rFonts w:cs="Times New Roman"/>
          <w:b/>
          <w:sz w:val="24"/>
          <w:szCs w:val="24"/>
        </w:rPr>
        <w:t>V</w:t>
      </w:r>
      <w:r w:rsidR="00271488" w:rsidRPr="008D3590">
        <w:rPr>
          <w:rFonts w:cs="Times New Roman"/>
          <w:b/>
          <w:sz w:val="24"/>
          <w:szCs w:val="24"/>
        </w:rPr>
        <w:t xml:space="preserve">ariables and the </w:t>
      </w:r>
      <w:r w:rsidR="008D3590" w:rsidRPr="008D3590">
        <w:rPr>
          <w:rFonts w:cs="Times New Roman"/>
          <w:b/>
          <w:sz w:val="24"/>
          <w:szCs w:val="24"/>
        </w:rPr>
        <w:t>L</w:t>
      </w:r>
      <w:r w:rsidR="00271488" w:rsidRPr="008D3590">
        <w:rPr>
          <w:rFonts w:cs="Times New Roman"/>
          <w:b/>
          <w:sz w:val="24"/>
          <w:szCs w:val="24"/>
        </w:rPr>
        <w:t xml:space="preserve">atent </w:t>
      </w:r>
      <w:r w:rsidR="008D3590" w:rsidRPr="008D3590">
        <w:rPr>
          <w:rFonts w:cs="Times New Roman"/>
          <w:b/>
          <w:sz w:val="24"/>
          <w:szCs w:val="24"/>
        </w:rPr>
        <w:t>A</w:t>
      </w:r>
      <w:r w:rsidR="00271488" w:rsidRPr="008D3590">
        <w:rPr>
          <w:rFonts w:cs="Times New Roman"/>
          <w:b/>
          <w:sz w:val="24"/>
          <w:szCs w:val="24"/>
        </w:rPr>
        <w:t xml:space="preserve">ccessibility </w:t>
      </w:r>
      <w:r w:rsidR="008D3590" w:rsidRPr="008D3590">
        <w:rPr>
          <w:rFonts w:cs="Times New Roman"/>
          <w:b/>
          <w:sz w:val="24"/>
          <w:szCs w:val="24"/>
        </w:rPr>
        <w:t>C</w:t>
      </w:r>
      <w:r w:rsidR="00271488" w:rsidRPr="008D3590">
        <w:rPr>
          <w:rFonts w:cs="Times New Roman"/>
          <w:b/>
          <w:sz w:val="24"/>
          <w:szCs w:val="24"/>
        </w:rPr>
        <w:t>onstructs</w:t>
      </w:r>
      <w:r w:rsidR="00CF2B7A" w:rsidRPr="008D3590">
        <w:rPr>
          <w:rFonts w:cs="Times New Roman"/>
          <w:b/>
          <w:sz w:val="24"/>
          <w:szCs w:val="24"/>
        </w:rPr>
        <w:t xml:space="preserve"> </w:t>
      </w:r>
    </w:p>
    <w:p w14:paraId="1318D3E5" w14:textId="7021EB45" w:rsidR="00821E31" w:rsidRPr="008D3590" w:rsidRDefault="00821E31" w:rsidP="00CF2B7A">
      <w:pPr>
        <w:rPr>
          <w:rFonts w:cs="Times New Roman"/>
          <w:sz w:val="24"/>
          <w:szCs w:val="24"/>
        </w:rPr>
      </w:pPr>
      <w:r w:rsidRPr="008D3590">
        <w:rPr>
          <w:rFonts w:cs="Times New Roman"/>
          <w:sz w:val="24"/>
          <w:szCs w:val="24"/>
        </w:rPr>
        <w:t xml:space="preserve">The results of the structural equation </w:t>
      </w:r>
      <w:r w:rsidR="002118CB" w:rsidRPr="008D3590">
        <w:rPr>
          <w:rFonts w:cs="Times New Roman"/>
          <w:sz w:val="24"/>
          <w:szCs w:val="24"/>
        </w:rPr>
        <w:t xml:space="preserve">component of the </w:t>
      </w:r>
      <w:r w:rsidRPr="008D3590">
        <w:rPr>
          <w:rFonts w:cs="Times New Roman"/>
          <w:sz w:val="24"/>
          <w:szCs w:val="24"/>
        </w:rPr>
        <w:t>model that relate</w:t>
      </w:r>
      <w:r w:rsidR="00FB5851" w:rsidRPr="008D3590">
        <w:rPr>
          <w:rFonts w:cs="Times New Roman"/>
          <w:sz w:val="24"/>
          <w:szCs w:val="24"/>
        </w:rPr>
        <w:t>s</w:t>
      </w:r>
      <w:r w:rsidRPr="008D3590">
        <w:rPr>
          <w:rFonts w:cs="Times New Roman"/>
          <w:sz w:val="24"/>
          <w:szCs w:val="24"/>
        </w:rPr>
        <w:t xml:space="preserve"> the two latent accessibility constructs of </w:t>
      </w:r>
      <w:r w:rsidR="00271488" w:rsidRPr="008D3590">
        <w:rPr>
          <w:rFonts w:cs="Times New Roman"/>
          <w:sz w:val="24"/>
          <w:szCs w:val="24"/>
        </w:rPr>
        <w:t xml:space="preserve">VALSC </w:t>
      </w:r>
      <w:r w:rsidRPr="008D3590">
        <w:rPr>
          <w:rFonts w:cs="Times New Roman"/>
          <w:sz w:val="24"/>
          <w:szCs w:val="24"/>
        </w:rPr>
        <w:t>and PA</w:t>
      </w:r>
      <w:r w:rsidR="00271488" w:rsidRPr="008D3590">
        <w:rPr>
          <w:rFonts w:cs="Times New Roman"/>
          <w:sz w:val="24"/>
          <w:szCs w:val="24"/>
        </w:rPr>
        <w:t>LSC</w:t>
      </w:r>
      <w:r w:rsidRPr="008D3590">
        <w:rPr>
          <w:rFonts w:cs="Times New Roman"/>
          <w:sz w:val="24"/>
          <w:szCs w:val="24"/>
        </w:rPr>
        <w:t xml:space="preserve"> as a function of demographic attributes </w:t>
      </w:r>
      <w:r w:rsidR="00762839" w:rsidRPr="008D3590">
        <w:rPr>
          <w:rFonts w:cs="Times New Roman"/>
          <w:sz w:val="24"/>
          <w:szCs w:val="24"/>
        </w:rPr>
        <w:t xml:space="preserve">is </w:t>
      </w:r>
      <w:r w:rsidRPr="008D3590">
        <w:rPr>
          <w:rFonts w:cs="Times New Roman"/>
          <w:sz w:val="24"/>
          <w:szCs w:val="24"/>
        </w:rPr>
        <w:t xml:space="preserve">presented in Table </w:t>
      </w:r>
      <w:r w:rsidR="00762839" w:rsidRPr="008D3590">
        <w:rPr>
          <w:rFonts w:cs="Times New Roman"/>
          <w:sz w:val="24"/>
          <w:szCs w:val="24"/>
        </w:rPr>
        <w:t>2 and discussed below</w:t>
      </w:r>
      <w:r w:rsidRPr="008D3590">
        <w:rPr>
          <w:rFonts w:cs="Times New Roman"/>
          <w:sz w:val="24"/>
          <w:szCs w:val="24"/>
        </w:rPr>
        <w:t>.</w:t>
      </w:r>
    </w:p>
    <w:p w14:paraId="5FB468BC" w14:textId="77777777" w:rsidR="00821E31" w:rsidRPr="008D3590" w:rsidRDefault="00821E31" w:rsidP="00CF2B7A">
      <w:pPr>
        <w:rPr>
          <w:rFonts w:cs="Times New Roman"/>
          <w:sz w:val="24"/>
          <w:szCs w:val="24"/>
        </w:rPr>
      </w:pPr>
    </w:p>
    <w:p w14:paraId="63CAF8C4" w14:textId="35294047" w:rsidR="00CF2B7A" w:rsidRPr="008D3590" w:rsidRDefault="00674E52" w:rsidP="004356A9">
      <w:pPr>
        <w:outlineLvl w:val="0"/>
        <w:rPr>
          <w:rFonts w:cs="Times New Roman"/>
          <w:i/>
          <w:sz w:val="24"/>
          <w:szCs w:val="24"/>
        </w:rPr>
      </w:pPr>
      <w:r w:rsidRPr="008D3590">
        <w:rPr>
          <w:rFonts w:cs="Times New Roman"/>
          <w:i/>
          <w:sz w:val="24"/>
          <w:szCs w:val="24"/>
        </w:rPr>
        <w:t>3</w:t>
      </w:r>
      <w:r w:rsidR="008D3590" w:rsidRPr="008D3590">
        <w:rPr>
          <w:rFonts w:cs="Times New Roman"/>
          <w:i/>
          <w:sz w:val="24"/>
          <w:szCs w:val="24"/>
        </w:rPr>
        <w:t xml:space="preserve">.1.1 </w:t>
      </w:r>
      <w:r w:rsidR="00CF2B7A" w:rsidRPr="008D3590">
        <w:rPr>
          <w:rFonts w:cs="Times New Roman"/>
          <w:i/>
          <w:sz w:val="24"/>
          <w:szCs w:val="24"/>
        </w:rPr>
        <w:t>Virtual Accessibility</w:t>
      </w:r>
      <w:r w:rsidR="00821E31" w:rsidRPr="008D3590">
        <w:rPr>
          <w:rFonts w:cs="Times New Roman"/>
          <w:i/>
          <w:sz w:val="24"/>
          <w:szCs w:val="24"/>
        </w:rPr>
        <w:t xml:space="preserve"> </w:t>
      </w:r>
      <w:r w:rsidR="00816FCF" w:rsidRPr="008D3590">
        <w:rPr>
          <w:rFonts w:cs="Times New Roman"/>
          <w:i/>
          <w:sz w:val="24"/>
          <w:szCs w:val="24"/>
        </w:rPr>
        <w:t>L</w:t>
      </w:r>
      <w:r w:rsidR="002118CB" w:rsidRPr="008D3590">
        <w:rPr>
          <w:rFonts w:cs="Times New Roman"/>
          <w:i/>
          <w:sz w:val="24"/>
          <w:szCs w:val="24"/>
        </w:rPr>
        <w:t xml:space="preserve">atent Stochastic Construct </w:t>
      </w:r>
      <w:r w:rsidR="00821E31" w:rsidRPr="008D3590">
        <w:rPr>
          <w:rFonts w:cs="Times New Roman"/>
          <w:i/>
          <w:sz w:val="24"/>
          <w:szCs w:val="24"/>
        </w:rPr>
        <w:t>(VA</w:t>
      </w:r>
      <w:r w:rsidR="002118CB" w:rsidRPr="008D3590">
        <w:rPr>
          <w:rFonts w:cs="Times New Roman"/>
          <w:i/>
          <w:sz w:val="24"/>
          <w:szCs w:val="24"/>
        </w:rPr>
        <w:t>LSC</w:t>
      </w:r>
      <w:r w:rsidR="00821E31" w:rsidRPr="008D3590">
        <w:rPr>
          <w:rFonts w:cs="Times New Roman"/>
          <w:i/>
          <w:sz w:val="24"/>
          <w:szCs w:val="24"/>
        </w:rPr>
        <w:t>)</w:t>
      </w:r>
    </w:p>
    <w:p w14:paraId="6781C251" w14:textId="2084D5D5" w:rsidR="00775232" w:rsidRPr="008D3590" w:rsidRDefault="00DA3994" w:rsidP="00582045">
      <w:pPr>
        <w:rPr>
          <w:rFonts w:cs="Times New Roman"/>
          <w:sz w:val="24"/>
          <w:szCs w:val="24"/>
        </w:rPr>
      </w:pPr>
      <w:r w:rsidRPr="008D3590">
        <w:rPr>
          <w:rFonts w:cs="Times New Roman"/>
          <w:sz w:val="24"/>
          <w:szCs w:val="24"/>
        </w:rPr>
        <w:t xml:space="preserve">The results </w:t>
      </w:r>
      <w:r w:rsidR="00E02AD7" w:rsidRPr="008D3590">
        <w:rPr>
          <w:rFonts w:cs="Times New Roman"/>
          <w:sz w:val="24"/>
          <w:szCs w:val="24"/>
        </w:rPr>
        <w:t xml:space="preserve">in Table 2 </w:t>
      </w:r>
      <w:r w:rsidRPr="008D3590">
        <w:rPr>
          <w:rFonts w:cs="Times New Roman"/>
          <w:sz w:val="24"/>
          <w:szCs w:val="24"/>
        </w:rPr>
        <w:t>suggest that</w:t>
      </w:r>
      <w:r w:rsidR="00E02AD7" w:rsidRPr="008D3590">
        <w:rPr>
          <w:rFonts w:cs="Times New Roman"/>
          <w:sz w:val="24"/>
          <w:szCs w:val="24"/>
        </w:rPr>
        <w:t xml:space="preserve"> </w:t>
      </w:r>
      <w:r w:rsidR="00FF4F25" w:rsidRPr="008D3590">
        <w:rPr>
          <w:rFonts w:cs="Times New Roman"/>
          <w:sz w:val="24"/>
          <w:szCs w:val="24"/>
        </w:rPr>
        <w:t xml:space="preserve">individuals aged fifty </w:t>
      </w:r>
      <w:r w:rsidR="00775232" w:rsidRPr="008D3590">
        <w:rPr>
          <w:rFonts w:cs="Times New Roman"/>
          <w:sz w:val="24"/>
          <w:szCs w:val="24"/>
        </w:rPr>
        <w:t xml:space="preserve">or over </w:t>
      </w:r>
      <w:r w:rsidR="00816FCF" w:rsidRPr="008D3590">
        <w:rPr>
          <w:rFonts w:cs="Times New Roman"/>
          <w:sz w:val="24"/>
          <w:szCs w:val="24"/>
        </w:rPr>
        <w:t xml:space="preserve">have </w:t>
      </w:r>
      <w:r w:rsidR="00E71D7F" w:rsidRPr="008D3590">
        <w:rPr>
          <w:rFonts w:cs="Times New Roman"/>
          <w:sz w:val="24"/>
          <w:szCs w:val="24"/>
        </w:rPr>
        <w:t>lower levels of virtual accessibility compared to</w:t>
      </w:r>
      <w:r w:rsidR="00821E31" w:rsidRPr="008D3590">
        <w:rPr>
          <w:rFonts w:cs="Times New Roman"/>
          <w:sz w:val="24"/>
          <w:szCs w:val="24"/>
        </w:rPr>
        <w:t xml:space="preserve"> younger individuals. </w:t>
      </w:r>
      <w:r w:rsidR="00E85F12" w:rsidRPr="008D3590">
        <w:rPr>
          <w:rFonts w:cs="Times New Roman"/>
          <w:sz w:val="24"/>
          <w:szCs w:val="24"/>
        </w:rPr>
        <w:t xml:space="preserve">While </w:t>
      </w:r>
      <w:r w:rsidR="00821E31" w:rsidRPr="008D3590">
        <w:rPr>
          <w:rFonts w:cs="Times New Roman"/>
          <w:sz w:val="24"/>
          <w:szCs w:val="24"/>
        </w:rPr>
        <w:t>younger individuals (</w:t>
      </w:r>
      <w:r w:rsidR="00775232" w:rsidRPr="008D3590">
        <w:rPr>
          <w:rFonts w:cs="Times New Roman"/>
          <w:sz w:val="24"/>
          <w:szCs w:val="24"/>
        </w:rPr>
        <w:t>m</w:t>
      </w:r>
      <w:r w:rsidR="00821E31" w:rsidRPr="008D3590">
        <w:rPr>
          <w:rFonts w:cs="Times New Roman"/>
          <w:sz w:val="24"/>
          <w:szCs w:val="24"/>
        </w:rPr>
        <w:t xml:space="preserve">illennials, for example) grew up in an era of </w:t>
      </w:r>
      <w:r w:rsidR="00775232" w:rsidRPr="008D3590">
        <w:rPr>
          <w:rFonts w:cs="Times New Roman"/>
          <w:sz w:val="24"/>
          <w:szCs w:val="24"/>
        </w:rPr>
        <w:t xml:space="preserve">ubiquitous </w:t>
      </w:r>
      <w:r w:rsidR="00E85F12" w:rsidRPr="008D3590">
        <w:rPr>
          <w:rFonts w:cs="Times New Roman"/>
          <w:sz w:val="24"/>
          <w:szCs w:val="24"/>
        </w:rPr>
        <w:t>ICT</w:t>
      </w:r>
      <w:r w:rsidR="00775232" w:rsidRPr="008D3590">
        <w:rPr>
          <w:rFonts w:cs="Times New Roman"/>
          <w:sz w:val="24"/>
          <w:szCs w:val="24"/>
        </w:rPr>
        <w:t xml:space="preserve"> availability</w:t>
      </w:r>
      <w:r w:rsidR="00821E31" w:rsidRPr="008D3590">
        <w:rPr>
          <w:rFonts w:cs="Times New Roman"/>
          <w:sz w:val="24"/>
          <w:szCs w:val="24"/>
        </w:rPr>
        <w:t>,</w:t>
      </w:r>
      <w:r w:rsidR="00E85F12" w:rsidRPr="008D3590">
        <w:rPr>
          <w:rFonts w:cs="Times New Roman"/>
          <w:sz w:val="24"/>
          <w:szCs w:val="24"/>
        </w:rPr>
        <w:t xml:space="preserve"> baby boomers had to adapt to such technological changes </w:t>
      </w:r>
      <w:r w:rsidR="00575BB5" w:rsidRPr="008D3590">
        <w:rPr>
          <w:rFonts w:cs="Times New Roman"/>
          <w:sz w:val="24"/>
          <w:szCs w:val="24"/>
        </w:rPr>
        <w:t xml:space="preserve">in </w:t>
      </w:r>
      <w:r w:rsidR="00E85F12" w:rsidRPr="008D3590">
        <w:rPr>
          <w:rFonts w:cs="Times New Roman"/>
          <w:sz w:val="24"/>
          <w:szCs w:val="24"/>
        </w:rPr>
        <w:t>adulthood. As poin</w:t>
      </w:r>
      <w:r w:rsidR="003A6D5B">
        <w:rPr>
          <w:rFonts w:cs="Times New Roman"/>
          <w:sz w:val="24"/>
          <w:szCs w:val="24"/>
        </w:rPr>
        <w:t xml:space="preserve">ted by </w:t>
      </w:r>
      <w:proofErr w:type="spellStart"/>
      <w:r w:rsidR="003A6D5B">
        <w:rPr>
          <w:rFonts w:cs="Times New Roman"/>
          <w:sz w:val="24"/>
          <w:szCs w:val="24"/>
        </w:rPr>
        <w:t>Helsper</w:t>
      </w:r>
      <w:proofErr w:type="spellEnd"/>
      <w:r w:rsidR="003A6D5B">
        <w:rPr>
          <w:rFonts w:cs="Times New Roman"/>
          <w:sz w:val="24"/>
          <w:szCs w:val="24"/>
        </w:rPr>
        <w:t xml:space="preserve"> and </w:t>
      </w:r>
      <w:proofErr w:type="spellStart"/>
      <w:r w:rsidR="003A6D5B">
        <w:rPr>
          <w:rFonts w:cs="Times New Roman"/>
          <w:sz w:val="24"/>
          <w:szCs w:val="24"/>
        </w:rPr>
        <w:t>E</w:t>
      </w:r>
      <w:r w:rsidR="00E85F12" w:rsidRPr="008D3590">
        <w:rPr>
          <w:rFonts w:cs="Times New Roman"/>
          <w:sz w:val="24"/>
          <w:szCs w:val="24"/>
        </w:rPr>
        <w:t>y</w:t>
      </w:r>
      <w:r w:rsidR="003A6D5B">
        <w:rPr>
          <w:rFonts w:cs="Times New Roman"/>
          <w:sz w:val="24"/>
          <w:szCs w:val="24"/>
        </w:rPr>
        <w:t>n</w:t>
      </w:r>
      <w:r w:rsidR="00E85F12" w:rsidRPr="008D3590">
        <w:rPr>
          <w:rFonts w:cs="Times New Roman"/>
          <w:sz w:val="24"/>
          <w:szCs w:val="24"/>
        </w:rPr>
        <w:t>on</w:t>
      </w:r>
      <w:proofErr w:type="spellEnd"/>
      <w:r w:rsidR="00E85F12" w:rsidRPr="008D3590">
        <w:rPr>
          <w:rFonts w:cs="Times New Roman"/>
          <w:sz w:val="24"/>
          <w:szCs w:val="24"/>
        </w:rPr>
        <w:t xml:space="preserve"> (2010), older individuals can learn to use digital </w:t>
      </w:r>
      <w:r w:rsidR="00575BB5" w:rsidRPr="008D3590">
        <w:rPr>
          <w:rFonts w:cs="Times New Roman"/>
          <w:sz w:val="24"/>
          <w:szCs w:val="24"/>
        </w:rPr>
        <w:t xml:space="preserve">devices </w:t>
      </w:r>
      <w:r w:rsidR="00E85F12" w:rsidRPr="008D3590">
        <w:rPr>
          <w:rFonts w:cs="Times New Roman"/>
          <w:sz w:val="24"/>
          <w:szCs w:val="24"/>
        </w:rPr>
        <w:t xml:space="preserve">as proficiently as younger </w:t>
      </w:r>
      <w:r w:rsidR="00E71D7F" w:rsidRPr="008D3590">
        <w:rPr>
          <w:rFonts w:cs="Times New Roman"/>
          <w:sz w:val="24"/>
          <w:szCs w:val="24"/>
        </w:rPr>
        <w:t>individuals;</w:t>
      </w:r>
      <w:r w:rsidR="00E85F12" w:rsidRPr="008D3590">
        <w:rPr>
          <w:rFonts w:cs="Times New Roman"/>
          <w:sz w:val="24"/>
          <w:szCs w:val="24"/>
        </w:rPr>
        <w:t xml:space="preserve"> however</w:t>
      </w:r>
      <w:r w:rsidR="00575BB5" w:rsidRPr="008D3590">
        <w:rPr>
          <w:rFonts w:cs="Times New Roman"/>
          <w:sz w:val="24"/>
          <w:szCs w:val="24"/>
        </w:rPr>
        <w:t>,</w:t>
      </w:r>
      <w:r w:rsidR="00E85F12" w:rsidRPr="008D3590">
        <w:rPr>
          <w:rFonts w:cs="Times New Roman"/>
          <w:sz w:val="24"/>
          <w:szCs w:val="24"/>
        </w:rPr>
        <w:t xml:space="preserve"> it requires </w:t>
      </w:r>
      <w:r w:rsidR="00E71D7F" w:rsidRPr="008D3590">
        <w:rPr>
          <w:rFonts w:cs="Times New Roman"/>
          <w:sz w:val="24"/>
          <w:szCs w:val="24"/>
        </w:rPr>
        <w:t>a greater effort, which can decrease the perception of access to opportunities in the virtual environment.</w:t>
      </w:r>
      <w:r w:rsidR="00B96424">
        <w:rPr>
          <w:rFonts w:cs="Times New Roman"/>
          <w:sz w:val="24"/>
          <w:szCs w:val="24"/>
        </w:rPr>
        <w:t xml:space="preserve"> In that sense, </w:t>
      </w:r>
      <w:r w:rsidR="00DC3879">
        <w:rPr>
          <w:rFonts w:cs="Times New Roman"/>
          <w:sz w:val="24"/>
          <w:szCs w:val="24"/>
        </w:rPr>
        <w:t xml:space="preserve">the results also show that </w:t>
      </w:r>
      <w:r w:rsidR="00B96424">
        <w:rPr>
          <w:rFonts w:cs="Times New Roman"/>
          <w:sz w:val="24"/>
          <w:szCs w:val="24"/>
        </w:rPr>
        <w:t xml:space="preserve">higher levels of education </w:t>
      </w:r>
      <w:r w:rsidR="00DC3879">
        <w:rPr>
          <w:rFonts w:cs="Times New Roman"/>
          <w:sz w:val="24"/>
          <w:szCs w:val="24"/>
        </w:rPr>
        <w:t xml:space="preserve">have a positive impact on virtual accessibility. </w:t>
      </w:r>
      <w:r w:rsidR="00B96424">
        <w:rPr>
          <w:rFonts w:cs="Times New Roman"/>
          <w:sz w:val="24"/>
          <w:szCs w:val="24"/>
        </w:rPr>
        <w:t xml:space="preserve"> </w:t>
      </w:r>
      <w:bookmarkStart w:id="7" w:name="_Hlk505151995"/>
      <w:r w:rsidR="00DC3879">
        <w:rPr>
          <w:rFonts w:cs="Times New Roman"/>
          <w:sz w:val="24"/>
          <w:szCs w:val="24"/>
        </w:rPr>
        <w:t>H</w:t>
      </w:r>
      <w:r w:rsidR="00E71D7F" w:rsidRPr="008D3590">
        <w:rPr>
          <w:rFonts w:cs="Times New Roman"/>
          <w:sz w:val="24"/>
          <w:szCs w:val="24"/>
        </w:rPr>
        <w:t>igh</w:t>
      </w:r>
      <w:r w:rsidR="000D68AD" w:rsidRPr="008D3590">
        <w:rPr>
          <w:rFonts w:cs="Times New Roman"/>
          <w:sz w:val="24"/>
          <w:szCs w:val="24"/>
        </w:rPr>
        <w:t>er</w:t>
      </w:r>
      <w:r w:rsidR="00E71D7F" w:rsidRPr="008D3590">
        <w:rPr>
          <w:rFonts w:cs="Times New Roman"/>
          <w:sz w:val="24"/>
          <w:szCs w:val="24"/>
        </w:rPr>
        <w:t xml:space="preserve"> household income </w:t>
      </w:r>
      <w:r w:rsidR="000D68AD" w:rsidRPr="008D3590">
        <w:rPr>
          <w:rFonts w:cs="Times New Roman"/>
          <w:sz w:val="24"/>
          <w:szCs w:val="24"/>
        </w:rPr>
        <w:t xml:space="preserve">(relative to a lower household income) </w:t>
      </w:r>
      <w:r w:rsidR="00E71D7F" w:rsidRPr="008D3590">
        <w:rPr>
          <w:rFonts w:cs="Times New Roman"/>
          <w:sz w:val="24"/>
          <w:szCs w:val="24"/>
        </w:rPr>
        <w:t xml:space="preserve">is </w:t>
      </w:r>
      <w:r w:rsidR="00DC3879">
        <w:rPr>
          <w:rFonts w:cs="Times New Roman"/>
          <w:sz w:val="24"/>
          <w:szCs w:val="24"/>
        </w:rPr>
        <w:t xml:space="preserve">also </w:t>
      </w:r>
      <w:r w:rsidR="00E71D7F" w:rsidRPr="008D3590">
        <w:rPr>
          <w:rFonts w:cs="Times New Roman"/>
          <w:sz w:val="24"/>
          <w:szCs w:val="24"/>
        </w:rPr>
        <w:t xml:space="preserve">associated with </w:t>
      </w:r>
      <w:r w:rsidR="00775232" w:rsidRPr="008D3590">
        <w:rPr>
          <w:rFonts w:cs="Times New Roman"/>
          <w:sz w:val="24"/>
          <w:szCs w:val="24"/>
        </w:rPr>
        <w:t xml:space="preserve">a higher virtual accessibility, presumably because </w:t>
      </w:r>
      <w:r w:rsidR="00E71D7F" w:rsidRPr="008D3590">
        <w:rPr>
          <w:rFonts w:cs="Times New Roman"/>
          <w:sz w:val="24"/>
          <w:szCs w:val="24"/>
        </w:rPr>
        <w:t xml:space="preserve">wealthier people can afford a larger number of technological </w:t>
      </w:r>
      <w:r w:rsidR="00575BB5" w:rsidRPr="008D3590">
        <w:rPr>
          <w:rFonts w:cs="Times New Roman"/>
          <w:sz w:val="24"/>
          <w:szCs w:val="24"/>
        </w:rPr>
        <w:t xml:space="preserve">devices </w:t>
      </w:r>
      <w:r w:rsidR="00E71D7F" w:rsidRPr="008D3590">
        <w:rPr>
          <w:rFonts w:cs="Times New Roman"/>
          <w:sz w:val="24"/>
          <w:szCs w:val="24"/>
        </w:rPr>
        <w:t xml:space="preserve">and </w:t>
      </w:r>
      <w:r w:rsidR="00575BB5" w:rsidRPr="008D3590">
        <w:rPr>
          <w:rFonts w:cs="Times New Roman"/>
          <w:sz w:val="24"/>
          <w:szCs w:val="24"/>
        </w:rPr>
        <w:t xml:space="preserve">are </w:t>
      </w:r>
      <w:r w:rsidR="00E71D7F" w:rsidRPr="008D3590">
        <w:rPr>
          <w:rFonts w:cs="Times New Roman"/>
          <w:sz w:val="24"/>
          <w:szCs w:val="24"/>
        </w:rPr>
        <w:t xml:space="preserve">usually the first individuals to have access to new technologies that are </w:t>
      </w:r>
      <w:r w:rsidR="00575BB5" w:rsidRPr="008D3590">
        <w:rPr>
          <w:rFonts w:cs="Times New Roman"/>
          <w:sz w:val="24"/>
          <w:szCs w:val="24"/>
        </w:rPr>
        <w:t xml:space="preserve">typically </w:t>
      </w:r>
      <w:r w:rsidR="004C127D" w:rsidRPr="008D3590">
        <w:rPr>
          <w:rFonts w:cs="Times New Roman"/>
          <w:sz w:val="24"/>
          <w:szCs w:val="24"/>
        </w:rPr>
        <w:t xml:space="preserve">more expensive when first released. </w:t>
      </w:r>
      <w:r w:rsidR="00E71D7F" w:rsidRPr="008D3590">
        <w:rPr>
          <w:rFonts w:cs="Times New Roman"/>
          <w:sz w:val="24"/>
          <w:szCs w:val="24"/>
        </w:rPr>
        <w:t xml:space="preserve">Indeed, </w:t>
      </w:r>
      <w:r w:rsidR="008D625F" w:rsidRPr="008D3590">
        <w:rPr>
          <w:rFonts w:cs="Times New Roman"/>
          <w:sz w:val="24"/>
          <w:szCs w:val="24"/>
        </w:rPr>
        <w:t xml:space="preserve">multiple studies find </w:t>
      </w:r>
      <w:r w:rsidR="00B96424">
        <w:rPr>
          <w:rFonts w:cs="Times New Roman"/>
          <w:sz w:val="24"/>
          <w:szCs w:val="24"/>
        </w:rPr>
        <w:t>similar</w:t>
      </w:r>
      <w:r w:rsidR="00B96424" w:rsidRPr="008D3590">
        <w:rPr>
          <w:rFonts w:cs="Times New Roman"/>
          <w:sz w:val="24"/>
          <w:szCs w:val="24"/>
        </w:rPr>
        <w:t xml:space="preserve"> </w:t>
      </w:r>
      <w:r w:rsidR="008D625F" w:rsidRPr="008D3590">
        <w:rPr>
          <w:rFonts w:cs="Times New Roman"/>
          <w:sz w:val="24"/>
          <w:szCs w:val="24"/>
        </w:rPr>
        <w:t>association</w:t>
      </w:r>
      <w:r w:rsidR="00B96424">
        <w:rPr>
          <w:rFonts w:cs="Times New Roman"/>
          <w:sz w:val="24"/>
          <w:szCs w:val="24"/>
        </w:rPr>
        <w:t>s</w:t>
      </w:r>
      <w:r w:rsidR="008D625F" w:rsidRPr="008D3590">
        <w:rPr>
          <w:rFonts w:cs="Times New Roman"/>
          <w:sz w:val="24"/>
          <w:szCs w:val="24"/>
        </w:rPr>
        <w:t xml:space="preserve"> between </w:t>
      </w:r>
      <w:r w:rsidR="00B96424">
        <w:rPr>
          <w:rFonts w:cs="Times New Roman"/>
          <w:sz w:val="24"/>
          <w:szCs w:val="24"/>
        </w:rPr>
        <w:t xml:space="preserve">age, </w:t>
      </w:r>
      <w:r w:rsidR="00A9774F">
        <w:rPr>
          <w:rFonts w:cs="Times New Roman"/>
          <w:sz w:val="24"/>
          <w:szCs w:val="24"/>
        </w:rPr>
        <w:t>education</w:t>
      </w:r>
      <w:r w:rsidR="00B96424">
        <w:rPr>
          <w:rFonts w:cs="Times New Roman"/>
          <w:sz w:val="24"/>
          <w:szCs w:val="24"/>
        </w:rPr>
        <w:t>,</w:t>
      </w:r>
      <w:r w:rsidR="00A9774F">
        <w:rPr>
          <w:rFonts w:cs="Times New Roman"/>
          <w:sz w:val="24"/>
          <w:szCs w:val="24"/>
        </w:rPr>
        <w:t xml:space="preserve"> and </w:t>
      </w:r>
      <w:r w:rsidR="008D625F" w:rsidRPr="008D3590">
        <w:rPr>
          <w:rFonts w:cs="Times New Roman"/>
          <w:sz w:val="24"/>
          <w:szCs w:val="24"/>
        </w:rPr>
        <w:t>income level</w:t>
      </w:r>
      <w:r w:rsidR="00A9774F">
        <w:rPr>
          <w:rFonts w:cs="Times New Roman"/>
          <w:sz w:val="24"/>
          <w:szCs w:val="24"/>
        </w:rPr>
        <w:t>s</w:t>
      </w:r>
      <w:r w:rsidR="008D625F" w:rsidRPr="008D3590">
        <w:rPr>
          <w:rFonts w:cs="Times New Roman"/>
          <w:sz w:val="24"/>
          <w:szCs w:val="24"/>
        </w:rPr>
        <w:t xml:space="preserve"> and technology use or technology-savviness (</w:t>
      </w:r>
      <w:r w:rsidR="00E003ED" w:rsidRPr="008D3590">
        <w:rPr>
          <w:rFonts w:cs="Times New Roman"/>
          <w:sz w:val="24"/>
          <w:szCs w:val="24"/>
        </w:rPr>
        <w:t xml:space="preserve">see, for example, </w:t>
      </w:r>
      <w:proofErr w:type="spellStart"/>
      <w:r w:rsidR="008D625F" w:rsidRPr="008D3590">
        <w:rPr>
          <w:rFonts w:cs="Times New Roman"/>
          <w:sz w:val="24"/>
          <w:szCs w:val="24"/>
        </w:rPr>
        <w:t>Lavieri</w:t>
      </w:r>
      <w:proofErr w:type="spellEnd"/>
      <w:r w:rsidR="008D625F" w:rsidRPr="008D3590">
        <w:rPr>
          <w:rFonts w:cs="Times New Roman"/>
          <w:sz w:val="24"/>
          <w:szCs w:val="24"/>
        </w:rPr>
        <w:t xml:space="preserve"> et al., 2017</w:t>
      </w:r>
      <w:r w:rsidR="00333902" w:rsidRPr="008D3590">
        <w:rPr>
          <w:rFonts w:cs="Times New Roman"/>
          <w:sz w:val="24"/>
          <w:szCs w:val="24"/>
        </w:rPr>
        <w:t>a</w:t>
      </w:r>
      <w:r w:rsidR="00E003ED" w:rsidRPr="008D3590">
        <w:rPr>
          <w:rFonts w:cs="Times New Roman"/>
          <w:sz w:val="24"/>
          <w:szCs w:val="24"/>
          <w:lang w:eastAsia="zh-CN"/>
        </w:rPr>
        <w:t xml:space="preserve"> and</w:t>
      </w:r>
      <w:r w:rsidR="008D625F" w:rsidRPr="008D3590">
        <w:rPr>
          <w:rFonts w:cs="Times New Roman"/>
          <w:sz w:val="24"/>
          <w:szCs w:val="24"/>
        </w:rPr>
        <w:t xml:space="preserve"> </w:t>
      </w:r>
      <w:r w:rsidR="00E71D7F" w:rsidRPr="008D3590">
        <w:rPr>
          <w:rFonts w:cs="Times New Roman"/>
          <w:sz w:val="24"/>
          <w:szCs w:val="24"/>
        </w:rPr>
        <w:t>Liu and Yu</w:t>
      </w:r>
      <w:r w:rsidR="008D625F" w:rsidRPr="008D3590">
        <w:rPr>
          <w:rFonts w:cs="Times New Roman"/>
          <w:sz w:val="24"/>
          <w:szCs w:val="24"/>
        </w:rPr>
        <w:t xml:space="preserve">, </w:t>
      </w:r>
      <w:r w:rsidR="009861BA" w:rsidRPr="008D3590">
        <w:rPr>
          <w:rFonts w:cs="Times New Roman"/>
          <w:sz w:val="24"/>
          <w:szCs w:val="24"/>
        </w:rPr>
        <w:t xml:space="preserve">2017). </w:t>
      </w:r>
    </w:p>
    <w:bookmarkEnd w:id="7"/>
    <w:p w14:paraId="69E5C9E7" w14:textId="0BACE6C7" w:rsidR="00FC71D0" w:rsidRPr="008D3590" w:rsidRDefault="00A63C39" w:rsidP="00881C66">
      <w:pPr>
        <w:ind w:firstLine="720"/>
        <w:rPr>
          <w:rFonts w:cs="Times New Roman"/>
          <w:sz w:val="24"/>
          <w:szCs w:val="24"/>
          <w:lang w:eastAsia="zh-CN"/>
        </w:rPr>
      </w:pPr>
      <w:r w:rsidRPr="008D3590">
        <w:rPr>
          <w:rFonts w:cs="Times New Roman"/>
          <w:sz w:val="24"/>
          <w:szCs w:val="24"/>
        </w:rPr>
        <w:lastRenderedPageBreak/>
        <w:t xml:space="preserve">Finally, </w:t>
      </w:r>
      <w:r w:rsidR="00E11609">
        <w:rPr>
          <w:rFonts w:cs="Times New Roman"/>
          <w:sz w:val="24"/>
          <w:szCs w:val="24"/>
        </w:rPr>
        <w:t>the two</w:t>
      </w:r>
      <w:r w:rsidRPr="008D3590">
        <w:rPr>
          <w:rFonts w:cs="Times New Roman"/>
          <w:sz w:val="24"/>
          <w:szCs w:val="24"/>
        </w:rPr>
        <w:t xml:space="preserve"> variables </w:t>
      </w:r>
      <w:r w:rsidR="00775232" w:rsidRPr="008D3590">
        <w:rPr>
          <w:rFonts w:cs="Times New Roman"/>
          <w:sz w:val="24"/>
          <w:szCs w:val="24"/>
        </w:rPr>
        <w:t>representing the exogenous virtual accessibility measures (VAM</w:t>
      </w:r>
      <w:r w:rsidR="00C274A9">
        <w:rPr>
          <w:rFonts w:cs="Times New Roman"/>
          <w:sz w:val="24"/>
          <w:szCs w:val="24"/>
        </w:rPr>
        <w:t>s</w:t>
      </w:r>
      <w:r w:rsidR="00775232" w:rsidRPr="008D3590">
        <w:rPr>
          <w:rFonts w:cs="Times New Roman"/>
          <w:sz w:val="24"/>
          <w:szCs w:val="24"/>
        </w:rPr>
        <w:t xml:space="preserve">) </w:t>
      </w:r>
      <w:r w:rsidRPr="008D3590">
        <w:rPr>
          <w:rFonts w:cs="Times New Roman"/>
          <w:sz w:val="24"/>
          <w:szCs w:val="24"/>
        </w:rPr>
        <w:t xml:space="preserve">also have the expected effects. </w:t>
      </w:r>
      <w:r w:rsidR="00325375" w:rsidRPr="008D3590">
        <w:rPr>
          <w:rFonts w:cs="Times New Roman"/>
          <w:sz w:val="24"/>
          <w:szCs w:val="24"/>
          <w:lang w:eastAsia="zh-CN"/>
        </w:rPr>
        <w:t xml:space="preserve">Workers </w:t>
      </w:r>
      <w:r w:rsidR="00E003ED" w:rsidRPr="008D3590">
        <w:rPr>
          <w:rFonts w:cs="Times New Roman"/>
          <w:sz w:val="24"/>
          <w:szCs w:val="24"/>
          <w:lang w:eastAsia="zh-CN"/>
        </w:rPr>
        <w:t xml:space="preserve">pursuing </w:t>
      </w:r>
      <w:r w:rsidR="00325375" w:rsidRPr="008D3590">
        <w:rPr>
          <w:rFonts w:cs="Times New Roman"/>
          <w:sz w:val="24"/>
          <w:szCs w:val="24"/>
          <w:lang w:eastAsia="zh-CN"/>
        </w:rPr>
        <w:t>managerial</w:t>
      </w:r>
      <w:r w:rsidR="00E003ED" w:rsidRPr="008D3590">
        <w:rPr>
          <w:rFonts w:cs="Times New Roman"/>
          <w:sz w:val="24"/>
          <w:szCs w:val="24"/>
          <w:lang w:eastAsia="zh-CN"/>
        </w:rPr>
        <w:t>/</w:t>
      </w:r>
      <w:r w:rsidR="00325375" w:rsidRPr="008D3590">
        <w:rPr>
          <w:rFonts w:cs="Times New Roman"/>
          <w:sz w:val="24"/>
          <w:szCs w:val="24"/>
          <w:lang w:eastAsia="zh-CN"/>
        </w:rPr>
        <w:t xml:space="preserve">professional </w:t>
      </w:r>
      <w:r w:rsidR="00E003ED" w:rsidRPr="008D3590">
        <w:rPr>
          <w:rFonts w:cs="Times New Roman"/>
          <w:sz w:val="24"/>
          <w:szCs w:val="24"/>
          <w:lang w:eastAsia="zh-CN"/>
        </w:rPr>
        <w:t xml:space="preserve">jobs </w:t>
      </w:r>
      <w:r w:rsidR="00325375" w:rsidRPr="008D3590">
        <w:rPr>
          <w:rFonts w:cs="Times New Roman"/>
          <w:sz w:val="24"/>
          <w:szCs w:val="24"/>
          <w:lang w:eastAsia="zh-CN"/>
        </w:rPr>
        <w:t xml:space="preserve">have a higher VALSC than those </w:t>
      </w:r>
      <w:r w:rsidR="00E003ED" w:rsidRPr="008D3590">
        <w:rPr>
          <w:rFonts w:cs="Times New Roman"/>
          <w:sz w:val="24"/>
          <w:szCs w:val="24"/>
          <w:lang w:eastAsia="zh-CN"/>
        </w:rPr>
        <w:t xml:space="preserve">holding </w:t>
      </w:r>
      <w:r w:rsidR="00325375" w:rsidRPr="008D3590">
        <w:rPr>
          <w:rFonts w:cs="Times New Roman"/>
          <w:sz w:val="24"/>
          <w:szCs w:val="24"/>
          <w:lang w:eastAsia="zh-CN"/>
        </w:rPr>
        <w:t>routine, manual and intermediate jobs</w:t>
      </w:r>
      <w:r w:rsidR="00775232" w:rsidRPr="008D3590">
        <w:rPr>
          <w:rFonts w:cs="Times New Roman"/>
          <w:sz w:val="24"/>
          <w:szCs w:val="24"/>
        </w:rPr>
        <w:t xml:space="preserve">. </w:t>
      </w:r>
      <w:r w:rsidR="00E003ED" w:rsidRPr="008D3590">
        <w:rPr>
          <w:rFonts w:cs="Times New Roman"/>
          <w:sz w:val="24"/>
          <w:szCs w:val="24"/>
        </w:rPr>
        <w:t>That workers in the former occupations tend to have more work flexibility than those in the latter is a finding well established in the literature</w:t>
      </w:r>
      <w:r w:rsidR="00325375" w:rsidRPr="008D3590">
        <w:rPr>
          <w:rFonts w:cs="Times New Roman"/>
          <w:sz w:val="24"/>
          <w:szCs w:val="24"/>
          <w:lang w:eastAsia="zh-CN"/>
        </w:rPr>
        <w:t xml:space="preserve"> (</w:t>
      </w:r>
      <w:r w:rsidR="00C8093C">
        <w:rPr>
          <w:rFonts w:cs="Times New Roman"/>
          <w:sz w:val="24"/>
          <w:szCs w:val="24"/>
          <w:lang w:eastAsia="zh-CN"/>
        </w:rPr>
        <w:t xml:space="preserve">Singh </w:t>
      </w:r>
      <w:r w:rsidR="00C8093C">
        <w:rPr>
          <w:rFonts w:cs="Times New Roman"/>
          <w:sz w:val="24"/>
          <w:szCs w:val="24"/>
        </w:rPr>
        <w:t>et al.,</w:t>
      </w:r>
      <w:r w:rsidR="0054181C" w:rsidRPr="008D3590">
        <w:rPr>
          <w:rFonts w:cs="Times New Roman"/>
          <w:sz w:val="24"/>
          <w:szCs w:val="24"/>
          <w:lang w:eastAsia="zh-CN"/>
        </w:rPr>
        <w:t xml:space="preserve"> 2013</w:t>
      </w:r>
      <w:r w:rsidR="00325375" w:rsidRPr="008D3590">
        <w:rPr>
          <w:rFonts w:cs="Times New Roman"/>
          <w:sz w:val="24"/>
          <w:szCs w:val="24"/>
          <w:lang w:eastAsia="zh-CN"/>
        </w:rPr>
        <w:t>)</w:t>
      </w:r>
      <w:r w:rsidR="00775232" w:rsidRPr="008D3590">
        <w:rPr>
          <w:rFonts w:cs="Times New Roman"/>
          <w:sz w:val="24"/>
          <w:szCs w:val="24"/>
        </w:rPr>
        <w:t xml:space="preserve">. </w:t>
      </w:r>
      <w:r w:rsidR="0096682D" w:rsidRPr="008D3590">
        <w:rPr>
          <w:rFonts w:cs="Times New Roman"/>
          <w:sz w:val="24"/>
          <w:szCs w:val="24"/>
        </w:rPr>
        <w:t>This</w:t>
      </w:r>
      <w:r w:rsidR="00775232" w:rsidRPr="008D3590">
        <w:rPr>
          <w:rFonts w:cs="Times New Roman"/>
          <w:sz w:val="24"/>
          <w:szCs w:val="24"/>
        </w:rPr>
        <w:t xml:space="preserve"> </w:t>
      </w:r>
      <w:proofErr w:type="spellStart"/>
      <w:r w:rsidR="00775232" w:rsidRPr="008D3590">
        <w:rPr>
          <w:rFonts w:cs="Times New Roman"/>
          <w:sz w:val="24"/>
          <w:szCs w:val="24"/>
        </w:rPr>
        <w:t>flexibilization</w:t>
      </w:r>
      <w:proofErr w:type="spellEnd"/>
      <w:r w:rsidR="00775232" w:rsidRPr="008D3590">
        <w:rPr>
          <w:rFonts w:cs="Times New Roman"/>
          <w:sz w:val="24"/>
          <w:szCs w:val="24"/>
        </w:rPr>
        <w:t xml:space="preserve"> of the work activity </w:t>
      </w:r>
      <w:r w:rsidR="0096682D" w:rsidRPr="008D3590">
        <w:rPr>
          <w:rFonts w:cs="Times New Roman"/>
          <w:sz w:val="24"/>
          <w:szCs w:val="24"/>
        </w:rPr>
        <w:t xml:space="preserve">for individuals in the managerial/professional profession </w:t>
      </w:r>
      <w:r w:rsidR="00775232" w:rsidRPr="008D3590">
        <w:rPr>
          <w:rFonts w:cs="Times New Roman"/>
          <w:sz w:val="24"/>
          <w:szCs w:val="24"/>
        </w:rPr>
        <w:t xml:space="preserve">may be associated with </w:t>
      </w:r>
      <w:r w:rsidR="0096682D" w:rsidRPr="008D3590">
        <w:rPr>
          <w:rFonts w:cs="Times New Roman"/>
          <w:sz w:val="24"/>
          <w:szCs w:val="24"/>
        </w:rPr>
        <w:t xml:space="preserve">an enhanced </w:t>
      </w:r>
      <w:r w:rsidR="00BF6F4E" w:rsidRPr="008D3590">
        <w:rPr>
          <w:rFonts w:cs="Times New Roman"/>
          <w:sz w:val="24"/>
          <w:szCs w:val="24"/>
        </w:rPr>
        <w:t xml:space="preserve">potential for </w:t>
      </w:r>
      <w:r w:rsidR="00775232" w:rsidRPr="008D3590">
        <w:rPr>
          <w:rFonts w:cs="Times New Roman"/>
          <w:sz w:val="24"/>
          <w:szCs w:val="24"/>
        </w:rPr>
        <w:t>re-arrangement of other activities</w:t>
      </w:r>
      <w:r w:rsidR="00BF6F4E" w:rsidRPr="008D3590">
        <w:rPr>
          <w:rFonts w:cs="Times New Roman"/>
          <w:sz w:val="24"/>
          <w:szCs w:val="24"/>
        </w:rPr>
        <w:t>, thereby</w:t>
      </w:r>
      <w:r w:rsidR="00775232" w:rsidRPr="008D3590">
        <w:rPr>
          <w:rFonts w:cs="Times New Roman"/>
          <w:sz w:val="24"/>
          <w:szCs w:val="24"/>
        </w:rPr>
        <w:t xml:space="preserve"> </w:t>
      </w:r>
      <w:r w:rsidR="0096682D" w:rsidRPr="008D3590">
        <w:rPr>
          <w:rFonts w:cs="Times New Roman"/>
          <w:sz w:val="24"/>
          <w:szCs w:val="24"/>
        </w:rPr>
        <w:t>leading to a higher</w:t>
      </w:r>
      <w:r w:rsidR="00775232" w:rsidRPr="008D3590">
        <w:rPr>
          <w:rFonts w:cs="Times New Roman"/>
          <w:sz w:val="24"/>
          <w:szCs w:val="24"/>
        </w:rPr>
        <w:t xml:space="preserve"> virtual accessibility </w:t>
      </w:r>
      <w:r w:rsidR="00325375" w:rsidRPr="008D3590">
        <w:rPr>
          <w:rFonts w:cs="Times New Roman"/>
          <w:sz w:val="24"/>
          <w:szCs w:val="24"/>
          <w:lang w:eastAsia="zh-CN"/>
        </w:rPr>
        <w:t>level</w:t>
      </w:r>
      <w:r w:rsidR="00775232" w:rsidRPr="008D3590">
        <w:rPr>
          <w:rFonts w:cs="Times New Roman"/>
          <w:sz w:val="24"/>
          <w:szCs w:val="24"/>
        </w:rPr>
        <w:t xml:space="preserve">. </w:t>
      </w:r>
      <w:r w:rsidRPr="008D3590">
        <w:rPr>
          <w:rFonts w:cs="Times New Roman"/>
          <w:sz w:val="24"/>
          <w:szCs w:val="24"/>
        </w:rPr>
        <w:t xml:space="preserve">The absence of </w:t>
      </w:r>
      <w:r w:rsidR="00BF6F4E" w:rsidRPr="008D3590">
        <w:rPr>
          <w:rFonts w:cs="Times New Roman"/>
          <w:sz w:val="24"/>
          <w:szCs w:val="24"/>
        </w:rPr>
        <w:t>i</w:t>
      </w:r>
      <w:r w:rsidR="00575BB5" w:rsidRPr="008D3590">
        <w:rPr>
          <w:rFonts w:cs="Times New Roman"/>
          <w:sz w:val="24"/>
          <w:szCs w:val="24"/>
        </w:rPr>
        <w:t xml:space="preserve">nternet </w:t>
      </w:r>
      <w:r w:rsidRPr="008D3590">
        <w:rPr>
          <w:rFonts w:cs="Times New Roman"/>
          <w:sz w:val="24"/>
          <w:szCs w:val="24"/>
        </w:rPr>
        <w:t>connectivity in the household</w:t>
      </w:r>
      <w:r w:rsidR="0096682D" w:rsidRPr="008D3590">
        <w:rPr>
          <w:rFonts w:cs="Times New Roman"/>
          <w:sz w:val="24"/>
          <w:szCs w:val="24"/>
        </w:rPr>
        <w:t>, as expected,</w:t>
      </w:r>
      <w:r w:rsidRPr="008D3590">
        <w:rPr>
          <w:rFonts w:cs="Times New Roman"/>
          <w:sz w:val="24"/>
          <w:szCs w:val="24"/>
        </w:rPr>
        <w:t xml:space="preserve"> reduces </w:t>
      </w:r>
      <w:r w:rsidR="00F942E9" w:rsidRPr="008D3590">
        <w:rPr>
          <w:rFonts w:cs="Times New Roman"/>
          <w:sz w:val="24"/>
          <w:szCs w:val="24"/>
        </w:rPr>
        <w:t>the individual’s virtual accessibility</w:t>
      </w:r>
      <w:r w:rsidR="00BF6F4E" w:rsidRPr="008D3590">
        <w:rPr>
          <w:rFonts w:cs="Times New Roman"/>
          <w:sz w:val="24"/>
          <w:szCs w:val="24"/>
        </w:rPr>
        <w:t>,</w:t>
      </w:r>
      <w:r w:rsidR="00F942E9" w:rsidRPr="008D3590">
        <w:rPr>
          <w:rFonts w:cs="Times New Roman"/>
          <w:sz w:val="24"/>
          <w:szCs w:val="24"/>
        </w:rPr>
        <w:t xml:space="preserve"> since the lack of connectivity is a direct constraint to accessing the digital world </w:t>
      </w:r>
      <w:r w:rsidR="009861BA" w:rsidRPr="008D3590">
        <w:rPr>
          <w:rFonts w:cs="Times New Roman"/>
          <w:sz w:val="24"/>
          <w:szCs w:val="24"/>
        </w:rPr>
        <w:fldChar w:fldCharType="begin" w:fldLock="1"/>
      </w:r>
      <w:r w:rsidR="009861BA" w:rsidRPr="008D3590">
        <w:rPr>
          <w:rFonts w:cs="Times New Roman"/>
          <w:sz w:val="24"/>
          <w:szCs w:val="24"/>
        </w:rPr>
        <w:instrText>ADDIN CSL_CITATION { "citationItems" : [ { "id" : "ITEM-1", "itemData" : { "author" : [ { "dropping-particle" : "", "family" : "Tranos", "given" : "E", "non-dropping-particle" : "", "parse-names" : false, "suffix" : "" }, { "dropping-particle" : "", "family" : "Reggiani", "given" : "A", "non-dropping-particle" : "", "parse-names" : false, "suffix" : "" }, { "dropping-particle" : "", "family" : "Nijkamp", "given" : "P", "non-dropping-particle" : "", "parse-names" : false, "suffix" : "" } ], "container-title" : "Cities", "id" : "ITEM-1", "issued" : { "date-parts" : [ [ "2013" ] ] }, "title" : "Accessibility of cities in the digital economy", "type" : "article-journal" }, "uris" : [ "http://www.mendeley.com/documents/?uuid=423e4273-ab58-3b13-a24b-f13accf56dc8" ] }, { "id" : "ITEM-2", "itemData" : { "DOI" : "10.1080/13658810701427569", "ISBN" : "1365-8816", "ISSN" : "1365-8816", "abstract" : "Today, the opportunity for potential human activity has gone beyond physical space to virtual space. Based on a proposed conceptual framework that models the relationships between physical and virtual spaces, this paper presents an attempt to adjust the space?time prism concept of H\u00e4gerstrand's time geography to identify potential activity opportunities in virtual space, focusing on the virtual space access channels available in physical space. A three?dimensional (3D) spatio?temporal Geographic Information System (GIS) design has been developed in this research to accommodate the adjusted space?time prism concept to support the representation, visualization, and analysis of potential human activities and interactions in physical and virtual spaces using the prism representation. Following the design, a prototype system has been successfully implemented in a 3D GIS environment. Such a system can provide powerful analytical tools for studies related to potential human activities and applications such as location?based services (LBS) and accessibility analysis in the information age.", "author" : [ { "dropping-particle" : "", "family" : "Yu", "given" : "Hongbo", "non-dropping-particle" : "", "parse-names" : false, "suffix" : "" }, { "dropping-particle" : "", "family" : "Shaw", "given" : "Shih\u2010Lung", "non-dropping-particle" : "", "parse-names" : false, "suffix" : "" } ], "container-title" : "International Journal of Geographical Information Science", "id" : "ITEM-2", "issue" : "4", "issued" : { "date-parts" : [ [ "2008" ] ] }, "page" : "409-430", "title" : "Exploring potential human activities in physical and virtual spaces: a spatio\u2010temporal GIS approach", "type" : "article-journal", "volume" : "22" }, "uris" : [ "http://www.mendeley.com/documents/?uuid=4cd1e8df-a20f-4694-b72d-928e863373b5" ] } ], "mendeley" : { "formattedCitation" : "(Yu and Shaw, 2008; Tranos, Reggiani and Nijkamp, 2013)", "plainTextFormattedCitation" : "(Yu and Shaw, 2008; Tranos, Reggiani and Nijkamp, 2013)", "previouslyFormattedCitation" : "(Yu and Shaw, 2008; Tranos, Reggiani and Nijkamp, 2013)" }, "properties" : { "noteIndex" : 0 }, "schema" : "https://github.com/citation-style-language/schema/raw/master/csl-citation.json" }</w:instrText>
      </w:r>
      <w:r w:rsidR="009861BA" w:rsidRPr="008D3590">
        <w:rPr>
          <w:rFonts w:cs="Times New Roman"/>
          <w:sz w:val="24"/>
          <w:szCs w:val="24"/>
        </w:rPr>
        <w:fldChar w:fldCharType="separate"/>
      </w:r>
      <w:r w:rsidR="009861BA" w:rsidRPr="008D3590">
        <w:rPr>
          <w:rFonts w:cs="Times New Roman"/>
          <w:noProof/>
          <w:sz w:val="24"/>
          <w:szCs w:val="24"/>
        </w:rPr>
        <w:t>(Yu and Shaw, 2008</w:t>
      </w:r>
      <w:r w:rsidR="00447432">
        <w:rPr>
          <w:rFonts w:cs="Times New Roman"/>
          <w:noProof/>
          <w:sz w:val="24"/>
          <w:szCs w:val="24"/>
          <w:lang w:eastAsia="zh-CN"/>
        </w:rPr>
        <w:t>;</w:t>
      </w:r>
      <w:r w:rsidR="009861BA" w:rsidRPr="008D3590">
        <w:rPr>
          <w:rFonts w:cs="Times New Roman"/>
          <w:noProof/>
          <w:sz w:val="24"/>
          <w:szCs w:val="24"/>
        </w:rPr>
        <w:t xml:space="preserve"> Tranos</w:t>
      </w:r>
      <w:r w:rsidR="00F942E9" w:rsidRPr="008D3590">
        <w:rPr>
          <w:rFonts w:cs="Times New Roman"/>
          <w:noProof/>
          <w:sz w:val="24"/>
          <w:szCs w:val="24"/>
        </w:rPr>
        <w:t xml:space="preserve"> et al.,</w:t>
      </w:r>
      <w:r w:rsidR="009861BA" w:rsidRPr="008D3590">
        <w:rPr>
          <w:rFonts w:cs="Times New Roman"/>
          <w:noProof/>
          <w:sz w:val="24"/>
          <w:szCs w:val="24"/>
        </w:rPr>
        <w:t xml:space="preserve"> 2013)</w:t>
      </w:r>
      <w:r w:rsidR="009861BA" w:rsidRPr="008D3590">
        <w:rPr>
          <w:rFonts w:cs="Times New Roman"/>
          <w:sz w:val="24"/>
          <w:szCs w:val="24"/>
        </w:rPr>
        <w:fldChar w:fldCharType="end"/>
      </w:r>
      <w:r w:rsidR="009861BA" w:rsidRPr="008D3590">
        <w:rPr>
          <w:rFonts w:cs="Times New Roman"/>
          <w:sz w:val="24"/>
          <w:szCs w:val="24"/>
        </w:rPr>
        <w:t>.</w:t>
      </w:r>
    </w:p>
    <w:p w14:paraId="75FE87E8" w14:textId="77777777" w:rsidR="00CF2B7A" w:rsidRPr="008D3590" w:rsidRDefault="00CF2B7A" w:rsidP="00CF2B7A">
      <w:pPr>
        <w:rPr>
          <w:rFonts w:cs="Times New Roman"/>
          <w:sz w:val="24"/>
          <w:szCs w:val="24"/>
        </w:rPr>
      </w:pPr>
    </w:p>
    <w:p w14:paraId="79E27E12" w14:textId="2D7C768E" w:rsidR="00CF2B7A" w:rsidRPr="008D3590" w:rsidRDefault="00674E52" w:rsidP="004356A9">
      <w:pPr>
        <w:outlineLvl w:val="0"/>
        <w:rPr>
          <w:rFonts w:cs="Times New Roman"/>
          <w:i/>
          <w:sz w:val="24"/>
          <w:szCs w:val="24"/>
        </w:rPr>
      </w:pPr>
      <w:r w:rsidRPr="008D3590">
        <w:rPr>
          <w:rFonts w:cs="Times New Roman"/>
          <w:i/>
          <w:sz w:val="24"/>
          <w:szCs w:val="24"/>
        </w:rPr>
        <w:t>3</w:t>
      </w:r>
      <w:r w:rsidR="008D3590" w:rsidRPr="008D3590">
        <w:rPr>
          <w:rFonts w:cs="Times New Roman"/>
          <w:i/>
          <w:sz w:val="24"/>
          <w:szCs w:val="24"/>
        </w:rPr>
        <w:t xml:space="preserve">.1.2 </w:t>
      </w:r>
      <w:r w:rsidR="00E148B0" w:rsidRPr="008D3590">
        <w:rPr>
          <w:rFonts w:cs="Times New Roman"/>
          <w:i/>
          <w:sz w:val="24"/>
          <w:szCs w:val="24"/>
        </w:rPr>
        <w:t>Physical A</w:t>
      </w:r>
      <w:r w:rsidR="00CF2B7A" w:rsidRPr="008D3590">
        <w:rPr>
          <w:rFonts w:cs="Times New Roman"/>
          <w:i/>
          <w:sz w:val="24"/>
          <w:szCs w:val="24"/>
        </w:rPr>
        <w:t>ccessibility</w:t>
      </w:r>
      <w:r w:rsidR="00C03559" w:rsidRPr="008D3590">
        <w:rPr>
          <w:rFonts w:cs="Times New Roman"/>
          <w:i/>
          <w:sz w:val="24"/>
          <w:szCs w:val="24"/>
        </w:rPr>
        <w:t xml:space="preserve"> </w:t>
      </w:r>
      <w:r w:rsidR="006E4F82" w:rsidRPr="008D3590">
        <w:rPr>
          <w:rFonts w:cs="Times New Roman"/>
          <w:i/>
          <w:sz w:val="24"/>
          <w:szCs w:val="24"/>
        </w:rPr>
        <w:t>L</w:t>
      </w:r>
      <w:r w:rsidR="00B604C0" w:rsidRPr="008D3590">
        <w:rPr>
          <w:rFonts w:cs="Times New Roman"/>
          <w:i/>
          <w:sz w:val="24"/>
          <w:szCs w:val="24"/>
        </w:rPr>
        <w:t xml:space="preserve">atent Stochastic Construct </w:t>
      </w:r>
      <w:r w:rsidR="00C03559" w:rsidRPr="008D3590">
        <w:rPr>
          <w:rFonts w:cs="Times New Roman"/>
          <w:i/>
          <w:sz w:val="24"/>
          <w:szCs w:val="24"/>
        </w:rPr>
        <w:t>(P</w:t>
      </w:r>
      <w:r w:rsidR="00B604C0" w:rsidRPr="008D3590">
        <w:rPr>
          <w:rFonts w:cs="Times New Roman"/>
          <w:i/>
          <w:sz w:val="24"/>
          <w:szCs w:val="24"/>
        </w:rPr>
        <w:t>ALSC</w:t>
      </w:r>
      <w:r w:rsidR="00C03559" w:rsidRPr="008D3590">
        <w:rPr>
          <w:rFonts w:cs="Times New Roman"/>
          <w:i/>
          <w:sz w:val="24"/>
          <w:szCs w:val="24"/>
        </w:rPr>
        <w:t>)</w:t>
      </w:r>
    </w:p>
    <w:p w14:paraId="69FB0B60" w14:textId="06B9A45C" w:rsidR="00C03559" w:rsidRPr="008D3590" w:rsidRDefault="00B604C0" w:rsidP="00DA3994">
      <w:pPr>
        <w:rPr>
          <w:rFonts w:cs="Times New Roman"/>
          <w:sz w:val="24"/>
          <w:szCs w:val="24"/>
        </w:rPr>
      </w:pPr>
      <w:r w:rsidRPr="008D3590">
        <w:rPr>
          <w:rFonts w:cs="Times New Roman"/>
          <w:sz w:val="24"/>
          <w:szCs w:val="24"/>
        </w:rPr>
        <w:t xml:space="preserve">As discussed earlier, the indicators used for PALSC correspond to the </w:t>
      </w:r>
      <w:r w:rsidRPr="008D3590">
        <w:rPr>
          <w:rFonts w:eastAsia="SimSun" w:cs="Times New Roman"/>
          <w:sz w:val="24"/>
          <w:szCs w:val="24"/>
        </w:rPr>
        <w:t>ease of commuting and shopping without a car</w:t>
      </w:r>
      <w:r w:rsidR="009D2234" w:rsidRPr="008D3590">
        <w:rPr>
          <w:rFonts w:eastAsia="SimSun" w:cs="Times New Roman"/>
          <w:sz w:val="24"/>
          <w:szCs w:val="24"/>
        </w:rPr>
        <w:t>, along with the quality of bic</w:t>
      </w:r>
      <w:r w:rsidRPr="008D3590">
        <w:rPr>
          <w:rFonts w:eastAsia="SimSun" w:cs="Times New Roman"/>
          <w:sz w:val="24"/>
          <w:szCs w:val="24"/>
        </w:rPr>
        <w:t>y</w:t>
      </w:r>
      <w:r w:rsidR="009D2234" w:rsidRPr="008D3590">
        <w:rPr>
          <w:rFonts w:eastAsia="SimSun" w:cs="Times New Roman"/>
          <w:sz w:val="24"/>
          <w:szCs w:val="24"/>
        </w:rPr>
        <w:t>c</w:t>
      </w:r>
      <w:r w:rsidRPr="008D3590">
        <w:rPr>
          <w:rFonts w:eastAsia="SimSun" w:cs="Times New Roman"/>
          <w:sz w:val="24"/>
          <w:szCs w:val="24"/>
        </w:rPr>
        <w:t>le lanes and roadway pavement in the</w:t>
      </w:r>
      <w:r w:rsidR="009D2234" w:rsidRPr="008D3590">
        <w:rPr>
          <w:rFonts w:eastAsia="SimSun" w:cs="Times New Roman"/>
          <w:sz w:val="24"/>
          <w:szCs w:val="24"/>
        </w:rPr>
        <w:t xml:space="preserve"> vicinity </w:t>
      </w:r>
      <w:r w:rsidRPr="008D3590">
        <w:rPr>
          <w:rFonts w:eastAsia="SimSun" w:cs="Times New Roman"/>
          <w:sz w:val="24"/>
          <w:szCs w:val="24"/>
        </w:rPr>
        <w:t>o</w:t>
      </w:r>
      <w:r w:rsidR="009D2234" w:rsidRPr="008D3590">
        <w:rPr>
          <w:rFonts w:eastAsia="SimSun" w:cs="Times New Roman"/>
          <w:sz w:val="24"/>
          <w:szCs w:val="24"/>
        </w:rPr>
        <w:t>f</w:t>
      </w:r>
      <w:r w:rsidRPr="008D3590">
        <w:rPr>
          <w:rFonts w:eastAsia="SimSun" w:cs="Times New Roman"/>
          <w:sz w:val="24"/>
          <w:szCs w:val="24"/>
        </w:rPr>
        <w:t xml:space="preserve"> the respondent’s residence. As such, therefore, </w:t>
      </w:r>
      <w:r w:rsidRPr="008D3590">
        <w:rPr>
          <w:rFonts w:cs="Times New Roman"/>
          <w:sz w:val="24"/>
          <w:szCs w:val="24"/>
        </w:rPr>
        <w:t xml:space="preserve">the </w:t>
      </w:r>
      <w:r w:rsidR="00F5046A" w:rsidRPr="008D3590">
        <w:rPr>
          <w:rFonts w:cs="Times New Roman"/>
          <w:sz w:val="24"/>
          <w:szCs w:val="24"/>
        </w:rPr>
        <w:t>P</w:t>
      </w:r>
      <w:r w:rsidRPr="008D3590">
        <w:rPr>
          <w:rFonts w:cs="Times New Roman"/>
          <w:sz w:val="24"/>
          <w:szCs w:val="24"/>
        </w:rPr>
        <w:t xml:space="preserve">ALSC in this study </w:t>
      </w:r>
      <w:r w:rsidR="009D2234" w:rsidRPr="008D3590">
        <w:rPr>
          <w:rFonts w:cs="Times New Roman"/>
          <w:sz w:val="24"/>
          <w:szCs w:val="24"/>
        </w:rPr>
        <w:t>will be more reflective of an</w:t>
      </w:r>
      <w:r w:rsidR="00F5046A" w:rsidRPr="008D3590">
        <w:rPr>
          <w:rFonts w:cs="Times New Roman"/>
          <w:sz w:val="24"/>
          <w:szCs w:val="24"/>
        </w:rPr>
        <w:t xml:space="preserve"> individual’s perception of </w:t>
      </w:r>
      <w:r w:rsidR="009D2234" w:rsidRPr="008D3590">
        <w:rPr>
          <w:rFonts w:cs="Times New Roman"/>
          <w:sz w:val="24"/>
          <w:szCs w:val="24"/>
        </w:rPr>
        <w:t xml:space="preserve">physical </w:t>
      </w:r>
      <w:r w:rsidR="00F5046A" w:rsidRPr="008D3590">
        <w:rPr>
          <w:rFonts w:cs="Times New Roman"/>
          <w:sz w:val="24"/>
          <w:szCs w:val="24"/>
        </w:rPr>
        <w:t>accessibility to opportunities by non-</w:t>
      </w:r>
      <w:r w:rsidR="009D2234" w:rsidRPr="008D3590">
        <w:rPr>
          <w:rFonts w:cs="Times New Roman"/>
          <w:sz w:val="24"/>
          <w:szCs w:val="24"/>
        </w:rPr>
        <w:t>auto modes of travel</w:t>
      </w:r>
      <w:r w:rsidR="00F5046A" w:rsidRPr="008D3590">
        <w:rPr>
          <w:rFonts w:cs="Times New Roman"/>
          <w:sz w:val="24"/>
          <w:szCs w:val="24"/>
        </w:rPr>
        <w:t>.</w:t>
      </w:r>
      <w:r w:rsidR="008A3701" w:rsidRPr="008D3590">
        <w:rPr>
          <w:rFonts w:cs="Times New Roman"/>
          <w:sz w:val="24"/>
          <w:szCs w:val="24"/>
        </w:rPr>
        <w:t xml:space="preserve"> </w:t>
      </w:r>
    </w:p>
    <w:p w14:paraId="564BED23" w14:textId="61B6548F" w:rsidR="00B94B81" w:rsidRPr="008D3590" w:rsidRDefault="009D2234" w:rsidP="00881C66">
      <w:pPr>
        <w:ind w:firstLine="720"/>
        <w:rPr>
          <w:rFonts w:cs="Times New Roman"/>
          <w:sz w:val="24"/>
          <w:szCs w:val="24"/>
        </w:rPr>
      </w:pPr>
      <w:r w:rsidRPr="008D3590">
        <w:rPr>
          <w:rFonts w:cs="Times New Roman"/>
          <w:sz w:val="24"/>
          <w:szCs w:val="24"/>
        </w:rPr>
        <w:t xml:space="preserve">Table 2 indicates that, </w:t>
      </w:r>
      <w:r w:rsidR="00E11609">
        <w:rPr>
          <w:rFonts w:cs="Times New Roman"/>
          <w:sz w:val="24"/>
          <w:szCs w:val="24"/>
        </w:rPr>
        <w:t xml:space="preserve">as expected, variables associated with residential location are the main predictors of </w:t>
      </w:r>
      <w:r w:rsidR="00320B04" w:rsidRPr="008D3590">
        <w:rPr>
          <w:rFonts w:cs="Times New Roman"/>
          <w:sz w:val="24"/>
          <w:szCs w:val="24"/>
        </w:rPr>
        <w:t>PA</w:t>
      </w:r>
      <w:r w:rsidR="00CF7844" w:rsidRPr="008D3590">
        <w:rPr>
          <w:rFonts w:cs="Times New Roman"/>
          <w:sz w:val="24"/>
          <w:szCs w:val="24"/>
        </w:rPr>
        <w:t>LSC</w:t>
      </w:r>
      <w:r w:rsidR="00320B04" w:rsidRPr="008D3590">
        <w:rPr>
          <w:rFonts w:cs="Times New Roman"/>
          <w:sz w:val="24"/>
          <w:szCs w:val="24"/>
        </w:rPr>
        <w:t>.</w:t>
      </w:r>
      <w:r w:rsidR="007836BD" w:rsidRPr="008D3590">
        <w:rPr>
          <w:rFonts w:cs="Times New Roman"/>
          <w:sz w:val="24"/>
          <w:szCs w:val="24"/>
        </w:rPr>
        <w:t xml:space="preserve"> Living in a townhome or in a</w:t>
      </w:r>
      <w:r w:rsidR="00CF7844" w:rsidRPr="008D3590">
        <w:rPr>
          <w:rFonts w:cs="Times New Roman"/>
          <w:sz w:val="24"/>
          <w:szCs w:val="24"/>
        </w:rPr>
        <w:t>n apartment/</w:t>
      </w:r>
      <w:r w:rsidR="007836BD" w:rsidRPr="008D3590">
        <w:rPr>
          <w:rFonts w:cs="Times New Roman"/>
          <w:sz w:val="24"/>
          <w:szCs w:val="24"/>
        </w:rPr>
        <w:t xml:space="preserve">flat is associated with higher urban densities </w:t>
      </w:r>
      <w:r w:rsidR="00CF7844" w:rsidRPr="008D3590">
        <w:rPr>
          <w:rFonts w:cs="Times New Roman"/>
          <w:sz w:val="24"/>
          <w:szCs w:val="24"/>
        </w:rPr>
        <w:t xml:space="preserve">around one’s residence, </w:t>
      </w:r>
      <w:r w:rsidR="007836BD" w:rsidRPr="008D3590">
        <w:rPr>
          <w:rFonts w:cs="Times New Roman"/>
          <w:sz w:val="24"/>
          <w:szCs w:val="24"/>
        </w:rPr>
        <w:t xml:space="preserve">and </w:t>
      </w:r>
      <w:r w:rsidR="00CF7844" w:rsidRPr="008D3590">
        <w:rPr>
          <w:rFonts w:cs="Times New Roman"/>
          <w:sz w:val="24"/>
          <w:szCs w:val="24"/>
        </w:rPr>
        <w:t xml:space="preserve">is </w:t>
      </w:r>
      <w:r w:rsidR="007836BD" w:rsidRPr="008D3590">
        <w:rPr>
          <w:rFonts w:cs="Times New Roman"/>
          <w:sz w:val="24"/>
          <w:szCs w:val="24"/>
        </w:rPr>
        <w:t xml:space="preserve">therefore </w:t>
      </w:r>
      <w:r w:rsidR="00CF7844" w:rsidRPr="008D3590">
        <w:rPr>
          <w:rFonts w:cs="Times New Roman"/>
          <w:sz w:val="24"/>
          <w:szCs w:val="24"/>
        </w:rPr>
        <w:t>naturally associated</w:t>
      </w:r>
      <w:r w:rsidR="007836BD" w:rsidRPr="008D3590">
        <w:rPr>
          <w:rFonts w:cs="Times New Roman"/>
          <w:sz w:val="24"/>
          <w:szCs w:val="24"/>
        </w:rPr>
        <w:t xml:space="preserve"> </w:t>
      </w:r>
      <w:r w:rsidR="00CF7844" w:rsidRPr="008D3590">
        <w:rPr>
          <w:rFonts w:cs="Times New Roman"/>
          <w:sz w:val="24"/>
          <w:szCs w:val="24"/>
        </w:rPr>
        <w:t xml:space="preserve">with a higher </w:t>
      </w:r>
      <w:r w:rsidR="007836BD" w:rsidRPr="008D3590">
        <w:rPr>
          <w:rFonts w:cs="Times New Roman"/>
          <w:sz w:val="24"/>
          <w:szCs w:val="24"/>
        </w:rPr>
        <w:t>perception of physical accessibility</w:t>
      </w:r>
      <w:r w:rsidR="00CF7844" w:rsidRPr="008D3590">
        <w:rPr>
          <w:rFonts w:cs="Times New Roman"/>
          <w:sz w:val="24"/>
          <w:szCs w:val="24"/>
        </w:rPr>
        <w:t xml:space="preserve"> than when living in a detached or semi-detached single family housing unit</w:t>
      </w:r>
      <w:r w:rsidR="007836BD" w:rsidRPr="008D3590">
        <w:rPr>
          <w:rFonts w:cs="Times New Roman"/>
          <w:sz w:val="24"/>
          <w:szCs w:val="24"/>
        </w:rPr>
        <w:t xml:space="preserve">. </w:t>
      </w:r>
      <w:r w:rsidR="00CF7844" w:rsidRPr="008D3590">
        <w:rPr>
          <w:rFonts w:cs="Times New Roman"/>
          <w:sz w:val="24"/>
          <w:szCs w:val="24"/>
        </w:rPr>
        <w:t>For similar reasons, r</w:t>
      </w:r>
      <w:r w:rsidR="007836BD" w:rsidRPr="008D3590">
        <w:rPr>
          <w:rFonts w:cs="Times New Roman"/>
          <w:sz w:val="24"/>
          <w:szCs w:val="24"/>
        </w:rPr>
        <w:t>enting a residence</w:t>
      </w:r>
      <w:r w:rsidR="00CF7844" w:rsidRPr="008D3590">
        <w:rPr>
          <w:rFonts w:cs="Times New Roman"/>
          <w:sz w:val="24"/>
          <w:szCs w:val="24"/>
        </w:rPr>
        <w:t xml:space="preserve">, rather than owning a residence, is </w:t>
      </w:r>
      <w:r w:rsidR="007836BD" w:rsidRPr="008D3590">
        <w:rPr>
          <w:rFonts w:cs="Times New Roman"/>
          <w:sz w:val="24"/>
          <w:szCs w:val="24"/>
        </w:rPr>
        <w:t xml:space="preserve">also associated with an increase in </w:t>
      </w:r>
      <w:r w:rsidR="006933B7" w:rsidRPr="008D3590">
        <w:rPr>
          <w:rFonts w:cs="Times New Roman"/>
          <w:sz w:val="24"/>
          <w:szCs w:val="24"/>
        </w:rPr>
        <w:t>P</w:t>
      </w:r>
      <w:r w:rsidR="00CF7844" w:rsidRPr="008D3590">
        <w:rPr>
          <w:rFonts w:cs="Times New Roman"/>
          <w:sz w:val="24"/>
          <w:szCs w:val="24"/>
        </w:rPr>
        <w:t>ALSC</w:t>
      </w:r>
      <w:r w:rsidR="006933B7" w:rsidRPr="008D3590">
        <w:rPr>
          <w:rFonts w:cs="Times New Roman"/>
          <w:sz w:val="24"/>
          <w:szCs w:val="24"/>
        </w:rPr>
        <w:t xml:space="preserve">. </w:t>
      </w:r>
      <w:r w:rsidR="00E11609">
        <w:rPr>
          <w:rFonts w:cs="Times New Roman"/>
          <w:sz w:val="24"/>
          <w:szCs w:val="24"/>
        </w:rPr>
        <w:t xml:space="preserve">Living in a metropolitan area, compared to living outside a metropolitan area, also </w:t>
      </w:r>
      <w:r w:rsidR="00C274A9">
        <w:rPr>
          <w:rFonts w:cs="Times New Roman"/>
          <w:sz w:val="24"/>
          <w:szCs w:val="24"/>
        </w:rPr>
        <w:t xml:space="preserve">positively </w:t>
      </w:r>
      <w:r w:rsidR="00E11609">
        <w:rPr>
          <w:rFonts w:cs="Times New Roman"/>
          <w:sz w:val="24"/>
          <w:szCs w:val="24"/>
        </w:rPr>
        <w:t xml:space="preserve">contributes to the individual’s perception of physical accessibility. </w:t>
      </w:r>
      <w:r w:rsidR="006933B7" w:rsidRPr="008D3590">
        <w:rPr>
          <w:rFonts w:cs="Times New Roman"/>
          <w:sz w:val="24"/>
          <w:szCs w:val="24"/>
        </w:rPr>
        <w:t>Finally, the</w:t>
      </w:r>
      <w:r w:rsidR="00CF7844" w:rsidRPr="008D3590">
        <w:rPr>
          <w:rFonts w:cs="Times New Roman"/>
          <w:sz w:val="24"/>
          <w:szCs w:val="24"/>
        </w:rPr>
        <w:t xml:space="preserve"> </w:t>
      </w:r>
      <w:r w:rsidR="006933B7" w:rsidRPr="008D3590">
        <w:rPr>
          <w:rFonts w:cs="Times New Roman"/>
          <w:sz w:val="24"/>
          <w:szCs w:val="24"/>
        </w:rPr>
        <w:t xml:space="preserve">location-based measures </w:t>
      </w:r>
      <w:r w:rsidR="002E269B" w:rsidRPr="008D3590">
        <w:rPr>
          <w:rFonts w:cs="Times New Roman"/>
          <w:sz w:val="24"/>
          <w:szCs w:val="24"/>
        </w:rPr>
        <w:t xml:space="preserve">(PAMs) </w:t>
      </w:r>
      <w:r w:rsidR="00CF7844" w:rsidRPr="008D3590">
        <w:rPr>
          <w:rFonts w:cs="Times New Roman"/>
          <w:sz w:val="24"/>
          <w:szCs w:val="24"/>
        </w:rPr>
        <w:t xml:space="preserve">indicate the expected negative effect of travel time </w:t>
      </w:r>
      <w:r w:rsidR="000D68AD" w:rsidRPr="008D3590">
        <w:rPr>
          <w:rFonts w:cs="Times New Roman"/>
          <w:sz w:val="24"/>
          <w:szCs w:val="24"/>
        </w:rPr>
        <w:t>(</w:t>
      </w:r>
      <w:r w:rsidR="00CF7844" w:rsidRPr="008D3590">
        <w:rPr>
          <w:rFonts w:cs="Times New Roman"/>
          <w:sz w:val="24"/>
          <w:szCs w:val="24"/>
        </w:rPr>
        <w:t>to important activity opportunity locations</w:t>
      </w:r>
      <w:r w:rsidR="000D68AD" w:rsidRPr="008D3590">
        <w:rPr>
          <w:rFonts w:cs="Times New Roman"/>
          <w:sz w:val="24"/>
          <w:szCs w:val="24"/>
        </w:rPr>
        <w:t>)</w:t>
      </w:r>
      <w:r w:rsidR="00CF7844" w:rsidRPr="008D3590">
        <w:rPr>
          <w:rFonts w:cs="Times New Roman"/>
          <w:sz w:val="24"/>
          <w:szCs w:val="24"/>
        </w:rPr>
        <w:t xml:space="preserve"> on PALSC</w:t>
      </w:r>
      <w:r w:rsidR="00DA3994" w:rsidRPr="008D3590">
        <w:rPr>
          <w:rFonts w:cs="Times New Roman"/>
          <w:sz w:val="24"/>
          <w:szCs w:val="24"/>
        </w:rPr>
        <w:t xml:space="preserve">. </w:t>
      </w:r>
    </w:p>
    <w:p w14:paraId="7CD12492" w14:textId="77777777" w:rsidR="00CF2B7A" w:rsidRPr="008D3590" w:rsidRDefault="00CF2B7A" w:rsidP="00CF2B7A">
      <w:pPr>
        <w:rPr>
          <w:rFonts w:cs="Times New Roman"/>
          <w:sz w:val="24"/>
          <w:szCs w:val="24"/>
        </w:rPr>
      </w:pPr>
    </w:p>
    <w:p w14:paraId="2D55431A" w14:textId="2903C402" w:rsidR="00CF2B7A" w:rsidRPr="008D3590" w:rsidRDefault="00674E52" w:rsidP="004356A9">
      <w:pPr>
        <w:outlineLvl w:val="0"/>
        <w:rPr>
          <w:rFonts w:cs="Times New Roman"/>
          <w:i/>
          <w:sz w:val="24"/>
          <w:szCs w:val="24"/>
        </w:rPr>
      </w:pPr>
      <w:r w:rsidRPr="008D3590">
        <w:rPr>
          <w:rFonts w:cs="Times New Roman"/>
          <w:i/>
          <w:sz w:val="24"/>
          <w:szCs w:val="24"/>
        </w:rPr>
        <w:t>3</w:t>
      </w:r>
      <w:r w:rsidR="008D3590" w:rsidRPr="008D3590">
        <w:rPr>
          <w:rFonts w:cs="Times New Roman"/>
          <w:i/>
          <w:sz w:val="24"/>
          <w:szCs w:val="24"/>
        </w:rPr>
        <w:t xml:space="preserve">.1.3 </w:t>
      </w:r>
      <w:r w:rsidR="00CF2B7A" w:rsidRPr="008D3590">
        <w:rPr>
          <w:rFonts w:cs="Times New Roman"/>
          <w:i/>
          <w:sz w:val="24"/>
          <w:szCs w:val="24"/>
        </w:rPr>
        <w:t>Correlation</w:t>
      </w:r>
    </w:p>
    <w:p w14:paraId="22509C44" w14:textId="32A18CFC" w:rsidR="00351998" w:rsidRPr="008D3590" w:rsidRDefault="00D26D58" w:rsidP="00A64ABD">
      <w:pPr>
        <w:rPr>
          <w:rFonts w:cs="Times New Roman"/>
          <w:sz w:val="24"/>
          <w:szCs w:val="24"/>
        </w:rPr>
      </w:pPr>
      <w:r w:rsidRPr="008D3590">
        <w:rPr>
          <w:rFonts w:cs="Times New Roman"/>
          <w:sz w:val="24"/>
          <w:szCs w:val="24"/>
        </w:rPr>
        <w:t xml:space="preserve">The correlation between </w:t>
      </w:r>
      <w:r w:rsidR="00C3382F" w:rsidRPr="008D3590">
        <w:rPr>
          <w:rFonts w:cs="Times New Roman"/>
          <w:sz w:val="24"/>
          <w:szCs w:val="24"/>
        </w:rPr>
        <w:t xml:space="preserve">VALSC and PALSC </w:t>
      </w:r>
      <w:r w:rsidR="00674E52" w:rsidRPr="008D3590">
        <w:rPr>
          <w:rFonts w:cs="Times New Roman"/>
          <w:sz w:val="24"/>
          <w:szCs w:val="24"/>
        </w:rPr>
        <w:t xml:space="preserve">is </w:t>
      </w:r>
      <w:r w:rsidR="00AF1A11">
        <w:rPr>
          <w:rFonts w:cs="Times New Roman"/>
          <w:sz w:val="24"/>
          <w:szCs w:val="24"/>
        </w:rPr>
        <w:t>considered in our paper to accommodate the possible presence of common unobserved variables impacting VALSC and PALSC.</w:t>
      </w:r>
      <w:r w:rsidR="00B66797">
        <w:rPr>
          <w:rFonts w:cs="Times New Roman"/>
          <w:sz w:val="24"/>
          <w:szCs w:val="24"/>
        </w:rPr>
        <w:t xml:space="preserve"> We observe a moderate </w:t>
      </w:r>
      <w:r w:rsidR="00AE3E2B">
        <w:rPr>
          <w:rFonts w:cs="Times New Roman"/>
          <w:sz w:val="24"/>
          <w:szCs w:val="24"/>
        </w:rPr>
        <w:t xml:space="preserve">(but highly statistically significant) </w:t>
      </w:r>
      <w:r w:rsidR="00B66797">
        <w:rPr>
          <w:rFonts w:cs="Times New Roman"/>
          <w:sz w:val="24"/>
          <w:szCs w:val="24"/>
        </w:rPr>
        <w:t xml:space="preserve">positive correlation between the two accessibility </w:t>
      </w:r>
      <w:r w:rsidR="00B66797">
        <w:rPr>
          <w:rFonts w:cs="Times New Roman"/>
          <w:sz w:val="24"/>
          <w:szCs w:val="24"/>
        </w:rPr>
        <w:lastRenderedPageBreak/>
        <w:t>constructs, suggesting that unobserved factors contribute to a simultaneous increase (or decrease) of the perception of both types of accessibility. For example, the individual’s</w:t>
      </w:r>
      <w:r w:rsidR="00A64ABD">
        <w:rPr>
          <w:rFonts w:cs="Times New Roman"/>
          <w:sz w:val="24"/>
          <w:szCs w:val="24"/>
        </w:rPr>
        <w:t xml:space="preserve"> degree of self-efficacy, that is, her/his personal judgment of own ability to deal with prospective situations (as defined by </w:t>
      </w:r>
      <w:r w:rsidR="00B66797">
        <w:rPr>
          <w:rFonts w:cs="Times New Roman"/>
          <w:sz w:val="24"/>
          <w:szCs w:val="24"/>
        </w:rPr>
        <w:t>B</w:t>
      </w:r>
      <w:r w:rsidR="006A258D">
        <w:rPr>
          <w:rFonts w:cs="Times New Roman"/>
          <w:sz w:val="24"/>
          <w:szCs w:val="24"/>
        </w:rPr>
        <w:t>a</w:t>
      </w:r>
      <w:r w:rsidR="00B66797">
        <w:rPr>
          <w:rFonts w:cs="Times New Roman"/>
          <w:sz w:val="24"/>
          <w:szCs w:val="24"/>
        </w:rPr>
        <w:t xml:space="preserve">ndura, 1982) </w:t>
      </w:r>
      <w:r w:rsidR="00A64ABD">
        <w:rPr>
          <w:rFonts w:cs="Times New Roman"/>
          <w:sz w:val="24"/>
          <w:szCs w:val="24"/>
        </w:rPr>
        <w:t xml:space="preserve">is likely to have a similar influence on the perception of both types of accessibility. </w:t>
      </w:r>
      <w:r w:rsidR="009307C6">
        <w:rPr>
          <w:rFonts w:cs="Times New Roman"/>
          <w:sz w:val="24"/>
          <w:szCs w:val="24"/>
        </w:rPr>
        <w:t>Further, individuals who are adventurous and exploration-oriented may have a higher VALSC and PALSC than their otherwise observationally equivalent peers (generating the positive correlation). In addition, a</w:t>
      </w:r>
      <w:r w:rsidR="00796602">
        <w:rPr>
          <w:rFonts w:cs="Times New Roman"/>
          <w:sz w:val="24"/>
          <w:szCs w:val="24"/>
        </w:rPr>
        <w:t xml:space="preserve">s discussed in </w:t>
      </w:r>
      <w:r w:rsidR="00DA5FD0">
        <w:rPr>
          <w:rFonts w:cs="Times New Roman"/>
          <w:sz w:val="24"/>
          <w:szCs w:val="24"/>
        </w:rPr>
        <w:t>S</w:t>
      </w:r>
      <w:r w:rsidR="00796602">
        <w:rPr>
          <w:rFonts w:cs="Times New Roman"/>
          <w:sz w:val="24"/>
          <w:szCs w:val="24"/>
        </w:rPr>
        <w:t>ection 1.1, the ability to use ICT while traveling and the access to real time</w:t>
      </w:r>
      <w:r w:rsidR="00796602" w:rsidRPr="008D3590">
        <w:rPr>
          <w:rFonts w:cs="Times New Roman"/>
          <w:sz w:val="24"/>
          <w:szCs w:val="24"/>
        </w:rPr>
        <w:t xml:space="preserve"> information </w:t>
      </w:r>
      <w:r w:rsidR="00796602">
        <w:rPr>
          <w:rFonts w:cs="Times New Roman"/>
          <w:sz w:val="24"/>
          <w:szCs w:val="24"/>
        </w:rPr>
        <w:t xml:space="preserve">may </w:t>
      </w:r>
      <w:r w:rsidR="009307C6">
        <w:rPr>
          <w:rFonts w:cs="Times New Roman"/>
          <w:sz w:val="24"/>
          <w:szCs w:val="24"/>
        </w:rPr>
        <w:t xml:space="preserve">not only </w:t>
      </w:r>
      <w:r w:rsidR="00796602">
        <w:rPr>
          <w:rFonts w:cs="Times New Roman"/>
          <w:sz w:val="24"/>
          <w:szCs w:val="24"/>
        </w:rPr>
        <w:t xml:space="preserve">characterize virtual accessibility but may also </w:t>
      </w:r>
      <w:r w:rsidR="00796602" w:rsidRPr="008D3590">
        <w:rPr>
          <w:rFonts w:cs="Times New Roman"/>
          <w:sz w:val="24"/>
          <w:szCs w:val="24"/>
        </w:rPr>
        <w:t>enhance</w:t>
      </w:r>
      <w:r w:rsidR="00796602">
        <w:rPr>
          <w:rFonts w:cs="Times New Roman"/>
          <w:sz w:val="24"/>
          <w:szCs w:val="24"/>
        </w:rPr>
        <w:t xml:space="preserve"> </w:t>
      </w:r>
      <w:r w:rsidR="00796602" w:rsidRPr="008D3590">
        <w:rPr>
          <w:rFonts w:cs="Times New Roman"/>
          <w:sz w:val="24"/>
          <w:szCs w:val="24"/>
        </w:rPr>
        <w:t>travel experience and physical accessibility (van Wee et al., 2013</w:t>
      </w:r>
      <w:r w:rsidR="00447432">
        <w:rPr>
          <w:rFonts w:cs="Times New Roman"/>
          <w:sz w:val="24"/>
          <w:szCs w:val="24"/>
        </w:rPr>
        <w:t>;</w:t>
      </w:r>
      <w:r w:rsidR="00796602" w:rsidRPr="008D3590">
        <w:rPr>
          <w:rFonts w:cs="Times New Roman"/>
          <w:sz w:val="24"/>
          <w:szCs w:val="24"/>
        </w:rPr>
        <w:t xml:space="preserve"> Lu et al., 2014).</w:t>
      </w:r>
    </w:p>
    <w:p w14:paraId="315D8924" w14:textId="77777777" w:rsidR="00CF2B7A" w:rsidRPr="008D3590" w:rsidRDefault="00CF2B7A" w:rsidP="00CF2B7A">
      <w:pPr>
        <w:rPr>
          <w:rFonts w:cs="Times New Roman"/>
          <w:sz w:val="24"/>
          <w:szCs w:val="24"/>
        </w:rPr>
      </w:pPr>
    </w:p>
    <w:p w14:paraId="74152A02" w14:textId="7DAFFD15" w:rsidR="00CF2B7A" w:rsidRPr="008D3590" w:rsidRDefault="00674E52" w:rsidP="004356A9">
      <w:pPr>
        <w:outlineLvl w:val="0"/>
        <w:rPr>
          <w:rFonts w:cs="Times New Roman"/>
          <w:b/>
          <w:sz w:val="24"/>
          <w:szCs w:val="24"/>
        </w:rPr>
      </w:pPr>
      <w:r w:rsidRPr="008D3590">
        <w:rPr>
          <w:rFonts w:cs="Times New Roman"/>
          <w:b/>
          <w:sz w:val="24"/>
          <w:szCs w:val="24"/>
        </w:rPr>
        <w:t>3</w:t>
      </w:r>
      <w:r w:rsidR="008D3590" w:rsidRPr="008D3590">
        <w:rPr>
          <w:rFonts w:cs="Times New Roman"/>
          <w:b/>
          <w:sz w:val="24"/>
          <w:szCs w:val="24"/>
        </w:rPr>
        <w:t xml:space="preserve">.2 </w:t>
      </w:r>
      <w:r w:rsidR="00FE3FF1" w:rsidRPr="008D3590">
        <w:rPr>
          <w:rFonts w:cs="Times New Roman"/>
          <w:b/>
          <w:sz w:val="24"/>
          <w:szCs w:val="24"/>
        </w:rPr>
        <w:t xml:space="preserve">Relationship </w:t>
      </w:r>
      <w:r w:rsidR="00DC05B4">
        <w:rPr>
          <w:rFonts w:cs="Times New Roman"/>
          <w:b/>
          <w:sz w:val="24"/>
          <w:szCs w:val="24"/>
        </w:rPr>
        <w:t>b</w:t>
      </w:r>
      <w:r w:rsidR="00FE3FF1" w:rsidRPr="008D3590">
        <w:rPr>
          <w:rFonts w:cs="Times New Roman"/>
          <w:b/>
          <w:sz w:val="24"/>
          <w:szCs w:val="24"/>
        </w:rPr>
        <w:t xml:space="preserve">etween VAG/PAG and </w:t>
      </w:r>
      <w:r w:rsidR="008D3590" w:rsidRPr="008D3590">
        <w:rPr>
          <w:rFonts w:cs="Times New Roman"/>
          <w:b/>
          <w:sz w:val="24"/>
          <w:szCs w:val="24"/>
        </w:rPr>
        <w:t>E</w:t>
      </w:r>
      <w:r w:rsidR="00FE3FF1" w:rsidRPr="008D3590">
        <w:rPr>
          <w:rFonts w:cs="Times New Roman"/>
          <w:b/>
          <w:sz w:val="24"/>
          <w:szCs w:val="24"/>
        </w:rPr>
        <w:t xml:space="preserve">xogenous </w:t>
      </w:r>
      <w:r w:rsidR="008D3590" w:rsidRPr="008D3590">
        <w:rPr>
          <w:rFonts w:cs="Times New Roman"/>
          <w:b/>
          <w:sz w:val="24"/>
          <w:szCs w:val="24"/>
        </w:rPr>
        <w:t>V</w:t>
      </w:r>
      <w:r w:rsidR="00FE3FF1" w:rsidRPr="008D3590">
        <w:rPr>
          <w:rFonts w:cs="Times New Roman"/>
          <w:b/>
          <w:sz w:val="24"/>
          <w:szCs w:val="24"/>
        </w:rPr>
        <w:t>ariables, VALSC, and PALSC</w:t>
      </w:r>
    </w:p>
    <w:p w14:paraId="51983B38" w14:textId="549E9858" w:rsidR="00A66804" w:rsidRPr="008D3590" w:rsidRDefault="00FE3FF1" w:rsidP="00D26D58">
      <w:pPr>
        <w:rPr>
          <w:rFonts w:cs="Times New Roman"/>
          <w:sz w:val="24"/>
          <w:szCs w:val="24"/>
        </w:rPr>
      </w:pPr>
      <w:r w:rsidRPr="008D3590">
        <w:rPr>
          <w:rFonts w:cs="Times New Roman"/>
          <w:sz w:val="24"/>
          <w:szCs w:val="24"/>
        </w:rPr>
        <w:t>In this section, we discuss the effects of exogenous variables, VALSC, and PALSC on the virtual accessibi</w:t>
      </w:r>
      <w:r w:rsidR="00A66804" w:rsidRPr="008D3590">
        <w:rPr>
          <w:rFonts w:cs="Times New Roman"/>
          <w:sz w:val="24"/>
          <w:szCs w:val="24"/>
        </w:rPr>
        <w:t xml:space="preserve">lity engagement (VAG) outcomes </w:t>
      </w:r>
      <w:r w:rsidRPr="008D3590">
        <w:rPr>
          <w:rFonts w:cs="Times New Roman"/>
          <w:sz w:val="24"/>
          <w:szCs w:val="24"/>
        </w:rPr>
        <w:t>and the physical accessib</w:t>
      </w:r>
      <w:r w:rsidR="00A66804" w:rsidRPr="008D3590">
        <w:rPr>
          <w:rFonts w:cs="Times New Roman"/>
          <w:sz w:val="24"/>
          <w:szCs w:val="24"/>
        </w:rPr>
        <w:t>ility engagement (PAG) outcomes</w:t>
      </w:r>
      <w:r w:rsidRPr="008D3590">
        <w:rPr>
          <w:rFonts w:cs="Times New Roman"/>
          <w:sz w:val="24"/>
          <w:szCs w:val="24"/>
        </w:rPr>
        <w:t>. As a by-product, we also obtai</w:t>
      </w:r>
      <w:r w:rsidR="00A66804" w:rsidRPr="008D3590">
        <w:rPr>
          <w:rFonts w:cs="Times New Roman"/>
          <w:sz w:val="24"/>
          <w:szCs w:val="24"/>
        </w:rPr>
        <w:t>n the loadings of the PALSC construct</w:t>
      </w:r>
      <w:r w:rsidRPr="008D3590">
        <w:rPr>
          <w:rFonts w:cs="Times New Roman"/>
          <w:sz w:val="24"/>
          <w:szCs w:val="24"/>
        </w:rPr>
        <w:t xml:space="preserve"> on the four ordinal indicators of </w:t>
      </w:r>
      <w:r w:rsidR="00A66804" w:rsidRPr="008D3590">
        <w:rPr>
          <w:rFonts w:eastAsia="SimSun" w:cs="Times New Roman"/>
          <w:sz w:val="24"/>
          <w:szCs w:val="24"/>
        </w:rPr>
        <w:t xml:space="preserve">ease of commute without a car, ease of shopping without car, quality of bicycle lanes in the vicinity of the respondent’s residence, and quality of roadway pavement in the vicinity of the respondent’s residence. </w:t>
      </w:r>
      <w:r w:rsidR="00924FDA" w:rsidRPr="008D3590">
        <w:rPr>
          <w:rFonts w:eastAsia="SimSun" w:cs="Times New Roman"/>
          <w:sz w:val="24"/>
          <w:szCs w:val="24"/>
        </w:rPr>
        <w:t>PALSC had the expected strong positive loadin</w:t>
      </w:r>
      <w:r w:rsidR="00924FDA">
        <w:rPr>
          <w:rFonts w:eastAsia="SimSun" w:cs="Times New Roman"/>
          <w:sz w:val="24"/>
          <w:szCs w:val="24"/>
        </w:rPr>
        <w:t xml:space="preserve">g on each of these indicators </w:t>
      </w:r>
      <w:r w:rsidR="00A66804" w:rsidRPr="008D3590">
        <w:rPr>
          <w:rFonts w:eastAsia="SimSun" w:cs="Times New Roman"/>
          <w:sz w:val="24"/>
          <w:szCs w:val="24"/>
        </w:rPr>
        <w:t>(the</w:t>
      </w:r>
      <w:r w:rsidR="00924FDA">
        <w:rPr>
          <w:rFonts w:eastAsia="SimSun" w:cs="Times New Roman"/>
          <w:sz w:val="24"/>
          <w:szCs w:val="24"/>
        </w:rPr>
        <w:t xml:space="preserve"> table containing these coefficients is</w:t>
      </w:r>
      <w:r w:rsidR="00A66804" w:rsidRPr="008D3590">
        <w:rPr>
          <w:rFonts w:eastAsia="SimSun" w:cs="Times New Roman"/>
          <w:sz w:val="24"/>
          <w:szCs w:val="24"/>
        </w:rPr>
        <w:t xml:space="preserve"> available </w:t>
      </w:r>
      <w:r w:rsidR="00924FDA" w:rsidRPr="008D3590">
        <w:rPr>
          <w:rFonts w:eastAsia="SimSun" w:cs="Times New Roman"/>
          <w:sz w:val="24"/>
          <w:szCs w:val="24"/>
        </w:rPr>
        <w:t xml:space="preserve">in </w:t>
      </w:r>
      <w:r w:rsidR="00924FDA">
        <w:rPr>
          <w:rFonts w:eastAsia="SimSun" w:cs="Times New Roman"/>
          <w:sz w:val="24"/>
          <w:szCs w:val="24"/>
        </w:rPr>
        <w:t>the</w:t>
      </w:r>
      <w:r w:rsidR="00924FDA" w:rsidRPr="008D3590">
        <w:rPr>
          <w:rFonts w:eastAsia="SimSun" w:cs="Times New Roman"/>
          <w:sz w:val="24"/>
          <w:szCs w:val="24"/>
        </w:rPr>
        <w:t xml:space="preserve"> </w:t>
      </w:r>
      <w:r w:rsidR="00924FDA" w:rsidRPr="0099662C">
        <w:rPr>
          <w:rFonts w:eastAsia="SimSun" w:cs="Times New Roman"/>
          <w:sz w:val="24"/>
          <w:szCs w:val="24"/>
        </w:rPr>
        <w:t>online supplement</w:t>
      </w:r>
      <w:r w:rsidR="00924FDA">
        <w:rPr>
          <w:rFonts w:eastAsia="SimSun" w:cs="Times New Roman"/>
          <w:sz w:val="24"/>
          <w:szCs w:val="24"/>
        </w:rPr>
        <w:t xml:space="preserve"> at </w:t>
      </w:r>
      <w:hyperlink r:id="rId16" w:history="1">
        <w:r w:rsidR="00924FDA" w:rsidRPr="00FC17D0">
          <w:rPr>
            <w:rStyle w:val="Hyperlink"/>
            <w:rFonts w:eastAsia="SimSun" w:cs="Times New Roman"/>
            <w:sz w:val="24"/>
            <w:szCs w:val="23"/>
          </w:rPr>
          <w:t>http://www.caee.utexas.edu/prof/bhat/ABSTRACTS/Accessibility/OnlineSupplement.pdf</w:t>
        </w:r>
      </w:hyperlink>
      <w:r w:rsidR="00A66804" w:rsidRPr="008D3590">
        <w:rPr>
          <w:rFonts w:eastAsia="SimSun" w:cs="Times New Roman"/>
          <w:sz w:val="24"/>
          <w:szCs w:val="24"/>
        </w:rPr>
        <w:t xml:space="preserve">). </w:t>
      </w:r>
      <w:r w:rsidR="00924FDA">
        <w:rPr>
          <w:rFonts w:eastAsia="SimSun" w:cs="Times New Roman"/>
          <w:sz w:val="24"/>
          <w:szCs w:val="24"/>
        </w:rPr>
        <w:t xml:space="preserve"> </w:t>
      </w:r>
    </w:p>
    <w:p w14:paraId="6C62ECD6" w14:textId="77777777" w:rsidR="00CF2B7A" w:rsidRPr="008D3590" w:rsidRDefault="00CF2B7A" w:rsidP="00CF2B7A">
      <w:pPr>
        <w:rPr>
          <w:rFonts w:cs="Times New Roman"/>
          <w:sz w:val="24"/>
          <w:szCs w:val="24"/>
        </w:rPr>
      </w:pPr>
    </w:p>
    <w:p w14:paraId="02C7B3F8" w14:textId="277E5DA8" w:rsidR="00CF2B7A" w:rsidRPr="008D3590" w:rsidRDefault="00674E52" w:rsidP="004356A9">
      <w:pPr>
        <w:outlineLvl w:val="0"/>
        <w:rPr>
          <w:rFonts w:cs="Times New Roman"/>
          <w:i/>
          <w:sz w:val="24"/>
          <w:szCs w:val="24"/>
        </w:rPr>
      </w:pPr>
      <w:r w:rsidRPr="008D3590">
        <w:rPr>
          <w:rFonts w:cs="Times New Roman"/>
          <w:i/>
          <w:sz w:val="24"/>
          <w:szCs w:val="24"/>
        </w:rPr>
        <w:t>3</w:t>
      </w:r>
      <w:r w:rsidR="00CF2B7A" w:rsidRPr="008D3590">
        <w:rPr>
          <w:rFonts w:cs="Times New Roman"/>
          <w:i/>
          <w:sz w:val="24"/>
          <w:szCs w:val="24"/>
        </w:rPr>
        <w:t>.2.1</w:t>
      </w:r>
      <w:r w:rsidR="008D3590" w:rsidRPr="008D3590">
        <w:rPr>
          <w:rFonts w:cs="Times New Roman"/>
          <w:i/>
          <w:sz w:val="24"/>
          <w:szCs w:val="24"/>
        </w:rPr>
        <w:t xml:space="preserve"> </w:t>
      </w:r>
      <w:r w:rsidR="00A66804" w:rsidRPr="008D3590">
        <w:rPr>
          <w:rFonts w:cs="Times New Roman"/>
          <w:i/>
          <w:sz w:val="24"/>
          <w:szCs w:val="24"/>
        </w:rPr>
        <w:t xml:space="preserve">Virtual </w:t>
      </w:r>
      <w:r w:rsidR="008D3590" w:rsidRPr="008D3590">
        <w:rPr>
          <w:rFonts w:cs="Times New Roman"/>
          <w:i/>
          <w:sz w:val="24"/>
          <w:szCs w:val="24"/>
        </w:rPr>
        <w:t>A</w:t>
      </w:r>
      <w:r w:rsidR="00A66804" w:rsidRPr="008D3590">
        <w:rPr>
          <w:rFonts w:cs="Times New Roman"/>
          <w:i/>
          <w:sz w:val="24"/>
          <w:szCs w:val="24"/>
        </w:rPr>
        <w:t xml:space="preserve">ccessibility </w:t>
      </w:r>
      <w:r w:rsidR="008D3590" w:rsidRPr="008D3590">
        <w:rPr>
          <w:rFonts w:cs="Times New Roman"/>
          <w:i/>
          <w:sz w:val="24"/>
          <w:szCs w:val="24"/>
        </w:rPr>
        <w:t>E</w:t>
      </w:r>
      <w:r w:rsidR="00A66804" w:rsidRPr="008D3590">
        <w:rPr>
          <w:rFonts w:cs="Times New Roman"/>
          <w:i/>
          <w:sz w:val="24"/>
          <w:szCs w:val="24"/>
        </w:rPr>
        <w:t xml:space="preserve">ngagement (VAG) </w:t>
      </w:r>
      <w:r w:rsidR="008D3590" w:rsidRPr="008D3590">
        <w:rPr>
          <w:rFonts w:cs="Times New Roman"/>
          <w:i/>
          <w:sz w:val="24"/>
          <w:szCs w:val="24"/>
        </w:rPr>
        <w:t>O</w:t>
      </w:r>
      <w:r w:rsidR="00A66804" w:rsidRPr="008D3590">
        <w:rPr>
          <w:rFonts w:cs="Times New Roman"/>
          <w:i/>
          <w:sz w:val="24"/>
          <w:szCs w:val="24"/>
        </w:rPr>
        <w:t xml:space="preserve">utcome </w:t>
      </w:r>
      <w:r w:rsidR="008D3590" w:rsidRPr="008D3590">
        <w:rPr>
          <w:rFonts w:cs="Times New Roman"/>
          <w:i/>
          <w:sz w:val="24"/>
          <w:szCs w:val="24"/>
        </w:rPr>
        <w:t>V</w:t>
      </w:r>
      <w:r w:rsidR="006315E0" w:rsidRPr="008D3590">
        <w:rPr>
          <w:rFonts w:cs="Times New Roman"/>
          <w:i/>
          <w:sz w:val="24"/>
          <w:szCs w:val="24"/>
        </w:rPr>
        <w:t xml:space="preserve">ariable </w:t>
      </w:r>
      <w:r w:rsidR="008D3590" w:rsidRPr="008D3590">
        <w:rPr>
          <w:rFonts w:cs="Times New Roman"/>
          <w:i/>
          <w:sz w:val="24"/>
          <w:szCs w:val="24"/>
        </w:rPr>
        <w:t>R</w:t>
      </w:r>
      <w:r w:rsidR="00207647" w:rsidRPr="008D3590">
        <w:rPr>
          <w:rFonts w:cs="Times New Roman"/>
          <w:i/>
          <w:sz w:val="24"/>
          <w:szCs w:val="24"/>
        </w:rPr>
        <w:t>esults</w:t>
      </w:r>
    </w:p>
    <w:p w14:paraId="7AB80FFB" w14:textId="25B9FEB3" w:rsidR="00500B07" w:rsidRPr="008D3590" w:rsidRDefault="00AB4F4E" w:rsidP="008D5C86">
      <w:pPr>
        <w:rPr>
          <w:rFonts w:cs="Times New Roman"/>
          <w:sz w:val="24"/>
          <w:szCs w:val="24"/>
        </w:rPr>
      </w:pPr>
      <w:r w:rsidRPr="008D3590">
        <w:rPr>
          <w:rFonts w:cs="Times New Roman"/>
          <w:sz w:val="24"/>
          <w:szCs w:val="24"/>
        </w:rPr>
        <w:t>T</w:t>
      </w:r>
      <w:r w:rsidR="00BA32A6" w:rsidRPr="008D3590">
        <w:rPr>
          <w:rFonts w:cs="Times New Roman"/>
          <w:sz w:val="24"/>
          <w:szCs w:val="24"/>
        </w:rPr>
        <w:t xml:space="preserve">able </w:t>
      </w:r>
      <w:r w:rsidR="006315E0" w:rsidRPr="008D3590">
        <w:rPr>
          <w:rFonts w:cs="Times New Roman"/>
          <w:sz w:val="24"/>
          <w:szCs w:val="24"/>
        </w:rPr>
        <w:t>3</w:t>
      </w:r>
      <w:r w:rsidR="00BA32A6" w:rsidRPr="008D3590">
        <w:rPr>
          <w:rFonts w:cs="Times New Roman"/>
          <w:sz w:val="24"/>
          <w:szCs w:val="24"/>
        </w:rPr>
        <w:t xml:space="preserve"> provides the results for the </w:t>
      </w:r>
      <w:r w:rsidR="00500B07" w:rsidRPr="008D3590">
        <w:rPr>
          <w:rFonts w:cs="Times New Roman"/>
          <w:sz w:val="24"/>
          <w:szCs w:val="24"/>
        </w:rPr>
        <w:t>VAG outcomes. The dependent</w:t>
      </w:r>
      <w:r w:rsidR="0096682D" w:rsidRPr="008D3590">
        <w:rPr>
          <w:rFonts w:cs="Times New Roman"/>
          <w:sz w:val="24"/>
          <w:szCs w:val="24"/>
        </w:rPr>
        <w:t xml:space="preserve"> outcome</w:t>
      </w:r>
      <w:r w:rsidR="00500B07" w:rsidRPr="008D3590">
        <w:rPr>
          <w:rFonts w:cs="Times New Roman"/>
          <w:sz w:val="24"/>
          <w:szCs w:val="24"/>
        </w:rPr>
        <w:t xml:space="preserve"> variables are arranged column-wise, and the exogenous variables are arranged row-wise. </w:t>
      </w:r>
      <w:r w:rsidR="00306D4E" w:rsidRPr="008D3590">
        <w:rPr>
          <w:rFonts w:cs="Times New Roman"/>
          <w:sz w:val="24"/>
          <w:szCs w:val="24"/>
          <w:lang w:eastAsia="zh-CN"/>
        </w:rPr>
        <w:t>T</w:t>
      </w:r>
      <w:r w:rsidR="00306D4E" w:rsidRPr="008D3590">
        <w:rPr>
          <w:rFonts w:cs="Times New Roman"/>
          <w:sz w:val="24"/>
          <w:szCs w:val="24"/>
        </w:rPr>
        <w:t xml:space="preserve">he estimates provide the effects of the exogenous variables on the latent propensities underlying the </w:t>
      </w:r>
      <w:r w:rsidR="00306D4E" w:rsidRPr="008D3590">
        <w:rPr>
          <w:rFonts w:cs="Times New Roman"/>
          <w:sz w:val="24"/>
          <w:szCs w:val="24"/>
          <w:lang w:eastAsia="zh-CN"/>
        </w:rPr>
        <w:t>VAG outcomes.</w:t>
      </w:r>
      <w:r w:rsidR="00306D4E" w:rsidRPr="008D3590">
        <w:rPr>
          <w:rFonts w:cs="Times New Roman"/>
          <w:sz w:val="24"/>
          <w:szCs w:val="24"/>
        </w:rPr>
        <w:t xml:space="preserve"> Other</w:t>
      </w:r>
      <w:r w:rsidR="0096682D" w:rsidRPr="008D3590">
        <w:rPr>
          <w:rFonts w:cs="Times New Roman"/>
          <w:sz w:val="24"/>
          <w:szCs w:val="24"/>
        </w:rPr>
        <w:t xml:space="preserve"> e</w:t>
      </w:r>
      <w:r w:rsidR="00D40349" w:rsidRPr="008D3590">
        <w:rPr>
          <w:rFonts w:cs="Times New Roman"/>
          <w:sz w:val="24"/>
          <w:szCs w:val="24"/>
        </w:rPr>
        <w:t xml:space="preserve">ndogenous </w:t>
      </w:r>
      <w:r w:rsidR="0096682D" w:rsidRPr="008D3590">
        <w:rPr>
          <w:rFonts w:cs="Times New Roman"/>
          <w:sz w:val="24"/>
          <w:szCs w:val="24"/>
        </w:rPr>
        <w:t xml:space="preserve">outcome </w:t>
      </w:r>
      <w:r w:rsidR="00D40349" w:rsidRPr="008D3590">
        <w:rPr>
          <w:rFonts w:cs="Times New Roman"/>
          <w:sz w:val="24"/>
          <w:szCs w:val="24"/>
        </w:rPr>
        <w:t xml:space="preserve">variables are </w:t>
      </w:r>
      <w:r w:rsidR="00306D4E" w:rsidRPr="008D3590">
        <w:rPr>
          <w:rFonts w:cs="Times New Roman"/>
          <w:sz w:val="24"/>
          <w:szCs w:val="24"/>
        </w:rPr>
        <w:t xml:space="preserve">also </w:t>
      </w:r>
      <w:r w:rsidR="00D40349" w:rsidRPr="008D3590">
        <w:rPr>
          <w:rFonts w:cs="Times New Roman"/>
          <w:sz w:val="24"/>
          <w:szCs w:val="24"/>
        </w:rPr>
        <w:t xml:space="preserve">allowed to impact the ordinal frequency </w:t>
      </w:r>
      <w:r w:rsidR="0096682D" w:rsidRPr="008D3590">
        <w:rPr>
          <w:rFonts w:cs="Times New Roman"/>
          <w:sz w:val="24"/>
          <w:szCs w:val="24"/>
        </w:rPr>
        <w:t xml:space="preserve">of </w:t>
      </w:r>
      <w:r w:rsidR="00D40349" w:rsidRPr="008D3590">
        <w:rPr>
          <w:rFonts w:cs="Times New Roman"/>
          <w:sz w:val="24"/>
          <w:szCs w:val="24"/>
        </w:rPr>
        <w:t xml:space="preserve">VAG outcomes (frequency of work from home, frequency of food delivery, and frequency of goods delivery) and the binary VAG outcome (whether main food shopping </w:t>
      </w:r>
      <w:r w:rsidR="007B0716" w:rsidRPr="008D3590">
        <w:rPr>
          <w:rFonts w:cs="Times New Roman"/>
          <w:sz w:val="24"/>
          <w:szCs w:val="24"/>
        </w:rPr>
        <w:t>method</w:t>
      </w:r>
      <w:r w:rsidR="00D40349" w:rsidRPr="008D3590">
        <w:rPr>
          <w:rFonts w:cs="Times New Roman"/>
          <w:sz w:val="24"/>
          <w:szCs w:val="24"/>
        </w:rPr>
        <w:t xml:space="preserve"> is online or not) in a strictly recursive fashion, and any such statistically significant effects are presented </w:t>
      </w:r>
      <w:r w:rsidR="00D40349" w:rsidRPr="008D3590">
        <w:rPr>
          <w:rFonts w:cs="Times New Roman"/>
          <w:sz w:val="24"/>
          <w:szCs w:val="24"/>
          <w:lang w:eastAsia="zh-CN"/>
        </w:rPr>
        <w:t xml:space="preserve">at </w:t>
      </w:r>
      <w:r w:rsidR="00D40349" w:rsidRPr="008D3590">
        <w:rPr>
          <w:rFonts w:cs="Times New Roman"/>
          <w:sz w:val="24"/>
          <w:szCs w:val="24"/>
        </w:rPr>
        <w:t xml:space="preserve">the </w:t>
      </w:r>
      <w:r w:rsidR="0096682D" w:rsidRPr="008D3590">
        <w:rPr>
          <w:rFonts w:cs="Times New Roman"/>
          <w:sz w:val="24"/>
          <w:szCs w:val="24"/>
        </w:rPr>
        <w:t>bottom</w:t>
      </w:r>
      <w:r w:rsidR="00D40349" w:rsidRPr="008D3590">
        <w:rPr>
          <w:rFonts w:cs="Times New Roman"/>
          <w:sz w:val="24"/>
          <w:szCs w:val="24"/>
        </w:rPr>
        <w:t xml:space="preserve"> of the table</w:t>
      </w:r>
      <w:r w:rsidR="00306D4E" w:rsidRPr="008D3590">
        <w:rPr>
          <w:rFonts w:cs="Times New Roman"/>
          <w:sz w:val="24"/>
          <w:szCs w:val="24"/>
        </w:rPr>
        <w:t>. In Table 3, th</w:t>
      </w:r>
      <w:r w:rsidR="00B20CE0" w:rsidRPr="008D3590">
        <w:rPr>
          <w:rFonts w:cs="Times New Roman"/>
          <w:sz w:val="24"/>
          <w:szCs w:val="24"/>
        </w:rPr>
        <w:t>ese</w:t>
      </w:r>
      <w:r w:rsidR="00306D4E" w:rsidRPr="008D3590">
        <w:rPr>
          <w:rFonts w:cs="Times New Roman"/>
          <w:sz w:val="24"/>
          <w:szCs w:val="24"/>
        </w:rPr>
        <w:t xml:space="preserve"> </w:t>
      </w:r>
      <w:r w:rsidR="00B20CE0" w:rsidRPr="008D3590">
        <w:rPr>
          <w:rFonts w:cs="Times New Roman"/>
          <w:sz w:val="24"/>
          <w:szCs w:val="24"/>
        </w:rPr>
        <w:t xml:space="preserve">effects </w:t>
      </w:r>
      <w:r w:rsidR="00306D4E" w:rsidRPr="008D3590">
        <w:rPr>
          <w:rFonts w:cs="Times New Roman"/>
          <w:sz w:val="24"/>
          <w:szCs w:val="24"/>
        </w:rPr>
        <w:t xml:space="preserve">correspond to </w:t>
      </w:r>
      <w:r w:rsidR="00B20CE0" w:rsidRPr="008D3590">
        <w:rPr>
          <w:rFonts w:cs="Times New Roman"/>
          <w:sz w:val="24"/>
          <w:szCs w:val="24"/>
        </w:rPr>
        <w:t xml:space="preserve">the </w:t>
      </w:r>
      <w:r w:rsidR="00C274A9">
        <w:rPr>
          <w:rFonts w:cs="Times New Roman"/>
          <w:sz w:val="24"/>
          <w:szCs w:val="24"/>
        </w:rPr>
        <w:t>absence</w:t>
      </w:r>
      <w:r w:rsidR="00B20CE0" w:rsidRPr="008D3590">
        <w:rPr>
          <w:rFonts w:cs="Times New Roman"/>
          <w:sz w:val="24"/>
          <w:szCs w:val="24"/>
        </w:rPr>
        <w:t xml:space="preserve"> of vehicles owned by </w:t>
      </w:r>
      <w:r w:rsidR="00B20CE0" w:rsidRPr="008D3590">
        <w:rPr>
          <w:rFonts w:cs="Times New Roman"/>
          <w:sz w:val="24"/>
          <w:szCs w:val="24"/>
        </w:rPr>
        <w:lastRenderedPageBreak/>
        <w:t>the respondent’s household</w:t>
      </w:r>
      <w:r w:rsidR="00C274A9">
        <w:rPr>
          <w:rFonts w:cs="Times New Roman"/>
          <w:sz w:val="24"/>
          <w:szCs w:val="24"/>
        </w:rPr>
        <w:t>. H</w:t>
      </w:r>
      <w:r w:rsidR="00306D4E" w:rsidRPr="008D3590">
        <w:rPr>
          <w:rFonts w:cs="Times New Roman"/>
          <w:sz w:val="24"/>
          <w:szCs w:val="24"/>
        </w:rPr>
        <w:t xml:space="preserve">owever, this does not mean that PAG </w:t>
      </w:r>
      <w:r w:rsidR="00B20CE0" w:rsidRPr="008D3590">
        <w:rPr>
          <w:rFonts w:cs="Times New Roman"/>
          <w:sz w:val="24"/>
          <w:szCs w:val="24"/>
        </w:rPr>
        <w:t xml:space="preserve">outcomes </w:t>
      </w:r>
      <w:r w:rsidR="00306D4E" w:rsidRPr="008D3590">
        <w:rPr>
          <w:rFonts w:cs="Times New Roman"/>
          <w:sz w:val="24"/>
          <w:szCs w:val="24"/>
        </w:rPr>
        <w:t>are first decided on and then VAG activities are determined in a sequential fashion</w:t>
      </w:r>
      <w:r w:rsidR="00C274A9">
        <w:rPr>
          <w:rFonts w:cs="Times New Roman"/>
          <w:sz w:val="24"/>
          <w:szCs w:val="24"/>
        </w:rPr>
        <w:t>. T</w:t>
      </w:r>
      <w:r w:rsidR="00306D4E" w:rsidRPr="008D3590">
        <w:rPr>
          <w:rFonts w:cs="Times New Roman"/>
          <w:sz w:val="24"/>
          <w:szCs w:val="24"/>
        </w:rPr>
        <w:t>he modeling framework is a true joint model of both VAG and PAG outcomes because these outcomes are affected by the common underlying stochastic VALSC and PALSC constructs</w:t>
      </w:r>
      <w:r w:rsidR="00C274A9">
        <w:rPr>
          <w:rFonts w:cs="Times New Roman"/>
          <w:sz w:val="24"/>
          <w:szCs w:val="24"/>
        </w:rPr>
        <w:t>. A</w:t>
      </w:r>
      <w:r w:rsidR="00306D4E" w:rsidRPr="008D3590">
        <w:rPr>
          <w:rFonts w:cs="Times New Roman"/>
          <w:sz w:val="24"/>
          <w:szCs w:val="24"/>
        </w:rPr>
        <w:t xml:space="preserve">ny endogenous effects in Table 3 (and Table 4 later) represent strictly recursive effects after accommodating the </w:t>
      </w:r>
      <w:proofErr w:type="spellStart"/>
      <w:r w:rsidR="00306D4E" w:rsidRPr="008D3590">
        <w:rPr>
          <w:rFonts w:cs="Times New Roman"/>
          <w:sz w:val="24"/>
          <w:szCs w:val="24"/>
        </w:rPr>
        <w:t>jointness</w:t>
      </w:r>
      <w:proofErr w:type="spellEnd"/>
      <w:r w:rsidR="00306D4E" w:rsidRPr="008D3590">
        <w:rPr>
          <w:rFonts w:cs="Times New Roman"/>
          <w:sz w:val="24"/>
          <w:szCs w:val="24"/>
        </w:rPr>
        <w:t xml:space="preserve"> in decision-making among all the VAG and PAG outcomes. </w:t>
      </w:r>
    </w:p>
    <w:p w14:paraId="56B85BD0" w14:textId="28C945D7" w:rsidR="007D73FC" w:rsidRPr="008D3590" w:rsidRDefault="00500B07" w:rsidP="00881C66">
      <w:pPr>
        <w:autoSpaceDE w:val="0"/>
        <w:autoSpaceDN w:val="0"/>
        <w:adjustRightInd w:val="0"/>
        <w:ind w:firstLine="720"/>
        <w:rPr>
          <w:rFonts w:cs="Times New Roman"/>
          <w:sz w:val="24"/>
          <w:szCs w:val="24"/>
          <w:lang w:eastAsia="zh-CN"/>
        </w:rPr>
      </w:pPr>
      <w:r w:rsidRPr="008D3590">
        <w:rPr>
          <w:rFonts w:cs="Times New Roman"/>
          <w:sz w:val="24"/>
          <w:szCs w:val="24"/>
        </w:rPr>
        <w:t xml:space="preserve">The constants </w:t>
      </w:r>
      <w:r w:rsidR="00A002FB">
        <w:rPr>
          <w:rFonts w:cs="Times New Roman"/>
          <w:sz w:val="24"/>
          <w:szCs w:val="24"/>
        </w:rPr>
        <w:t xml:space="preserve">in Table 3 (first row) </w:t>
      </w:r>
      <w:r w:rsidR="000D68AD" w:rsidRPr="008D3590">
        <w:rPr>
          <w:rFonts w:cs="Times New Roman"/>
          <w:sz w:val="24"/>
          <w:szCs w:val="24"/>
        </w:rPr>
        <w:t xml:space="preserve">associated with all four </w:t>
      </w:r>
      <w:r w:rsidRPr="008D3590">
        <w:rPr>
          <w:rFonts w:cs="Times New Roman"/>
          <w:sz w:val="24"/>
          <w:szCs w:val="24"/>
        </w:rPr>
        <w:t xml:space="preserve">VAG outcomes, as well as the thresholds </w:t>
      </w:r>
      <w:r w:rsidR="000D68AD" w:rsidRPr="008D3590">
        <w:rPr>
          <w:rFonts w:cs="Times New Roman"/>
          <w:sz w:val="24"/>
          <w:szCs w:val="24"/>
        </w:rPr>
        <w:t>between the</w:t>
      </w:r>
      <w:r w:rsidRPr="008D3590">
        <w:rPr>
          <w:rFonts w:cs="Times New Roman"/>
          <w:sz w:val="24"/>
          <w:szCs w:val="24"/>
        </w:rPr>
        <w:t xml:space="preserve"> </w:t>
      </w:r>
      <w:proofErr w:type="gramStart"/>
      <w:r w:rsidRPr="008D3590">
        <w:rPr>
          <w:rFonts w:cs="Times New Roman"/>
          <w:sz w:val="24"/>
          <w:szCs w:val="24"/>
        </w:rPr>
        <w:t>frequency</w:t>
      </w:r>
      <w:proofErr w:type="gramEnd"/>
      <w:r w:rsidRPr="008D3590">
        <w:rPr>
          <w:rFonts w:cs="Times New Roman"/>
          <w:sz w:val="24"/>
          <w:szCs w:val="24"/>
        </w:rPr>
        <w:t xml:space="preserve"> categories </w:t>
      </w:r>
      <w:r w:rsidR="007D73FC" w:rsidRPr="008D3590">
        <w:rPr>
          <w:rFonts w:cs="Times New Roman"/>
          <w:sz w:val="24"/>
          <w:szCs w:val="24"/>
        </w:rPr>
        <w:t xml:space="preserve">for the three </w:t>
      </w:r>
      <w:r w:rsidR="000D68AD" w:rsidRPr="008D3590">
        <w:rPr>
          <w:rFonts w:cs="Times New Roman"/>
          <w:sz w:val="24"/>
          <w:szCs w:val="24"/>
        </w:rPr>
        <w:t xml:space="preserve">ordinal </w:t>
      </w:r>
      <w:r w:rsidR="007D73FC" w:rsidRPr="008D3590">
        <w:rPr>
          <w:rFonts w:cs="Times New Roman"/>
          <w:sz w:val="24"/>
          <w:szCs w:val="24"/>
        </w:rPr>
        <w:t>VAG outcomes</w:t>
      </w:r>
      <w:r w:rsidR="00A002FB">
        <w:rPr>
          <w:rFonts w:cs="Times New Roman"/>
          <w:sz w:val="24"/>
          <w:szCs w:val="24"/>
        </w:rPr>
        <w:t xml:space="preserve"> (second row)</w:t>
      </w:r>
      <w:r w:rsidR="007D73FC" w:rsidRPr="008D3590">
        <w:rPr>
          <w:rFonts w:cs="Times New Roman"/>
          <w:sz w:val="24"/>
          <w:szCs w:val="24"/>
        </w:rPr>
        <w:t xml:space="preserve">, </w:t>
      </w:r>
      <w:r w:rsidRPr="008D3590">
        <w:rPr>
          <w:rFonts w:cs="Times New Roman"/>
          <w:sz w:val="24"/>
          <w:szCs w:val="24"/>
        </w:rPr>
        <w:t xml:space="preserve">do not have any </w:t>
      </w:r>
      <w:r w:rsidR="007D73FC" w:rsidRPr="008D3590">
        <w:rPr>
          <w:rFonts w:cs="Times New Roman"/>
          <w:sz w:val="24"/>
          <w:szCs w:val="24"/>
        </w:rPr>
        <w:t xml:space="preserve">substantive </w:t>
      </w:r>
      <w:r w:rsidRPr="008D3590">
        <w:rPr>
          <w:rFonts w:cs="Times New Roman"/>
          <w:sz w:val="24"/>
          <w:szCs w:val="24"/>
        </w:rPr>
        <w:t>interpretations</w:t>
      </w:r>
      <w:r w:rsidR="007D73FC" w:rsidRPr="008D3590">
        <w:rPr>
          <w:rFonts w:cs="Times New Roman"/>
          <w:sz w:val="24"/>
          <w:szCs w:val="24"/>
        </w:rPr>
        <w:t xml:space="preserve">. In terms of variable effects on the frequency of working from home, </w:t>
      </w:r>
      <w:r w:rsidR="00C9070F" w:rsidRPr="008D3590">
        <w:rPr>
          <w:rFonts w:cs="Times New Roman"/>
          <w:sz w:val="24"/>
          <w:szCs w:val="24"/>
        </w:rPr>
        <w:t>women have a generally lower propensity to work from home than do men. In another relatively recent study, Singh et al. (2013) found that working women tend to be less likely to have the option of telecommuting, possibly because of the nature of their jobs and/or the lower autonomy and bargaining power they still seem to wield in the market place. T</w:t>
      </w:r>
      <w:r w:rsidR="007D73FC" w:rsidRPr="008D3590">
        <w:rPr>
          <w:rFonts w:cs="Times New Roman"/>
          <w:sz w:val="24"/>
          <w:szCs w:val="24"/>
        </w:rPr>
        <w:t xml:space="preserve">he results </w:t>
      </w:r>
      <w:r w:rsidR="00C9070F" w:rsidRPr="008D3590">
        <w:rPr>
          <w:rFonts w:cs="Times New Roman"/>
          <w:sz w:val="24"/>
          <w:szCs w:val="24"/>
        </w:rPr>
        <w:t xml:space="preserve">also </w:t>
      </w:r>
      <w:r w:rsidR="007D73FC" w:rsidRPr="008D3590">
        <w:rPr>
          <w:rFonts w:cs="Times New Roman"/>
          <w:sz w:val="24"/>
          <w:szCs w:val="24"/>
        </w:rPr>
        <w:t xml:space="preserve">indicate that part-time workers </w:t>
      </w:r>
      <w:r w:rsidR="00957DD0" w:rsidRPr="008D3590">
        <w:rPr>
          <w:rFonts w:cs="Times New Roman"/>
          <w:sz w:val="24"/>
          <w:szCs w:val="24"/>
        </w:rPr>
        <w:t xml:space="preserve">have a lower propensity </w:t>
      </w:r>
      <w:r w:rsidR="007D73FC" w:rsidRPr="008D3590">
        <w:rPr>
          <w:rFonts w:cs="Times New Roman"/>
          <w:sz w:val="24"/>
          <w:szCs w:val="24"/>
        </w:rPr>
        <w:t xml:space="preserve">to work from home than full-time workers. This result has been observed by many telecommuting studies in the </w:t>
      </w:r>
      <w:r w:rsidR="00E55236" w:rsidRPr="008D3590">
        <w:rPr>
          <w:rFonts w:cs="Times New Roman"/>
          <w:sz w:val="24"/>
          <w:szCs w:val="24"/>
        </w:rPr>
        <w:t xml:space="preserve">recent </w:t>
      </w:r>
      <w:r w:rsidR="007D73FC" w:rsidRPr="008D3590">
        <w:rPr>
          <w:rFonts w:cs="Times New Roman"/>
          <w:sz w:val="24"/>
          <w:szCs w:val="24"/>
        </w:rPr>
        <w:t>past (</w:t>
      </w:r>
      <w:r w:rsidR="00E55236" w:rsidRPr="008D3590">
        <w:rPr>
          <w:rFonts w:cs="Times New Roman"/>
          <w:sz w:val="24"/>
          <w:szCs w:val="24"/>
        </w:rPr>
        <w:t xml:space="preserve">for example, see </w:t>
      </w:r>
      <w:proofErr w:type="spellStart"/>
      <w:r w:rsidR="007D73FC" w:rsidRPr="008D3590">
        <w:rPr>
          <w:rFonts w:cs="Times New Roman"/>
          <w:sz w:val="24"/>
          <w:szCs w:val="24"/>
        </w:rPr>
        <w:t>Asgari</w:t>
      </w:r>
      <w:proofErr w:type="spellEnd"/>
      <w:r w:rsidR="007D73FC" w:rsidRPr="008D3590">
        <w:rPr>
          <w:rFonts w:cs="Times New Roman"/>
          <w:sz w:val="24"/>
          <w:szCs w:val="24"/>
        </w:rPr>
        <w:t xml:space="preserve"> et al., </w:t>
      </w:r>
      <w:proofErr w:type="gramStart"/>
      <w:r w:rsidR="007D73FC" w:rsidRPr="008D3590">
        <w:rPr>
          <w:rFonts w:cs="Times New Roman"/>
          <w:sz w:val="24"/>
          <w:szCs w:val="24"/>
        </w:rPr>
        <w:t>2014</w:t>
      </w:r>
      <w:proofErr w:type="gramEnd"/>
      <w:r w:rsidR="007D73FC" w:rsidRPr="008D3590">
        <w:rPr>
          <w:rFonts w:cs="Times New Roman"/>
          <w:sz w:val="24"/>
          <w:szCs w:val="24"/>
        </w:rPr>
        <w:t>)</w:t>
      </w:r>
      <w:r w:rsidR="00E55236" w:rsidRPr="008D3590">
        <w:rPr>
          <w:rFonts w:cs="Times New Roman"/>
          <w:sz w:val="24"/>
          <w:szCs w:val="24"/>
        </w:rPr>
        <w:t>. It is possible that, since</w:t>
      </w:r>
      <w:r w:rsidR="007D73FC" w:rsidRPr="008D3590">
        <w:rPr>
          <w:rFonts w:cs="Times New Roman"/>
          <w:sz w:val="24"/>
          <w:szCs w:val="24"/>
        </w:rPr>
        <w:t xml:space="preserve"> </w:t>
      </w:r>
      <w:r w:rsidR="00E55236" w:rsidRPr="008D3590">
        <w:rPr>
          <w:rFonts w:cs="Times New Roman"/>
          <w:sz w:val="24"/>
          <w:szCs w:val="24"/>
        </w:rPr>
        <w:t xml:space="preserve">part-time employees already work for limited hours, employers are less willing to allow such employees to work frequently from home. Alternatively, it is also possible that part-time employees view their employment partly as a socializing break from home and consciously avoid working from home. </w:t>
      </w:r>
      <w:r w:rsidR="007D73FC" w:rsidRPr="008D3590">
        <w:rPr>
          <w:rFonts w:cs="Times New Roman"/>
          <w:sz w:val="24"/>
          <w:szCs w:val="24"/>
        </w:rPr>
        <w:t xml:space="preserve">Self-employed workers, on the other hand, </w:t>
      </w:r>
      <w:r w:rsidR="00957DD0" w:rsidRPr="008D3590">
        <w:rPr>
          <w:rFonts w:cs="Times New Roman"/>
          <w:sz w:val="24"/>
          <w:szCs w:val="24"/>
        </w:rPr>
        <w:t xml:space="preserve">have a higher propensity </w:t>
      </w:r>
      <w:r w:rsidR="007D73FC" w:rsidRPr="008D3590">
        <w:rPr>
          <w:rFonts w:cs="Times New Roman"/>
          <w:sz w:val="24"/>
          <w:szCs w:val="24"/>
        </w:rPr>
        <w:t xml:space="preserve">to work at home than salaried employees. Many studies </w:t>
      </w:r>
      <w:r w:rsidR="00E55236" w:rsidRPr="008D3590">
        <w:rPr>
          <w:rFonts w:cs="Times New Roman"/>
          <w:sz w:val="24"/>
          <w:szCs w:val="24"/>
        </w:rPr>
        <w:t xml:space="preserve">have </w:t>
      </w:r>
      <w:r w:rsidR="007D73FC" w:rsidRPr="008D3590">
        <w:rPr>
          <w:rFonts w:cs="Times New Roman"/>
          <w:sz w:val="24"/>
          <w:szCs w:val="24"/>
        </w:rPr>
        <w:t xml:space="preserve">reported that the choice of self-employment corresponds to a preference for independence </w:t>
      </w:r>
      <w:r w:rsidR="007D73FC" w:rsidRPr="008D3590">
        <w:rPr>
          <w:rFonts w:cs="Times New Roman"/>
          <w:sz w:val="24"/>
          <w:szCs w:val="24"/>
        </w:rPr>
        <w:fldChar w:fldCharType="begin" w:fldLock="1"/>
      </w:r>
      <w:r w:rsidR="007D73FC" w:rsidRPr="008D3590">
        <w:rPr>
          <w:rFonts w:cs="Times New Roman"/>
          <w:sz w:val="24"/>
          <w:szCs w:val="24"/>
        </w:rPr>
        <w:instrText>ADDIN CSL_CITATION { "citationItems" : [ { "id" : "ITEM-1", "itemData" : { "DOI" : "10.2307/40071755", "abstract" : "One can be independent, or one can be subject to decisions made by others. This paper argues that this difference, embodied in the institutional distinction between the decision-making procedures 'market' and 'hierarchy', affects individual wellbeing beyond outcomes. Taking self-employment as an important case of independence, it is shown that the self-employed derive higher satisfaction from work than those employed in organizations, irrespective of income gained or hours worked. This is evidence for procedural utility: people value not only outcomes, but also the processes leading to outcomes.", "author" : [ { "dropping-particle" : "", "family" : "Frey", "given" : "Bruno S.", "non-dropping-particle" : "", "parse-names" : false, "suffix" : "" }, { "dropping-particle" : "", "family" : "Benz", "given" : "Matthias", "non-dropping-particle" : "", "parse-names" : false, "suffix" : "" } ], "container-title" : "Economica", "id" : "ITEM-1", "issued" : { "date-parts" : [ [ "2003" ] ] }, "number-of-pages" : "362-383", "publisher" : "WileyThe London School of Economics and Political ScienceThe Suntory and Toyota International Centres for Economics and Related Disciplines", "title" : "Being Independent is a Great Thing: Subjective Evaluations of Self-Employment and Hierarchy", "type" : "report", "volume" : "75" }, "uris" : [ "http://www.mendeley.com/documents/?uuid=05815e7b-b2ef-3811-9024-fe95f39a8a13" ] }, { "id" : "ITEM-2", "itemData" : { "DOI" : "10.2307/3440708", "ISBN" : "03470520", "ISSN" : "03470520", "abstract" : "Using a large Finnish micro data set, I study how wealth influences the decision to become self-employed. The main result is that personal wealth increases the probability of a person becoming self-employed. This suggests the presence of liquidity constraints. CR - Copyright &amp;#169; 2000 The Scandinavian Journal of Economics", "author" : [ { "dropping-particle" : "", "family" : "Johansson", "given" : "Edvard", "non-dropping-particle" : "", "parse-names" : false, "suffix" : "" } ], "container-title" : "The Scandinavian Journal of Economics", "id" : "ITEM-2", "issue" : "1", "issued" : { "date-parts" : [ [ "2000" ] ] }, "page" : "123-134", "publisher" : "WileyThe Scandinavian Journal of Economics", "title" : "Self-Employment and Liquidity Constraints: Evidence from Finland", "type" : "article-journal", "volume" : "102" }, "uris" : [ "http://www.mendeley.com/documents/?uuid=b7bed82e-fb49-36d6-9d83-8f7064dabee8" ] }, { "id" : "ITEM-3", "itemData" : { "author" : [ { "dropping-particle" : "", "family" : "Blanchflower", "given" : "DG", "non-dropping-particle" : "", "parse-names" : false, "suffix" : "" } ], "id" : "ITEM-3", "issued" : { "date-parts" : [ [ "2004" ] ] }, "title" : "Self-employment: More may not be better", "type" : "article-journal" }, "uris" : [ "http://www.mendeley.com/documents/?uuid=30bfd827-c88a-31f2-b11f-f820c00dd1c3" ] }, { "id" : "ITEM-4", "itemData" : { "author" : [ { "dropping-particle" : "", "family" : "Bradley", "given" : "DE", "non-dropping-particle" : "", "parse-names" : false, "suffix" : "" }, { "dropping-particle" : "", "family" : "Roberts", "given" : "JA", "non-dropping-particle" : "", "parse-names" : false, "suffix" : "" } ], "container-title" : "Journal of Small Business", "id" : "ITEM-4", "issued" : { "date-parts" : [ [ "2004" ] ] }, "title" : "Self\u2010employment and job satisfaction: investigating the role of self\u2010efficacy, depression, and seniority", "type" : "article-journal" }, "uris" : [ "http://www.mendeley.com/documents/?uuid=a77f8671-247b-347d-8700-308142083b52" ] } ], "mendeley" : { "formattedCitation" : "(Johansson, 2000; Frey and Benz, 2003; Blanchflower, 2004; Bradley and Roberts, 2004)", "plainTextFormattedCitation" : "(Johansson, 2000; Frey and Benz, 2003; Blanchflower, 2004; Bradley and Roberts, 2004)", "previouslyFormattedCitation" : "(Frey &amp; Benz 2003; Johansson 2000; Blanchflower 2004; Bradley &amp; Roberts 2004)" }, "properties" : { "noteIndex" : 0 }, "schema" : "https://github.com/citation-style-language/schema/raw/master/csl-citation.json" }</w:instrText>
      </w:r>
      <w:r w:rsidR="007D73FC" w:rsidRPr="008D3590">
        <w:rPr>
          <w:rFonts w:cs="Times New Roman"/>
          <w:sz w:val="24"/>
          <w:szCs w:val="24"/>
        </w:rPr>
        <w:fldChar w:fldCharType="separate"/>
      </w:r>
      <w:r w:rsidR="007D73FC" w:rsidRPr="008D3590">
        <w:rPr>
          <w:rFonts w:cs="Times New Roman"/>
          <w:noProof/>
          <w:sz w:val="24"/>
          <w:szCs w:val="24"/>
        </w:rPr>
        <w:t>(</w:t>
      </w:r>
      <w:r w:rsidR="00E55236" w:rsidRPr="008D3590">
        <w:rPr>
          <w:rFonts w:cs="Times New Roman"/>
          <w:noProof/>
          <w:sz w:val="24"/>
          <w:szCs w:val="24"/>
        </w:rPr>
        <w:t xml:space="preserve">see, for example, </w:t>
      </w:r>
      <w:r w:rsidR="007D73FC" w:rsidRPr="008D3590">
        <w:rPr>
          <w:rFonts w:cs="Times New Roman"/>
          <w:noProof/>
          <w:sz w:val="24"/>
          <w:szCs w:val="24"/>
        </w:rPr>
        <w:t>Benz and Frey, 2008</w:t>
      </w:r>
      <w:r w:rsidR="00447432">
        <w:rPr>
          <w:rFonts w:cs="Times New Roman"/>
          <w:noProof/>
          <w:sz w:val="24"/>
          <w:szCs w:val="24"/>
        </w:rPr>
        <w:t>;</w:t>
      </w:r>
      <w:r w:rsidR="00E55236" w:rsidRPr="008D3590">
        <w:rPr>
          <w:rFonts w:cs="Times New Roman"/>
          <w:noProof/>
          <w:sz w:val="24"/>
          <w:szCs w:val="24"/>
        </w:rPr>
        <w:t xml:space="preserve"> </w:t>
      </w:r>
      <w:r w:rsidR="008D3F56" w:rsidRPr="008D3590">
        <w:rPr>
          <w:rFonts w:cs="Times New Roman"/>
          <w:sz w:val="24"/>
          <w:szCs w:val="24"/>
          <w:lang w:eastAsia="zh-CN"/>
        </w:rPr>
        <w:t>Dawson</w:t>
      </w:r>
      <w:r w:rsidR="006D2C25">
        <w:rPr>
          <w:rFonts w:cs="Times New Roman"/>
          <w:sz w:val="24"/>
          <w:szCs w:val="24"/>
          <w:lang w:eastAsia="zh-CN"/>
        </w:rPr>
        <w:t xml:space="preserve"> </w:t>
      </w:r>
      <w:r w:rsidR="006D2C25" w:rsidRPr="008D3590">
        <w:rPr>
          <w:rFonts w:cs="Times New Roman"/>
          <w:sz w:val="24"/>
          <w:szCs w:val="24"/>
        </w:rPr>
        <w:t>et al.</w:t>
      </w:r>
      <w:r w:rsidR="008D3F56" w:rsidRPr="008D3590">
        <w:rPr>
          <w:rFonts w:cs="Times New Roman"/>
          <w:sz w:val="24"/>
          <w:szCs w:val="24"/>
          <w:lang w:eastAsia="zh-CN"/>
        </w:rPr>
        <w:t>, 2014</w:t>
      </w:r>
      <w:r w:rsidR="007D73FC" w:rsidRPr="008D3590">
        <w:rPr>
          <w:rFonts w:cs="Times New Roman"/>
          <w:noProof/>
          <w:sz w:val="24"/>
          <w:szCs w:val="24"/>
        </w:rPr>
        <w:t>)</w:t>
      </w:r>
      <w:r w:rsidR="007D73FC" w:rsidRPr="008D3590">
        <w:rPr>
          <w:rFonts w:cs="Times New Roman"/>
          <w:sz w:val="24"/>
          <w:szCs w:val="24"/>
        </w:rPr>
        <w:fldChar w:fldCharType="end"/>
      </w:r>
      <w:r w:rsidR="007D73FC" w:rsidRPr="008D3590">
        <w:rPr>
          <w:rFonts w:cs="Times New Roman"/>
          <w:sz w:val="24"/>
          <w:szCs w:val="24"/>
        </w:rPr>
        <w:t>. A</w:t>
      </w:r>
      <w:r w:rsidR="00E55236" w:rsidRPr="008D3590">
        <w:rPr>
          <w:rFonts w:cs="Times New Roman"/>
          <w:sz w:val="24"/>
          <w:szCs w:val="24"/>
        </w:rPr>
        <w:t xml:space="preserve">lso, </w:t>
      </w:r>
      <w:r w:rsidR="007D73FC" w:rsidRPr="008D3590">
        <w:rPr>
          <w:rFonts w:cs="Times New Roman"/>
          <w:sz w:val="24"/>
          <w:szCs w:val="24"/>
        </w:rPr>
        <w:t xml:space="preserve">self-employed workers are free to choose their workplace, and can work from home without constraints </w:t>
      </w:r>
      <w:r w:rsidR="00E55236" w:rsidRPr="008D3590">
        <w:rPr>
          <w:rFonts w:cs="Times New Roman"/>
          <w:sz w:val="24"/>
          <w:szCs w:val="24"/>
        </w:rPr>
        <w:t xml:space="preserve">placed by </w:t>
      </w:r>
      <w:r w:rsidR="007D73FC" w:rsidRPr="008D3590">
        <w:rPr>
          <w:rFonts w:cs="Times New Roman"/>
          <w:sz w:val="24"/>
          <w:szCs w:val="24"/>
        </w:rPr>
        <w:t xml:space="preserve">supervisors or company rules. </w:t>
      </w:r>
      <w:r w:rsidR="00E55236" w:rsidRPr="008D3590">
        <w:rPr>
          <w:rFonts w:cs="Times New Roman"/>
          <w:sz w:val="24"/>
          <w:szCs w:val="24"/>
        </w:rPr>
        <w:t xml:space="preserve"> </w:t>
      </w:r>
      <w:r w:rsidR="00957DD0" w:rsidRPr="008D3590">
        <w:rPr>
          <w:rFonts w:cs="Times New Roman"/>
          <w:sz w:val="24"/>
          <w:szCs w:val="24"/>
        </w:rPr>
        <w:t>Not surprisingly, a higher VASLC implies a higher propensity to work from home</w:t>
      </w:r>
      <w:r w:rsidR="00D545AC">
        <w:rPr>
          <w:rFonts w:cs="Times New Roman"/>
          <w:sz w:val="24"/>
          <w:szCs w:val="24"/>
          <w:lang w:eastAsia="zh-CN"/>
        </w:rPr>
        <w:t>.</w:t>
      </w:r>
    </w:p>
    <w:p w14:paraId="2D680D50" w14:textId="02517A38" w:rsidR="00E52166" w:rsidRPr="008D3590" w:rsidRDefault="00957DD0" w:rsidP="00881C66">
      <w:pPr>
        <w:ind w:firstLine="720"/>
        <w:rPr>
          <w:rFonts w:cs="Times New Roman"/>
          <w:sz w:val="24"/>
          <w:szCs w:val="24"/>
          <w:lang w:eastAsia="zh-CN"/>
        </w:rPr>
      </w:pPr>
      <w:r w:rsidRPr="008D3590">
        <w:rPr>
          <w:rFonts w:cs="Times New Roman"/>
          <w:sz w:val="24"/>
          <w:szCs w:val="24"/>
        </w:rPr>
        <w:t xml:space="preserve">The effects of the variables on the main food shopping channel (online or otherwise) </w:t>
      </w:r>
      <w:r w:rsidR="00EE1BE1" w:rsidRPr="008D3590">
        <w:rPr>
          <w:rFonts w:cs="Times New Roman"/>
          <w:sz w:val="24"/>
          <w:szCs w:val="24"/>
        </w:rPr>
        <w:t>reveals</w:t>
      </w:r>
      <w:r w:rsidRPr="008D3590">
        <w:rPr>
          <w:rFonts w:cs="Times New Roman"/>
          <w:sz w:val="24"/>
          <w:szCs w:val="24"/>
        </w:rPr>
        <w:t xml:space="preserve"> that women are more likely than men to indicate that their household’s main method of food shopping is online. While the respondents were selected so that she or he was the main food shopper for the household, women continue to be largely responsible for preparing food in the household (Food Standards Agency, 2016). Given these responsibilities</w:t>
      </w:r>
      <w:r w:rsidR="00C8138B" w:rsidRPr="008D3590">
        <w:rPr>
          <w:rFonts w:cs="Times New Roman"/>
          <w:sz w:val="24"/>
          <w:szCs w:val="24"/>
        </w:rPr>
        <w:t xml:space="preserve">, and the fact that all respondents are workers, women may be more time-constrained, and so may </w:t>
      </w:r>
      <w:r w:rsidRPr="008D3590">
        <w:rPr>
          <w:rFonts w:cs="Times New Roman"/>
          <w:sz w:val="24"/>
          <w:szCs w:val="24"/>
        </w:rPr>
        <w:t xml:space="preserve">shop </w:t>
      </w:r>
      <w:r w:rsidR="00C8138B" w:rsidRPr="008D3590">
        <w:rPr>
          <w:rFonts w:cs="Times New Roman"/>
          <w:sz w:val="24"/>
          <w:szCs w:val="24"/>
        </w:rPr>
        <w:t xml:space="preserve">more </w:t>
      </w:r>
      <w:r w:rsidRPr="008D3590">
        <w:rPr>
          <w:rFonts w:cs="Times New Roman"/>
          <w:sz w:val="24"/>
          <w:szCs w:val="24"/>
        </w:rPr>
        <w:t xml:space="preserve">online as </w:t>
      </w:r>
      <w:r w:rsidRPr="008D3590">
        <w:rPr>
          <w:rFonts w:cs="Times New Roman"/>
          <w:sz w:val="24"/>
          <w:szCs w:val="24"/>
        </w:rPr>
        <w:lastRenderedPageBreak/>
        <w:t>the main food purchas</w:t>
      </w:r>
      <w:r w:rsidR="00EE1BE1" w:rsidRPr="008D3590">
        <w:rPr>
          <w:rFonts w:cs="Times New Roman"/>
          <w:sz w:val="24"/>
          <w:szCs w:val="24"/>
        </w:rPr>
        <w:t>ing</w:t>
      </w:r>
      <w:r w:rsidRPr="008D3590">
        <w:rPr>
          <w:rFonts w:cs="Times New Roman"/>
          <w:sz w:val="24"/>
          <w:szCs w:val="24"/>
        </w:rPr>
        <w:t xml:space="preserve"> method for the household. </w:t>
      </w:r>
      <w:r w:rsidR="00447432">
        <w:rPr>
          <w:rFonts w:cs="Times New Roman"/>
          <w:sz w:val="24"/>
          <w:szCs w:val="24"/>
        </w:rPr>
        <w:t>Indeed, Jabs et al.</w:t>
      </w:r>
      <w:r w:rsidR="00C8138B" w:rsidRPr="008D3590">
        <w:rPr>
          <w:rFonts w:cs="Times New Roman"/>
          <w:sz w:val="24"/>
          <w:szCs w:val="24"/>
        </w:rPr>
        <w:t xml:space="preserve"> </w:t>
      </w:r>
      <w:r w:rsidR="007B0716" w:rsidRPr="008D3590">
        <w:rPr>
          <w:rFonts w:cs="Times New Roman"/>
          <w:sz w:val="24"/>
          <w:szCs w:val="24"/>
        </w:rPr>
        <w:t>(</w:t>
      </w:r>
      <w:r w:rsidR="00C8138B" w:rsidRPr="008D3590">
        <w:rPr>
          <w:rFonts w:cs="Times New Roman"/>
          <w:sz w:val="24"/>
          <w:szCs w:val="24"/>
        </w:rPr>
        <w:t>20</w:t>
      </w:r>
      <w:r w:rsidR="0077265E" w:rsidRPr="008D3590">
        <w:rPr>
          <w:rFonts w:cs="Times New Roman"/>
          <w:sz w:val="24"/>
          <w:szCs w:val="24"/>
          <w:lang w:eastAsia="zh-CN"/>
        </w:rPr>
        <w:t>0</w:t>
      </w:r>
      <w:r w:rsidR="00C8138B" w:rsidRPr="008D3590">
        <w:rPr>
          <w:rFonts w:cs="Times New Roman"/>
          <w:sz w:val="24"/>
          <w:szCs w:val="24"/>
        </w:rPr>
        <w:t>7</w:t>
      </w:r>
      <w:r w:rsidR="007B0716" w:rsidRPr="008D3590">
        <w:rPr>
          <w:rFonts w:cs="Times New Roman"/>
          <w:sz w:val="24"/>
          <w:szCs w:val="24"/>
        </w:rPr>
        <w:t>)</w:t>
      </w:r>
      <w:r w:rsidR="00C8138B" w:rsidRPr="008D3590">
        <w:rPr>
          <w:rFonts w:cs="Times New Roman"/>
          <w:sz w:val="24"/>
          <w:szCs w:val="24"/>
        </w:rPr>
        <w:t xml:space="preserve"> reported that employed mothers experienced the great</w:t>
      </w:r>
      <w:r w:rsidR="000D68AD" w:rsidRPr="008D3590">
        <w:rPr>
          <w:rFonts w:cs="Times New Roman"/>
          <w:sz w:val="24"/>
          <w:szCs w:val="24"/>
        </w:rPr>
        <w:t>est time scarcity</w:t>
      </w:r>
      <w:r w:rsidR="00C8138B" w:rsidRPr="008D3590">
        <w:rPr>
          <w:rFonts w:cs="Times New Roman"/>
          <w:sz w:val="24"/>
          <w:szCs w:val="24"/>
        </w:rPr>
        <w:t xml:space="preserve">. Further, the </w:t>
      </w:r>
      <w:r w:rsidR="00C8138B" w:rsidRPr="00D06F0A">
        <w:rPr>
          <w:rFonts w:cs="Times New Roman"/>
          <w:sz w:val="24"/>
          <w:szCs w:val="24"/>
        </w:rPr>
        <w:t xml:space="preserve">Office for National Statistics (UK) </w:t>
      </w:r>
      <w:r w:rsidR="006342F4" w:rsidRPr="00D06F0A">
        <w:rPr>
          <w:rFonts w:cs="Times New Roman"/>
          <w:sz w:val="24"/>
          <w:szCs w:val="24"/>
          <w:lang w:eastAsia="zh-CN"/>
        </w:rPr>
        <w:t>(</w:t>
      </w:r>
      <w:r w:rsidR="00847DEC" w:rsidRPr="00D06F0A">
        <w:rPr>
          <w:rFonts w:cs="Times New Roman"/>
          <w:sz w:val="24"/>
          <w:szCs w:val="24"/>
          <w:lang w:eastAsia="zh-CN"/>
        </w:rPr>
        <w:t xml:space="preserve">ONS, </w:t>
      </w:r>
      <w:r w:rsidR="001B1E06" w:rsidRPr="00D06F0A">
        <w:rPr>
          <w:rFonts w:cs="Times New Roman"/>
          <w:sz w:val="24"/>
          <w:szCs w:val="24"/>
        </w:rPr>
        <w:t>2016</w:t>
      </w:r>
      <w:r w:rsidR="001B1E06">
        <w:rPr>
          <w:rFonts w:cs="Times New Roman"/>
          <w:sz w:val="24"/>
          <w:szCs w:val="24"/>
        </w:rPr>
        <w:t>a</w:t>
      </w:r>
      <w:r w:rsidR="006342F4" w:rsidRPr="00D06F0A">
        <w:rPr>
          <w:rFonts w:cs="Times New Roman"/>
          <w:sz w:val="24"/>
          <w:szCs w:val="24"/>
          <w:lang w:eastAsia="zh-CN"/>
        </w:rPr>
        <w:t>)</w:t>
      </w:r>
      <w:r w:rsidR="00C8138B" w:rsidRPr="00D06F0A">
        <w:rPr>
          <w:rFonts w:cs="Times New Roman"/>
          <w:sz w:val="24"/>
          <w:szCs w:val="24"/>
        </w:rPr>
        <w:t xml:space="preserve"> </w:t>
      </w:r>
      <w:r w:rsidR="00C8138B" w:rsidRPr="008D3590">
        <w:rPr>
          <w:rFonts w:cs="Times New Roman"/>
          <w:sz w:val="24"/>
          <w:szCs w:val="24"/>
        </w:rPr>
        <w:t xml:space="preserve">has also observed that women are more likely to buy food online. </w:t>
      </w:r>
      <w:r w:rsidR="001E0F90" w:rsidRPr="008D3590">
        <w:rPr>
          <w:rFonts w:cs="Times New Roman"/>
          <w:sz w:val="24"/>
          <w:szCs w:val="24"/>
        </w:rPr>
        <w:t xml:space="preserve">Income has </w:t>
      </w:r>
      <w:r w:rsidR="00EE1BE1" w:rsidRPr="008D3590">
        <w:rPr>
          <w:rFonts w:cs="Times New Roman"/>
          <w:sz w:val="24"/>
          <w:szCs w:val="24"/>
        </w:rPr>
        <w:t>the expected</w:t>
      </w:r>
      <w:r w:rsidR="001E0F90" w:rsidRPr="008D3590">
        <w:rPr>
          <w:rFonts w:cs="Times New Roman"/>
          <w:sz w:val="24"/>
          <w:szCs w:val="24"/>
        </w:rPr>
        <w:t xml:space="preserve"> positive impact on the propensity that the main method for food shopping of a household i</w:t>
      </w:r>
      <w:r w:rsidR="00847E59" w:rsidRPr="008D3590">
        <w:rPr>
          <w:rFonts w:cs="Times New Roman"/>
          <w:sz w:val="24"/>
          <w:szCs w:val="24"/>
          <w:lang w:eastAsia="zh-CN"/>
        </w:rPr>
        <w:t>s</w:t>
      </w:r>
      <w:r w:rsidR="001E0F90" w:rsidRPr="008D3590">
        <w:rPr>
          <w:rFonts w:cs="Times New Roman"/>
          <w:sz w:val="24"/>
          <w:szCs w:val="24"/>
        </w:rPr>
        <w:t xml:space="preserve"> online</w:t>
      </w:r>
      <w:r w:rsidR="007722EA" w:rsidRPr="008D3590">
        <w:rPr>
          <w:rFonts w:cs="Times New Roman"/>
          <w:sz w:val="24"/>
          <w:szCs w:val="24"/>
          <w:lang w:eastAsia="zh-CN"/>
        </w:rPr>
        <w:t xml:space="preserve"> (</w:t>
      </w:r>
      <w:r w:rsidR="007722EA" w:rsidRPr="008D3590">
        <w:rPr>
          <w:rFonts w:cs="Times New Roman"/>
          <w:sz w:val="24"/>
          <w:szCs w:val="24"/>
        </w:rPr>
        <w:t>the net result is that the positive effect of income on online food shopping gets reinforced because income positively affects VALSC</w:t>
      </w:r>
      <w:r w:rsidR="00EE1BE1" w:rsidRPr="008D3590">
        <w:rPr>
          <w:rFonts w:cs="Times New Roman"/>
          <w:sz w:val="24"/>
          <w:szCs w:val="24"/>
        </w:rPr>
        <w:t xml:space="preserve"> too, and VALSC also impacts the main food shopping channel, as discussed later</w:t>
      </w:r>
      <w:r w:rsidR="007722EA" w:rsidRPr="008D3590">
        <w:rPr>
          <w:rFonts w:cs="Times New Roman"/>
          <w:sz w:val="24"/>
          <w:szCs w:val="24"/>
          <w:lang w:eastAsia="zh-CN"/>
        </w:rPr>
        <w:t>)</w:t>
      </w:r>
      <w:r w:rsidR="001E0F90" w:rsidRPr="008D3590">
        <w:rPr>
          <w:rFonts w:cs="Times New Roman"/>
          <w:sz w:val="24"/>
          <w:szCs w:val="24"/>
        </w:rPr>
        <w:t>. Th</w:t>
      </w:r>
      <w:r w:rsidR="00EE1BE1" w:rsidRPr="008D3590">
        <w:rPr>
          <w:rFonts w:cs="Times New Roman"/>
          <w:sz w:val="24"/>
          <w:szCs w:val="24"/>
        </w:rPr>
        <w:t>e positive income effect</w:t>
      </w:r>
      <w:r w:rsidR="001E0F90" w:rsidRPr="008D3590">
        <w:rPr>
          <w:rFonts w:cs="Times New Roman"/>
          <w:sz w:val="24"/>
          <w:szCs w:val="24"/>
        </w:rPr>
        <w:t xml:space="preserve"> may be a combination of </w:t>
      </w:r>
      <w:r w:rsidR="00D545AC" w:rsidRPr="008D3590">
        <w:rPr>
          <w:rFonts w:cs="Times New Roman"/>
          <w:sz w:val="24"/>
          <w:szCs w:val="24"/>
        </w:rPr>
        <w:t>t</w:t>
      </w:r>
      <w:r w:rsidR="00D545AC">
        <w:rPr>
          <w:rFonts w:cs="Times New Roman"/>
          <w:sz w:val="24"/>
          <w:szCs w:val="24"/>
        </w:rPr>
        <w:t>wo</w:t>
      </w:r>
      <w:r w:rsidR="00D545AC" w:rsidRPr="008D3590">
        <w:rPr>
          <w:rFonts w:cs="Times New Roman"/>
          <w:sz w:val="24"/>
          <w:szCs w:val="24"/>
        </w:rPr>
        <w:t xml:space="preserve"> </w:t>
      </w:r>
      <w:r w:rsidR="001E0F90" w:rsidRPr="008D3590">
        <w:rPr>
          <w:rFonts w:cs="Times New Roman"/>
          <w:sz w:val="24"/>
          <w:szCs w:val="24"/>
        </w:rPr>
        <w:t xml:space="preserve">considerations: (1) shopping for food online incurs delivery fees that increase the overall food expenditures, and higher income households are more easily </w:t>
      </w:r>
      <w:r w:rsidR="00447432">
        <w:rPr>
          <w:rFonts w:cs="Times New Roman"/>
          <w:sz w:val="24"/>
          <w:szCs w:val="24"/>
        </w:rPr>
        <w:t>able to absorb the higher costs,</w:t>
      </w:r>
      <w:r w:rsidR="00D545AC">
        <w:rPr>
          <w:rFonts w:cs="Times New Roman"/>
          <w:sz w:val="24"/>
          <w:szCs w:val="24"/>
        </w:rPr>
        <w:t xml:space="preserve"> and</w:t>
      </w:r>
      <w:r w:rsidR="001E0F90" w:rsidRPr="008D3590">
        <w:rPr>
          <w:rFonts w:cs="Times New Roman"/>
          <w:sz w:val="24"/>
          <w:szCs w:val="24"/>
        </w:rPr>
        <w:t xml:space="preserve"> (2) shopping for food online allows for a better selection of products as well as the purchase of refined and hard-to-find items, which are usually expensive and only consumed by wealthier individuals. Cao et al. (2012), for example, find that higher household incomes are associated with increased frequencies of online searching and </w:t>
      </w:r>
      <w:r w:rsidR="006342F4" w:rsidRPr="008D3590">
        <w:rPr>
          <w:rFonts w:cs="Times New Roman"/>
          <w:sz w:val="24"/>
          <w:szCs w:val="24"/>
          <w:lang w:eastAsia="zh-CN"/>
        </w:rPr>
        <w:t>purchase</w:t>
      </w:r>
      <w:r w:rsidR="006342F4" w:rsidRPr="008D3590">
        <w:rPr>
          <w:rFonts w:cs="Times New Roman"/>
          <w:sz w:val="24"/>
          <w:szCs w:val="24"/>
        </w:rPr>
        <w:t xml:space="preserve"> </w:t>
      </w:r>
      <w:r w:rsidR="001E0F90" w:rsidRPr="008D3590">
        <w:rPr>
          <w:rFonts w:cs="Times New Roman"/>
          <w:sz w:val="24"/>
          <w:szCs w:val="24"/>
        </w:rPr>
        <w:t xml:space="preserve">but not in-store shopping. </w:t>
      </w:r>
      <w:r w:rsidR="004373EE" w:rsidRPr="008D3590">
        <w:rPr>
          <w:rFonts w:cs="Times New Roman"/>
          <w:sz w:val="24"/>
          <w:szCs w:val="24"/>
          <w:lang w:eastAsia="zh-CN"/>
        </w:rPr>
        <w:t>L</w:t>
      </w:r>
      <w:r w:rsidR="00A84899" w:rsidRPr="008D3590">
        <w:rPr>
          <w:rFonts w:cs="Times New Roman"/>
          <w:sz w:val="24"/>
          <w:szCs w:val="24"/>
          <w:lang w:eastAsia="zh-CN"/>
        </w:rPr>
        <w:t>iving in a metropolitan area</w:t>
      </w:r>
      <w:r w:rsidR="00EE1BE1" w:rsidRPr="008D3590">
        <w:rPr>
          <w:rFonts w:cs="Times New Roman"/>
          <w:sz w:val="24"/>
          <w:szCs w:val="24"/>
          <w:lang w:eastAsia="zh-CN"/>
        </w:rPr>
        <w:t xml:space="preserve"> (relative to livin</w:t>
      </w:r>
      <w:r w:rsidR="00300B94" w:rsidRPr="008D3590">
        <w:rPr>
          <w:rFonts w:cs="Times New Roman"/>
          <w:sz w:val="24"/>
          <w:szCs w:val="24"/>
          <w:lang w:eastAsia="zh-CN"/>
        </w:rPr>
        <w:t>g</w:t>
      </w:r>
      <w:r w:rsidR="00EE1BE1" w:rsidRPr="008D3590">
        <w:rPr>
          <w:rFonts w:cs="Times New Roman"/>
          <w:sz w:val="24"/>
          <w:szCs w:val="24"/>
          <w:lang w:eastAsia="zh-CN"/>
        </w:rPr>
        <w:t xml:space="preserve"> in non-metropolitan areas)</w:t>
      </w:r>
      <w:r w:rsidR="00A84899" w:rsidRPr="008D3590">
        <w:rPr>
          <w:rFonts w:cs="Times New Roman"/>
          <w:sz w:val="24"/>
          <w:szCs w:val="24"/>
          <w:lang w:eastAsia="zh-CN"/>
        </w:rPr>
        <w:t xml:space="preserve"> </w:t>
      </w:r>
      <w:r w:rsidR="004373EE" w:rsidRPr="008D3590">
        <w:rPr>
          <w:rFonts w:cs="Times New Roman"/>
          <w:sz w:val="24"/>
          <w:szCs w:val="24"/>
          <w:lang w:eastAsia="zh-CN"/>
        </w:rPr>
        <w:t xml:space="preserve">negatively </w:t>
      </w:r>
      <w:r w:rsidR="00A84899" w:rsidRPr="008D3590">
        <w:rPr>
          <w:rFonts w:cs="Times New Roman"/>
          <w:sz w:val="24"/>
          <w:szCs w:val="24"/>
          <w:lang w:eastAsia="zh-CN"/>
        </w:rPr>
        <w:t>impacts</w:t>
      </w:r>
      <w:r w:rsidR="004373EE" w:rsidRPr="008D3590">
        <w:rPr>
          <w:rFonts w:cs="Times New Roman"/>
          <w:sz w:val="24"/>
          <w:szCs w:val="24"/>
          <w:lang w:eastAsia="zh-CN"/>
        </w:rPr>
        <w:t xml:space="preserve"> </w:t>
      </w:r>
      <w:r w:rsidR="00EE1BE1" w:rsidRPr="008D3590">
        <w:rPr>
          <w:rFonts w:cs="Times New Roman"/>
          <w:sz w:val="24"/>
          <w:szCs w:val="24"/>
          <w:lang w:eastAsia="zh-CN"/>
        </w:rPr>
        <w:t xml:space="preserve">the propensity that the </w:t>
      </w:r>
      <w:r w:rsidR="004373EE" w:rsidRPr="008D3590">
        <w:rPr>
          <w:rFonts w:cs="Times New Roman"/>
          <w:sz w:val="24"/>
          <w:szCs w:val="24"/>
          <w:lang w:eastAsia="zh-CN"/>
        </w:rPr>
        <w:t>main food shopping method</w:t>
      </w:r>
      <w:r w:rsidR="00847E59" w:rsidRPr="008D3590">
        <w:rPr>
          <w:rFonts w:cs="Times New Roman"/>
          <w:sz w:val="24"/>
          <w:szCs w:val="24"/>
          <w:lang w:eastAsia="zh-CN"/>
        </w:rPr>
        <w:t xml:space="preserve"> </w:t>
      </w:r>
      <w:r w:rsidR="00EE1BE1" w:rsidRPr="008D3590">
        <w:rPr>
          <w:rFonts w:cs="Times New Roman"/>
          <w:sz w:val="24"/>
          <w:szCs w:val="24"/>
          <w:lang w:eastAsia="zh-CN"/>
        </w:rPr>
        <w:t>will be</w:t>
      </w:r>
      <w:r w:rsidR="00847E59" w:rsidRPr="008D3590">
        <w:rPr>
          <w:rFonts w:cs="Times New Roman"/>
          <w:sz w:val="24"/>
          <w:szCs w:val="24"/>
          <w:lang w:eastAsia="zh-CN"/>
        </w:rPr>
        <w:t xml:space="preserve"> online</w:t>
      </w:r>
      <w:r w:rsidR="00EE1BE1" w:rsidRPr="008D3590">
        <w:rPr>
          <w:rFonts w:cs="Times New Roman"/>
          <w:sz w:val="24"/>
          <w:szCs w:val="24"/>
          <w:lang w:eastAsia="zh-CN"/>
        </w:rPr>
        <w:t xml:space="preserve">, consistent with the presence of </w:t>
      </w:r>
      <w:r w:rsidR="00A84899" w:rsidRPr="008D3590">
        <w:rPr>
          <w:rFonts w:cs="Times New Roman"/>
          <w:sz w:val="24"/>
          <w:szCs w:val="24"/>
          <w:lang w:eastAsia="zh-CN"/>
        </w:rPr>
        <w:t xml:space="preserve">a variety of </w:t>
      </w:r>
      <w:r w:rsidR="00EE1BE1" w:rsidRPr="008D3590">
        <w:rPr>
          <w:rFonts w:cs="Times New Roman"/>
          <w:sz w:val="24"/>
          <w:szCs w:val="24"/>
          <w:lang w:eastAsia="zh-CN"/>
        </w:rPr>
        <w:t>grocery shopping places in close proximity in metro areas</w:t>
      </w:r>
      <w:r w:rsidR="00C220FF" w:rsidRPr="008D3590">
        <w:rPr>
          <w:rFonts w:cs="Times New Roman"/>
          <w:sz w:val="24"/>
          <w:szCs w:val="24"/>
          <w:lang w:eastAsia="zh-CN"/>
        </w:rPr>
        <w:t>.</w:t>
      </w:r>
      <w:r w:rsidR="00A84899" w:rsidRPr="008D3590">
        <w:rPr>
          <w:rFonts w:cs="Times New Roman"/>
          <w:sz w:val="24"/>
          <w:szCs w:val="24"/>
          <w:lang w:eastAsia="zh-CN"/>
        </w:rPr>
        <w:t xml:space="preserve"> </w:t>
      </w:r>
      <w:r w:rsidR="004373EE" w:rsidRPr="008D3590">
        <w:rPr>
          <w:rFonts w:cs="Times New Roman"/>
          <w:sz w:val="24"/>
          <w:szCs w:val="24"/>
          <w:lang w:eastAsia="zh-CN"/>
        </w:rPr>
        <w:t xml:space="preserve"> </w:t>
      </w:r>
      <w:r w:rsidR="00E17670" w:rsidRPr="008D3590">
        <w:rPr>
          <w:rFonts w:cs="Times New Roman"/>
          <w:sz w:val="24"/>
          <w:szCs w:val="24"/>
          <w:lang w:eastAsia="zh-CN"/>
        </w:rPr>
        <w:t>N</w:t>
      </w:r>
      <w:r w:rsidR="001E0F90" w:rsidRPr="008D3590">
        <w:rPr>
          <w:rFonts w:cs="Times New Roman"/>
          <w:sz w:val="24"/>
          <w:szCs w:val="24"/>
        </w:rPr>
        <w:t>ot surprisingly, a higher VALSC leads to a higher inclination for online food shopping</w:t>
      </w:r>
      <w:r w:rsidR="00180845" w:rsidRPr="008D3590">
        <w:rPr>
          <w:rFonts w:cs="Times New Roman"/>
          <w:sz w:val="24"/>
          <w:szCs w:val="24"/>
        </w:rPr>
        <w:t xml:space="preserve">. </w:t>
      </w:r>
      <w:r w:rsidR="00B20CE0" w:rsidRPr="008D3590">
        <w:rPr>
          <w:rFonts w:cs="Times New Roman"/>
          <w:sz w:val="24"/>
          <w:szCs w:val="24"/>
          <w:lang w:eastAsia="zh-CN"/>
        </w:rPr>
        <w:t xml:space="preserve">Finally, under the category of recursive endogenous effects, </w:t>
      </w:r>
      <w:r w:rsidR="00B20CE0" w:rsidRPr="008D3590">
        <w:rPr>
          <w:rFonts w:cs="Times New Roman"/>
          <w:sz w:val="24"/>
          <w:szCs w:val="24"/>
        </w:rPr>
        <w:t>the absence of vehicles in the household positively impacts the main online food shopping channel, which is intuitive as it is more convenient to have food delivered directly to the home rather than carrying the items in non-motorized modes or transit</w:t>
      </w:r>
      <w:r w:rsidR="00CC2AF2">
        <w:rPr>
          <w:rFonts w:cs="Times New Roman"/>
          <w:sz w:val="24"/>
          <w:szCs w:val="24"/>
        </w:rPr>
        <w:t xml:space="preserve"> (vehicle availability is introduced as a simple binary variable here because there was no statistically significant difference between the other three ordinal categories of “less than one per adult”, “one per adult”, and “more than one per adult”; thus, these three categories are combined into a base category with the “absence of motorized vehicles</w:t>
      </w:r>
      <w:r w:rsidR="00C274A9">
        <w:rPr>
          <w:rFonts w:cs="Times New Roman"/>
          <w:sz w:val="24"/>
          <w:szCs w:val="24"/>
        </w:rPr>
        <w:t>”</w:t>
      </w:r>
      <w:r w:rsidR="00CC2AF2">
        <w:rPr>
          <w:rFonts w:cs="Times New Roman"/>
          <w:sz w:val="24"/>
          <w:szCs w:val="24"/>
        </w:rPr>
        <w:t xml:space="preserve"> as the base category)</w:t>
      </w:r>
      <w:r w:rsidR="00B20CE0" w:rsidRPr="008D3590">
        <w:rPr>
          <w:rFonts w:cs="Times New Roman"/>
          <w:sz w:val="24"/>
          <w:szCs w:val="24"/>
        </w:rPr>
        <w:t>.</w:t>
      </w:r>
      <w:r w:rsidR="00B20CE0" w:rsidRPr="008D3590">
        <w:rPr>
          <w:rFonts w:cs="Times New Roman"/>
          <w:sz w:val="24"/>
          <w:szCs w:val="24"/>
          <w:lang w:eastAsia="zh-CN"/>
        </w:rPr>
        <w:t xml:space="preserve">  </w:t>
      </w:r>
    </w:p>
    <w:p w14:paraId="0AD1E909" w14:textId="131F2565" w:rsidR="00A002FB" w:rsidRDefault="00180845" w:rsidP="00A002FB">
      <w:pPr>
        <w:ind w:firstLine="708"/>
        <w:rPr>
          <w:rFonts w:cs="Times New Roman"/>
          <w:noProof/>
          <w:sz w:val="24"/>
          <w:szCs w:val="24"/>
        </w:rPr>
      </w:pPr>
      <w:r w:rsidRPr="008D3590">
        <w:rPr>
          <w:rFonts w:cs="Times New Roman"/>
          <w:sz w:val="24"/>
          <w:szCs w:val="24"/>
        </w:rPr>
        <w:t>The variable effects corresponding to the fre</w:t>
      </w:r>
      <w:r w:rsidR="000D68AD" w:rsidRPr="008D3590">
        <w:rPr>
          <w:rFonts w:cs="Times New Roman"/>
          <w:sz w:val="24"/>
          <w:szCs w:val="24"/>
        </w:rPr>
        <w:t>quency of food delivery suggest</w:t>
      </w:r>
      <w:r w:rsidRPr="008D3590">
        <w:rPr>
          <w:rFonts w:cs="Times New Roman"/>
          <w:sz w:val="24"/>
          <w:szCs w:val="24"/>
        </w:rPr>
        <w:t xml:space="preserve"> that </w:t>
      </w:r>
      <w:r w:rsidR="00FB249A">
        <w:rPr>
          <w:rFonts w:cs="Times New Roman"/>
          <w:sz w:val="24"/>
          <w:szCs w:val="24"/>
        </w:rPr>
        <w:t xml:space="preserve">being a </w:t>
      </w:r>
      <w:r w:rsidR="00FB249A" w:rsidRPr="008D3590">
        <w:rPr>
          <w:rFonts w:cs="Times New Roman"/>
          <w:sz w:val="24"/>
          <w:szCs w:val="24"/>
        </w:rPr>
        <w:t>wom</w:t>
      </w:r>
      <w:r w:rsidR="00FB249A">
        <w:rPr>
          <w:rFonts w:cs="Times New Roman"/>
          <w:sz w:val="24"/>
          <w:szCs w:val="24"/>
        </w:rPr>
        <w:t>a</w:t>
      </w:r>
      <w:r w:rsidR="00FB249A" w:rsidRPr="008D3590">
        <w:rPr>
          <w:rFonts w:cs="Times New Roman"/>
          <w:sz w:val="24"/>
          <w:szCs w:val="24"/>
        </w:rPr>
        <w:t xml:space="preserve">n </w:t>
      </w:r>
      <w:r w:rsidR="00FB249A">
        <w:rPr>
          <w:rFonts w:cs="Times New Roman"/>
          <w:sz w:val="24"/>
          <w:szCs w:val="24"/>
        </w:rPr>
        <w:t xml:space="preserve">and having </w:t>
      </w:r>
      <w:r w:rsidR="00D26D58" w:rsidRPr="008D3590">
        <w:rPr>
          <w:rFonts w:cs="Times New Roman"/>
          <w:sz w:val="24"/>
          <w:szCs w:val="24"/>
        </w:rPr>
        <w:t xml:space="preserve">children </w:t>
      </w:r>
      <w:r w:rsidR="00FB249A">
        <w:rPr>
          <w:rFonts w:cs="Times New Roman"/>
          <w:sz w:val="24"/>
          <w:szCs w:val="24"/>
        </w:rPr>
        <w:t>in the household contributes to a</w:t>
      </w:r>
      <w:r w:rsidRPr="008D3590">
        <w:rPr>
          <w:rFonts w:cs="Times New Roman"/>
          <w:sz w:val="24"/>
          <w:szCs w:val="24"/>
        </w:rPr>
        <w:t xml:space="preserve"> higher frequency of </w:t>
      </w:r>
      <w:r w:rsidR="00D26D58" w:rsidRPr="008D3590">
        <w:rPr>
          <w:rFonts w:cs="Times New Roman"/>
          <w:sz w:val="24"/>
          <w:szCs w:val="24"/>
        </w:rPr>
        <w:t xml:space="preserve">food </w:t>
      </w:r>
      <w:r w:rsidRPr="008D3590">
        <w:rPr>
          <w:rFonts w:cs="Times New Roman"/>
          <w:sz w:val="24"/>
          <w:szCs w:val="24"/>
        </w:rPr>
        <w:t xml:space="preserve">being </w:t>
      </w:r>
      <w:r w:rsidR="00D26D58" w:rsidRPr="008D3590">
        <w:rPr>
          <w:rFonts w:cs="Times New Roman"/>
          <w:sz w:val="24"/>
          <w:szCs w:val="24"/>
        </w:rPr>
        <w:t>delivered to the household</w:t>
      </w:r>
      <w:r w:rsidR="00A002FB">
        <w:rPr>
          <w:rFonts w:cs="Times New Roman"/>
          <w:sz w:val="24"/>
          <w:szCs w:val="24"/>
        </w:rPr>
        <w:t xml:space="preserve"> (a child is defined as an individual 15 years of age or younger)</w:t>
      </w:r>
      <w:r w:rsidR="00D26D58" w:rsidRPr="008D3590">
        <w:rPr>
          <w:rFonts w:cs="Times New Roman"/>
          <w:sz w:val="24"/>
          <w:szCs w:val="24"/>
        </w:rPr>
        <w:t xml:space="preserve">. </w:t>
      </w:r>
      <w:r w:rsidR="00FB249A" w:rsidRPr="008D3590">
        <w:rPr>
          <w:rFonts w:cs="Times New Roman"/>
          <w:sz w:val="24"/>
          <w:szCs w:val="24"/>
        </w:rPr>
        <w:t>Th</w:t>
      </w:r>
      <w:r w:rsidR="00FB249A">
        <w:rPr>
          <w:rFonts w:cs="Times New Roman"/>
          <w:sz w:val="24"/>
          <w:szCs w:val="24"/>
        </w:rPr>
        <w:t>ese</w:t>
      </w:r>
      <w:r w:rsidR="00FB249A" w:rsidRPr="008D3590">
        <w:rPr>
          <w:rFonts w:cs="Times New Roman"/>
          <w:sz w:val="24"/>
          <w:szCs w:val="24"/>
        </w:rPr>
        <w:t xml:space="preserve"> </w:t>
      </w:r>
      <w:r w:rsidR="00E77D31" w:rsidRPr="008D3590">
        <w:rPr>
          <w:rFonts w:cs="Times New Roman"/>
          <w:sz w:val="24"/>
          <w:szCs w:val="24"/>
        </w:rPr>
        <w:t>result</w:t>
      </w:r>
      <w:r w:rsidR="00FB249A">
        <w:rPr>
          <w:rFonts w:cs="Times New Roman"/>
          <w:sz w:val="24"/>
          <w:szCs w:val="24"/>
        </w:rPr>
        <w:t>s</w:t>
      </w:r>
      <w:r w:rsidR="00E77D31" w:rsidRPr="008D3590">
        <w:rPr>
          <w:rFonts w:cs="Times New Roman"/>
          <w:sz w:val="24"/>
          <w:szCs w:val="24"/>
        </w:rPr>
        <w:t xml:space="preserve"> </w:t>
      </w:r>
      <w:r w:rsidRPr="008D3590">
        <w:rPr>
          <w:rFonts w:cs="Times New Roman"/>
          <w:sz w:val="24"/>
          <w:szCs w:val="24"/>
        </w:rPr>
        <w:t xml:space="preserve">reinforce earlier results, and </w:t>
      </w:r>
      <w:r w:rsidR="00E77D31" w:rsidRPr="008D3590">
        <w:rPr>
          <w:rFonts w:cs="Times New Roman"/>
          <w:sz w:val="24"/>
          <w:szCs w:val="24"/>
        </w:rPr>
        <w:t>probably reflect the constrained time budge</w:t>
      </w:r>
      <w:r w:rsidR="00A52CAB" w:rsidRPr="008D3590">
        <w:rPr>
          <w:rFonts w:cs="Times New Roman"/>
          <w:sz w:val="24"/>
          <w:szCs w:val="24"/>
        </w:rPr>
        <w:t>t</w:t>
      </w:r>
      <w:r w:rsidR="00E77D31" w:rsidRPr="008D3590">
        <w:rPr>
          <w:rFonts w:cs="Times New Roman"/>
          <w:sz w:val="24"/>
          <w:szCs w:val="24"/>
        </w:rPr>
        <w:t xml:space="preserve"> for food preparation on a daily basis by working </w:t>
      </w:r>
      <w:r w:rsidR="00FB249A">
        <w:rPr>
          <w:rFonts w:cs="Times New Roman"/>
          <w:sz w:val="24"/>
          <w:szCs w:val="24"/>
        </w:rPr>
        <w:t xml:space="preserve">parents and </w:t>
      </w:r>
      <w:r w:rsidR="00C274A9">
        <w:rPr>
          <w:rFonts w:cs="Times New Roman"/>
          <w:sz w:val="24"/>
          <w:szCs w:val="24"/>
        </w:rPr>
        <w:t>women</w:t>
      </w:r>
      <w:r w:rsidR="00FB249A">
        <w:rPr>
          <w:rFonts w:cs="Times New Roman"/>
          <w:sz w:val="24"/>
          <w:szCs w:val="24"/>
        </w:rPr>
        <w:t xml:space="preserve"> </w:t>
      </w:r>
      <w:r w:rsidR="00F008FC" w:rsidRPr="008D3590">
        <w:rPr>
          <w:rFonts w:cs="Times New Roman"/>
          <w:sz w:val="24"/>
          <w:szCs w:val="24"/>
        </w:rPr>
        <w:t xml:space="preserve">who </w:t>
      </w:r>
      <w:r w:rsidR="000D68AD" w:rsidRPr="008D3590">
        <w:rPr>
          <w:rFonts w:cs="Times New Roman"/>
          <w:sz w:val="24"/>
          <w:szCs w:val="24"/>
        </w:rPr>
        <w:t xml:space="preserve">usually </w:t>
      </w:r>
      <w:r w:rsidR="00F008FC" w:rsidRPr="008D3590">
        <w:rPr>
          <w:rFonts w:cs="Times New Roman"/>
          <w:sz w:val="24"/>
          <w:szCs w:val="24"/>
        </w:rPr>
        <w:t>are also responsible for child care and escorting activities (</w:t>
      </w:r>
      <w:proofErr w:type="spellStart"/>
      <w:r w:rsidR="005B4418">
        <w:rPr>
          <w:rFonts w:cs="Times New Roman"/>
          <w:sz w:val="24"/>
          <w:szCs w:val="24"/>
        </w:rPr>
        <w:t>Buddelmeyer</w:t>
      </w:r>
      <w:proofErr w:type="spellEnd"/>
      <w:r w:rsidR="005B4418">
        <w:rPr>
          <w:rFonts w:cs="Times New Roman"/>
          <w:sz w:val="24"/>
          <w:szCs w:val="24"/>
        </w:rPr>
        <w:t xml:space="preserve"> et al., 2017</w:t>
      </w:r>
      <w:r w:rsidR="00447432">
        <w:rPr>
          <w:rFonts w:cs="Times New Roman"/>
          <w:sz w:val="24"/>
          <w:szCs w:val="24"/>
        </w:rPr>
        <w:t>;</w:t>
      </w:r>
      <w:r w:rsidR="005B4418">
        <w:rPr>
          <w:rFonts w:cs="Times New Roman"/>
          <w:sz w:val="24"/>
          <w:szCs w:val="24"/>
        </w:rPr>
        <w:t xml:space="preserve"> </w:t>
      </w:r>
      <w:r w:rsidR="00D26D58" w:rsidRPr="008D3590">
        <w:rPr>
          <w:rFonts w:cs="Times New Roman"/>
          <w:sz w:val="24"/>
          <w:szCs w:val="24"/>
        </w:rPr>
        <w:fldChar w:fldCharType="begin" w:fldLock="1"/>
      </w:r>
      <w:r w:rsidR="00D26D58" w:rsidRPr="008D3590">
        <w:rPr>
          <w:rFonts w:cs="Times New Roman"/>
          <w:sz w:val="24"/>
          <w:szCs w:val="24"/>
        </w:rPr>
        <w:instrText>ADDIN CSL_CITATION { "citationItems" : [ { "id" : "ITEM-1", "itemData" : { "author" : [ { "dropping-particle" : "", "family" : "Motte-Baumvol", "given" : "B", "non-dropping-particle" : "", "parse-names" : false, "suffix" : "" }, { "dropping-particle" : "", "family" : "Bonin", "given" : "O", "non-dropping-particle" : "", "parse-names" : false, "suffix" : "" }, { "dropping-particle" : "", "family" : "Belton-Chevallier", "given" : "L", "non-dropping-particle" : "", "parse-names" : false, "suffix" : "" } ], "container-title" : "Transportation", "id" : "ITEM-1", "issued" : { "date-parts" : [ [ "2017" ] ] }, "title" : "Who escort children: mum or dad? Exploring gender differences in escorting mobility among parisian dual-earner couples", "type" : "article-journal" }, "uris" : [ "http://www.mendeley.com/documents/?uuid=1c62c7b5-de71-3f97-a784-0021cab19239" ] } ], "mendeley" : { "formattedCitation" : "(Motte-Baumvol, Bonin and Belton-Chevallier, 2017)", "manualFormatting" : "Motte-Baumvol et al. (2017)", "plainTextFormattedCitation" : "(Motte-Baumvol, Bonin and Belton-Chevallier, 2017)", "previouslyFormattedCitation" : "(Motte-Baumvol et al. 2017)" }, "properties" : { "noteIndex" : 0 }, "schema" : "https://github.com/citation-style-language/schema/raw/master/csl-citation.json" }</w:instrText>
      </w:r>
      <w:r w:rsidR="00D26D58" w:rsidRPr="008D3590">
        <w:rPr>
          <w:rFonts w:cs="Times New Roman"/>
          <w:sz w:val="24"/>
          <w:szCs w:val="24"/>
        </w:rPr>
        <w:fldChar w:fldCharType="separate"/>
      </w:r>
      <w:r w:rsidR="00F008FC" w:rsidRPr="008D3590">
        <w:rPr>
          <w:rFonts w:cs="Times New Roman"/>
          <w:noProof/>
          <w:sz w:val="24"/>
          <w:szCs w:val="24"/>
        </w:rPr>
        <w:t xml:space="preserve">Motte-Baumvol et al., </w:t>
      </w:r>
      <w:r w:rsidR="00D26D58" w:rsidRPr="008D3590">
        <w:rPr>
          <w:rFonts w:cs="Times New Roman"/>
          <w:noProof/>
          <w:sz w:val="24"/>
          <w:szCs w:val="24"/>
        </w:rPr>
        <w:t>2017)</w:t>
      </w:r>
      <w:r w:rsidR="00D26D58" w:rsidRPr="008D3590">
        <w:rPr>
          <w:rFonts w:cs="Times New Roman"/>
          <w:sz w:val="24"/>
          <w:szCs w:val="24"/>
        </w:rPr>
        <w:fldChar w:fldCharType="end"/>
      </w:r>
      <w:r w:rsidR="00F008FC" w:rsidRPr="008D3590">
        <w:rPr>
          <w:rFonts w:cs="Times New Roman"/>
          <w:sz w:val="24"/>
          <w:szCs w:val="24"/>
        </w:rPr>
        <w:t>.</w:t>
      </w:r>
      <w:r w:rsidR="00A002FB">
        <w:rPr>
          <w:rFonts w:cs="Times New Roman"/>
          <w:sz w:val="24"/>
          <w:szCs w:val="24"/>
        </w:rPr>
        <w:t xml:space="preserve"> </w:t>
      </w:r>
      <w:r w:rsidR="00F008FC" w:rsidRPr="008D3590">
        <w:rPr>
          <w:rFonts w:cs="Times New Roman"/>
          <w:sz w:val="24"/>
          <w:szCs w:val="24"/>
        </w:rPr>
        <w:t>A</w:t>
      </w:r>
      <w:r w:rsidR="00D26D58" w:rsidRPr="008D3590">
        <w:rPr>
          <w:rFonts w:cs="Times New Roman"/>
          <w:sz w:val="24"/>
          <w:szCs w:val="24"/>
        </w:rPr>
        <w:t xml:space="preserve">ge </w:t>
      </w:r>
      <w:r w:rsidR="00F008FC" w:rsidRPr="008D3590">
        <w:rPr>
          <w:rFonts w:cs="Times New Roman"/>
          <w:sz w:val="24"/>
          <w:szCs w:val="24"/>
        </w:rPr>
        <w:lastRenderedPageBreak/>
        <w:t xml:space="preserve">also </w:t>
      </w:r>
      <w:r w:rsidRPr="008D3590">
        <w:rPr>
          <w:rFonts w:cs="Times New Roman"/>
          <w:sz w:val="24"/>
          <w:szCs w:val="24"/>
        </w:rPr>
        <w:t xml:space="preserve">has </w:t>
      </w:r>
      <w:r w:rsidR="00F008FC" w:rsidRPr="008D3590">
        <w:rPr>
          <w:rFonts w:cs="Times New Roman"/>
          <w:sz w:val="24"/>
          <w:szCs w:val="24"/>
        </w:rPr>
        <w:t xml:space="preserve">a </w:t>
      </w:r>
      <w:r w:rsidR="00D26D58" w:rsidRPr="008D3590">
        <w:rPr>
          <w:rFonts w:cs="Times New Roman"/>
          <w:sz w:val="24"/>
          <w:szCs w:val="24"/>
        </w:rPr>
        <w:t xml:space="preserve">significant </w:t>
      </w:r>
      <w:r w:rsidR="00F008FC" w:rsidRPr="008D3590">
        <w:rPr>
          <w:rFonts w:cs="Times New Roman"/>
          <w:sz w:val="24"/>
          <w:szCs w:val="24"/>
        </w:rPr>
        <w:t xml:space="preserve">effect on </w:t>
      </w:r>
      <w:r w:rsidR="00C274A9">
        <w:rPr>
          <w:rFonts w:cs="Times New Roman"/>
          <w:sz w:val="24"/>
          <w:szCs w:val="24"/>
        </w:rPr>
        <w:t xml:space="preserve">the </w:t>
      </w:r>
      <w:r w:rsidR="00D26D58" w:rsidRPr="008D3590">
        <w:rPr>
          <w:rFonts w:cs="Times New Roman"/>
          <w:sz w:val="24"/>
          <w:szCs w:val="24"/>
        </w:rPr>
        <w:t>frequency of food delivery</w:t>
      </w:r>
      <w:r w:rsidR="00F008FC" w:rsidRPr="008D3590">
        <w:rPr>
          <w:rFonts w:cs="Times New Roman"/>
          <w:sz w:val="24"/>
          <w:szCs w:val="24"/>
        </w:rPr>
        <w:t>. Older individuals</w:t>
      </w:r>
      <w:r w:rsidR="0006622F" w:rsidRPr="008D3590">
        <w:rPr>
          <w:rFonts w:cs="Times New Roman"/>
          <w:sz w:val="24"/>
          <w:szCs w:val="24"/>
        </w:rPr>
        <w:t xml:space="preserve"> (&gt;40 years), relative to younger individuals,</w:t>
      </w:r>
      <w:r w:rsidR="00F008FC" w:rsidRPr="008D3590">
        <w:rPr>
          <w:rFonts w:cs="Times New Roman"/>
          <w:sz w:val="24"/>
          <w:szCs w:val="24"/>
        </w:rPr>
        <w:t xml:space="preserve"> </w:t>
      </w:r>
      <w:r w:rsidR="0006622F" w:rsidRPr="008D3590">
        <w:rPr>
          <w:rFonts w:cs="Times New Roman"/>
          <w:sz w:val="24"/>
          <w:szCs w:val="24"/>
        </w:rPr>
        <w:t xml:space="preserve">have a lower propensity </w:t>
      </w:r>
      <w:r w:rsidR="00F008FC" w:rsidRPr="008D3590">
        <w:rPr>
          <w:rFonts w:cs="Times New Roman"/>
          <w:sz w:val="24"/>
          <w:szCs w:val="24"/>
        </w:rPr>
        <w:t>to order food online</w:t>
      </w:r>
      <w:r w:rsidR="0006622F" w:rsidRPr="008D3590">
        <w:rPr>
          <w:rFonts w:cs="Times New Roman"/>
          <w:sz w:val="24"/>
          <w:szCs w:val="24"/>
        </w:rPr>
        <w:t xml:space="preserve"> or by phone and have the food</w:t>
      </w:r>
      <w:r w:rsidRPr="008D3590">
        <w:rPr>
          <w:rFonts w:cs="Times New Roman"/>
          <w:sz w:val="24"/>
          <w:szCs w:val="24"/>
        </w:rPr>
        <w:t xml:space="preserve"> delivered</w:t>
      </w:r>
      <w:r w:rsidR="0006622F" w:rsidRPr="008D3590">
        <w:rPr>
          <w:rFonts w:cs="Times New Roman"/>
          <w:sz w:val="24"/>
          <w:szCs w:val="24"/>
        </w:rPr>
        <w:t xml:space="preserve"> to their homes</w:t>
      </w:r>
      <w:r w:rsidR="009323C2" w:rsidRPr="008D3590">
        <w:rPr>
          <w:rFonts w:cs="Times New Roman"/>
          <w:sz w:val="24"/>
          <w:szCs w:val="24"/>
        </w:rPr>
        <w:t>.</w:t>
      </w:r>
      <w:r w:rsidR="00422095" w:rsidRPr="008D3590">
        <w:rPr>
          <w:rFonts w:cs="Times New Roman"/>
          <w:sz w:val="24"/>
          <w:szCs w:val="24"/>
        </w:rPr>
        <w:t xml:space="preserve"> This result may reflect </w:t>
      </w:r>
      <w:r w:rsidR="0006622F" w:rsidRPr="008D3590">
        <w:rPr>
          <w:rFonts w:cs="Times New Roman"/>
          <w:sz w:val="24"/>
          <w:szCs w:val="24"/>
        </w:rPr>
        <w:t>habitual</w:t>
      </w:r>
      <w:r w:rsidR="00422095" w:rsidRPr="008D3590">
        <w:rPr>
          <w:rFonts w:cs="Times New Roman"/>
          <w:sz w:val="24"/>
          <w:szCs w:val="24"/>
        </w:rPr>
        <w:t xml:space="preserve"> effects (</w:t>
      </w:r>
      <w:r w:rsidR="0006622F" w:rsidRPr="008D3590">
        <w:rPr>
          <w:rFonts w:cs="Times New Roman"/>
          <w:sz w:val="24"/>
          <w:szCs w:val="24"/>
        </w:rPr>
        <w:t xml:space="preserve">habituated </w:t>
      </w:r>
      <w:r w:rsidR="00422095" w:rsidRPr="008D3590">
        <w:rPr>
          <w:rFonts w:cs="Times New Roman"/>
          <w:sz w:val="24"/>
          <w:szCs w:val="24"/>
        </w:rPr>
        <w:t>to</w:t>
      </w:r>
      <w:r w:rsidR="0006622F" w:rsidRPr="008D3590">
        <w:rPr>
          <w:rFonts w:cs="Times New Roman"/>
          <w:sz w:val="24"/>
          <w:szCs w:val="24"/>
        </w:rPr>
        <w:t xml:space="preserve"> traveling to the supermarket for groceries</w:t>
      </w:r>
      <w:r w:rsidR="00422095" w:rsidRPr="008D3590">
        <w:rPr>
          <w:rFonts w:cs="Times New Roman"/>
          <w:sz w:val="24"/>
          <w:szCs w:val="24"/>
        </w:rPr>
        <w:t>)</w:t>
      </w:r>
      <w:r w:rsidR="0041413F" w:rsidRPr="008D3590">
        <w:rPr>
          <w:rFonts w:cs="Times New Roman"/>
          <w:sz w:val="24"/>
          <w:szCs w:val="24"/>
        </w:rPr>
        <w:t>,</w:t>
      </w:r>
      <w:r w:rsidR="00422095" w:rsidRPr="008D3590">
        <w:rPr>
          <w:rFonts w:cs="Times New Roman"/>
          <w:sz w:val="24"/>
          <w:szCs w:val="24"/>
        </w:rPr>
        <w:t xml:space="preserve"> or the fact that older individuals </w:t>
      </w:r>
      <w:r w:rsidR="00D26D58" w:rsidRPr="008D3590">
        <w:rPr>
          <w:rFonts w:cs="Times New Roman"/>
          <w:sz w:val="24"/>
          <w:szCs w:val="24"/>
        </w:rPr>
        <w:t>face more barriers while shopping online</w:t>
      </w:r>
      <w:r w:rsidR="00422095" w:rsidRPr="008D3590">
        <w:rPr>
          <w:rFonts w:cs="Times New Roman"/>
          <w:sz w:val="24"/>
          <w:szCs w:val="24"/>
        </w:rPr>
        <w:t>, as noted by</w:t>
      </w:r>
      <w:r w:rsidR="00422095" w:rsidRPr="008D3590">
        <w:rPr>
          <w:rFonts w:cs="Times New Roman"/>
          <w:noProof/>
          <w:sz w:val="24"/>
          <w:szCs w:val="24"/>
        </w:rPr>
        <w:t xml:space="preserve"> Lian and Yen</w:t>
      </w:r>
      <w:r w:rsidR="008A3701" w:rsidRPr="008D3590">
        <w:rPr>
          <w:rFonts w:cs="Times New Roman"/>
          <w:noProof/>
          <w:sz w:val="24"/>
          <w:szCs w:val="24"/>
        </w:rPr>
        <w:t xml:space="preserve"> </w:t>
      </w:r>
      <w:r w:rsidR="0041413F" w:rsidRPr="008D3590">
        <w:rPr>
          <w:rFonts w:cs="Times New Roman"/>
          <w:noProof/>
          <w:sz w:val="24"/>
          <w:szCs w:val="24"/>
        </w:rPr>
        <w:t>(</w:t>
      </w:r>
      <w:r w:rsidR="00422095" w:rsidRPr="008D3590">
        <w:rPr>
          <w:rFonts w:cs="Times New Roman"/>
          <w:noProof/>
          <w:sz w:val="24"/>
          <w:szCs w:val="24"/>
        </w:rPr>
        <w:t>2014</w:t>
      </w:r>
      <w:r w:rsidR="0041413F" w:rsidRPr="008D3590">
        <w:rPr>
          <w:rFonts w:cs="Times New Roman"/>
          <w:noProof/>
          <w:sz w:val="24"/>
          <w:szCs w:val="24"/>
        </w:rPr>
        <w:t>)</w:t>
      </w:r>
      <w:r w:rsidR="00422095" w:rsidRPr="008D3590">
        <w:rPr>
          <w:rFonts w:cs="Times New Roman"/>
          <w:noProof/>
          <w:sz w:val="24"/>
          <w:szCs w:val="24"/>
        </w:rPr>
        <w:t>.</w:t>
      </w:r>
      <w:r w:rsidR="0006622F" w:rsidRPr="008D3590">
        <w:rPr>
          <w:rFonts w:cs="Times New Roman"/>
          <w:noProof/>
          <w:sz w:val="24"/>
          <w:szCs w:val="24"/>
        </w:rPr>
        <w:t xml:space="preserve"> </w:t>
      </w:r>
      <w:r w:rsidR="00A52CAB" w:rsidRPr="008D3590">
        <w:rPr>
          <w:rFonts w:cs="Times New Roman"/>
          <w:noProof/>
          <w:sz w:val="24"/>
          <w:szCs w:val="24"/>
        </w:rPr>
        <w:t>Consistent</w:t>
      </w:r>
      <w:r w:rsidR="0006622F" w:rsidRPr="008D3590">
        <w:rPr>
          <w:rFonts w:cs="Times New Roman"/>
          <w:noProof/>
          <w:sz w:val="24"/>
          <w:szCs w:val="24"/>
        </w:rPr>
        <w:t xml:space="preserve"> with earlier results, higher income households appear to have a higher frequency to have food delivered relative to lower income households. As expected, VALSC has a positive impact on the propensity determining the frequency of food delivery, reinforcing the direct age and income effects just discussed</w:t>
      </w:r>
      <w:r w:rsidR="00FB249A">
        <w:rPr>
          <w:rFonts w:cs="Times New Roman"/>
          <w:noProof/>
          <w:sz w:val="24"/>
          <w:szCs w:val="24"/>
        </w:rPr>
        <w:t>.</w:t>
      </w:r>
    </w:p>
    <w:p w14:paraId="4C64CA88" w14:textId="77777777" w:rsidR="00A002FB" w:rsidRDefault="00A002FB" w:rsidP="00A002FB">
      <w:pPr>
        <w:ind w:firstLine="708"/>
        <w:rPr>
          <w:rFonts w:cs="Times New Roman"/>
          <w:sz w:val="24"/>
          <w:szCs w:val="24"/>
        </w:rPr>
      </w:pPr>
      <w:r>
        <w:rPr>
          <w:rFonts w:cs="Times New Roman"/>
          <w:sz w:val="24"/>
          <w:szCs w:val="24"/>
        </w:rPr>
        <w:t xml:space="preserve">The final VAG outcome variable is the frequency of goods delivery. As expected, household income and VALSC positively impact the frequency of goods delivery, as does the absence of motorized vehicles in the household. </w:t>
      </w:r>
    </w:p>
    <w:p w14:paraId="3F3A3298" w14:textId="4654D4B2" w:rsidR="00A002FB" w:rsidRDefault="00A002FB" w:rsidP="00A002FB">
      <w:pPr>
        <w:ind w:firstLine="708"/>
        <w:rPr>
          <w:rFonts w:cs="Times New Roman"/>
          <w:sz w:val="24"/>
          <w:szCs w:val="24"/>
        </w:rPr>
      </w:pPr>
      <w:r>
        <w:rPr>
          <w:rFonts w:cs="Times New Roman"/>
          <w:sz w:val="24"/>
          <w:szCs w:val="24"/>
        </w:rPr>
        <w:t>A final note about the VAG outcomes. All of these outcomes are impacted by VALSC, though none of them are influenced (at least sta</w:t>
      </w:r>
      <w:r w:rsidR="006207A0">
        <w:rPr>
          <w:rFonts w:cs="Times New Roman"/>
          <w:sz w:val="24"/>
          <w:szCs w:val="24"/>
        </w:rPr>
        <w:t>tis</w:t>
      </w:r>
      <w:r>
        <w:rPr>
          <w:rFonts w:cs="Times New Roman"/>
          <w:sz w:val="24"/>
          <w:szCs w:val="24"/>
        </w:rPr>
        <w:t xml:space="preserve">tically significantly speaking) by PALSC. </w:t>
      </w:r>
    </w:p>
    <w:p w14:paraId="4B7B16B8" w14:textId="6369922F" w:rsidR="00A002FB" w:rsidRDefault="00A002FB" w:rsidP="008D66F5">
      <w:pPr>
        <w:keepNext/>
        <w:outlineLvl w:val="0"/>
        <w:rPr>
          <w:rFonts w:cs="Times New Roman"/>
          <w:noProof/>
          <w:sz w:val="24"/>
          <w:szCs w:val="24"/>
          <w:lang w:eastAsia="zh-CN"/>
        </w:rPr>
      </w:pPr>
    </w:p>
    <w:p w14:paraId="2207F282" w14:textId="1D3D15D4" w:rsidR="00CF2B7A" w:rsidRPr="008D3590" w:rsidRDefault="008D3590" w:rsidP="008D66F5">
      <w:pPr>
        <w:keepNext/>
        <w:outlineLvl w:val="0"/>
        <w:rPr>
          <w:rFonts w:cs="Times New Roman"/>
          <w:i/>
          <w:sz w:val="24"/>
          <w:szCs w:val="24"/>
        </w:rPr>
      </w:pPr>
      <w:r w:rsidRPr="008D3590">
        <w:rPr>
          <w:rFonts w:cs="Times New Roman"/>
          <w:i/>
          <w:sz w:val="24"/>
          <w:szCs w:val="24"/>
        </w:rPr>
        <w:t xml:space="preserve">3.2.2 </w:t>
      </w:r>
      <w:r w:rsidR="006315E0" w:rsidRPr="008D3590">
        <w:rPr>
          <w:rFonts w:cs="Times New Roman"/>
          <w:i/>
          <w:sz w:val="24"/>
          <w:szCs w:val="24"/>
        </w:rPr>
        <w:t xml:space="preserve">Physical </w:t>
      </w:r>
      <w:r w:rsidRPr="008D3590">
        <w:rPr>
          <w:rFonts w:cs="Times New Roman"/>
          <w:i/>
          <w:sz w:val="24"/>
          <w:szCs w:val="24"/>
        </w:rPr>
        <w:t>A</w:t>
      </w:r>
      <w:r w:rsidR="006315E0" w:rsidRPr="008D3590">
        <w:rPr>
          <w:rFonts w:cs="Times New Roman"/>
          <w:i/>
          <w:sz w:val="24"/>
          <w:szCs w:val="24"/>
        </w:rPr>
        <w:t xml:space="preserve">ctivity </w:t>
      </w:r>
      <w:r w:rsidRPr="008D3590">
        <w:rPr>
          <w:rFonts w:cs="Times New Roman"/>
          <w:i/>
          <w:sz w:val="24"/>
          <w:szCs w:val="24"/>
        </w:rPr>
        <w:t>E</w:t>
      </w:r>
      <w:r w:rsidR="006315E0" w:rsidRPr="008D3590">
        <w:rPr>
          <w:rFonts w:cs="Times New Roman"/>
          <w:i/>
          <w:sz w:val="24"/>
          <w:szCs w:val="24"/>
        </w:rPr>
        <w:t xml:space="preserve">ngagement (PAG) </w:t>
      </w:r>
      <w:r w:rsidRPr="008D3590">
        <w:rPr>
          <w:rFonts w:cs="Times New Roman"/>
          <w:i/>
          <w:sz w:val="24"/>
          <w:szCs w:val="24"/>
        </w:rPr>
        <w:t>O</w:t>
      </w:r>
      <w:r w:rsidR="006315E0" w:rsidRPr="008D3590">
        <w:rPr>
          <w:rFonts w:cs="Times New Roman"/>
          <w:i/>
          <w:sz w:val="24"/>
          <w:szCs w:val="24"/>
        </w:rPr>
        <w:t xml:space="preserve">utcome </w:t>
      </w:r>
      <w:r w:rsidRPr="008D3590">
        <w:rPr>
          <w:rFonts w:cs="Times New Roman"/>
          <w:i/>
          <w:sz w:val="24"/>
          <w:szCs w:val="24"/>
        </w:rPr>
        <w:t>V</w:t>
      </w:r>
      <w:r w:rsidR="006315E0" w:rsidRPr="008D3590">
        <w:rPr>
          <w:rFonts w:cs="Times New Roman"/>
          <w:i/>
          <w:sz w:val="24"/>
          <w:szCs w:val="24"/>
        </w:rPr>
        <w:t>a</w:t>
      </w:r>
      <w:r w:rsidR="00232560" w:rsidRPr="008D3590">
        <w:rPr>
          <w:rFonts w:cs="Times New Roman"/>
          <w:i/>
          <w:sz w:val="24"/>
          <w:szCs w:val="24"/>
        </w:rPr>
        <w:t>r</w:t>
      </w:r>
      <w:r w:rsidR="006315E0" w:rsidRPr="008D3590">
        <w:rPr>
          <w:rFonts w:cs="Times New Roman"/>
          <w:i/>
          <w:sz w:val="24"/>
          <w:szCs w:val="24"/>
        </w:rPr>
        <w:t xml:space="preserve">iable </w:t>
      </w:r>
      <w:r w:rsidRPr="008D3590">
        <w:rPr>
          <w:rFonts w:cs="Times New Roman"/>
          <w:i/>
          <w:sz w:val="24"/>
          <w:szCs w:val="24"/>
        </w:rPr>
        <w:t>R</w:t>
      </w:r>
      <w:r w:rsidR="006315E0" w:rsidRPr="008D3590">
        <w:rPr>
          <w:rFonts w:cs="Times New Roman"/>
          <w:i/>
          <w:sz w:val="24"/>
          <w:szCs w:val="24"/>
        </w:rPr>
        <w:t xml:space="preserve">esults </w:t>
      </w:r>
    </w:p>
    <w:p w14:paraId="75611B32" w14:textId="5852620E" w:rsidR="00440D5E" w:rsidRPr="008D3590" w:rsidRDefault="006315E0" w:rsidP="008D66F5">
      <w:pPr>
        <w:keepNext/>
        <w:rPr>
          <w:rFonts w:cs="Times New Roman"/>
          <w:sz w:val="24"/>
          <w:szCs w:val="24"/>
        </w:rPr>
      </w:pPr>
      <w:r w:rsidRPr="008D3590">
        <w:rPr>
          <w:rFonts w:cs="Times New Roman"/>
          <w:sz w:val="24"/>
          <w:szCs w:val="24"/>
        </w:rPr>
        <w:t xml:space="preserve">Table 4 provides the results for the PAG outcomes (number and average durations of OH activity episodes in mandatory, </w:t>
      </w:r>
      <w:r w:rsidR="000C0308" w:rsidRPr="008D3590">
        <w:rPr>
          <w:rFonts w:cs="Times New Roman"/>
          <w:sz w:val="24"/>
          <w:szCs w:val="24"/>
          <w:lang w:eastAsia="zh-CN"/>
        </w:rPr>
        <w:t>maintenance</w:t>
      </w:r>
      <w:r w:rsidRPr="008D3590">
        <w:rPr>
          <w:rFonts w:cs="Times New Roman"/>
          <w:sz w:val="24"/>
          <w:szCs w:val="24"/>
        </w:rPr>
        <w:t xml:space="preserve">, and discretionary activity purposes, </w:t>
      </w:r>
      <w:r w:rsidR="00C274A9">
        <w:rPr>
          <w:rFonts w:cs="Times New Roman"/>
          <w:sz w:val="24"/>
          <w:szCs w:val="24"/>
        </w:rPr>
        <w:t xml:space="preserve">motorized </w:t>
      </w:r>
      <w:r w:rsidR="0032306F">
        <w:rPr>
          <w:rFonts w:cs="Times New Roman"/>
          <w:sz w:val="24"/>
          <w:szCs w:val="24"/>
        </w:rPr>
        <w:t>vehicle availability</w:t>
      </w:r>
      <w:r w:rsidR="009D4D05" w:rsidRPr="008D3590">
        <w:rPr>
          <w:rFonts w:cs="Times New Roman"/>
          <w:sz w:val="24"/>
          <w:szCs w:val="24"/>
        </w:rPr>
        <w:t xml:space="preserve"> in the household, the average number of </w:t>
      </w:r>
      <w:r w:rsidR="0032306F">
        <w:rPr>
          <w:rFonts w:cs="Times New Roman"/>
          <w:sz w:val="24"/>
          <w:szCs w:val="24"/>
        </w:rPr>
        <w:t>trips</w:t>
      </w:r>
      <w:r w:rsidR="0032306F" w:rsidRPr="008D3590">
        <w:rPr>
          <w:rFonts w:cs="Times New Roman"/>
          <w:sz w:val="24"/>
          <w:szCs w:val="24"/>
        </w:rPr>
        <w:t xml:space="preserve"> </w:t>
      </w:r>
      <w:r w:rsidR="00BA2BA4" w:rsidRPr="008D3590">
        <w:rPr>
          <w:rFonts w:cs="Times New Roman"/>
          <w:sz w:val="24"/>
          <w:szCs w:val="24"/>
        </w:rPr>
        <w:t>chained per tour</w:t>
      </w:r>
      <w:r w:rsidR="009D4D05" w:rsidRPr="008D3590">
        <w:rPr>
          <w:rFonts w:cs="Times New Roman"/>
          <w:sz w:val="24"/>
          <w:szCs w:val="24"/>
        </w:rPr>
        <w:t>, and average trip distance within a tour)</w:t>
      </w:r>
      <w:r w:rsidRPr="008D3590">
        <w:rPr>
          <w:rFonts w:cs="Times New Roman"/>
          <w:sz w:val="24"/>
          <w:szCs w:val="24"/>
        </w:rPr>
        <w:t>. The dependent variables are again arranged column-wise.</w:t>
      </w:r>
    </w:p>
    <w:p w14:paraId="6DB7D435" w14:textId="7D9FE34A" w:rsidR="00F90630" w:rsidRDefault="009D4D05" w:rsidP="005D7939">
      <w:pPr>
        <w:ind w:firstLine="720"/>
        <w:rPr>
          <w:rFonts w:cs="Times New Roman"/>
          <w:sz w:val="24"/>
          <w:szCs w:val="24"/>
        </w:rPr>
      </w:pPr>
      <w:r w:rsidRPr="008D3590">
        <w:rPr>
          <w:rFonts w:cs="Times New Roman"/>
          <w:sz w:val="24"/>
          <w:szCs w:val="24"/>
        </w:rPr>
        <w:t xml:space="preserve">For the </w:t>
      </w:r>
      <w:r w:rsidRPr="005D7939">
        <w:rPr>
          <w:rFonts w:cs="Times New Roman"/>
          <w:sz w:val="24"/>
          <w:szCs w:val="24"/>
          <w:u w:val="single"/>
        </w:rPr>
        <w:t>count</w:t>
      </w:r>
      <w:r w:rsidRPr="008D3590">
        <w:rPr>
          <w:rFonts w:cs="Times New Roman"/>
          <w:sz w:val="24"/>
          <w:szCs w:val="24"/>
        </w:rPr>
        <w:t xml:space="preserve"> outcomes (the number of activity episodes by purpose), the Table 4 coefficients represent the effects of the row exogenous variables on the thresholds in the generalized order</w:t>
      </w:r>
      <w:r w:rsidR="000D68AD" w:rsidRPr="008D3590">
        <w:rPr>
          <w:rFonts w:cs="Times New Roman"/>
          <w:sz w:val="24"/>
          <w:szCs w:val="24"/>
        </w:rPr>
        <w:t>e</w:t>
      </w:r>
      <w:r w:rsidRPr="008D3590">
        <w:rPr>
          <w:rFonts w:cs="Times New Roman"/>
          <w:sz w:val="24"/>
          <w:szCs w:val="24"/>
        </w:rPr>
        <w:t>d-response recasti</w:t>
      </w:r>
      <w:r w:rsidR="00BA2BA4" w:rsidRPr="008D3590">
        <w:rPr>
          <w:rFonts w:cs="Times New Roman"/>
          <w:sz w:val="24"/>
          <w:szCs w:val="24"/>
        </w:rPr>
        <w:t>ng of the count models (see Castro et al., 2012</w:t>
      </w:r>
      <w:r w:rsidRPr="008D3590">
        <w:rPr>
          <w:rFonts w:cs="Times New Roman"/>
          <w:sz w:val="24"/>
          <w:szCs w:val="24"/>
        </w:rPr>
        <w:t>), and the effects of endogenous variables (strictly recursive effects if present)</w:t>
      </w:r>
      <w:r w:rsidR="000C0308" w:rsidRPr="008D3590">
        <w:rPr>
          <w:rFonts w:cs="Times New Roman"/>
          <w:sz w:val="24"/>
          <w:szCs w:val="24"/>
          <w:lang w:eastAsia="zh-CN"/>
        </w:rPr>
        <w:t xml:space="preserve"> and </w:t>
      </w:r>
      <w:r w:rsidR="000C0308" w:rsidRPr="008D3590">
        <w:rPr>
          <w:rFonts w:cs="Times New Roman"/>
          <w:sz w:val="24"/>
          <w:szCs w:val="24"/>
        </w:rPr>
        <w:t>the latent constructs</w:t>
      </w:r>
      <w:r w:rsidRPr="008D3590">
        <w:rPr>
          <w:rFonts w:cs="Times New Roman"/>
          <w:sz w:val="24"/>
          <w:szCs w:val="24"/>
        </w:rPr>
        <w:t xml:space="preserve"> on the underlying latent propensity </w:t>
      </w:r>
      <w:r w:rsidR="007B068D" w:rsidRPr="008D3590">
        <w:rPr>
          <w:rFonts w:cs="Times New Roman"/>
          <w:sz w:val="24"/>
          <w:szCs w:val="24"/>
        </w:rPr>
        <w:t>of</w:t>
      </w:r>
      <w:r w:rsidRPr="008D3590">
        <w:rPr>
          <w:rFonts w:cs="Times New Roman"/>
          <w:sz w:val="24"/>
          <w:szCs w:val="24"/>
        </w:rPr>
        <w:t xml:space="preserve"> the count variable. </w:t>
      </w:r>
      <w:r w:rsidR="00BA2BA4" w:rsidRPr="008D3590">
        <w:rPr>
          <w:rFonts w:cs="Times New Roman"/>
          <w:sz w:val="24"/>
          <w:szCs w:val="24"/>
        </w:rPr>
        <w:t>Also, t</w:t>
      </w:r>
      <w:r w:rsidR="006315E0" w:rsidRPr="008D3590">
        <w:rPr>
          <w:rFonts w:cs="Times New Roman"/>
          <w:sz w:val="24"/>
          <w:szCs w:val="24"/>
        </w:rPr>
        <w:t xml:space="preserve">he constant coefficients </w:t>
      </w:r>
      <w:r w:rsidR="00BA2BA4" w:rsidRPr="008D3590">
        <w:rPr>
          <w:rFonts w:cs="Times New Roman"/>
          <w:sz w:val="24"/>
          <w:szCs w:val="24"/>
        </w:rPr>
        <w:t>for these count outcome variable</w:t>
      </w:r>
      <w:r w:rsidR="000C0308" w:rsidRPr="008D3590">
        <w:rPr>
          <w:rFonts w:cs="Times New Roman"/>
          <w:sz w:val="24"/>
          <w:szCs w:val="24"/>
          <w:lang w:eastAsia="zh-CN"/>
        </w:rPr>
        <w:t>s</w:t>
      </w:r>
      <w:r w:rsidR="00BA2BA4" w:rsidRPr="008D3590">
        <w:rPr>
          <w:rFonts w:cs="Times New Roman"/>
          <w:sz w:val="24"/>
          <w:szCs w:val="24"/>
        </w:rPr>
        <w:t xml:space="preserve"> </w:t>
      </w:r>
      <w:r w:rsidR="006315E0" w:rsidRPr="008D3590">
        <w:rPr>
          <w:rFonts w:cs="Times New Roman"/>
          <w:sz w:val="24"/>
          <w:szCs w:val="24"/>
        </w:rPr>
        <w:t xml:space="preserve">do not have any substantive interpretation. For the </w:t>
      </w:r>
      <w:r w:rsidR="00BA2BA4" w:rsidRPr="008D3590">
        <w:rPr>
          <w:rFonts w:cs="Times New Roman"/>
          <w:sz w:val="24"/>
          <w:szCs w:val="24"/>
        </w:rPr>
        <w:t xml:space="preserve">coefficients for the </w:t>
      </w:r>
      <w:r w:rsidR="006315E0" w:rsidRPr="008D3590">
        <w:rPr>
          <w:rFonts w:cs="Times New Roman"/>
          <w:sz w:val="24"/>
          <w:szCs w:val="24"/>
        </w:rPr>
        <w:t xml:space="preserve">other </w:t>
      </w:r>
      <w:r w:rsidR="00BA2BA4" w:rsidRPr="008D3590">
        <w:rPr>
          <w:rFonts w:cs="Times New Roman"/>
          <w:sz w:val="24"/>
          <w:szCs w:val="24"/>
        </w:rPr>
        <w:t xml:space="preserve">exogenous </w:t>
      </w:r>
      <w:r w:rsidR="006315E0" w:rsidRPr="008D3590">
        <w:rPr>
          <w:rFonts w:cs="Times New Roman"/>
          <w:sz w:val="24"/>
          <w:szCs w:val="24"/>
        </w:rPr>
        <w:t>variables, a positive coeffic</w:t>
      </w:r>
      <w:r w:rsidR="00BA2BA4" w:rsidRPr="008D3590">
        <w:rPr>
          <w:rFonts w:cs="Times New Roman"/>
          <w:sz w:val="24"/>
          <w:szCs w:val="24"/>
        </w:rPr>
        <w:t xml:space="preserve">ient </w:t>
      </w:r>
      <w:r w:rsidR="006315E0" w:rsidRPr="008D3590">
        <w:rPr>
          <w:rFonts w:cs="Times New Roman"/>
          <w:sz w:val="24"/>
          <w:szCs w:val="24"/>
        </w:rPr>
        <w:t>shifts all the thresholds toward the right of the count propensity scale, which has the effect of reducing the probab</w:t>
      </w:r>
      <w:r w:rsidR="00BA2BA4" w:rsidRPr="008D3590">
        <w:rPr>
          <w:rFonts w:cs="Times New Roman"/>
          <w:sz w:val="24"/>
          <w:szCs w:val="24"/>
        </w:rPr>
        <w:t>ility of the zero count (see Castro et al.</w:t>
      </w:r>
      <w:r w:rsidR="006315E0" w:rsidRPr="008D3590">
        <w:rPr>
          <w:rFonts w:cs="Times New Roman"/>
          <w:sz w:val="24"/>
          <w:szCs w:val="24"/>
        </w:rPr>
        <w:t>, 2012). On the other hand, a negative coefficient shifts all the thresholds to the left of the count propensity scale, which has the effect of increasing th</w:t>
      </w:r>
      <w:r w:rsidR="00BA2BA4" w:rsidRPr="008D3590">
        <w:rPr>
          <w:rFonts w:cs="Times New Roman"/>
          <w:sz w:val="24"/>
          <w:szCs w:val="24"/>
        </w:rPr>
        <w:t>e probability of the zero count</w:t>
      </w:r>
      <w:r w:rsidR="006315E0" w:rsidRPr="008D3590">
        <w:rPr>
          <w:rFonts w:cs="Times New Roman"/>
          <w:sz w:val="24"/>
          <w:szCs w:val="24"/>
        </w:rPr>
        <w:t xml:space="preserve">. </w:t>
      </w:r>
      <w:r w:rsidR="00BA2BA4" w:rsidRPr="008D3590">
        <w:rPr>
          <w:rFonts w:cs="Times New Roman"/>
          <w:sz w:val="24"/>
          <w:szCs w:val="24"/>
        </w:rPr>
        <w:t xml:space="preserve">In short, a positive coefficient increases the non-zero count, while a negative coefficient increases the zero count. </w:t>
      </w:r>
      <w:r w:rsidR="006315E0" w:rsidRPr="008D3590">
        <w:rPr>
          <w:rFonts w:cs="Times New Roman"/>
          <w:sz w:val="24"/>
          <w:szCs w:val="24"/>
        </w:rPr>
        <w:t xml:space="preserve"> In addition to the effects mentioned above, for each count variable, we </w:t>
      </w:r>
      <w:r w:rsidR="00BA2BA4" w:rsidRPr="008D3590">
        <w:rPr>
          <w:rFonts w:cs="Times New Roman"/>
          <w:sz w:val="24"/>
          <w:szCs w:val="24"/>
        </w:rPr>
        <w:lastRenderedPageBreak/>
        <w:t xml:space="preserve">tested a general count structure against a simpler Poisson structure. </w:t>
      </w:r>
      <w:r w:rsidR="006315E0" w:rsidRPr="008D3590">
        <w:rPr>
          <w:rFonts w:cs="Times New Roman"/>
          <w:sz w:val="24"/>
          <w:szCs w:val="24"/>
        </w:rPr>
        <w:t>In our empirical analysis, the final m</w:t>
      </w:r>
      <w:r w:rsidR="00BA2BA4" w:rsidRPr="008D3590">
        <w:rPr>
          <w:rFonts w:cs="Times New Roman"/>
          <w:sz w:val="24"/>
          <w:szCs w:val="24"/>
        </w:rPr>
        <w:t xml:space="preserve">odel specifications for all the </w:t>
      </w:r>
      <w:r w:rsidR="006315E0" w:rsidRPr="008D3590">
        <w:rPr>
          <w:rFonts w:cs="Times New Roman"/>
          <w:sz w:val="24"/>
          <w:szCs w:val="24"/>
        </w:rPr>
        <w:t>count outcomes collapsed to a Poisson generating process.</w:t>
      </w:r>
      <w:r w:rsidR="00F90630">
        <w:rPr>
          <w:rFonts w:cs="Times New Roman"/>
          <w:sz w:val="24"/>
          <w:szCs w:val="24"/>
        </w:rPr>
        <w:t xml:space="preserve"> </w:t>
      </w:r>
      <w:r w:rsidR="00E67919">
        <w:rPr>
          <w:rFonts w:cs="Times New Roman"/>
          <w:sz w:val="24"/>
          <w:szCs w:val="24"/>
        </w:rPr>
        <w:t xml:space="preserve">For the </w:t>
      </w:r>
      <w:r w:rsidR="00E67919" w:rsidRPr="005D7939">
        <w:rPr>
          <w:rFonts w:cs="Times New Roman"/>
          <w:sz w:val="24"/>
          <w:szCs w:val="24"/>
          <w:u w:val="single"/>
        </w:rPr>
        <w:t>ordinal</w:t>
      </w:r>
      <w:r w:rsidR="00E67919">
        <w:rPr>
          <w:rFonts w:cs="Times New Roman"/>
          <w:sz w:val="24"/>
          <w:szCs w:val="24"/>
        </w:rPr>
        <w:t xml:space="preserve"> variables (average duration of activities by purpose, </w:t>
      </w:r>
      <w:r w:rsidR="00C274A9">
        <w:rPr>
          <w:rFonts w:cs="Times New Roman"/>
          <w:sz w:val="24"/>
          <w:szCs w:val="24"/>
        </w:rPr>
        <w:t xml:space="preserve">motorized </w:t>
      </w:r>
      <w:r w:rsidR="00E67919">
        <w:rPr>
          <w:rFonts w:cs="Times New Roman"/>
          <w:sz w:val="24"/>
          <w:szCs w:val="24"/>
        </w:rPr>
        <w:t>vehicle availability, and average number of trips per tour), the coefficients represent the impact</w:t>
      </w:r>
      <w:r w:rsidR="00FC02EA">
        <w:rPr>
          <w:rFonts w:cs="Times New Roman"/>
          <w:sz w:val="24"/>
          <w:szCs w:val="24"/>
        </w:rPr>
        <w:t>s</w:t>
      </w:r>
      <w:r w:rsidR="00E67919">
        <w:rPr>
          <w:rFonts w:cs="Times New Roman"/>
          <w:sz w:val="24"/>
          <w:szCs w:val="24"/>
        </w:rPr>
        <w:t xml:space="preserve"> of the exogenous and endogenous variables on the continuous latent propensity</w:t>
      </w:r>
      <w:r w:rsidR="00FC02EA">
        <w:rPr>
          <w:rFonts w:cs="Times New Roman"/>
          <w:sz w:val="24"/>
          <w:szCs w:val="24"/>
        </w:rPr>
        <w:t>,</w:t>
      </w:r>
      <w:r w:rsidR="00E67919">
        <w:rPr>
          <w:rFonts w:cs="Times New Roman"/>
          <w:sz w:val="24"/>
          <w:szCs w:val="24"/>
        </w:rPr>
        <w:t xml:space="preserve"> as in a usual ordered response framework. </w:t>
      </w:r>
      <w:r w:rsidR="008532F8">
        <w:rPr>
          <w:rFonts w:cs="Times New Roman"/>
          <w:sz w:val="24"/>
          <w:szCs w:val="24"/>
        </w:rPr>
        <w:t xml:space="preserve">In the ordered response framework, there is a constant as well as </w:t>
      </w:r>
      <w:r w:rsidR="00FC02EA" w:rsidRPr="005D7939">
        <w:rPr>
          <w:rFonts w:cs="Times New Roman"/>
          <w:i/>
          <w:sz w:val="24"/>
          <w:szCs w:val="24"/>
        </w:rPr>
        <w:t>K</w:t>
      </w:r>
      <w:r w:rsidR="00FC02EA">
        <w:rPr>
          <w:rFonts w:cs="Times New Roman"/>
          <w:sz w:val="24"/>
          <w:szCs w:val="24"/>
        </w:rPr>
        <w:t xml:space="preserve">-1 thresholds, where </w:t>
      </w:r>
      <w:r w:rsidR="00FC02EA" w:rsidRPr="005D7939">
        <w:rPr>
          <w:rFonts w:cs="Times New Roman"/>
          <w:i/>
          <w:sz w:val="24"/>
          <w:szCs w:val="24"/>
        </w:rPr>
        <w:t>K</w:t>
      </w:r>
      <w:r w:rsidR="00FC02EA">
        <w:rPr>
          <w:rFonts w:cs="Times New Roman"/>
          <w:sz w:val="24"/>
          <w:szCs w:val="24"/>
        </w:rPr>
        <w:t xml:space="preserve"> is the number of ordinal categories. To save on space, we do not present the thresholds for the ordinal variables in Table 4, but these are presented in the online supplement. F</w:t>
      </w:r>
      <w:r w:rsidR="00BA2BA4" w:rsidRPr="008D3590">
        <w:rPr>
          <w:rFonts w:cs="Times New Roman"/>
          <w:sz w:val="24"/>
          <w:szCs w:val="24"/>
        </w:rPr>
        <w:t xml:space="preserve">or the </w:t>
      </w:r>
      <w:r w:rsidR="00BA2BA4" w:rsidRPr="005D7939">
        <w:rPr>
          <w:rFonts w:cs="Times New Roman"/>
          <w:sz w:val="24"/>
          <w:szCs w:val="24"/>
          <w:u w:val="single"/>
        </w:rPr>
        <w:t>continuous</w:t>
      </w:r>
      <w:r w:rsidR="00BA2BA4" w:rsidRPr="008D3590">
        <w:rPr>
          <w:rFonts w:cs="Times New Roman"/>
          <w:sz w:val="24"/>
          <w:szCs w:val="24"/>
        </w:rPr>
        <w:t xml:space="preserve"> variable (average trip distance within a tour), the coefficient effects are s</w:t>
      </w:r>
      <w:r w:rsidR="0037438E" w:rsidRPr="008D3590">
        <w:rPr>
          <w:rFonts w:cs="Times New Roman"/>
          <w:sz w:val="24"/>
          <w:szCs w:val="24"/>
          <w:lang w:eastAsia="zh-CN"/>
        </w:rPr>
        <w:t>t</w:t>
      </w:r>
      <w:r w:rsidR="00BA2BA4" w:rsidRPr="008D3590">
        <w:rPr>
          <w:rFonts w:cs="Times New Roman"/>
          <w:sz w:val="24"/>
          <w:szCs w:val="24"/>
        </w:rPr>
        <w:t xml:space="preserve">raightforward.  </w:t>
      </w:r>
    </w:p>
    <w:p w14:paraId="5FA00325" w14:textId="545B1CB4" w:rsidR="00FC02EA" w:rsidRPr="008D3590" w:rsidRDefault="00F90630" w:rsidP="00FC02EA">
      <w:pPr>
        <w:ind w:firstLine="720"/>
        <w:rPr>
          <w:rFonts w:cs="Times New Roman"/>
          <w:sz w:val="24"/>
          <w:szCs w:val="24"/>
          <w:lang w:eastAsia="zh-CN"/>
        </w:rPr>
      </w:pPr>
      <w:r>
        <w:rPr>
          <w:rFonts w:cs="Times New Roman"/>
          <w:sz w:val="24"/>
          <w:szCs w:val="24"/>
        </w:rPr>
        <w:t xml:space="preserve">Finally, </w:t>
      </w:r>
      <w:r w:rsidR="00FC02EA">
        <w:rPr>
          <w:rFonts w:cs="Times New Roman"/>
          <w:sz w:val="24"/>
          <w:szCs w:val="24"/>
        </w:rPr>
        <w:t>vehicle availability is introduced as a</w:t>
      </w:r>
      <w:r>
        <w:rPr>
          <w:rFonts w:cs="Times New Roman"/>
          <w:sz w:val="24"/>
          <w:szCs w:val="24"/>
        </w:rPr>
        <w:t xml:space="preserve"> determinant in other endogenous variables (as part of the endogenous effects)</w:t>
      </w:r>
      <w:r w:rsidR="00FC02EA">
        <w:rPr>
          <w:rFonts w:cs="Times New Roman"/>
          <w:sz w:val="24"/>
          <w:szCs w:val="24"/>
        </w:rPr>
        <w:t xml:space="preserve"> </w:t>
      </w:r>
      <w:r>
        <w:rPr>
          <w:rFonts w:cs="Times New Roman"/>
          <w:sz w:val="24"/>
          <w:szCs w:val="24"/>
        </w:rPr>
        <w:t xml:space="preserve">as a </w:t>
      </w:r>
      <w:r w:rsidR="00FC02EA">
        <w:rPr>
          <w:rFonts w:cs="Times New Roman"/>
          <w:sz w:val="24"/>
          <w:szCs w:val="24"/>
        </w:rPr>
        <w:t>simple binary variabl</w:t>
      </w:r>
      <w:r>
        <w:rPr>
          <w:rFonts w:cs="Times New Roman"/>
          <w:sz w:val="24"/>
          <w:szCs w:val="24"/>
        </w:rPr>
        <w:t xml:space="preserve">e, for the same reason as in the case of the VAG outcomes. </w:t>
      </w:r>
      <w:r w:rsidR="00C274A9">
        <w:rPr>
          <w:rFonts w:cs="Times New Roman"/>
          <w:sz w:val="24"/>
          <w:szCs w:val="24"/>
        </w:rPr>
        <w:t xml:space="preserve">Similar reasons are behind the introduction of other ordinal endogenous variables (frequency of working from home, frequency of food deliveries, and frequency of goods delivery) as binary variables when including recursive endogenous effects.  </w:t>
      </w:r>
    </w:p>
    <w:p w14:paraId="0CE275DA" w14:textId="77777777" w:rsidR="000D68AD" w:rsidRPr="008D3590" w:rsidRDefault="000D68AD" w:rsidP="005D7939">
      <w:pPr>
        <w:rPr>
          <w:rFonts w:cs="Times New Roman"/>
          <w:sz w:val="24"/>
          <w:szCs w:val="24"/>
        </w:rPr>
      </w:pPr>
    </w:p>
    <w:p w14:paraId="2154124A" w14:textId="42D6BF11" w:rsidR="003930C5" w:rsidRPr="008D3590" w:rsidRDefault="00252DC1" w:rsidP="005D7939">
      <w:pPr>
        <w:rPr>
          <w:rFonts w:cs="Times New Roman"/>
          <w:sz w:val="24"/>
          <w:szCs w:val="24"/>
        </w:rPr>
      </w:pPr>
      <w:r w:rsidRPr="008D3590">
        <w:rPr>
          <w:rFonts w:cs="Times New Roman"/>
          <w:b/>
          <w:sz w:val="24"/>
          <w:szCs w:val="24"/>
        </w:rPr>
        <w:t>Mandatory activit</w:t>
      </w:r>
      <w:r w:rsidR="00C274A9">
        <w:rPr>
          <w:rFonts w:cs="Times New Roman"/>
          <w:b/>
          <w:sz w:val="24"/>
          <w:szCs w:val="24"/>
        </w:rPr>
        <w:t>y episodes</w:t>
      </w:r>
      <w:r w:rsidR="00BC53A5">
        <w:rPr>
          <w:rFonts w:cs="Times New Roman"/>
          <w:b/>
          <w:sz w:val="24"/>
          <w:szCs w:val="24"/>
        </w:rPr>
        <w:t>:</w:t>
      </w:r>
      <w:r w:rsidR="00273F76" w:rsidRPr="008D3590">
        <w:rPr>
          <w:rFonts w:cs="Times New Roman"/>
          <w:b/>
          <w:sz w:val="24"/>
          <w:szCs w:val="24"/>
        </w:rPr>
        <w:t xml:space="preserve"> </w:t>
      </w:r>
      <w:r w:rsidR="00FD476E" w:rsidRPr="008D3590">
        <w:rPr>
          <w:rFonts w:cs="Times New Roman"/>
          <w:sz w:val="24"/>
          <w:szCs w:val="24"/>
        </w:rPr>
        <w:t>The results in Table 4 indicate that</w:t>
      </w:r>
      <w:r w:rsidR="00FD476E" w:rsidRPr="008D3590">
        <w:rPr>
          <w:rFonts w:cs="Times New Roman"/>
          <w:b/>
          <w:sz w:val="24"/>
          <w:szCs w:val="24"/>
        </w:rPr>
        <w:t xml:space="preserve"> </w:t>
      </w:r>
      <w:r w:rsidR="00FD476E" w:rsidRPr="008D3590">
        <w:rPr>
          <w:rFonts w:cs="Times New Roman"/>
          <w:sz w:val="24"/>
          <w:szCs w:val="24"/>
        </w:rPr>
        <w:t xml:space="preserve">women with children are associated with </w:t>
      </w:r>
      <w:r w:rsidR="00544EFA" w:rsidRPr="008D3590">
        <w:rPr>
          <w:rFonts w:cs="Times New Roman"/>
          <w:sz w:val="24"/>
          <w:szCs w:val="24"/>
        </w:rPr>
        <w:t xml:space="preserve">fewer work episodes than women </w:t>
      </w:r>
      <w:r w:rsidR="00FD476E" w:rsidRPr="008D3590">
        <w:rPr>
          <w:rFonts w:cs="Times New Roman"/>
          <w:sz w:val="24"/>
          <w:szCs w:val="24"/>
        </w:rPr>
        <w:t>without children or men</w:t>
      </w:r>
      <w:r w:rsidR="00A002FB">
        <w:rPr>
          <w:rFonts w:cs="Times New Roman"/>
          <w:sz w:val="24"/>
          <w:szCs w:val="24"/>
        </w:rPr>
        <w:t xml:space="preserve">. This may </w:t>
      </w:r>
      <w:r w:rsidR="006B08C4">
        <w:rPr>
          <w:rFonts w:cs="Times New Roman"/>
          <w:sz w:val="24"/>
          <w:szCs w:val="24"/>
        </w:rPr>
        <w:t>be explained by</w:t>
      </w:r>
      <w:r w:rsidR="00FD476E" w:rsidRPr="008D3590">
        <w:rPr>
          <w:rFonts w:cs="Times New Roman"/>
          <w:sz w:val="24"/>
          <w:szCs w:val="24"/>
        </w:rPr>
        <w:t xml:space="preserve"> </w:t>
      </w:r>
      <w:r w:rsidR="001B1370">
        <w:rPr>
          <w:rFonts w:cs="Times New Roman"/>
          <w:sz w:val="24"/>
          <w:szCs w:val="24"/>
        </w:rPr>
        <w:t xml:space="preserve">the </w:t>
      </w:r>
      <w:r w:rsidR="00FD476E" w:rsidRPr="008D3590">
        <w:rPr>
          <w:rFonts w:cs="Times New Roman"/>
          <w:sz w:val="24"/>
          <w:szCs w:val="24"/>
        </w:rPr>
        <w:t>traditional</w:t>
      </w:r>
      <w:r w:rsidR="001B1370">
        <w:rPr>
          <w:rFonts w:cs="Times New Roman"/>
          <w:sz w:val="24"/>
          <w:szCs w:val="24"/>
        </w:rPr>
        <w:t xml:space="preserve"> societal role/expectation of mothers as the primary caregivers of children. I</w:t>
      </w:r>
      <w:r w:rsidR="006B08C4">
        <w:rPr>
          <w:rFonts w:cs="Times New Roman"/>
          <w:sz w:val="24"/>
          <w:szCs w:val="24"/>
        </w:rPr>
        <w:t xml:space="preserve">t </w:t>
      </w:r>
      <w:r w:rsidR="001B1370">
        <w:rPr>
          <w:rFonts w:cs="Times New Roman"/>
          <w:sz w:val="24"/>
          <w:szCs w:val="24"/>
        </w:rPr>
        <w:t>may</w:t>
      </w:r>
      <w:r w:rsidR="006B08C4">
        <w:rPr>
          <w:rFonts w:cs="Times New Roman"/>
          <w:sz w:val="24"/>
          <w:szCs w:val="24"/>
        </w:rPr>
        <w:t xml:space="preserve"> also be a consequence of lower levels of work fragmentation, as discussed later</w:t>
      </w:r>
      <w:r w:rsidR="00FD476E" w:rsidRPr="008D3590">
        <w:rPr>
          <w:rFonts w:cs="Times New Roman"/>
          <w:sz w:val="24"/>
          <w:szCs w:val="24"/>
        </w:rPr>
        <w:t xml:space="preserve">. </w:t>
      </w:r>
      <w:r w:rsidR="008E3090" w:rsidRPr="008D3590">
        <w:rPr>
          <w:rFonts w:cs="Times New Roman"/>
          <w:sz w:val="24"/>
          <w:szCs w:val="24"/>
        </w:rPr>
        <w:t>Employment related variables</w:t>
      </w:r>
      <w:r w:rsidR="001B1370">
        <w:rPr>
          <w:rFonts w:cs="Times New Roman"/>
          <w:sz w:val="24"/>
          <w:szCs w:val="24"/>
        </w:rPr>
        <w:t>,</w:t>
      </w:r>
      <w:r w:rsidR="008E3090" w:rsidRPr="008D3590">
        <w:rPr>
          <w:rFonts w:cs="Times New Roman"/>
          <w:sz w:val="24"/>
          <w:szCs w:val="24"/>
        </w:rPr>
        <w:t xml:space="preserve"> such as</w:t>
      </w:r>
      <w:r w:rsidR="008E3090" w:rsidRPr="008D3590">
        <w:rPr>
          <w:rFonts w:cs="Times New Roman"/>
          <w:b/>
          <w:sz w:val="24"/>
          <w:szCs w:val="24"/>
        </w:rPr>
        <w:t xml:space="preserve"> </w:t>
      </w:r>
      <w:r w:rsidR="008E3090" w:rsidRPr="008D3590">
        <w:rPr>
          <w:rFonts w:cs="Times New Roman"/>
          <w:sz w:val="24"/>
          <w:szCs w:val="24"/>
        </w:rPr>
        <w:t>employment status (part-time versus</w:t>
      </w:r>
      <w:r w:rsidR="00273F76" w:rsidRPr="008D3590">
        <w:rPr>
          <w:rFonts w:cs="Times New Roman"/>
          <w:sz w:val="24"/>
          <w:szCs w:val="24"/>
        </w:rPr>
        <w:t xml:space="preserve"> </w:t>
      </w:r>
      <w:r w:rsidR="008E3090" w:rsidRPr="008D3590">
        <w:rPr>
          <w:rFonts w:cs="Times New Roman"/>
          <w:sz w:val="24"/>
          <w:szCs w:val="24"/>
        </w:rPr>
        <w:t>full-time) and employment type (employee</w:t>
      </w:r>
      <w:r w:rsidR="00273F76" w:rsidRPr="008D3590">
        <w:rPr>
          <w:rFonts w:cs="Times New Roman"/>
          <w:sz w:val="24"/>
          <w:szCs w:val="24"/>
        </w:rPr>
        <w:t xml:space="preserve"> versus</w:t>
      </w:r>
      <w:r w:rsidR="008E3090" w:rsidRPr="008D3590">
        <w:rPr>
          <w:rFonts w:cs="Times New Roman"/>
          <w:sz w:val="24"/>
          <w:szCs w:val="24"/>
        </w:rPr>
        <w:t xml:space="preserve"> self-employed)</w:t>
      </w:r>
      <w:r w:rsidR="001B1370">
        <w:rPr>
          <w:rFonts w:cs="Times New Roman"/>
          <w:sz w:val="24"/>
          <w:szCs w:val="24"/>
        </w:rPr>
        <w:t>,</w:t>
      </w:r>
      <w:r w:rsidR="008E3090" w:rsidRPr="008D3590">
        <w:rPr>
          <w:rFonts w:cs="Times New Roman"/>
          <w:sz w:val="24"/>
          <w:szCs w:val="24"/>
        </w:rPr>
        <w:t xml:space="preserve"> are good indicators of spatiotemporal characteristics associated with the work activity. As expected, part-time workers tend to </w:t>
      </w:r>
      <w:r w:rsidR="00612464" w:rsidRPr="008D3590">
        <w:rPr>
          <w:rFonts w:cs="Times New Roman"/>
          <w:sz w:val="24"/>
          <w:szCs w:val="24"/>
        </w:rPr>
        <w:t xml:space="preserve">have fewer work episodes </w:t>
      </w:r>
      <w:r w:rsidR="008E3090" w:rsidRPr="008D3590">
        <w:rPr>
          <w:rFonts w:cs="Times New Roman"/>
          <w:sz w:val="24"/>
          <w:szCs w:val="24"/>
        </w:rPr>
        <w:t xml:space="preserve">than full-time workers. We do not observe a significant effect on average work activity </w:t>
      </w:r>
      <w:r w:rsidR="006E56CD" w:rsidRPr="008D3590">
        <w:rPr>
          <w:rFonts w:cs="Times New Roman"/>
          <w:sz w:val="24"/>
          <w:szCs w:val="24"/>
        </w:rPr>
        <w:t xml:space="preserve">episode </w:t>
      </w:r>
      <w:r w:rsidR="008E3090" w:rsidRPr="008D3590">
        <w:rPr>
          <w:rFonts w:cs="Times New Roman"/>
          <w:sz w:val="24"/>
          <w:szCs w:val="24"/>
        </w:rPr>
        <w:t xml:space="preserve">duration, which may be a consequence of full-time workers leaving the office for lunch and breaking the work activity in two </w:t>
      </w:r>
      <w:r w:rsidR="00612464" w:rsidRPr="008D3590">
        <w:rPr>
          <w:rFonts w:cs="Times New Roman"/>
          <w:sz w:val="24"/>
          <w:szCs w:val="24"/>
        </w:rPr>
        <w:t>episodes</w:t>
      </w:r>
      <w:r w:rsidR="00947E24" w:rsidRPr="008D3590">
        <w:rPr>
          <w:rFonts w:cs="Times New Roman"/>
          <w:sz w:val="24"/>
          <w:szCs w:val="24"/>
        </w:rPr>
        <w:t xml:space="preserve"> that can be equivalent to a part-time shift</w:t>
      </w:r>
      <w:r w:rsidR="008E3090" w:rsidRPr="008D3590">
        <w:rPr>
          <w:rFonts w:cs="Times New Roman"/>
          <w:sz w:val="24"/>
          <w:szCs w:val="24"/>
        </w:rPr>
        <w:t xml:space="preserve">. </w:t>
      </w:r>
      <w:r w:rsidR="00FE707E" w:rsidRPr="008D3590">
        <w:rPr>
          <w:rFonts w:cs="Times New Roman"/>
          <w:sz w:val="24"/>
          <w:szCs w:val="24"/>
        </w:rPr>
        <w:t>We interacted gender with employment status and</w:t>
      </w:r>
      <w:r w:rsidR="001B3DAB" w:rsidRPr="008D3590">
        <w:rPr>
          <w:rFonts w:cs="Times New Roman"/>
          <w:sz w:val="24"/>
          <w:szCs w:val="24"/>
        </w:rPr>
        <w:t xml:space="preserve"> </w:t>
      </w:r>
      <w:r w:rsidR="00FE707E" w:rsidRPr="008D3590">
        <w:rPr>
          <w:rFonts w:cs="Times New Roman"/>
          <w:sz w:val="24"/>
          <w:szCs w:val="24"/>
        </w:rPr>
        <w:t xml:space="preserve">observe that full-time </w:t>
      </w:r>
      <w:r w:rsidR="00612464" w:rsidRPr="008D3590">
        <w:rPr>
          <w:rFonts w:cs="Times New Roman"/>
          <w:sz w:val="24"/>
          <w:szCs w:val="24"/>
        </w:rPr>
        <w:t>working women</w:t>
      </w:r>
      <w:r w:rsidR="00FE707E" w:rsidRPr="008D3590">
        <w:rPr>
          <w:rFonts w:cs="Times New Roman"/>
          <w:sz w:val="24"/>
          <w:szCs w:val="24"/>
        </w:rPr>
        <w:t xml:space="preserve"> </w:t>
      </w:r>
      <w:r w:rsidR="00612464" w:rsidRPr="008D3590">
        <w:rPr>
          <w:rFonts w:cs="Times New Roman"/>
          <w:sz w:val="24"/>
          <w:szCs w:val="24"/>
        </w:rPr>
        <w:t>have</w:t>
      </w:r>
      <w:r w:rsidR="00FE707E" w:rsidRPr="008D3590">
        <w:rPr>
          <w:rFonts w:cs="Times New Roman"/>
          <w:sz w:val="24"/>
          <w:szCs w:val="24"/>
        </w:rPr>
        <w:t xml:space="preserve"> longer average duration of mandatory activit</w:t>
      </w:r>
      <w:r w:rsidR="00612464" w:rsidRPr="008D3590">
        <w:rPr>
          <w:rFonts w:cs="Times New Roman"/>
          <w:sz w:val="24"/>
          <w:szCs w:val="24"/>
        </w:rPr>
        <w:t>y episodes</w:t>
      </w:r>
      <w:r w:rsidR="00FE707E" w:rsidRPr="008D3590">
        <w:rPr>
          <w:rFonts w:cs="Times New Roman"/>
          <w:sz w:val="24"/>
          <w:szCs w:val="24"/>
        </w:rPr>
        <w:t xml:space="preserve"> compared to part-time </w:t>
      </w:r>
      <w:r w:rsidR="00612464" w:rsidRPr="008D3590">
        <w:rPr>
          <w:rFonts w:cs="Times New Roman"/>
          <w:sz w:val="24"/>
          <w:szCs w:val="24"/>
        </w:rPr>
        <w:t>working women</w:t>
      </w:r>
      <w:r w:rsidR="00FE707E" w:rsidRPr="008D3590">
        <w:rPr>
          <w:rFonts w:cs="Times New Roman"/>
          <w:sz w:val="24"/>
          <w:szCs w:val="24"/>
        </w:rPr>
        <w:t xml:space="preserve"> and full</w:t>
      </w:r>
      <w:r w:rsidR="00273F76" w:rsidRPr="008D3590">
        <w:rPr>
          <w:rFonts w:cs="Times New Roman"/>
          <w:sz w:val="24"/>
          <w:szCs w:val="24"/>
        </w:rPr>
        <w:t>-</w:t>
      </w:r>
      <w:r w:rsidR="00FE707E" w:rsidRPr="008D3590">
        <w:rPr>
          <w:rFonts w:cs="Times New Roman"/>
          <w:sz w:val="24"/>
          <w:szCs w:val="24"/>
        </w:rPr>
        <w:t xml:space="preserve"> or part-time </w:t>
      </w:r>
      <w:r w:rsidR="00612464" w:rsidRPr="008D3590">
        <w:rPr>
          <w:rFonts w:cs="Times New Roman"/>
          <w:sz w:val="24"/>
          <w:szCs w:val="24"/>
        </w:rPr>
        <w:t>working men</w:t>
      </w:r>
      <w:r w:rsidR="00FE707E" w:rsidRPr="008D3590">
        <w:rPr>
          <w:rFonts w:cs="Times New Roman"/>
          <w:sz w:val="24"/>
          <w:szCs w:val="24"/>
        </w:rPr>
        <w:t xml:space="preserve">. </w:t>
      </w:r>
      <w:r w:rsidR="00612464" w:rsidRPr="008D3590">
        <w:rPr>
          <w:rFonts w:cs="Times New Roman"/>
          <w:sz w:val="24"/>
          <w:szCs w:val="24"/>
        </w:rPr>
        <w:t>T</w:t>
      </w:r>
      <w:r w:rsidR="00FE707E" w:rsidRPr="008D3590">
        <w:rPr>
          <w:rFonts w:cs="Times New Roman"/>
          <w:sz w:val="24"/>
          <w:szCs w:val="24"/>
        </w:rPr>
        <w:t xml:space="preserve">ogether with the previous </w:t>
      </w:r>
      <w:r w:rsidR="00612464" w:rsidRPr="008D3590">
        <w:rPr>
          <w:rFonts w:cs="Times New Roman"/>
          <w:sz w:val="24"/>
          <w:szCs w:val="24"/>
        </w:rPr>
        <w:t>result</w:t>
      </w:r>
      <w:r w:rsidR="00FE707E" w:rsidRPr="008D3590">
        <w:rPr>
          <w:rFonts w:cs="Times New Roman"/>
          <w:sz w:val="24"/>
          <w:szCs w:val="24"/>
        </w:rPr>
        <w:t xml:space="preserve">, </w:t>
      </w:r>
      <w:r w:rsidR="00612464" w:rsidRPr="008D3590">
        <w:rPr>
          <w:rFonts w:cs="Times New Roman"/>
          <w:sz w:val="24"/>
          <w:szCs w:val="24"/>
        </w:rPr>
        <w:t xml:space="preserve">the implication is that </w:t>
      </w:r>
      <w:r w:rsidR="00FE707E" w:rsidRPr="008D3590">
        <w:rPr>
          <w:rFonts w:cs="Times New Roman"/>
          <w:sz w:val="24"/>
          <w:szCs w:val="24"/>
        </w:rPr>
        <w:t>full-time</w:t>
      </w:r>
      <w:r w:rsidR="00612464" w:rsidRPr="008D3590">
        <w:rPr>
          <w:rFonts w:cs="Times New Roman"/>
          <w:sz w:val="24"/>
          <w:szCs w:val="24"/>
        </w:rPr>
        <w:t xml:space="preserve"> working women </w:t>
      </w:r>
      <w:r w:rsidR="00FE707E" w:rsidRPr="008D3590">
        <w:rPr>
          <w:rFonts w:cs="Times New Roman"/>
          <w:sz w:val="24"/>
          <w:szCs w:val="24"/>
        </w:rPr>
        <w:t xml:space="preserve">have less flexibility to fragment temporally their work activities compared to full-time </w:t>
      </w:r>
      <w:r w:rsidR="00612464" w:rsidRPr="008D3590">
        <w:rPr>
          <w:rFonts w:cs="Times New Roman"/>
          <w:sz w:val="24"/>
          <w:szCs w:val="24"/>
        </w:rPr>
        <w:t xml:space="preserve">working </w:t>
      </w:r>
      <w:r w:rsidR="00FE707E" w:rsidRPr="008D3590">
        <w:rPr>
          <w:rFonts w:cs="Times New Roman"/>
          <w:sz w:val="24"/>
          <w:szCs w:val="24"/>
        </w:rPr>
        <w:t>m</w:t>
      </w:r>
      <w:r w:rsidR="00612464" w:rsidRPr="008D3590">
        <w:rPr>
          <w:rFonts w:cs="Times New Roman"/>
          <w:sz w:val="24"/>
          <w:szCs w:val="24"/>
        </w:rPr>
        <w:t>en</w:t>
      </w:r>
      <w:r w:rsidR="00FE707E" w:rsidRPr="008D3590">
        <w:rPr>
          <w:rFonts w:cs="Times New Roman"/>
          <w:sz w:val="24"/>
          <w:szCs w:val="24"/>
        </w:rPr>
        <w:t xml:space="preserve">. </w:t>
      </w:r>
      <w:r w:rsidR="00C67483" w:rsidRPr="008D3590">
        <w:rPr>
          <w:rFonts w:cs="Times New Roman"/>
          <w:sz w:val="24"/>
          <w:szCs w:val="24"/>
        </w:rPr>
        <w:t xml:space="preserve">This diminished </w:t>
      </w:r>
      <w:r w:rsidR="00612464" w:rsidRPr="008D3590">
        <w:rPr>
          <w:rFonts w:cs="Times New Roman"/>
          <w:sz w:val="24"/>
          <w:szCs w:val="24"/>
        </w:rPr>
        <w:t xml:space="preserve">ability to </w:t>
      </w:r>
      <w:r w:rsidR="00C67483" w:rsidRPr="008D3590">
        <w:rPr>
          <w:rFonts w:cs="Times New Roman"/>
          <w:sz w:val="24"/>
          <w:szCs w:val="24"/>
        </w:rPr>
        <w:t>fragment</w:t>
      </w:r>
      <w:r w:rsidR="00612464" w:rsidRPr="008D3590">
        <w:rPr>
          <w:rFonts w:cs="Times New Roman"/>
          <w:sz w:val="24"/>
          <w:szCs w:val="24"/>
        </w:rPr>
        <w:t xml:space="preserve"> work</w:t>
      </w:r>
      <w:r w:rsidR="00C67483" w:rsidRPr="008D3590">
        <w:rPr>
          <w:rFonts w:cs="Times New Roman"/>
          <w:sz w:val="24"/>
          <w:szCs w:val="24"/>
        </w:rPr>
        <w:t xml:space="preserve"> </w:t>
      </w:r>
      <w:r w:rsidR="00612464" w:rsidRPr="008D3590">
        <w:rPr>
          <w:rFonts w:cs="Times New Roman"/>
          <w:sz w:val="24"/>
          <w:szCs w:val="24"/>
        </w:rPr>
        <w:lastRenderedPageBreak/>
        <w:t>may</w:t>
      </w:r>
      <w:r w:rsidR="00C67483" w:rsidRPr="008D3590">
        <w:rPr>
          <w:rFonts w:cs="Times New Roman"/>
          <w:sz w:val="24"/>
          <w:szCs w:val="24"/>
        </w:rPr>
        <w:t xml:space="preserve"> be associated with the nature of the jobs that </w:t>
      </w:r>
      <w:r w:rsidR="00612464" w:rsidRPr="008D3590">
        <w:rPr>
          <w:rFonts w:cs="Times New Roman"/>
          <w:sz w:val="24"/>
          <w:szCs w:val="24"/>
        </w:rPr>
        <w:t>women</w:t>
      </w:r>
      <w:r w:rsidR="00C67483" w:rsidRPr="008D3590">
        <w:rPr>
          <w:rFonts w:cs="Times New Roman"/>
          <w:sz w:val="24"/>
          <w:szCs w:val="24"/>
        </w:rPr>
        <w:t xml:space="preserve"> predominantly </w:t>
      </w:r>
      <w:r w:rsidR="00F06A8E" w:rsidRPr="008D3590">
        <w:rPr>
          <w:rFonts w:cs="Times New Roman"/>
          <w:sz w:val="24"/>
          <w:szCs w:val="24"/>
        </w:rPr>
        <w:t>hold</w:t>
      </w:r>
      <w:r w:rsidR="00090A6E" w:rsidRPr="008D3590">
        <w:rPr>
          <w:rFonts w:cs="Times New Roman"/>
          <w:sz w:val="24"/>
          <w:szCs w:val="24"/>
          <w:lang w:eastAsia="zh-CN"/>
        </w:rPr>
        <w:t xml:space="preserve"> </w:t>
      </w:r>
      <w:r w:rsidR="007B0716" w:rsidRPr="008D3590">
        <w:rPr>
          <w:rFonts w:cs="Times New Roman"/>
          <w:sz w:val="24"/>
          <w:szCs w:val="24"/>
          <w:lang w:eastAsia="zh-CN"/>
        </w:rPr>
        <w:t xml:space="preserve">(ONS, 2013, </w:t>
      </w:r>
      <w:r w:rsidR="007B0716" w:rsidRPr="00D06F0A">
        <w:rPr>
          <w:rFonts w:cs="Times New Roman"/>
          <w:sz w:val="24"/>
          <w:szCs w:val="24"/>
          <w:lang w:eastAsia="zh-CN"/>
        </w:rPr>
        <w:t xml:space="preserve">ONS, </w:t>
      </w:r>
      <w:r w:rsidR="001B1E06" w:rsidRPr="00D06F0A">
        <w:rPr>
          <w:rFonts w:cs="Times New Roman"/>
          <w:sz w:val="24"/>
          <w:szCs w:val="24"/>
          <w:lang w:eastAsia="zh-CN"/>
        </w:rPr>
        <w:t>2016</w:t>
      </w:r>
      <w:r w:rsidR="001B1E06">
        <w:rPr>
          <w:rFonts w:cs="Times New Roman"/>
          <w:sz w:val="24"/>
          <w:szCs w:val="24"/>
          <w:lang w:eastAsia="zh-CN"/>
        </w:rPr>
        <w:t>b</w:t>
      </w:r>
      <w:r w:rsidR="007B0716" w:rsidRPr="008D3590">
        <w:rPr>
          <w:rFonts w:cs="Times New Roman"/>
          <w:sz w:val="24"/>
          <w:szCs w:val="24"/>
          <w:lang w:eastAsia="zh-CN"/>
        </w:rPr>
        <w:t>, and</w:t>
      </w:r>
      <w:r w:rsidR="00090A6E" w:rsidRPr="008D3590">
        <w:rPr>
          <w:rFonts w:cs="Times New Roman"/>
          <w:sz w:val="24"/>
          <w:szCs w:val="24"/>
          <w:lang w:eastAsia="zh-CN"/>
        </w:rPr>
        <w:t xml:space="preserve"> ILO, 2016)</w:t>
      </w:r>
      <w:r w:rsidR="00C67483" w:rsidRPr="008D3590">
        <w:rPr>
          <w:rFonts w:cs="Times New Roman"/>
          <w:sz w:val="24"/>
          <w:szCs w:val="24"/>
        </w:rPr>
        <w:t xml:space="preserve">, or the elimination of the lunch break in exchange for leaving earlier to meet other </w:t>
      </w:r>
      <w:r w:rsidR="000D68AD" w:rsidRPr="008D3590">
        <w:rPr>
          <w:rFonts w:cs="Times New Roman"/>
          <w:sz w:val="24"/>
          <w:szCs w:val="24"/>
        </w:rPr>
        <w:t xml:space="preserve">household </w:t>
      </w:r>
      <w:r w:rsidR="00C67483" w:rsidRPr="008D3590">
        <w:rPr>
          <w:rFonts w:cs="Times New Roman"/>
          <w:sz w:val="24"/>
          <w:szCs w:val="24"/>
        </w:rPr>
        <w:t>responsibilities (</w:t>
      </w:r>
      <w:r w:rsidR="007B0716" w:rsidRPr="008D3590">
        <w:rPr>
          <w:rFonts w:cs="Times New Roman"/>
          <w:sz w:val="24"/>
          <w:szCs w:val="24"/>
        </w:rPr>
        <w:t>Johnson et al., 2013</w:t>
      </w:r>
      <w:r w:rsidR="00447432">
        <w:rPr>
          <w:rFonts w:cs="Times New Roman"/>
          <w:sz w:val="24"/>
          <w:szCs w:val="24"/>
        </w:rPr>
        <w:t>;</w:t>
      </w:r>
      <w:r w:rsidR="007B0716" w:rsidRPr="008D3590">
        <w:rPr>
          <w:rFonts w:cs="Times New Roman"/>
          <w:sz w:val="24"/>
          <w:szCs w:val="24"/>
        </w:rPr>
        <w:t xml:space="preserve"> </w:t>
      </w:r>
      <w:r w:rsidR="00020DB0" w:rsidRPr="008D3590">
        <w:rPr>
          <w:rFonts w:cs="Times New Roman"/>
          <w:sz w:val="24"/>
          <w:szCs w:val="24"/>
        </w:rPr>
        <w:t>Fan, 2017</w:t>
      </w:r>
      <w:r w:rsidR="00C67483" w:rsidRPr="008D3590">
        <w:rPr>
          <w:rFonts w:cs="Times New Roman"/>
          <w:sz w:val="24"/>
          <w:szCs w:val="24"/>
        </w:rPr>
        <w:t>).</w:t>
      </w:r>
      <w:r w:rsidR="008A3701" w:rsidRPr="008D3590">
        <w:rPr>
          <w:rFonts w:cs="Times New Roman"/>
          <w:sz w:val="24"/>
          <w:szCs w:val="24"/>
        </w:rPr>
        <w:t xml:space="preserve"> </w:t>
      </w:r>
      <w:r w:rsidR="00F06A8E" w:rsidRPr="008D3590">
        <w:rPr>
          <w:rFonts w:cs="Times New Roman"/>
          <w:sz w:val="24"/>
          <w:szCs w:val="24"/>
        </w:rPr>
        <w:t>There is no statistically significant difference between s</w:t>
      </w:r>
      <w:r w:rsidR="00FE707E" w:rsidRPr="008D3590">
        <w:rPr>
          <w:rFonts w:cs="Times New Roman"/>
          <w:sz w:val="24"/>
          <w:szCs w:val="24"/>
        </w:rPr>
        <w:t xml:space="preserve">elf-employed individuals </w:t>
      </w:r>
      <w:r w:rsidR="00F06A8E" w:rsidRPr="008D3590">
        <w:rPr>
          <w:rFonts w:cs="Times New Roman"/>
          <w:sz w:val="24"/>
          <w:szCs w:val="24"/>
        </w:rPr>
        <w:t xml:space="preserve">and employees </w:t>
      </w:r>
      <w:r w:rsidR="00F06A8E" w:rsidRPr="008D3590">
        <w:rPr>
          <w:rFonts w:cs="Times New Roman"/>
          <w:sz w:val="24"/>
          <w:szCs w:val="24"/>
          <w:lang w:eastAsia="zh-CN"/>
        </w:rPr>
        <w:t xml:space="preserve">in </w:t>
      </w:r>
      <w:r w:rsidR="00E06CA9" w:rsidRPr="008D3590">
        <w:rPr>
          <w:rFonts w:cs="Times New Roman"/>
          <w:sz w:val="24"/>
          <w:szCs w:val="24"/>
          <w:lang w:eastAsia="zh-CN"/>
        </w:rPr>
        <w:t>the number of</w:t>
      </w:r>
      <w:r w:rsidR="00FE707E" w:rsidRPr="008D3590">
        <w:rPr>
          <w:rFonts w:cs="Times New Roman"/>
          <w:sz w:val="24"/>
          <w:szCs w:val="24"/>
        </w:rPr>
        <w:t xml:space="preserve"> work </w:t>
      </w:r>
      <w:r w:rsidR="00FD476E" w:rsidRPr="008D3590">
        <w:rPr>
          <w:rFonts w:cs="Times New Roman"/>
          <w:sz w:val="24"/>
          <w:szCs w:val="24"/>
        </w:rPr>
        <w:t>episodes</w:t>
      </w:r>
      <w:r w:rsidR="00E06CA9" w:rsidRPr="008D3590">
        <w:rPr>
          <w:rFonts w:cs="Times New Roman"/>
          <w:sz w:val="24"/>
          <w:szCs w:val="24"/>
          <w:lang w:eastAsia="zh-CN"/>
        </w:rPr>
        <w:t>, but</w:t>
      </w:r>
      <w:r w:rsidR="00FE707E" w:rsidRPr="008D3590">
        <w:rPr>
          <w:rFonts w:cs="Times New Roman"/>
          <w:sz w:val="24"/>
          <w:szCs w:val="24"/>
        </w:rPr>
        <w:t xml:space="preserve"> </w:t>
      </w:r>
      <w:r w:rsidR="00F06A8E" w:rsidRPr="008D3590">
        <w:rPr>
          <w:rFonts w:cs="Times New Roman"/>
          <w:sz w:val="24"/>
          <w:szCs w:val="24"/>
        </w:rPr>
        <w:t xml:space="preserve">self-employed individuals </w:t>
      </w:r>
      <w:r w:rsidR="00FD476E" w:rsidRPr="008D3590">
        <w:rPr>
          <w:rFonts w:cs="Times New Roman"/>
          <w:sz w:val="24"/>
          <w:szCs w:val="24"/>
        </w:rPr>
        <w:t xml:space="preserve">have </w:t>
      </w:r>
      <w:r w:rsidR="00FE707E" w:rsidRPr="008D3590">
        <w:rPr>
          <w:rFonts w:cs="Times New Roman"/>
          <w:sz w:val="24"/>
          <w:szCs w:val="24"/>
        </w:rPr>
        <w:t xml:space="preserve">a </w:t>
      </w:r>
      <w:r w:rsidR="00664568" w:rsidRPr="008D3590">
        <w:rPr>
          <w:rFonts w:cs="Times New Roman"/>
          <w:sz w:val="24"/>
          <w:szCs w:val="24"/>
          <w:lang w:eastAsia="zh-CN"/>
        </w:rPr>
        <w:t>lower</w:t>
      </w:r>
      <w:r w:rsidR="00FE707E" w:rsidRPr="008D3590">
        <w:rPr>
          <w:rFonts w:cs="Times New Roman"/>
          <w:sz w:val="24"/>
          <w:szCs w:val="24"/>
        </w:rPr>
        <w:t xml:space="preserve"> average</w:t>
      </w:r>
      <w:r w:rsidR="00664568" w:rsidRPr="008D3590">
        <w:rPr>
          <w:rFonts w:cs="Times New Roman"/>
          <w:sz w:val="24"/>
          <w:szCs w:val="24"/>
          <w:lang w:eastAsia="zh-CN"/>
        </w:rPr>
        <w:t xml:space="preserve"> duration</w:t>
      </w:r>
      <w:r w:rsidR="00FE707E" w:rsidRPr="008D3590">
        <w:rPr>
          <w:rFonts w:cs="Times New Roman"/>
          <w:sz w:val="24"/>
          <w:szCs w:val="24"/>
        </w:rPr>
        <w:t xml:space="preserve"> of each </w:t>
      </w:r>
      <w:r w:rsidR="00FD476E" w:rsidRPr="008D3590">
        <w:rPr>
          <w:rFonts w:cs="Times New Roman"/>
          <w:sz w:val="24"/>
          <w:szCs w:val="24"/>
        </w:rPr>
        <w:t>work episode</w:t>
      </w:r>
      <w:r w:rsidR="00E06CA9" w:rsidRPr="008D3590">
        <w:rPr>
          <w:rFonts w:cs="Times New Roman"/>
          <w:sz w:val="24"/>
          <w:szCs w:val="24"/>
          <w:lang w:eastAsia="zh-CN"/>
        </w:rPr>
        <w:t xml:space="preserve">. As mentioned earlier, self-employed individuals are responsible for their own business and have higher </w:t>
      </w:r>
      <w:r w:rsidR="00F06A8E" w:rsidRPr="008D3590">
        <w:rPr>
          <w:rFonts w:cs="Times New Roman"/>
          <w:sz w:val="24"/>
          <w:szCs w:val="24"/>
          <w:lang w:eastAsia="zh-CN"/>
        </w:rPr>
        <w:t>levels of work flexibility</w:t>
      </w:r>
      <w:r w:rsidR="00E06CA9" w:rsidRPr="008D3590">
        <w:rPr>
          <w:rFonts w:cs="Times New Roman"/>
          <w:sz w:val="24"/>
          <w:szCs w:val="24"/>
          <w:lang w:eastAsia="zh-CN"/>
        </w:rPr>
        <w:t xml:space="preserve">. </w:t>
      </w:r>
      <w:r w:rsidR="008A3701" w:rsidRPr="008D3590">
        <w:rPr>
          <w:rFonts w:cs="Times New Roman"/>
          <w:sz w:val="24"/>
          <w:szCs w:val="24"/>
        </w:rPr>
        <w:t xml:space="preserve"> </w:t>
      </w:r>
      <w:r w:rsidR="006B08C4">
        <w:rPr>
          <w:rFonts w:cs="Times New Roman"/>
          <w:sz w:val="24"/>
          <w:szCs w:val="24"/>
        </w:rPr>
        <w:t>V</w:t>
      </w:r>
      <w:r w:rsidR="00120C01" w:rsidRPr="008D3590">
        <w:rPr>
          <w:rFonts w:cs="Times New Roman"/>
          <w:sz w:val="24"/>
          <w:szCs w:val="24"/>
        </w:rPr>
        <w:t xml:space="preserve">irtual accessibility </w:t>
      </w:r>
      <w:r w:rsidR="00B323B0">
        <w:rPr>
          <w:rFonts w:cs="Times New Roman"/>
          <w:sz w:val="24"/>
          <w:szCs w:val="24"/>
        </w:rPr>
        <w:t xml:space="preserve">(VALSC) </w:t>
      </w:r>
      <w:r w:rsidR="00120C01" w:rsidRPr="008D3590">
        <w:rPr>
          <w:rFonts w:cs="Times New Roman"/>
          <w:sz w:val="24"/>
          <w:szCs w:val="24"/>
        </w:rPr>
        <w:t xml:space="preserve">reduces both the number and the duration of </w:t>
      </w:r>
      <w:r w:rsidR="00FD476E" w:rsidRPr="008D3590">
        <w:rPr>
          <w:rFonts w:cs="Times New Roman"/>
          <w:sz w:val="24"/>
          <w:szCs w:val="24"/>
        </w:rPr>
        <w:t>work episodes</w:t>
      </w:r>
      <w:r w:rsidR="00EF3A9A">
        <w:rPr>
          <w:rFonts w:cs="Times New Roman"/>
          <w:sz w:val="24"/>
          <w:szCs w:val="24"/>
        </w:rPr>
        <w:t xml:space="preserve">. </w:t>
      </w:r>
      <w:r w:rsidR="006E56CD" w:rsidRPr="008D3590">
        <w:rPr>
          <w:rFonts w:cs="Times New Roman"/>
          <w:sz w:val="24"/>
          <w:szCs w:val="24"/>
        </w:rPr>
        <w:t xml:space="preserve">The physical accessibility latent stochastic construct (PALSC) </w:t>
      </w:r>
      <w:r w:rsidR="00335A01" w:rsidRPr="008D3590">
        <w:rPr>
          <w:rFonts w:cs="Times New Roman"/>
          <w:sz w:val="24"/>
          <w:szCs w:val="24"/>
        </w:rPr>
        <w:t xml:space="preserve">does not have </w:t>
      </w:r>
      <w:r w:rsidR="006E56CD" w:rsidRPr="008D3590">
        <w:rPr>
          <w:rFonts w:cs="Times New Roman"/>
          <w:sz w:val="24"/>
          <w:szCs w:val="24"/>
        </w:rPr>
        <w:t xml:space="preserve">statistically </w:t>
      </w:r>
      <w:r w:rsidR="00335A01" w:rsidRPr="008D3590">
        <w:rPr>
          <w:rFonts w:cs="Times New Roman"/>
          <w:sz w:val="24"/>
          <w:szCs w:val="24"/>
        </w:rPr>
        <w:t xml:space="preserve">significant effects on the number </w:t>
      </w:r>
      <w:r w:rsidR="003930C5" w:rsidRPr="008D3590">
        <w:rPr>
          <w:rFonts w:cs="Times New Roman"/>
          <w:sz w:val="24"/>
          <w:szCs w:val="24"/>
        </w:rPr>
        <w:t xml:space="preserve">or duration </w:t>
      </w:r>
      <w:r w:rsidR="00335A01" w:rsidRPr="008D3590">
        <w:rPr>
          <w:rFonts w:cs="Times New Roman"/>
          <w:sz w:val="24"/>
          <w:szCs w:val="24"/>
        </w:rPr>
        <w:t>of work activit</w:t>
      </w:r>
      <w:r w:rsidR="006E56CD" w:rsidRPr="008D3590">
        <w:rPr>
          <w:rFonts w:cs="Times New Roman"/>
          <w:sz w:val="24"/>
          <w:szCs w:val="24"/>
        </w:rPr>
        <w:t>y episodes</w:t>
      </w:r>
      <w:r w:rsidR="00FE10A7" w:rsidRPr="008D3590">
        <w:rPr>
          <w:rFonts w:cs="Times New Roman"/>
          <w:sz w:val="24"/>
          <w:szCs w:val="24"/>
        </w:rPr>
        <w:t xml:space="preserve">; </w:t>
      </w:r>
      <w:r w:rsidR="003930C5" w:rsidRPr="008D3590">
        <w:rPr>
          <w:rFonts w:cs="Times New Roman"/>
          <w:sz w:val="24"/>
          <w:szCs w:val="24"/>
        </w:rPr>
        <w:t>individuals are usually willing to overcome physical accessibility barriers</w:t>
      </w:r>
      <w:r w:rsidR="00D83EA2" w:rsidRPr="008D3590">
        <w:rPr>
          <w:rFonts w:cs="Times New Roman"/>
          <w:sz w:val="24"/>
          <w:szCs w:val="24"/>
        </w:rPr>
        <w:t xml:space="preserve"> </w:t>
      </w:r>
      <w:r w:rsidR="003930C5" w:rsidRPr="008D3590">
        <w:rPr>
          <w:rFonts w:cs="Times New Roman"/>
          <w:sz w:val="24"/>
          <w:szCs w:val="24"/>
        </w:rPr>
        <w:t xml:space="preserve">to </w:t>
      </w:r>
      <w:r w:rsidR="006E56CD" w:rsidRPr="008D3590">
        <w:rPr>
          <w:rFonts w:cs="Times New Roman"/>
          <w:sz w:val="24"/>
          <w:szCs w:val="24"/>
        </w:rPr>
        <w:t xml:space="preserve">travel to </w:t>
      </w:r>
      <w:r w:rsidR="003930C5" w:rsidRPr="008D3590">
        <w:rPr>
          <w:rFonts w:cs="Times New Roman"/>
          <w:sz w:val="24"/>
          <w:szCs w:val="24"/>
        </w:rPr>
        <w:t xml:space="preserve">work. </w:t>
      </w:r>
      <w:r w:rsidR="00B323B0">
        <w:rPr>
          <w:rFonts w:cs="Times New Roman"/>
          <w:sz w:val="24"/>
          <w:szCs w:val="24"/>
        </w:rPr>
        <w:t xml:space="preserve">Finally, in addition to the VALSC effect, working for home one or more times per week also has a direct effect of reducing the average duration of mandatory activities episodes, pointing to the direct substitution of time allocated for OH work and work at home. </w:t>
      </w:r>
    </w:p>
    <w:p w14:paraId="289DD287" w14:textId="77777777" w:rsidR="00D029D4" w:rsidRPr="008D3590" w:rsidRDefault="00D029D4" w:rsidP="000A7F81">
      <w:pPr>
        <w:ind w:firstLine="708"/>
        <w:rPr>
          <w:rFonts w:cs="Times New Roman"/>
          <w:sz w:val="24"/>
          <w:szCs w:val="24"/>
        </w:rPr>
      </w:pPr>
    </w:p>
    <w:p w14:paraId="4F239580" w14:textId="50984D2B" w:rsidR="00881EC1" w:rsidRPr="008D3590" w:rsidRDefault="00564455" w:rsidP="00D83EA2">
      <w:pPr>
        <w:rPr>
          <w:rFonts w:cs="Times New Roman"/>
          <w:sz w:val="24"/>
          <w:szCs w:val="24"/>
          <w:lang w:eastAsia="zh-CN"/>
        </w:rPr>
      </w:pPr>
      <w:r w:rsidRPr="008D3590">
        <w:rPr>
          <w:rFonts w:cs="Times New Roman"/>
          <w:b/>
          <w:sz w:val="24"/>
          <w:szCs w:val="24"/>
        </w:rPr>
        <w:t>Maintenance</w:t>
      </w:r>
      <w:r w:rsidR="00252DC1" w:rsidRPr="008D3590">
        <w:rPr>
          <w:rFonts w:cs="Times New Roman"/>
          <w:b/>
          <w:sz w:val="24"/>
          <w:szCs w:val="24"/>
        </w:rPr>
        <w:t xml:space="preserve"> activit</w:t>
      </w:r>
      <w:r w:rsidR="00C274A9">
        <w:rPr>
          <w:rFonts w:cs="Times New Roman"/>
          <w:b/>
          <w:sz w:val="24"/>
          <w:szCs w:val="24"/>
        </w:rPr>
        <w:t>y episodes</w:t>
      </w:r>
      <w:r w:rsidR="00335A01" w:rsidRPr="008D3590">
        <w:rPr>
          <w:rFonts w:cs="Times New Roman"/>
          <w:b/>
          <w:sz w:val="24"/>
          <w:szCs w:val="24"/>
        </w:rPr>
        <w:t>:</w:t>
      </w:r>
      <w:r w:rsidR="00EF460C" w:rsidRPr="008D3590">
        <w:rPr>
          <w:rFonts w:cs="Times New Roman"/>
          <w:b/>
          <w:sz w:val="24"/>
          <w:szCs w:val="24"/>
        </w:rPr>
        <w:t xml:space="preserve"> </w:t>
      </w:r>
      <w:r w:rsidR="00BA1494">
        <w:rPr>
          <w:rFonts w:cs="Times New Roman"/>
          <w:sz w:val="24"/>
          <w:szCs w:val="24"/>
        </w:rPr>
        <w:t>O</w:t>
      </w:r>
      <w:r w:rsidR="00EF460C" w:rsidRPr="008D3590">
        <w:rPr>
          <w:rFonts w:cs="Times New Roman"/>
          <w:sz w:val="24"/>
          <w:szCs w:val="24"/>
        </w:rPr>
        <w:t xml:space="preserve">lder individuals </w:t>
      </w:r>
      <w:r w:rsidR="00414716" w:rsidRPr="008D3590">
        <w:rPr>
          <w:rFonts w:cs="Times New Roman"/>
          <w:sz w:val="24"/>
          <w:szCs w:val="24"/>
        </w:rPr>
        <w:t>(</w:t>
      </w:r>
      <w:r w:rsidR="00881EC1" w:rsidRPr="008D3590">
        <w:rPr>
          <w:rFonts w:cs="Times New Roman"/>
          <w:sz w:val="24"/>
          <w:szCs w:val="24"/>
        </w:rPr>
        <w:t>fifty</w:t>
      </w:r>
      <w:r w:rsidR="00414716" w:rsidRPr="008D3590">
        <w:rPr>
          <w:rFonts w:cs="Times New Roman"/>
          <w:sz w:val="24"/>
          <w:szCs w:val="24"/>
        </w:rPr>
        <w:t xml:space="preserve"> years </w:t>
      </w:r>
      <w:r w:rsidR="006759E7" w:rsidRPr="008D3590">
        <w:rPr>
          <w:rFonts w:cs="Times New Roman"/>
          <w:sz w:val="24"/>
          <w:szCs w:val="24"/>
        </w:rPr>
        <w:t>of age</w:t>
      </w:r>
      <w:r w:rsidR="00881EC1" w:rsidRPr="008D3590">
        <w:rPr>
          <w:rFonts w:cs="Times New Roman"/>
          <w:sz w:val="24"/>
          <w:szCs w:val="24"/>
        </w:rPr>
        <w:t xml:space="preserve"> and older</w:t>
      </w:r>
      <w:r w:rsidR="00414716" w:rsidRPr="008D3590">
        <w:rPr>
          <w:rFonts w:cs="Times New Roman"/>
          <w:sz w:val="24"/>
          <w:szCs w:val="24"/>
        </w:rPr>
        <w:t xml:space="preserve">) tend to </w:t>
      </w:r>
      <w:r w:rsidR="00D029D4" w:rsidRPr="008D3590">
        <w:rPr>
          <w:rFonts w:cs="Times New Roman"/>
          <w:sz w:val="24"/>
          <w:szCs w:val="24"/>
        </w:rPr>
        <w:t xml:space="preserve">have more non-zero </w:t>
      </w:r>
      <w:r w:rsidR="00414716" w:rsidRPr="008D3590">
        <w:rPr>
          <w:rFonts w:cs="Times New Roman"/>
          <w:sz w:val="24"/>
          <w:szCs w:val="24"/>
        </w:rPr>
        <w:t>shopping activit</w:t>
      </w:r>
      <w:r w:rsidR="00D029D4" w:rsidRPr="008D3590">
        <w:rPr>
          <w:rFonts w:cs="Times New Roman"/>
          <w:sz w:val="24"/>
          <w:szCs w:val="24"/>
        </w:rPr>
        <w:t>y episodes</w:t>
      </w:r>
      <w:r w:rsidR="006E56CD" w:rsidRPr="008D3590">
        <w:rPr>
          <w:rFonts w:cs="Times New Roman"/>
          <w:sz w:val="24"/>
          <w:szCs w:val="24"/>
        </w:rPr>
        <w:t xml:space="preserve"> (which is </w:t>
      </w:r>
      <w:r w:rsidR="004F7DE1" w:rsidRPr="008D3590">
        <w:rPr>
          <w:rFonts w:cs="Times New Roman"/>
          <w:sz w:val="24"/>
          <w:szCs w:val="24"/>
          <w:lang w:eastAsia="zh-CN"/>
        </w:rPr>
        <w:t>reinforced</w:t>
      </w:r>
      <w:r w:rsidR="006E56CD" w:rsidRPr="008D3590">
        <w:rPr>
          <w:rFonts w:cs="Times New Roman"/>
          <w:sz w:val="24"/>
          <w:szCs w:val="24"/>
        </w:rPr>
        <w:t xml:space="preserve"> by the </w:t>
      </w:r>
      <w:r w:rsidR="00D57554" w:rsidRPr="008D3590">
        <w:rPr>
          <w:rFonts w:cs="Times New Roman"/>
          <w:sz w:val="24"/>
          <w:szCs w:val="24"/>
        </w:rPr>
        <w:t>indirect effect of age through the VALSC variable)</w:t>
      </w:r>
      <w:r w:rsidR="00414716" w:rsidRPr="008D3590">
        <w:rPr>
          <w:rFonts w:cs="Times New Roman"/>
          <w:sz w:val="24"/>
          <w:szCs w:val="24"/>
        </w:rPr>
        <w:t xml:space="preserve">, </w:t>
      </w:r>
      <w:r w:rsidR="00D57554" w:rsidRPr="008D3590">
        <w:rPr>
          <w:rFonts w:cs="Times New Roman"/>
          <w:sz w:val="24"/>
          <w:szCs w:val="24"/>
        </w:rPr>
        <w:t xml:space="preserve">a finding </w:t>
      </w:r>
      <w:r w:rsidR="00414716" w:rsidRPr="008D3590">
        <w:rPr>
          <w:rFonts w:cs="Times New Roman"/>
          <w:sz w:val="24"/>
          <w:szCs w:val="24"/>
        </w:rPr>
        <w:t>supported by Zhou and Wang (2014)</w:t>
      </w:r>
      <w:r w:rsidR="00D57554" w:rsidRPr="008D3590">
        <w:rPr>
          <w:rFonts w:cs="Times New Roman"/>
          <w:sz w:val="24"/>
          <w:szCs w:val="24"/>
        </w:rPr>
        <w:t xml:space="preserve">. </w:t>
      </w:r>
      <w:r w:rsidR="00655B83" w:rsidRPr="008D3590">
        <w:rPr>
          <w:rFonts w:cs="Times New Roman"/>
          <w:sz w:val="24"/>
          <w:szCs w:val="24"/>
        </w:rPr>
        <w:t>As observed earlier, the fifty-plus age segment is the age group with the lowest virtual accessibility and does not tend to shop online frequently, which may encourage in-store shopping. Additionally, older individuals tend to have more free time than their younger counterparts.</w:t>
      </w:r>
      <w:r w:rsidR="00655B83" w:rsidRPr="008D3590">
        <w:rPr>
          <w:rFonts w:cs="Times New Roman"/>
          <w:sz w:val="24"/>
          <w:szCs w:val="24"/>
          <w:lang w:eastAsia="zh-CN"/>
        </w:rPr>
        <w:t xml:space="preserve"> </w:t>
      </w:r>
      <w:r w:rsidR="00D57554" w:rsidRPr="008D3590">
        <w:rPr>
          <w:rFonts w:cs="Times New Roman"/>
          <w:sz w:val="24"/>
          <w:szCs w:val="24"/>
        </w:rPr>
        <w:t>A</w:t>
      </w:r>
      <w:r w:rsidR="00414716" w:rsidRPr="008D3590">
        <w:rPr>
          <w:rFonts w:cs="Times New Roman"/>
          <w:sz w:val="24"/>
          <w:szCs w:val="24"/>
        </w:rPr>
        <w:t>ge</w:t>
      </w:r>
      <w:r w:rsidR="00D57554" w:rsidRPr="008D3590">
        <w:rPr>
          <w:rFonts w:cs="Times New Roman"/>
          <w:sz w:val="24"/>
          <w:szCs w:val="24"/>
        </w:rPr>
        <w:t>, however,</w:t>
      </w:r>
      <w:r w:rsidR="00414716" w:rsidRPr="008D3590">
        <w:rPr>
          <w:rFonts w:cs="Times New Roman"/>
          <w:sz w:val="24"/>
          <w:szCs w:val="24"/>
        </w:rPr>
        <w:t xml:space="preserve"> does not have a </w:t>
      </w:r>
      <w:r w:rsidR="00D57554" w:rsidRPr="008D3590">
        <w:rPr>
          <w:rFonts w:cs="Times New Roman"/>
          <w:sz w:val="24"/>
          <w:szCs w:val="24"/>
        </w:rPr>
        <w:t xml:space="preserve">direct </w:t>
      </w:r>
      <w:r w:rsidR="00414716" w:rsidRPr="008D3590">
        <w:rPr>
          <w:rFonts w:cs="Times New Roman"/>
          <w:sz w:val="24"/>
          <w:szCs w:val="24"/>
        </w:rPr>
        <w:t xml:space="preserve">significant impact on average </w:t>
      </w:r>
      <w:r w:rsidRPr="008D3590">
        <w:rPr>
          <w:rFonts w:cs="Times New Roman"/>
          <w:sz w:val="24"/>
          <w:szCs w:val="24"/>
        </w:rPr>
        <w:t>maintenance episode</w:t>
      </w:r>
      <w:r w:rsidR="00414716" w:rsidRPr="008D3590">
        <w:rPr>
          <w:rFonts w:cs="Times New Roman"/>
          <w:sz w:val="24"/>
          <w:szCs w:val="24"/>
        </w:rPr>
        <w:t xml:space="preserve"> duration</w:t>
      </w:r>
      <w:r w:rsidR="006759E7" w:rsidRPr="008D3590">
        <w:rPr>
          <w:rFonts w:cs="Times New Roman"/>
          <w:sz w:val="24"/>
          <w:szCs w:val="24"/>
          <w:lang w:eastAsia="zh-CN"/>
        </w:rPr>
        <w:t xml:space="preserve">. </w:t>
      </w:r>
      <w:r w:rsidR="0011528B" w:rsidRPr="008D3590">
        <w:rPr>
          <w:rFonts w:cs="Times New Roman"/>
          <w:sz w:val="24"/>
          <w:szCs w:val="24"/>
        </w:rPr>
        <w:t xml:space="preserve">Part-time </w:t>
      </w:r>
      <w:r w:rsidR="00560B82" w:rsidRPr="008D3590">
        <w:rPr>
          <w:rFonts w:cs="Times New Roman"/>
          <w:sz w:val="24"/>
          <w:szCs w:val="24"/>
          <w:lang w:eastAsia="zh-CN"/>
        </w:rPr>
        <w:t xml:space="preserve">working </w:t>
      </w:r>
      <w:r w:rsidR="00BA1494">
        <w:rPr>
          <w:rFonts w:cs="Times New Roman"/>
          <w:sz w:val="24"/>
          <w:szCs w:val="24"/>
          <w:lang w:eastAsia="zh-CN"/>
        </w:rPr>
        <w:t>women</w:t>
      </w:r>
      <w:r w:rsidR="00BA1494" w:rsidRPr="008D3590">
        <w:rPr>
          <w:rFonts w:cs="Times New Roman"/>
          <w:sz w:val="24"/>
          <w:szCs w:val="24"/>
          <w:lang w:eastAsia="zh-CN"/>
        </w:rPr>
        <w:t xml:space="preserve"> </w:t>
      </w:r>
      <w:r w:rsidR="006759E7" w:rsidRPr="008D3590">
        <w:rPr>
          <w:rFonts w:cs="Times New Roman"/>
          <w:sz w:val="24"/>
          <w:szCs w:val="24"/>
          <w:lang w:eastAsia="zh-CN"/>
        </w:rPr>
        <w:t>are</w:t>
      </w:r>
      <w:r w:rsidR="00560B82" w:rsidRPr="008D3590">
        <w:rPr>
          <w:rFonts w:cs="Times New Roman"/>
          <w:sz w:val="24"/>
          <w:szCs w:val="24"/>
          <w:lang w:eastAsia="zh-CN"/>
        </w:rPr>
        <w:t xml:space="preserve"> associated with more maintenance episodes</w:t>
      </w:r>
      <w:r w:rsidR="00BA1494">
        <w:rPr>
          <w:rFonts w:cs="Times New Roman"/>
          <w:sz w:val="24"/>
          <w:szCs w:val="24"/>
        </w:rPr>
        <w:t xml:space="preserve">, while women in general have longer maintenance episodes, again reinforcing the </w:t>
      </w:r>
      <w:r w:rsidR="001B1370">
        <w:rPr>
          <w:rFonts w:cs="Times New Roman"/>
          <w:sz w:val="24"/>
          <w:szCs w:val="24"/>
        </w:rPr>
        <w:t xml:space="preserve">notion </w:t>
      </w:r>
      <w:r w:rsidR="00BA1494">
        <w:rPr>
          <w:rFonts w:cs="Times New Roman"/>
          <w:sz w:val="24"/>
          <w:szCs w:val="24"/>
        </w:rPr>
        <w:t>that women are usually responsible for a greater share of household-</w:t>
      </w:r>
      <w:r w:rsidR="00C81E6F">
        <w:rPr>
          <w:rFonts w:cs="Times New Roman"/>
          <w:sz w:val="24"/>
          <w:szCs w:val="24"/>
        </w:rPr>
        <w:t xml:space="preserve">related maintenance activities. </w:t>
      </w:r>
      <w:r w:rsidR="000E7E36" w:rsidRPr="008D3590">
        <w:rPr>
          <w:rFonts w:cs="Times New Roman"/>
          <w:sz w:val="24"/>
          <w:szCs w:val="24"/>
          <w:lang w:eastAsia="zh-CN"/>
        </w:rPr>
        <w:t xml:space="preserve">Living in a metropolitan area is associated with an increase </w:t>
      </w:r>
      <w:r w:rsidR="004F01A8" w:rsidRPr="008D3590">
        <w:rPr>
          <w:rFonts w:cs="Times New Roman"/>
          <w:sz w:val="24"/>
          <w:szCs w:val="24"/>
          <w:lang w:eastAsia="zh-CN"/>
        </w:rPr>
        <w:t>in</w:t>
      </w:r>
      <w:r w:rsidR="000E7E36" w:rsidRPr="008D3590">
        <w:rPr>
          <w:rFonts w:cs="Times New Roman"/>
          <w:sz w:val="24"/>
          <w:szCs w:val="24"/>
          <w:lang w:eastAsia="zh-CN"/>
        </w:rPr>
        <w:t xml:space="preserve"> </w:t>
      </w:r>
      <w:r w:rsidR="004F01A8" w:rsidRPr="008D3590">
        <w:rPr>
          <w:rFonts w:cs="Times New Roman"/>
          <w:sz w:val="24"/>
          <w:szCs w:val="24"/>
          <w:lang w:eastAsia="zh-CN"/>
        </w:rPr>
        <w:t xml:space="preserve">physical </w:t>
      </w:r>
      <w:r w:rsidR="000E7E36" w:rsidRPr="008D3590">
        <w:rPr>
          <w:rFonts w:cs="Times New Roman"/>
          <w:sz w:val="24"/>
          <w:szCs w:val="24"/>
          <w:lang w:eastAsia="zh-CN"/>
        </w:rPr>
        <w:t xml:space="preserve">maintenance activity </w:t>
      </w:r>
      <w:r w:rsidR="001F7617">
        <w:rPr>
          <w:rFonts w:cs="Times New Roman"/>
          <w:sz w:val="24"/>
          <w:szCs w:val="24"/>
          <w:lang w:eastAsia="zh-CN"/>
        </w:rPr>
        <w:t>duration</w:t>
      </w:r>
      <w:r w:rsidR="004F01A8" w:rsidRPr="008D3590">
        <w:rPr>
          <w:rFonts w:cs="Times New Roman"/>
          <w:sz w:val="24"/>
          <w:szCs w:val="24"/>
          <w:lang w:eastAsia="zh-CN"/>
        </w:rPr>
        <w:t xml:space="preserve">, in keeping with the negative effect of this variable earlier on the “main food shopping method being online”. </w:t>
      </w:r>
    </w:p>
    <w:p w14:paraId="6A27B619" w14:textId="253D8AE3" w:rsidR="00252DC1" w:rsidRPr="008D3590" w:rsidRDefault="00D029D4" w:rsidP="00881C66">
      <w:pPr>
        <w:ind w:firstLine="720"/>
        <w:rPr>
          <w:rFonts w:cs="Times New Roman"/>
          <w:sz w:val="24"/>
          <w:szCs w:val="24"/>
        </w:rPr>
      </w:pPr>
      <w:r w:rsidRPr="008D3590">
        <w:rPr>
          <w:rFonts w:cs="Times New Roman"/>
          <w:sz w:val="24"/>
          <w:szCs w:val="24"/>
        </w:rPr>
        <w:t>VALSC</w:t>
      </w:r>
      <w:r w:rsidR="00AE29FF" w:rsidRPr="008D3590">
        <w:rPr>
          <w:rFonts w:cs="Times New Roman"/>
          <w:sz w:val="24"/>
          <w:szCs w:val="24"/>
        </w:rPr>
        <w:t xml:space="preserve"> </w:t>
      </w:r>
      <w:r w:rsidR="00560B82" w:rsidRPr="008D3590">
        <w:rPr>
          <w:rFonts w:cs="Times New Roman"/>
          <w:sz w:val="24"/>
          <w:szCs w:val="24"/>
          <w:lang w:eastAsia="zh-CN"/>
        </w:rPr>
        <w:t>negatively</w:t>
      </w:r>
      <w:r w:rsidR="00560B82" w:rsidRPr="008D3590">
        <w:rPr>
          <w:rFonts w:cs="Times New Roman"/>
          <w:sz w:val="24"/>
          <w:szCs w:val="24"/>
        </w:rPr>
        <w:t xml:space="preserve"> </w:t>
      </w:r>
      <w:r w:rsidR="00AE29FF" w:rsidRPr="008D3590">
        <w:rPr>
          <w:rFonts w:cs="Times New Roman"/>
          <w:sz w:val="24"/>
          <w:szCs w:val="24"/>
        </w:rPr>
        <w:t xml:space="preserve">impacts the number of </w:t>
      </w:r>
      <w:r w:rsidR="00564455" w:rsidRPr="008D3590">
        <w:rPr>
          <w:rFonts w:cs="Times New Roman"/>
          <w:sz w:val="24"/>
          <w:szCs w:val="24"/>
        </w:rPr>
        <w:t>maintenance</w:t>
      </w:r>
      <w:r w:rsidR="00AE29FF" w:rsidRPr="008D3590">
        <w:rPr>
          <w:rFonts w:cs="Times New Roman"/>
          <w:sz w:val="24"/>
          <w:szCs w:val="24"/>
        </w:rPr>
        <w:t xml:space="preserve"> activities</w:t>
      </w:r>
      <w:r w:rsidR="00A74711" w:rsidRPr="008D3590">
        <w:rPr>
          <w:rFonts w:cs="Times New Roman"/>
          <w:sz w:val="24"/>
          <w:szCs w:val="24"/>
          <w:lang w:eastAsia="zh-CN"/>
        </w:rPr>
        <w:t xml:space="preserve"> </w:t>
      </w:r>
      <w:r w:rsidR="00BA1494">
        <w:rPr>
          <w:rFonts w:cs="Times New Roman"/>
          <w:sz w:val="24"/>
          <w:szCs w:val="24"/>
          <w:lang w:eastAsia="zh-CN"/>
        </w:rPr>
        <w:t xml:space="preserve">but does not seem to affect </w:t>
      </w:r>
      <w:r w:rsidR="001F7617">
        <w:rPr>
          <w:rFonts w:cs="Times New Roman"/>
          <w:sz w:val="24"/>
          <w:szCs w:val="24"/>
          <w:lang w:eastAsia="zh-CN"/>
        </w:rPr>
        <w:t>duration</w:t>
      </w:r>
      <w:r w:rsidR="001F7617" w:rsidRPr="008D3590">
        <w:rPr>
          <w:rFonts w:cs="Times New Roman"/>
          <w:sz w:val="24"/>
          <w:szCs w:val="24"/>
          <w:lang w:eastAsia="zh-CN"/>
        </w:rPr>
        <w:t xml:space="preserve"> </w:t>
      </w:r>
      <w:r w:rsidR="001F7617">
        <w:rPr>
          <w:rFonts w:cs="Times New Roman"/>
          <w:sz w:val="24"/>
          <w:szCs w:val="24"/>
          <w:lang w:eastAsia="zh-CN"/>
        </w:rPr>
        <w:t>of OH maintenance activities.</w:t>
      </w:r>
      <w:r w:rsidR="002816D3" w:rsidRPr="008D3590">
        <w:rPr>
          <w:rFonts w:cs="Times New Roman"/>
          <w:sz w:val="24"/>
          <w:szCs w:val="24"/>
          <w:lang w:eastAsia="zh-CN"/>
        </w:rPr>
        <w:t xml:space="preserve"> </w:t>
      </w:r>
      <w:r w:rsidR="002E269B" w:rsidRPr="008D3590">
        <w:rPr>
          <w:rFonts w:cs="Times New Roman"/>
          <w:sz w:val="24"/>
          <w:szCs w:val="24"/>
          <w:lang w:eastAsia="zh-CN"/>
        </w:rPr>
        <w:t>Curiously, the PALSC construct negatively impacts the number</w:t>
      </w:r>
      <w:r w:rsidR="001B1370">
        <w:rPr>
          <w:rFonts w:cs="Times New Roman"/>
          <w:sz w:val="24"/>
          <w:szCs w:val="24"/>
          <w:lang w:eastAsia="zh-CN"/>
        </w:rPr>
        <w:t>,</w:t>
      </w:r>
      <w:r w:rsidR="002E269B" w:rsidRPr="008D3590">
        <w:rPr>
          <w:rFonts w:cs="Times New Roman"/>
          <w:sz w:val="24"/>
          <w:szCs w:val="24"/>
          <w:lang w:eastAsia="zh-CN"/>
        </w:rPr>
        <w:t xml:space="preserve"> and </w:t>
      </w:r>
      <w:r w:rsidR="001F7617">
        <w:rPr>
          <w:rFonts w:cs="Times New Roman"/>
          <w:sz w:val="24"/>
          <w:szCs w:val="24"/>
          <w:lang w:eastAsia="zh-CN"/>
        </w:rPr>
        <w:t xml:space="preserve">positively impacts the </w:t>
      </w:r>
      <w:r w:rsidR="002E269B" w:rsidRPr="008D3590">
        <w:rPr>
          <w:rFonts w:cs="Times New Roman"/>
          <w:sz w:val="24"/>
          <w:szCs w:val="24"/>
          <w:lang w:eastAsia="zh-CN"/>
        </w:rPr>
        <w:t>duration</w:t>
      </w:r>
      <w:r w:rsidR="001B1370">
        <w:rPr>
          <w:rFonts w:cs="Times New Roman"/>
          <w:sz w:val="24"/>
          <w:szCs w:val="24"/>
          <w:lang w:eastAsia="zh-CN"/>
        </w:rPr>
        <w:t>,</w:t>
      </w:r>
      <w:r w:rsidR="002E269B" w:rsidRPr="008D3590">
        <w:rPr>
          <w:rFonts w:cs="Times New Roman"/>
          <w:sz w:val="24"/>
          <w:szCs w:val="24"/>
          <w:lang w:eastAsia="zh-CN"/>
        </w:rPr>
        <w:t xml:space="preserve"> of maintenance activities</w:t>
      </w:r>
      <w:r w:rsidR="001F7617">
        <w:rPr>
          <w:rFonts w:cs="Times New Roman"/>
          <w:sz w:val="24"/>
          <w:szCs w:val="24"/>
          <w:lang w:eastAsia="zh-CN"/>
        </w:rPr>
        <w:t>, suggesting</w:t>
      </w:r>
      <w:r w:rsidR="00123CBF">
        <w:rPr>
          <w:rFonts w:cs="Times New Roman"/>
          <w:sz w:val="24"/>
          <w:szCs w:val="24"/>
          <w:lang w:eastAsia="zh-CN"/>
        </w:rPr>
        <w:t xml:space="preserve"> that</w:t>
      </w:r>
      <w:r w:rsidR="001F7617">
        <w:rPr>
          <w:rFonts w:cs="Times New Roman"/>
          <w:sz w:val="24"/>
          <w:szCs w:val="24"/>
          <w:lang w:eastAsia="zh-CN"/>
        </w:rPr>
        <w:t xml:space="preserve"> perceptions of high physical accessibility do not lead to the fragmentation of maintenance activities</w:t>
      </w:r>
      <w:r w:rsidR="001B1370">
        <w:rPr>
          <w:rFonts w:cs="Times New Roman"/>
          <w:sz w:val="24"/>
          <w:szCs w:val="24"/>
          <w:lang w:eastAsia="zh-CN"/>
        </w:rPr>
        <w:t>. To</w:t>
      </w:r>
      <w:r w:rsidR="001F7617">
        <w:rPr>
          <w:rFonts w:cs="Times New Roman"/>
          <w:sz w:val="24"/>
          <w:szCs w:val="24"/>
          <w:lang w:eastAsia="zh-CN"/>
        </w:rPr>
        <w:t xml:space="preserve"> the contrary, individual</w:t>
      </w:r>
      <w:r w:rsidR="001B1370">
        <w:rPr>
          <w:rFonts w:cs="Times New Roman"/>
          <w:sz w:val="24"/>
          <w:szCs w:val="24"/>
          <w:lang w:eastAsia="zh-CN"/>
        </w:rPr>
        <w:t>s</w:t>
      </w:r>
      <w:r w:rsidR="001F7617">
        <w:rPr>
          <w:rFonts w:cs="Times New Roman"/>
          <w:sz w:val="24"/>
          <w:szCs w:val="24"/>
          <w:lang w:eastAsia="zh-CN"/>
        </w:rPr>
        <w:t xml:space="preserve"> who perceive ease of access to opportunities tend to </w:t>
      </w:r>
      <w:r w:rsidR="001F7617">
        <w:rPr>
          <w:rFonts w:cs="Times New Roman"/>
          <w:sz w:val="24"/>
          <w:szCs w:val="24"/>
          <w:lang w:eastAsia="zh-CN"/>
        </w:rPr>
        <w:lastRenderedPageBreak/>
        <w:t>concentrate their maintenance activities in fewer and longer episodes</w:t>
      </w:r>
      <w:r w:rsidR="002E269B" w:rsidRPr="008D3590">
        <w:rPr>
          <w:rFonts w:cs="Times New Roman"/>
          <w:sz w:val="24"/>
          <w:szCs w:val="24"/>
          <w:lang w:eastAsia="zh-CN"/>
        </w:rPr>
        <w:t xml:space="preserve">. While not immediately intuitive, this does support the possible notion that a higher PALSC raises the attractiveness of leisure/discretionary activity pursuits in person, thereby making people </w:t>
      </w:r>
      <w:r w:rsidR="001F7617">
        <w:rPr>
          <w:rFonts w:cs="Times New Roman"/>
          <w:sz w:val="24"/>
          <w:szCs w:val="24"/>
          <w:lang w:eastAsia="zh-CN"/>
        </w:rPr>
        <w:t xml:space="preserve">travel </w:t>
      </w:r>
      <w:r w:rsidR="002E269B" w:rsidRPr="008D3590">
        <w:rPr>
          <w:rFonts w:cs="Times New Roman"/>
          <w:sz w:val="24"/>
          <w:szCs w:val="24"/>
          <w:lang w:eastAsia="zh-CN"/>
        </w:rPr>
        <w:t xml:space="preserve">less </w:t>
      </w:r>
      <w:r w:rsidR="008C45E2">
        <w:rPr>
          <w:rFonts w:cs="Times New Roman"/>
          <w:sz w:val="24"/>
          <w:szCs w:val="24"/>
          <w:lang w:eastAsia="zh-CN"/>
        </w:rPr>
        <w:t xml:space="preserve">often to pursue </w:t>
      </w:r>
      <w:r w:rsidR="002E269B" w:rsidRPr="008D3590">
        <w:rPr>
          <w:rFonts w:cs="Times New Roman"/>
          <w:sz w:val="24"/>
          <w:szCs w:val="24"/>
          <w:lang w:eastAsia="zh-CN"/>
        </w:rPr>
        <w:t>maintenance activities</w:t>
      </w:r>
      <w:r w:rsidR="007E5691">
        <w:rPr>
          <w:rFonts w:cs="Times New Roman"/>
          <w:sz w:val="24"/>
          <w:szCs w:val="24"/>
          <w:lang w:eastAsia="zh-CN"/>
        </w:rPr>
        <w:t xml:space="preserve">. </w:t>
      </w:r>
      <w:r w:rsidR="007E5691" w:rsidRPr="008D3590">
        <w:rPr>
          <w:rFonts w:cs="Times New Roman"/>
          <w:sz w:val="24"/>
          <w:szCs w:val="24"/>
          <w:lang w:eastAsia="zh-CN"/>
        </w:rPr>
        <w:t>Also, notwithstanding the fact that our PALSC construct could be enhanced by having better BE attributes in the PAM set, the takeaway is that there is a need to consider both PALSC as well as VALSC jointly, as well as consider the comprehensive set of VAG and PAG participations in multiple activity purposes simultaneously, as our analysis undertakes</w:t>
      </w:r>
      <w:r w:rsidR="002E269B" w:rsidRPr="008D3590">
        <w:rPr>
          <w:rFonts w:cs="Times New Roman"/>
          <w:sz w:val="24"/>
          <w:szCs w:val="24"/>
          <w:lang w:eastAsia="zh-CN"/>
        </w:rPr>
        <w:t xml:space="preserve"> </w:t>
      </w:r>
      <w:r w:rsidR="007E5691">
        <w:rPr>
          <w:rFonts w:cs="Times New Roman"/>
          <w:sz w:val="24"/>
          <w:szCs w:val="24"/>
          <w:lang w:eastAsia="zh-CN"/>
        </w:rPr>
        <w:t>Overall</w:t>
      </w:r>
      <w:r w:rsidR="004033D3" w:rsidRPr="008D3590">
        <w:rPr>
          <w:rFonts w:cs="Times New Roman"/>
          <w:sz w:val="24"/>
          <w:szCs w:val="24"/>
          <w:lang w:eastAsia="zh-CN"/>
        </w:rPr>
        <w:t>, notwithstanding the fact that our PALSC</w:t>
      </w:r>
      <w:r w:rsidR="005C51D9">
        <w:rPr>
          <w:rFonts w:cs="Times New Roman"/>
          <w:sz w:val="24"/>
          <w:szCs w:val="24"/>
          <w:lang w:eastAsia="zh-CN"/>
        </w:rPr>
        <w:t xml:space="preserve"> </w:t>
      </w:r>
      <w:r w:rsidR="005C51D9" w:rsidRPr="008D3590">
        <w:rPr>
          <w:rFonts w:cs="Times New Roman"/>
          <w:sz w:val="24"/>
          <w:szCs w:val="24"/>
          <w:lang w:eastAsia="zh-CN"/>
        </w:rPr>
        <w:t>construct</w:t>
      </w:r>
      <w:r w:rsidR="005C51D9">
        <w:rPr>
          <w:rFonts w:cs="Times New Roman"/>
          <w:sz w:val="24"/>
          <w:szCs w:val="24"/>
          <w:lang w:eastAsia="zh-CN"/>
        </w:rPr>
        <w:t xml:space="preserve"> is mostly measuring access to activities without the use of an automobile and</w:t>
      </w:r>
      <w:r w:rsidR="004033D3" w:rsidRPr="008D3590">
        <w:rPr>
          <w:rFonts w:cs="Times New Roman"/>
          <w:sz w:val="24"/>
          <w:szCs w:val="24"/>
          <w:lang w:eastAsia="zh-CN"/>
        </w:rPr>
        <w:t xml:space="preserve"> could be enhanced by having better BE attributes in the PAM set</w:t>
      </w:r>
      <w:r w:rsidR="007E5691">
        <w:rPr>
          <w:rFonts w:cs="Times New Roman"/>
          <w:sz w:val="24"/>
          <w:szCs w:val="24"/>
          <w:lang w:eastAsia="zh-CN"/>
        </w:rPr>
        <w:t>, t</w:t>
      </w:r>
      <w:r w:rsidR="004033D3" w:rsidRPr="008D3590">
        <w:rPr>
          <w:rFonts w:cs="Times New Roman"/>
          <w:sz w:val="24"/>
          <w:szCs w:val="24"/>
          <w:lang w:eastAsia="zh-CN"/>
        </w:rPr>
        <w:t>he takeaway is that there is a need to consider both PALSC a</w:t>
      </w:r>
      <w:r w:rsidR="007E5691">
        <w:rPr>
          <w:rFonts w:cs="Times New Roman"/>
          <w:sz w:val="24"/>
          <w:szCs w:val="24"/>
          <w:lang w:eastAsia="zh-CN"/>
        </w:rPr>
        <w:t>nd</w:t>
      </w:r>
      <w:r w:rsidR="004033D3" w:rsidRPr="008D3590">
        <w:rPr>
          <w:rFonts w:cs="Times New Roman"/>
          <w:sz w:val="24"/>
          <w:szCs w:val="24"/>
          <w:lang w:eastAsia="zh-CN"/>
        </w:rPr>
        <w:t xml:space="preserve"> VALSC jointly, </w:t>
      </w:r>
      <w:r w:rsidR="007E5691">
        <w:rPr>
          <w:rFonts w:cs="Times New Roman"/>
          <w:sz w:val="24"/>
          <w:szCs w:val="24"/>
          <w:lang w:eastAsia="zh-CN"/>
        </w:rPr>
        <w:t xml:space="preserve">as well as jointly </w:t>
      </w:r>
      <w:r w:rsidR="004033D3" w:rsidRPr="008D3590">
        <w:rPr>
          <w:rFonts w:cs="Times New Roman"/>
          <w:sz w:val="24"/>
          <w:szCs w:val="24"/>
          <w:lang w:eastAsia="zh-CN"/>
        </w:rPr>
        <w:t>consider the comprehensive set of VAG and PAG participations in multiple activity purposes</w:t>
      </w:r>
      <w:r w:rsidR="007E5691">
        <w:rPr>
          <w:rFonts w:cs="Times New Roman"/>
          <w:sz w:val="24"/>
          <w:szCs w:val="24"/>
          <w:lang w:eastAsia="zh-CN"/>
        </w:rPr>
        <w:t xml:space="preserve"> (</w:t>
      </w:r>
      <w:r w:rsidR="004033D3" w:rsidRPr="008D3590">
        <w:rPr>
          <w:rFonts w:cs="Times New Roman"/>
          <w:sz w:val="24"/>
          <w:szCs w:val="24"/>
          <w:lang w:eastAsia="zh-CN"/>
        </w:rPr>
        <w:t>as our analysis undertakes</w:t>
      </w:r>
      <w:r w:rsidR="007E5691">
        <w:rPr>
          <w:rFonts w:cs="Times New Roman"/>
          <w:sz w:val="24"/>
          <w:szCs w:val="24"/>
          <w:lang w:eastAsia="zh-CN"/>
        </w:rPr>
        <w:t>)</w:t>
      </w:r>
      <w:r w:rsidR="008C45E2">
        <w:rPr>
          <w:rFonts w:cs="Times New Roman"/>
          <w:sz w:val="24"/>
          <w:szCs w:val="24"/>
          <w:lang w:eastAsia="zh-CN"/>
        </w:rPr>
        <w:t>.</w:t>
      </w:r>
    </w:p>
    <w:p w14:paraId="0677E159" w14:textId="4DD3AA19" w:rsidR="007E3DFD" w:rsidRPr="008D3590" w:rsidRDefault="004F01A8" w:rsidP="00881C66">
      <w:pPr>
        <w:ind w:firstLine="720"/>
        <w:rPr>
          <w:rFonts w:cs="Times New Roman"/>
          <w:sz w:val="24"/>
          <w:szCs w:val="24"/>
        </w:rPr>
      </w:pPr>
      <w:r w:rsidRPr="008D3590">
        <w:rPr>
          <w:rFonts w:cs="Times New Roman"/>
          <w:sz w:val="24"/>
          <w:szCs w:val="24"/>
        </w:rPr>
        <w:t>The effect</w:t>
      </w:r>
      <w:r w:rsidR="007E5691">
        <w:rPr>
          <w:rFonts w:cs="Times New Roman"/>
          <w:sz w:val="24"/>
          <w:szCs w:val="24"/>
        </w:rPr>
        <w:t>s</w:t>
      </w:r>
      <w:r w:rsidRPr="008D3590">
        <w:rPr>
          <w:rFonts w:cs="Times New Roman"/>
          <w:sz w:val="24"/>
          <w:szCs w:val="24"/>
        </w:rPr>
        <w:t xml:space="preserve"> of the endogenous out</w:t>
      </w:r>
      <w:r w:rsidR="008D3B43" w:rsidRPr="008D3590">
        <w:rPr>
          <w:rFonts w:cs="Times New Roman"/>
          <w:sz w:val="24"/>
          <w:szCs w:val="24"/>
        </w:rPr>
        <w:t>come variables suggest</w:t>
      </w:r>
      <w:r w:rsidR="00A41408" w:rsidRPr="008D3590">
        <w:rPr>
          <w:rFonts w:cs="Times New Roman"/>
          <w:sz w:val="24"/>
          <w:szCs w:val="24"/>
        </w:rPr>
        <w:t>s</w:t>
      </w:r>
      <w:r w:rsidR="008D3B43" w:rsidRPr="008D3590">
        <w:rPr>
          <w:rFonts w:cs="Times New Roman"/>
          <w:sz w:val="24"/>
          <w:szCs w:val="24"/>
        </w:rPr>
        <w:t xml:space="preserve"> that individuals who work from home one or more times </w:t>
      </w:r>
      <w:r w:rsidR="008C45E2">
        <w:rPr>
          <w:rFonts w:cs="Times New Roman"/>
          <w:sz w:val="24"/>
          <w:szCs w:val="24"/>
        </w:rPr>
        <w:t>pursue shorter maintenance episodes</w:t>
      </w:r>
      <w:r w:rsidR="008D3B43" w:rsidRPr="008D3590">
        <w:rPr>
          <w:rFonts w:cs="Times New Roman"/>
          <w:sz w:val="24"/>
          <w:szCs w:val="24"/>
        </w:rPr>
        <w:t xml:space="preserve">. </w:t>
      </w:r>
      <w:r w:rsidR="008C45E2">
        <w:rPr>
          <w:rFonts w:cs="Times New Roman"/>
          <w:sz w:val="24"/>
          <w:szCs w:val="24"/>
        </w:rPr>
        <w:t xml:space="preserve">As expected, individuals who have food delivered to their homes at least once a week tend to pursue shorter OH maintenance activities. </w:t>
      </w:r>
      <w:r w:rsidRPr="008D3590">
        <w:rPr>
          <w:rFonts w:cs="Times New Roman"/>
          <w:sz w:val="24"/>
          <w:szCs w:val="24"/>
        </w:rPr>
        <w:t xml:space="preserve">Individuals who work long hours have fewer </w:t>
      </w:r>
      <w:r w:rsidR="008C45E2">
        <w:rPr>
          <w:rFonts w:cs="Times New Roman"/>
          <w:sz w:val="24"/>
          <w:szCs w:val="24"/>
        </w:rPr>
        <w:t xml:space="preserve">and shorter </w:t>
      </w:r>
      <w:r w:rsidRPr="008D3590">
        <w:rPr>
          <w:rFonts w:cs="Times New Roman"/>
          <w:sz w:val="24"/>
          <w:szCs w:val="24"/>
        </w:rPr>
        <w:t>maintenance activity episodes</w:t>
      </w:r>
      <w:r w:rsidR="008C45E2">
        <w:rPr>
          <w:rFonts w:cs="Times New Roman"/>
          <w:sz w:val="24"/>
          <w:szCs w:val="24"/>
        </w:rPr>
        <w:t xml:space="preserve">, </w:t>
      </w:r>
      <w:r w:rsidR="006804F0">
        <w:rPr>
          <w:rFonts w:cs="Times New Roman"/>
          <w:sz w:val="24"/>
          <w:szCs w:val="24"/>
        </w:rPr>
        <w:t xml:space="preserve">possibly </w:t>
      </w:r>
      <w:r w:rsidR="004323FD">
        <w:rPr>
          <w:rFonts w:cs="Times New Roman"/>
          <w:sz w:val="24"/>
          <w:szCs w:val="24"/>
        </w:rPr>
        <w:t>a consequence of</w:t>
      </w:r>
      <w:r w:rsidR="008C45E2">
        <w:rPr>
          <w:rFonts w:cs="Times New Roman"/>
          <w:sz w:val="24"/>
          <w:szCs w:val="24"/>
        </w:rPr>
        <w:t xml:space="preserve"> </w:t>
      </w:r>
      <w:r w:rsidR="006804F0">
        <w:rPr>
          <w:rFonts w:cs="Times New Roman"/>
          <w:sz w:val="24"/>
          <w:szCs w:val="24"/>
        </w:rPr>
        <w:t xml:space="preserve">time scarcity. </w:t>
      </w:r>
      <w:r w:rsidR="008C45E2">
        <w:rPr>
          <w:rFonts w:cs="Times New Roman"/>
          <w:sz w:val="24"/>
          <w:szCs w:val="24"/>
        </w:rPr>
        <w:t xml:space="preserve">Finally, individuals living in households without </w:t>
      </w:r>
      <w:r w:rsidR="007E5691">
        <w:rPr>
          <w:rFonts w:cs="Times New Roman"/>
          <w:sz w:val="24"/>
          <w:szCs w:val="24"/>
        </w:rPr>
        <w:t xml:space="preserve">motorized </w:t>
      </w:r>
      <w:r w:rsidR="008C45E2">
        <w:rPr>
          <w:rFonts w:cs="Times New Roman"/>
          <w:sz w:val="24"/>
          <w:szCs w:val="24"/>
        </w:rPr>
        <w:t>vehicles also tend to pursue fewer maintenance activities</w:t>
      </w:r>
      <w:r w:rsidR="005C51D9">
        <w:rPr>
          <w:rFonts w:cs="Times New Roman"/>
          <w:sz w:val="24"/>
          <w:szCs w:val="24"/>
        </w:rPr>
        <w:t xml:space="preserve">. </w:t>
      </w:r>
    </w:p>
    <w:p w14:paraId="68F47391" w14:textId="77777777" w:rsidR="004F01A8" w:rsidRPr="008D3590" w:rsidRDefault="004F01A8" w:rsidP="00097E96">
      <w:pPr>
        <w:rPr>
          <w:rFonts w:cs="Times New Roman"/>
          <w:b/>
          <w:sz w:val="24"/>
          <w:szCs w:val="24"/>
        </w:rPr>
      </w:pPr>
    </w:p>
    <w:p w14:paraId="04DB3D7D" w14:textId="06353401" w:rsidR="007D78C6" w:rsidRPr="008D3590" w:rsidRDefault="00252DC1" w:rsidP="00D83EA2">
      <w:pPr>
        <w:rPr>
          <w:rFonts w:cs="Times New Roman"/>
          <w:sz w:val="24"/>
          <w:szCs w:val="24"/>
        </w:rPr>
      </w:pPr>
      <w:r w:rsidRPr="008D3590">
        <w:rPr>
          <w:rFonts w:cs="Times New Roman"/>
          <w:b/>
          <w:sz w:val="24"/>
          <w:szCs w:val="24"/>
        </w:rPr>
        <w:t>Discretionary activit</w:t>
      </w:r>
      <w:r w:rsidR="00C274A9">
        <w:rPr>
          <w:rFonts w:cs="Times New Roman"/>
          <w:b/>
          <w:sz w:val="24"/>
          <w:szCs w:val="24"/>
        </w:rPr>
        <w:t>y episodes</w:t>
      </w:r>
      <w:r w:rsidR="00FC47AD" w:rsidRPr="008D3590">
        <w:rPr>
          <w:rFonts w:cs="Times New Roman"/>
          <w:b/>
          <w:sz w:val="24"/>
          <w:szCs w:val="24"/>
        </w:rPr>
        <w:t>:</w:t>
      </w:r>
      <w:r w:rsidR="00881EC1" w:rsidRPr="008D3590">
        <w:rPr>
          <w:rFonts w:cs="Times New Roman"/>
          <w:b/>
          <w:sz w:val="24"/>
          <w:szCs w:val="24"/>
        </w:rPr>
        <w:t xml:space="preserve"> </w:t>
      </w:r>
      <w:r w:rsidR="008D3B43" w:rsidRPr="008D3590">
        <w:rPr>
          <w:rFonts w:cs="Times New Roman"/>
          <w:sz w:val="24"/>
          <w:szCs w:val="24"/>
        </w:rPr>
        <w:t>Overall,</w:t>
      </w:r>
      <w:r w:rsidR="008D3B43" w:rsidRPr="008D3590">
        <w:rPr>
          <w:rFonts w:cs="Times New Roman"/>
          <w:b/>
          <w:sz w:val="24"/>
          <w:szCs w:val="24"/>
        </w:rPr>
        <w:t xml:space="preserve"> </w:t>
      </w:r>
      <w:r w:rsidR="00320357" w:rsidRPr="008D3590">
        <w:rPr>
          <w:rFonts w:cs="Times New Roman"/>
          <w:sz w:val="24"/>
          <w:szCs w:val="24"/>
        </w:rPr>
        <w:t>the p</w:t>
      </w:r>
      <w:r w:rsidR="00104472" w:rsidRPr="008D3590">
        <w:rPr>
          <w:rFonts w:cs="Times New Roman"/>
          <w:sz w:val="24"/>
          <w:szCs w:val="24"/>
        </w:rPr>
        <w:t>resence of children in the household is associated with</w:t>
      </w:r>
      <w:r w:rsidR="00DF02A6" w:rsidRPr="008D3590">
        <w:rPr>
          <w:rFonts w:cs="Times New Roman"/>
          <w:sz w:val="24"/>
          <w:szCs w:val="24"/>
          <w:lang w:eastAsia="zh-CN"/>
        </w:rPr>
        <w:t xml:space="preserve"> </w:t>
      </w:r>
      <w:r w:rsidR="008D3B43" w:rsidRPr="008D3590">
        <w:rPr>
          <w:rFonts w:cs="Times New Roman"/>
          <w:sz w:val="24"/>
          <w:szCs w:val="24"/>
        </w:rPr>
        <w:t xml:space="preserve">fewer </w:t>
      </w:r>
      <w:r w:rsidR="00104472" w:rsidRPr="008D3590">
        <w:rPr>
          <w:rFonts w:cs="Times New Roman"/>
          <w:sz w:val="24"/>
          <w:szCs w:val="24"/>
        </w:rPr>
        <w:t>out-of-home discretionary activit</w:t>
      </w:r>
      <w:r w:rsidR="00320357" w:rsidRPr="008D3590">
        <w:rPr>
          <w:rFonts w:cs="Times New Roman"/>
          <w:sz w:val="24"/>
          <w:szCs w:val="24"/>
        </w:rPr>
        <w:t>y episodes</w:t>
      </w:r>
      <w:r w:rsidR="00104472" w:rsidRPr="008D3590">
        <w:rPr>
          <w:rFonts w:cs="Times New Roman"/>
          <w:sz w:val="24"/>
          <w:szCs w:val="24"/>
        </w:rPr>
        <w:t xml:space="preserve"> for both </w:t>
      </w:r>
      <w:r w:rsidR="00320357" w:rsidRPr="008D3590">
        <w:rPr>
          <w:rFonts w:cs="Times New Roman"/>
          <w:sz w:val="24"/>
          <w:szCs w:val="24"/>
        </w:rPr>
        <w:t>men and women</w:t>
      </w:r>
      <w:r w:rsidR="00D817FA">
        <w:rPr>
          <w:rFonts w:cs="Times New Roman"/>
          <w:sz w:val="24"/>
          <w:szCs w:val="24"/>
        </w:rPr>
        <w:t>, with men being more negatively affected. On the other hand, women, in general, seem to pursue shorter discretionary</w:t>
      </w:r>
      <w:r w:rsidR="008D3B43" w:rsidRPr="008D3590">
        <w:rPr>
          <w:rFonts w:cs="Times New Roman"/>
          <w:sz w:val="24"/>
          <w:szCs w:val="24"/>
        </w:rPr>
        <w:t xml:space="preserve"> episodes</w:t>
      </w:r>
      <w:r w:rsidR="00320357" w:rsidRPr="008D3590">
        <w:rPr>
          <w:rFonts w:cs="Times New Roman"/>
          <w:sz w:val="24"/>
          <w:szCs w:val="24"/>
        </w:rPr>
        <w:t>.</w:t>
      </w:r>
      <w:r w:rsidR="007E5691">
        <w:rPr>
          <w:rFonts w:cs="Times New Roman"/>
          <w:sz w:val="24"/>
          <w:szCs w:val="24"/>
          <w:lang w:eastAsia="zh-CN"/>
        </w:rPr>
        <w:t xml:space="preserve"> </w:t>
      </w:r>
      <w:r w:rsidR="00BF12E5" w:rsidRPr="008D3590">
        <w:rPr>
          <w:rFonts w:cs="Times New Roman"/>
          <w:sz w:val="24"/>
          <w:szCs w:val="24"/>
          <w:lang w:eastAsia="zh-CN"/>
        </w:rPr>
        <w:t xml:space="preserve">Individuals who live in metropolitan areas appear to undertake </w:t>
      </w:r>
      <w:r w:rsidR="00D817FA">
        <w:rPr>
          <w:rFonts w:cs="Times New Roman"/>
          <w:sz w:val="24"/>
          <w:szCs w:val="24"/>
          <w:lang w:eastAsia="zh-CN"/>
        </w:rPr>
        <w:t>longer</w:t>
      </w:r>
      <w:r w:rsidR="00D817FA" w:rsidRPr="008D3590">
        <w:rPr>
          <w:rFonts w:cs="Times New Roman"/>
          <w:sz w:val="24"/>
          <w:szCs w:val="24"/>
          <w:lang w:eastAsia="zh-CN"/>
        </w:rPr>
        <w:t xml:space="preserve"> </w:t>
      </w:r>
      <w:r w:rsidR="00BF12E5" w:rsidRPr="008D3590">
        <w:rPr>
          <w:rFonts w:cs="Times New Roman"/>
          <w:sz w:val="24"/>
          <w:szCs w:val="24"/>
          <w:lang w:eastAsia="zh-CN"/>
        </w:rPr>
        <w:t xml:space="preserve">discretionary activity episodes, </w:t>
      </w:r>
      <w:r w:rsidR="00D817FA">
        <w:rPr>
          <w:rFonts w:cs="Times New Roman"/>
          <w:sz w:val="24"/>
          <w:szCs w:val="24"/>
          <w:lang w:eastAsia="zh-CN"/>
        </w:rPr>
        <w:t xml:space="preserve">which is likely a consequence of the </w:t>
      </w:r>
      <w:r w:rsidR="00DB2C56">
        <w:rPr>
          <w:rFonts w:cs="Times New Roman"/>
          <w:sz w:val="24"/>
          <w:szCs w:val="24"/>
          <w:lang w:eastAsia="zh-CN"/>
        </w:rPr>
        <w:t xml:space="preserve">type </w:t>
      </w:r>
      <w:r w:rsidR="00D817FA">
        <w:rPr>
          <w:rFonts w:cs="Times New Roman"/>
          <w:sz w:val="24"/>
          <w:szCs w:val="24"/>
          <w:lang w:eastAsia="zh-CN"/>
        </w:rPr>
        <w:t xml:space="preserve">of discretionary activities </w:t>
      </w:r>
      <w:r w:rsidR="00DB2C56">
        <w:rPr>
          <w:rFonts w:cs="Times New Roman"/>
          <w:sz w:val="24"/>
          <w:szCs w:val="24"/>
          <w:lang w:eastAsia="zh-CN"/>
        </w:rPr>
        <w:t>undertaken</w:t>
      </w:r>
      <w:r w:rsidR="00D817FA">
        <w:rPr>
          <w:rFonts w:cs="Times New Roman"/>
          <w:sz w:val="24"/>
          <w:szCs w:val="24"/>
          <w:lang w:eastAsia="zh-CN"/>
        </w:rPr>
        <w:t xml:space="preserve"> in metropolitan areas</w:t>
      </w:r>
      <w:r w:rsidR="00BF12E5" w:rsidRPr="008D3590">
        <w:rPr>
          <w:rFonts w:cs="Times New Roman"/>
          <w:sz w:val="24"/>
          <w:szCs w:val="24"/>
          <w:lang w:eastAsia="zh-CN"/>
        </w:rPr>
        <w:t xml:space="preserve">. </w:t>
      </w:r>
    </w:p>
    <w:p w14:paraId="1081CC5B" w14:textId="5EA4ECFE" w:rsidR="00252DC1" w:rsidRPr="008D3590" w:rsidRDefault="007D78C6" w:rsidP="00881C66">
      <w:pPr>
        <w:ind w:firstLine="720"/>
        <w:rPr>
          <w:rFonts w:cs="Times New Roman"/>
          <w:sz w:val="24"/>
          <w:szCs w:val="24"/>
        </w:rPr>
      </w:pPr>
      <w:r w:rsidRPr="008D3590">
        <w:rPr>
          <w:rFonts w:cs="Times New Roman"/>
          <w:sz w:val="24"/>
          <w:szCs w:val="24"/>
        </w:rPr>
        <w:t>A higher virtual accessibility (VALSC)</w:t>
      </w:r>
      <w:r w:rsidR="00335A01" w:rsidRPr="008D3590">
        <w:rPr>
          <w:rFonts w:cs="Times New Roman"/>
          <w:sz w:val="24"/>
          <w:szCs w:val="24"/>
        </w:rPr>
        <w:t xml:space="preserve"> is associated with </w:t>
      </w:r>
      <w:r w:rsidR="00E05945" w:rsidRPr="008D3590">
        <w:rPr>
          <w:rFonts w:cs="Times New Roman"/>
          <w:sz w:val="24"/>
          <w:szCs w:val="24"/>
        </w:rPr>
        <w:t xml:space="preserve">an increased number of out-of-home </w:t>
      </w:r>
      <w:r w:rsidR="00335A01" w:rsidRPr="008D3590">
        <w:rPr>
          <w:rFonts w:cs="Times New Roman"/>
          <w:sz w:val="24"/>
          <w:szCs w:val="24"/>
        </w:rPr>
        <w:t>leisure and social activit</w:t>
      </w:r>
      <w:r w:rsidRPr="008D3590">
        <w:rPr>
          <w:rFonts w:cs="Times New Roman"/>
          <w:sz w:val="24"/>
          <w:szCs w:val="24"/>
        </w:rPr>
        <w:t>y episodes</w:t>
      </w:r>
      <w:r w:rsidR="00335A01" w:rsidRPr="008D3590">
        <w:rPr>
          <w:rFonts w:cs="Times New Roman"/>
          <w:sz w:val="24"/>
          <w:szCs w:val="24"/>
        </w:rPr>
        <w:t xml:space="preserve">. People with </w:t>
      </w:r>
      <w:r w:rsidRPr="008D3590">
        <w:rPr>
          <w:rFonts w:cs="Times New Roman"/>
          <w:sz w:val="24"/>
          <w:szCs w:val="24"/>
        </w:rPr>
        <w:t xml:space="preserve">high virtual accessibility </w:t>
      </w:r>
      <w:r w:rsidR="00E05945" w:rsidRPr="008D3590">
        <w:rPr>
          <w:rFonts w:cs="Times New Roman"/>
          <w:sz w:val="24"/>
          <w:szCs w:val="24"/>
        </w:rPr>
        <w:t>have expanded access to knowledge about recreational events</w:t>
      </w:r>
      <w:r w:rsidRPr="008D3590">
        <w:rPr>
          <w:rFonts w:cs="Times New Roman"/>
          <w:sz w:val="24"/>
          <w:szCs w:val="24"/>
        </w:rPr>
        <w:t>.</w:t>
      </w:r>
      <w:r w:rsidR="00E05945" w:rsidRPr="008D3590">
        <w:rPr>
          <w:rFonts w:cs="Times New Roman"/>
          <w:sz w:val="24"/>
          <w:szCs w:val="24"/>
        </w:rPr>
        <w:t xml:space="preserve"> </w:t>
      </w:r>
      <w:r w:rsidR="00335A01" w:rsidRPr="008D3590">
        <w:rPr>
          <w:rFonts w:cs="Times New Roman"/>
          <w:b/>
          <w:sz w:val="24"/>
          <w:szCs w:val="24"/>
        </w:rPr>
        <w:fldChar w:fldCharType="begin" w:fldLock="1"/>
      </w:r>
      <w:r w:rsidR="00335A01" w:rsidRPr="008D3590">
        <w:rPr>
          <w:rFonts w:cs="Times New Roman"/>
          <w:b/>
          <w:sz w:val="24"/>
          <w:szCs w:val="24"/>
        </w:rPr>
        <w:instrText>ADDIN CSL_CITATION { "citationItems" : [ { "id" : "ITEM-1", "itemData" : { "author" : [ { "dropping-particle" : "", "family" : "Kenyon", "given" : "S", "non-dropping-particle" : "", "parse-names" : false, "suffix" : "" } ], "container-title" : "Transportation research part C: emerging technologies", "id" : "ITEM-1", "issued" : { "date-parts" : [ [ "2010" ] ] }, "title" : "The impacts of Internet use upon activity participation and travel: Results from a longitudinal diary-based panel study", "type" : "article-journal" }, "uris" : [ "http://www.mendeley.com/documents/?uuid=6ddb1b55-1c1f-307d-a363-a6807b3a8370" ] } ], "mendeley" : { "formattedCitation" : "(Kenyon, 2010)", "manualFormatting" : "Kenyon (2010)", "plainTextFormattedCitation" : "(Kenyon, 2010)", "previouslyFormattedCitation" : "(Kenyon 2010)" }, "properties" : { "noteIndex" : 0 }, "schema" : "https://github.com/citation-style-language/schema/raw/master/csl-citation.json" }</w:instrText>
      </w:r>
      <w:r w:rsidR="00335A01" w:rsidRPr="008D3590">
        <w:rPr>
          <w:rFonts w:cs="Times New Roman"/>
          <w:b/>
          <w:sz w:val="24"/>
          <w:szCs w:val="24"/>
        </w:rPr>
        <w:fldChar w:fldCharType="separate"/>
      </w:r>
      <w:r w:rsidR="00335A01" w:rsidRPr="008D3590">
        <w:rPr>
          <w:rFonts w:cs="Times New Roman"/>
          <w:noProof/>
          <w:sz w:val="24"/>
          <w:szCs w:val="24"/>
        </w:rPr>
        <w:t>Kenyon (2010)</w:t>
      </w:r>
      <w:r w:rsidR="00335A01" w:rsidRPr="008D3590">
        <w:rPr>
          <w:rFonts w:cs="Times New Roman"/>
          <w:b/>
          <w:sz w:val="24"/>
          <w:szCs w:val="24"/>
        </w:rPr>
        <w:fldChar w:fldCharType="end"/>
      </w:r>
      <w:r w:rsidR="00335A01" w:rsidRPr="008D3590">
        <w:rPr>
          <w:rFonts w:cs="Times New Roman"/>
          <w:b/>
          <w:sz w:val="24"/>
          <w:szCs w:val="24"/>
        </w:rPr>
        <w:t xml:space="preserve"> </w:t>
      </w:r>
      <w:r w:rsidR="00335A01" w:rsidRPr="008D3590">
        <w:rPr>
          <w:rFonts w:cs="Times New Roman"/>
          <w:sz w:val="24"/>
          <w:szCs w:val="24"/>
        </w:rPr>
        <w:t xml:space="preserve">found that interaction with the </w:t>
      </w:r>
      <w:r w:rsidRPr="008D3590">
        <w:rPr>
          <w:rFonts w:cs="Times New Roman"/>
          <w:sz w:val="24"/>
          <w:szCs w:val="24"/>
        </w:rPr>
        <w:t>i</w:t>
      </w:r>
      <w:r w:rsidR="00335A01" w:rsidRPr="008D3590">
        <w:rPr>
          <w:rFonts w:cs="Times New Roman"/>
          <w:sz w:val="24"/>
          <w:szCs w:val="24"/>
        </w:rPr>
        <w:t xml:space="preserve">nternet increases the </w:t>
      </w:r>
      <w:r w:rsidR="00CF041A" w:rsidRPr="008D3590">
        <w:rPr>
          <w:rFonts w:cs="Times New Roman"/>
          <w:sz w:val="24"/>
          <w:szCs w:val="24"/>
        </w:rPr>
        <w:t xml:space="preserve">in-person </w:t>
      </w:r>
      <w:r w:rsidRPr="008D3590">
        <w:rPr>
          <w:rFonts w:cs="Times New Roman"/>
          <w:sz w:val="24"/>
          <w:szCs w:val="24"/>
        </w:rPr>
        <w:t xml:space="preserve">physical </w:t>
      </w:r>
      <w:r w:rsidR="00335A01" w:rsidRPr="008D3590">
        <w:rPr>
          <w:rFonts w:cs="Times New Roman"/>
          <w:sz w:val="24"/>
          <w:szCs w:val="24"/>
        </w:rPr>
        <w:t>social interaction</w:t>
      </w:r>
      <w:r w:rsidR="00EF3A9A">
        <w:rPr>
          <w:rFonts w:cs="Times New Roman"/>
          <w:sz w:val="24"/>
          <w:szCs w:val="24"/>
        </w:rPr>
        <w:t>. T</w:t>
      </w:r>
      <w:r w:rsidR="00BF12E5" w:rsidRPr="008D3590">
        <w:rPr>
          <w:rFonts w:cs="Times New Roman"/>
          <w:sz w:val="24"/>
          <w:szCs w:val="24"/>
        </w:rPr>
        <w:t>he impact</w:t>
      </w:r>
      <w:r w:rsidR="007E5691">
        <w:rPr>
          <w:rFonts w:cs="Times New Roman"/>
          <w:sz w:val="24"/>
          <w:szCs w:val="24"/>
        </w:rPr>
        <w:t>s</w:t>
      </w:r>
      <w:r w:rsidR="00BF12E5" w:rsidRPr="008D3590">
        <w:rPr>
          <w:rFonts w:cs="Times New Roman"/>
          <w:sz w:val="24"/>
          <w:szCs w:val="24"/>
        </w:rPr>
        <w:t xml:space="preserve"> of PALSC</w:t>
      </w:r>
      <w:r w:rsidR="007E5691">
        <w:rPr>
          <w:rFonts w:cs="Times New Roman"/>
          <w:sz w:val="24"/>
          <w:szCs w:val="24"/>
        </w:rPr>
        <w:t xml:space="preserve">, total work duration, and the absence of motorized vehicles </w:t>
      </w:r>
      <w:r w:rsidR="00BF12E5" w:rsidRPr="008D3590">
        <w:rPr>
          <w:rFonts w:cs="Times New Roman"/>
          <w:sz w:val="24"/>
          <w:szCs w:val="24"/>
        </w:rPr>
        <w:t xml:space="preserve">on the </w:t>
      </w:r>
      <w:r w:rsidR="00214378" w:rsidRPr="008D3590">
        <w:rPr>
          <w:rFonts w:cs="Times New Roman"/>
          <w:sz w:val="24"/>
          <w:szCs w:val="24"/>
        </w:rPr>
        <w:t>number and durations of OH</w:t>
      </w:r>
      <w:r w:rsidR="00BF12E5" w:rsidRPr="008D3590">
        <w:rPr>
          <w:rFonts w:cs="Times New Roman"/>
          <w:sz w:val="24"/>
          <w:szCs w:val="24"/>
        </w:rPr>
        <w:t xml:space="preserve"> discretionary activity episodes </w:t>
      </w:r>
      <w:r w:rsidR="007E5691">
        <w:rPr>
          <w:rFonts w:cs="Times New Roman"/>
          <w:sz w:val="24"/>
          <w:szCs w:val="24"/>
        </w:rPr>
        <w:t>are</w:t>
      </w:r>
      <w:r w:rsidR="00BF12E5" w:rsidRPr="008D3590">
        <w:rPr>
          <w:rFonts w:cs="Times New Roman"/>
          <w:sz w:val="24"/>
          <w:szCs w:val="24"/>
        </w:rPr>
        <w:t xml:space="preserve"> </w:t>
      </w:r>
      <w:r w:rsidR="00EB2B13">
        <w:rPr>
          <w:rFonts w:cs="Times New Roman"/>
          <w:sz w:val="24"/>
          <w:szCs w:val="24"/>
        </w:rPr>
        <w:t>similar to th</w:t>
      </w:r>
      <w:r w:rsidR="00C274A9">
        <w:rPr>
          <w:rFonts w:cs="Times New Roman"/>
          <w:sz w:val="24"/>
          <w:szCs w:val="24"/>
        </w:rPr>
        <w:t>e</w:t>
      </w:r>
      <w:r w:rsidR="00EB2B13">
        <w:rPr>
          <w:rFonts w:cs="Times New Roman"/>
          <w:sz w:val="24"/>
          <w:szCs w:val="24"/>
        </w:rPr>
        <w:t xml:space="preserve"> impact</w:t>
      </w:r>
      <w:r w:rsidR="007E5691">
        <w:rPr>
          <w:rFonts w:cs="Times New Roman"/>
          <w:sz w:val="24"/>
          <w:szCs w:val="24"/>
        </w:rPr>
        <w:t>s</w:t>
      </w:r>
      <w:r w:rsidR="00EB2B13">
        <w:rPr>
          <w:rFonts w:cs="Times New Roman"/>
          <w:sz w:val="24"/>
          <w:szCs w:val="24"/>
        </w:rPr>
        <w:t xml:space="preserve"> on maintenance episodes</w:t>
      </w:r>
      <w:r w:rsidR="007E5691">
        <w:rPr>
          <w:rFonts w:cs="Times New Roman"/>
          <w:sz w:val="24"/>
          <w:szCs w:val="24"/>
        </w:rPr>
        <w:t>.</w:t>
      </w:r>
      <w:r w:rsidR="00EB2B13">
        <w:rPr>
          <w:rFonts w:cs="Times New Roman"/>
          <w:sz w:val="24"/>
          <w:szCs w:val="24"/>
        </w:rPr>
        <w:t xml:space="preserve"> </w:t>
      </w:r>
    </w:p>
    <w:p w14:paraId="2ADD5FDB" w14:textId="77777777" w:rsidR="007D78C6" w:rsidRPr="008D3590" w:rsidRDefault="000A7F81" w:rsidP="000A7F81">
      <w:pPr>
        <w:rPr>
          <w:rFonts w:cs="Times New Roman"/>
          <w:sz w:val="24"/>
          <w:szCs w:val="24"/>
        </w:rPr>
      </w:pPr>
      <w:r w:rsidRPr="008D3590">
        <w:rPr>
          <w:rFonts w:cs="Times New Roman"/>
          <w:sz w:val="24"/>
          <w:szCs w:val="24"/>
        </w:rPr>
        <w:lastRenderedPageBreak/>
        <w:tab/>
      </w:r>
    </w:p>
    <w:p w14:paraId="4E1F5613" w14:textId="7958AF84" w:rsidR="007D78C6" w:rsidRPr="008D3590" w:rsidRDefault="007E5691" w:rsidP="002606AC">
      <w:pPr>
        <w:rPr>
          <w:rFonts w:cs="Times New Roman"/>
          <w:sz w:val="24"/>
          <w:szCs w:val="24"/>
        </w:rPr>
      </w:pPr>
      <w:r>
        <w:rPr>
          <w:rFonts w:cs="Times New Roman"/>
          <w:b/>
          <w:sz w:val="24"/>
          <w:szCs w:val="24"/>
        </w:rPr>
        <w:t>Motorized vehicle</w:t>
      </w:r>
      <w:r w:rsidR="007D78C6" w:rsidRPr="008D3590">
        <w:rPr>
          <w:rFonts w:cs="Times New Roman"/>
          <w:b/>
          <w:sz w:val="24"/>
          <w:szCs w:val="24"/>
        </w:rPr>
        <w:t xml:space="preserve"> </w:t>
      </w:r>
      <w:r w:rsidR="004323FD" w:rsidRPr="005D7939">
        <w:rPr>
          <w:rFonts w:cs="Times New Roman"/>
          <w:b/>
          <w:sz w:val="24"/>
          <w:szCs w:val="24"/>
        </w:rPr>
        <w:t>availability</w:t>
      </w:r>
      <w:r w:rsidR="007D78C6" w:rsidRPr="008D3590">
        <w:rPr>
          <w:rFonts w:cs="Times New Roman"/>
          <w:b/>
          <w:sz w:val="24"/>
          <w:szCs w:val="24"/>
        </w:rPr>
        <w:t xml:space="preserve">, </w:t>
      </w:r>
      <w:r w:rsidR="004323FD">
        <w:rPr>
          <w:rFonts w:cs="Times New Roman"/>
          <w:b/>
          <w:sz w:val="24"/>
          <w:szCs w:val="24"/>
        </w:rPr>
        <w:t>trip</w:t>
      </w:r>
      <w:r w:rsidR="004323FD" w:rsidRPr="008D3590">
        <w:rPr>
          <w:rFonts w:cs="Times New Roman"/>
          <w:b/>
          <w:sz w:val="24"/>
          <w:szCs w:val="24"/>
        </w:rPr>
        <w:t xml:space="preserve"> </w:t>
      </w:r>
      <w:r w:rsidR="007D78C6" w:rsidRPr="008D3590">
        <w:rPr>
          <w:rFonts w:cs="Times New Roman"/>
          <w:b/>
          <w:sz w:val="24"/>
          <w:szCs w:val="24"/>
        </w:rPr>
        <w:t xml:space="preserve">chaining, and average trip distance results: </w:t>
      </w:r>
      <w:r w:rsidR="00002F91" w:rsidRPr="008D3590">
        <w:rPr>
          <w:rFonts w:cs="Times New Roman"/>
          <w:sz w:val="24"/>
          <w:szCs w:val="24"/>
          <w:lang w:eastAsia="zh-CN"/>
        </w:rPr>
        <w:t>M</w:t>
      </w:r>
      <w:r w:rsidR="000A7F81" w:rsidRPr="008D3590">
        <w:rPr>
          <w:rFonts w:cs="Times New Roman"/>
          <w:sz w:val="24"/>
          <w:szCs w:val="24"/>
        </w:rPr>
        <w:t xml:space="preserve">ulti-worker households are likely to own </w:t>
      </w:r>
      <w:r w:rsidR="00FF67BF">
        <w:rPr>
          <w:rFonts w:cs="Times New Roman"/>
          <w:sz w:val="24"/>
          <w:szCs w:val="24"/>
        </w:rPr>
        <w:t xml:space="preserve">more </w:t>
      </w:r>
      <w:r>
        <w:rPr>
          <w:rFonts w:cs="Times New Roman"/>
          <w:sz w:val="24"/>
          <w:szCs w:val="24"/>
        </w:rPr>
        <w:t xml:space="preserve">motorized </w:t>
      </w:r>
      <w:r w:rsidR="000A7F81" w:rsidRPr="008D3590">
        <w:rPr>
          <w:rFonts w:cs="Times New Roman"/>
          <w:sz w:val="24"/>
          <w:szCs w:val="24"/>
        </w:rPr>
        <w:t xml:space="preserve">vehicles </w:t>
      </w:r>
      <w:r w:rsidR="00A800C8" w:rsidRPr="005D7939">
        <w:rPr>
          <w:rFonts w:cs="Times New Roman"/>
          <w:sz w:val="24"/>
          <w:szCs w:val="24"/>
        </w:rPr>
        <w:t>per adult</w:t>
      </w:r>
      <w:r w:rsidR="00A800C8">
        <w:rPr>
          <w:rFonts w:cs="Times New Roman"/>
          <w:sz w:val="24"/>
          <w:szCs w:val="24"/>
        </w:rPr>
        <w:t xml:space="preserve"> </w:t>
      </w:r>
      <w:r w:rsidR="000A7F81" w:rsidRPr="008D3590">
        <w:rPr>
          <w:rFonts w:cs="Times New Roman"/>
          <w:sz w:val="24"/>
          <w:szCs w:val="24"/>
        </w:rPr>
        <w:t>than single-worker households</w:t>
      </w:r>
      <w:r w:rsidR="007D78C6" w:rsidRPr="008D3590">
        <w:rPr>
          <w:rFonts w:cs="Times New Roman"/>
          <w:sz w:val="24"/>
          <w:szCs w:val="24"/>
        </w:rPr>
        <w:t xml:space="preserve">, consistent with the </w:t>
      </w:r>
      <w:r w:rsidR="00214378" w:rsidRPr="008D3590">
        <w:rPr>
          <w:rFonts w:cs="Times New Roman"/>
          <w:sz w:val="24"/>
          <w:szCs w:val="24"/>
        </w:rPr>
        <w:t xml:space="preserve">typically </w:t>
      </w:r>
      <w:r w:rsidR="000A7F81" w:rsidRPr="008D3590">
        <w:rPr>
          <w:rFonts w:cs="Times New Roman"/>
          <w:sz w:val="24"/>
          <w:szCs w:val="24"/>
        </w:rPr>
        <w:t xml:space="preserve">higher need of vehicles </w:t>
      </w:r>
      <w:r w:rsidR="007D78C6" w:rsidRPr="008D3590">
        <w:rPr>
          <w:rFonts w:cs="Times New Roman"/>
          <w:sz w:val="24"/>
          <w:szCs w:val="24"/>
        </w:rPr>
        <w:t>in</w:t>
      </w:r>
      <w:r w:rsidR="000A7F81" w:rsidRPr="008D3590">
        <w:rPr>
          <w:rFonts w:cs="Times New Roman"/>
          <w:sz w:val="24"/>
          <w:szCs w:val="24"/>
        </w:rPr>
        <w:t xml:space="preserve"> households with multiple workers</w:t>
      </w:r>
      <w:r w:rsidR="007D78C6" w:rsidRPr="008D3590">
        <w:rPr>
          <w:rFonts w:cs="Times New Roman"/>
          <w:sz w:val="24"/>
          <w:szCs w:val="24"/>
        </w:rPr>
        <w:t>.</w:t>
      </w:r>
      <w:r w:rsidR="000A7F81" w:rsidRPr="008D3590">
        <w:rPr>
          <w:rFonts w:cs="Times New Roman"/>
          <w:sz w:val="24"/>
          <w:szCs w:val="24"/>
        </w:rPr>
        <w:t xml:space="preserve"> </w:t>
      </w:r>
      <w:r w:rsidR="00214378" w:rsidRPr="008D3590">
        <w:rPr>
          <w:rFonts w:cs="Times New Roman"/>
          <w:sz w:val="24"/>
          <w:szCs w:val="24"/>
        </w:rPr>
        <w:t xml:space="preserve">The effect of residing in a metropolitan area (as opposed to in non-metro areas) is precisely the opposite, again consistent with the better transit facilities in metropolitan areas and the lower need for personal vehicles there. </w:t>
      </w:r>
      <w:r w:rsidR="007D78C6" w:rsidRPr="008D3590">
        <w:rPr>
          <w:rFonts w:cs="Times New Roman"/>
          <w:sz w:val="24"/>
          <w:szCs w:val="24"/>
        </w:rPr>
        <w:t xml:space="preserve">In our analysis, the virtual accessibility VALSC measure </w:t>
      </w:r>
      <w:r w:rsidR="000A70E4">
        <w:rPr>
          <w:rFonts w:cs="Times New Roman"/>
          <w:sz w:val="24"/>
          <w:szCs w:val="24"/>
        </w:rPr>
        <w:t>has a positive effect</w:t>
      </w:r>
      <w:r w:rsidR="000A7F81" w:rsidRPr="008D3590">
        <w:rPr>
          <w:rFonts w:cs="Times New Roman"/>
          <w:sz w:val="24"/>
          <w:szCs w:val="24"/>
        </w:rPr>
        <w:t xml:space="preserve"> on vehicle ownership. However, it is possible that newer data sets </w:t>
      </w:r>
      <w:r w:rsidR="00881EC1" w:rsidRPr="008D3590">
        <w:rPr>
          <w:rFonts w:cs="Times New Roman"/>
          <w:sz w:val="24"/>
          <w:szCs w:val="24"/>
        </w:rPr>
        <w:t>with</w:t>
      </w:r>
      <w:r w:rsidR="000A7F81" w:rsidRPr="008D3590">
        <w:rPr>
          <w:rFonts w:cs="Times New Roman"/>
          <w:sz w:val="24"/>
          <w:szCs w:val="24"/>
        </w:rPr>
        <w:t xml:space="preserve"> travel behavior data that already incorporate the use of </w:t>
      </w:r>
      <w:proofErr w:type="spellStart"/>
      <w:r w:rsidR="000A7F81" w:rsidRPr="008D3590">
        <w:rPr>
          <w:rFonts w:cs="Times New Roman"/>
          <w:sz w:val="24"/>
          <w:szCs w:val="24"/>
        </w:rPr>
        <w:t>carsharing</w:t>
      </w:r>
      <w:proofErr w:type="spellEnd"/>
      <w:r w:rsidR="000A7F81" w:rsidRPr="008D3590">
        <w:rPr>
          <w:rFonts w:cs="Times New Roman"/>
          <w:sz w:val="24"/>
          <w:szCs w:val="24"/>
        </w:rPr>
        <w:t xml:space="preserve"> and ride</w:t>
      </w:r>
      <w:r w:rsidR="006207A0">
        <w:rPr>
          <w:rFonts w:cs="Times New Roman"/>
          <w:sz w:val="24"/>
          <w:szCs w:val="24"/>
        </w:rPr>
        <w:t>-hailing</w:t>
      </w:r>
      <w:r w:rsidR="000A7F81" w:rsidRPr="008D3590">
        <w:rPr>
          <w:rFonts w:cs="Times New Roman"/>
          <w:sz w:val="24"/>
          <w:szCs w:val="24"/>
        </w:rPr>
        <w:t xml:space="preserve"> services would provide evidence that virtual accessibility decreases vehicle ownership. </w:t>
      </w:r>
      <w:r w:rsidR="009E4109" w:rsidRPr="008D3590">
        <w:rPr>
          <w:rFonts w:cs="Times New Roman"/>
          <w:sz w:val="24"/>
          <w:szCs w:val="24"/>
        </w:rPr>
        <w:t>For ex</w:t>
      </w:r>
      <w:r w:rsidR="0033266F" w:rsidRPr="008D3590">
        <w:rPr>
          <w:rFonts w:cs="Times New Roman"/>
          <w:sz w:val="24"/>
          <w:szCs w:val="24"/>
        </w:rPr>
        <w:t>a</w:t>
      </w:r>
      <w:r w:rsidR="009E4109" w:rsidRPr="008D3590">
        <w:rPr>
          <w:rFonts w:cs="Times New Roman"/>
          <w:sz w:val="24"/>
          <w:szCs w:val="24"/>
        </w:rPr>
        <w:t>m</w:t>
      </w:r>
      <w:r w:rsidR="0033266F" w:rsidRPr="008D3590">
        <w:rPr>
          <w:rFonts w:cs="Times New Roman"/>
          <w:sz w:val="24"/>
          <w:szCs w:val="24"/>
        </w:rPr>
        <w:t xml:space="preserve">ple, </w:t>
      </w:r>
      <w:proofErr w:type="spellStart"/>
      <w:r w:rsidR="00447432">
        <w:rPr>
          <w:rFonts w:cs="Times New Roman"/>
          <w:sz w:val="24"/>
          <w:szCs w:val="24"/>
        </w:rPr>
        <w:t>Lavieri</w:t>
      </w:r>
      <w:proofErr w:type="spellEnd"/>
      <w:r w:rsidR="00447432">
        <w:rPr>
          <w:rFonts w:cs="Times New Roman"/>
          <w:sz w:val="24"/>
          <w:szCs w:val="24"/>
        </w:rPr>
        <w:t xml:space="preserve"> et al.</w:t>
      </w:r>
      <w:r w:rsidR="000A7F81" w:rsidRPr="008D3590">
        <w:rPr>
          <w:rFonts w:cs="Times New Roman"/>
          <w:sz w:val="24"/>
          <w:szCs w:val="24"/>
        </w:rPr>
        <w:t xml:space="preserve"> (2017</w:t>
      </w:r>
      <w:r w:rsidR="00AF75EB" w:rsidRPr="008D3590">
        <w:rPr>
          <w:rFonts w:cs="Times New Roman"/>
          <w:sz w:val="24"/>
          <w:szCs w:val="24"/>
        </w:rPr>
        <w:t>a</w:t>
      </w:r>
      <w:r w:rsidR="00447432">
        <w:rPr>
          <w:rFonts w:cs="Times New Roman"/>
          <w:sz w:val="24"/>
          <w:szCs w:val="24"/>
        </w:rPr>
        <w:t>,</w:t>
      </w:r>
      <w:r w:rsidR="00AF75EB" w:rsidRPr="008D3590">
        <w:rPr>
          <w:rFonts w:cs="Times New Roman"/>
          <w:sz w:val="24"/>
          <w:szCs w:val="24"/>
        </w:rPr>
        <w:t xml:space="preserve"> 2017b</w:t>
      </w:r>
      <w:r w:rsidR="000A7F81" w:rsidRPr="008D3590">
        <w:rPr>
          <w:rFonts w:cs="Times New Roman"/>
          <w:sz w:val="24"/>
          <w:szCs w:val="24"/>
        </w:rPr>
        <w:t>) found that tech-savvy individuals are less likely to own vehicles. Higher levels of</w:t>
      </w:r>
      <w:r w:rsidR="0033266F" w:rsidRPr="008D3590">
        <w:rPr>
          <w:rFonts w:cs="Times New Roman"/>
          <w:sz w:val="24"/>
          <w:szCs w:val="24"/>
        </w:rPr>
        <w:t xml:space="preserve"> PALSC</w:t>
      </w:r>
      <w:r w:rsidR="000A7F81" w:rsidRPr="008D3590">
        <w:rPr>
          <w:rFonts w:cs="Times New Roman"/>
          <w:sz w:val="24"/>
          <w:szCs w:val="24"/>
        </w:rPr>
        <w:t xml:space="preserve"> </w:t>
      </w:r>
      <w:r w:rsidR="0033266F" w:rsidRPr="008D3590">
        <w:rPr>
          <w:rFonts w:cs="Times New Roman"/>
          <w:sz w:val="24"/>
          <w:szCs w:val="24"/>
        </w:rPr>
        <w:t>measures (based on accessibility by non-auto modes)</w:t>
      </w:r>
      <w:r w:rsidR="00FF67BF">
        <w:rPr>
          <w:rFonts w:cs="Times New Roman"/>
          <w:sz w:val="24"/>
          <w:szCs w:val="24"/>
        </w:rPr>
        <w:t xml:space="preserve">, </w:t>
      </w:r>
      <w:r w:rsidR="0033266F" w:rsidRPr="008D3590">
        <w:rPr>
          <w:rFonts w:cs="Times New Roman"/>
          <w:sz w:val="24"/>
          <w:szCs w:val="24"/>
        </w:rPr>
        <w:t>as expected,</w:t>
      </w:r>
      <w:r w:rsidR="000A7F81" w:rsidRPr="008D3590">
        <w:rPr>
          <w:rFonts w:cs="Times New Roman"/>
          <w:sz w:val="24"/>
          <w:szCs w:val="24"/>
        </w:rPr>
        <w:t xml:space="preserve"> </w:t>
      </w:r>
      <w:r w:rsidR="00FF67BF">
        <w:rPr>
          <w:rFonts w:cs="Times New Roman"/>
          <w:sz w:val="24"/>
          <w:szCs w:val="24"/>
        </w:rPr>
        <w:t xml:space="preserve">leads to </w:t>
      </w:r>
      <w:r w:rsidR="000A7F81" w:rsidRPr="008D3590">
        <w:rPr>
          <w:rFonts w:cs="Times New Roman"/>
          <w:sz w:val="24"/>
          <w:szCs w:val="24"/>
        </w:rPr>
        <w:t xml:space="preserve">lower </w:t>
      </w:r>
      <w:r w:rsidR="00FF67BF">
        <w:rPr>
          <w:rFonts w:cs="Times New Roman"/>
          <w:sz w:val="24"/>
          <w:szCs w:val="24"/>
        </w:rPr>
        <w:t>motorized vehicle ownership and, therefore, availability</w:t>
      </w:r>
      <w:r w:rsidR="000A7F81" w:rsidRPr="008D3590">
        <w:rPr>
          <w:rFonts w:cs="Times New Roman"/>
          <w:sz w:val="24"/>
          <w:szCs w:val="24"/>
        </w:rPr>
        <w:t xml:space="preserve">. </w:t>
      </w:r>
    </w:p>
    <w:p w14:paraId="068AE338" w14:textId="2EBDCF75" w:rsidR="00A43A19" w:rsidRPr="008D3590" w:rsidRDefault="007E5691" w:rsidP="00881C66">
      <w:pPr>
        <w:ind w:firstLine="720"/>
        <w:rPr>
          <w:rFonts w:cs="Times New Roman"/>
          <w:sz w:val="24"/>
          <w:szCs w:val="24"/>
        </w:rPr>
      </w:pPr>
      <w:r>
        <w:rPr>
          <w:rFonts w:cs="Times New Roman"/>
          <w:sz w:val="24"/>
          <w:szCs w:val="24"/>
        </w:rPr>
        <w:t>Trip</w:t>
      </w:r>
      <w:r w:rsidR="0033266F" w:rsidRPr="008D3590">
        <w:rPr>
          <w:rFonts w:cs="Times New Roman"/>
          <w:sz w:val="24"/>
          <w:szCs w:val="24"/>
        </w:rPr>
        <w:t xml:space="preserve"> </w:t>
      </w:r>
      <w:r w:rsidR="00A1442C" w:rsidRPr="008D3590">
        <w:rPr>
          <w:rFonts w:cs="Times New Roman"/>
          <w:sz w:val="24"/>
          <w:szCs w:val="24"/>
        </w:rPr>
        <w:t>chaining behavior</w:t>
      </w:r>
      <w:r w:rsidR="0033266F" w:rsidRPr="008D3590">
        <w:rPr>
          <w:rFonts w:cs="Times New Roman"/>
          <w:sz w:val="24"/>
          <w:szCs w:val="24"/>
        </w:rPr>
        <w:t xml:space="preserve">, in our analysis, is based on examining </w:t>
      </w:r>
      <w:r w:rsidR="00A1442C" w:rsidRPr="008D3590">
        <w:rPr>
          <w:rFonts w:cs="Times New Roman"/>
          <w:sz w:val="24"/>
          <w:szCs w:val="24"/>
        </w:rPr>
        <w:t xml:space="preserve">the average number of </w:t>
      </w:r>
      <w:r w:rsidR="000A70E4">
        <w:rPr>
          <w:rFonts w:cs="Times New Roman"/>
          <w:sz w:val="24"/>
          <w:szCs w:val="24"/>
        </w:rPr>
        <w:t>trips</w:t>
      </w:r>
      <w:r w:rsidR="000A70E4" w:rsidRPr="008D3590">
        <w:rPr>
          <w:rFonts w:cs="Times New Roman"/>
          <w:sz w:val="24"/>
          <w:szCs w:val="24"/>
        </w:rPr>
        <w:t xml:space="preserve"> </w:t>
      </w:r>
      <w:r w:rsidR="00A1442C" w:rsidRPr="008D3590">
        <w:rPr>
          <w:rFonts w:cs="Times New Roman"/>
          <w:sz w:val="24"/>
          <w:szCs w:val="24"/>
        </w:rPr>
        <w:t xml:space="preserve">per </w:t>
      </w:r>
      <w:r w:rsidR="00881EC1" w:rsidRPr="008D3590">
        <w:rPr>
          <w:rFonts w:cs="Times New Roman"/>
          <w:sz w:val="24"/>
          <w:szCs w:val="24"/>
        </w:rPr>
        <w:t>home-</w:t>
      </w:r>
      <w:r w:rsidR="00A1442C" w:rsidRPr="008D3590">
        <w:rPr>
          <w:rFonts w:cs="Times New Roman"/>
          <w:sz w:val="24"/>
          <w:szCs w:val="24"/>
        </w:rPr>
        <w:t xml:space="preserve">based tour. </w:t>
      </w:r>
      <w:r w:rsidR="000A70E4">
        <w:rPr>
          <w:rFonts w:cs="Times New Roman"/>
          <w:sz w:val="24"/>
          <w:szCs w:val="24"/>
        </w:rPr>
        <w:t xml:space="preserve">Presence of children in the household contributes to higher chaining behavior, which is expected considering that parents accommodate escorting activities within their work, maintenance and discretionary routine. </w:t>
      </w:r>
      <w:r w:rsidR="0033266F" w:rsidRPr="008D3590">
        <w:rPr>
          <w:rFonts w:cs="Times New Roman"/>
          <w:sz w:val="24"/>
          <w:szCs w:val="24"/>
        </w:rPr>
        <w:t xml:space="preserve">Part-time working women chain </w:t>
      </w:r>
      <w:r>
        <w:rPr>
          <w:rFonts w:cs="Times New Roman"/>
          <w:sz w:val="24"/>
          <w:szCs w:val="24"/>
        </w:rPr>
        <w:t>trips</w:t>
      </w:r>
      <w:r w:rsidR="0033266F" w:rsidRPr="008D3590">
        <w:rPr>
          <w:rFonts w:cs="Times New Roman"/>
          <w:sz w:val="24"/>
          <w:szCs w:val="24"/>
        </w:rPr>
        <w:t xml:space="preserve"> more than full-time workers (m</w:t>
      </w:r>
      <w:r w:rsidR="00983713" w:rsidRPr="008D3590">
        <w:rPr>
          <w:rFonts w:cs="Times New Roman"/>
          <w:sz w:val="24"/>
          <w:szCs w:val="24"/>
        </w:rPr>
        <w:t>en</w:t>
      </w:r>
      <w:r w:rsidR="0033266F" w:rsidRPr="008D3590">
        <w:rPr>
          <w:rFonts w:cs="Times New Roman"/>
          <w:sz w:val="24"/>
          <w:szCs w:val="24"/>
        </w:rPr>
        <w:t xml:space="preserve"> and </w:t>
      </w:r>
      <w:r w:rsidR="00983713" w:rsidRPr="008D3590">
        <w:rPr>
          <w:rFonts w:cs="Times New Roman"/>
          <w:sz w:val="24"/>
          <w:szCs w:val="24"/>
        </w:rPr>
        <w:t>women</w:t>
      </w:r>
      <w:r w:rsidR="0033266F" w:rsidRPr="008D3590">
        <w:rPr>
          <w:rFonts w:cs="Times New Roman"/>
          <w:sz w:val="24"/>
          <w:szCs w:val="24"/>
        </w:rPr>
        <w:t>)</w:t>
      </w:r>
      <w:r w:rsidR="008F7175" w:rsidRPr="008D3590">
        <w:rPr>
          <w:rFonts w:cs="Times New Roman"/>
          <w:sz w:val="24"/>
          <w:szCs w:val="24"/>
          <w:lang w:eastAsia="zh-CN"/>
        </w:rPr>
        <w:t xml:space="preserve"> and male part-time workers</w:t>
      </w:r>
      <w:r w:rsidR="0033266F" w:rsidRPr="008D3590">
        <w:rPr>
          <w:rFonts w:cs="Times New Roman"/>
          <w:sz w:val="24"/>
          <w:szCs w:val="24"/>
        </w:rPr>
        <w:t>. As discussed earlier, women are usually responsible for most household shopping activities and child escorting, especially when employed part-time</w:t>
      </w:r>
      <w:r w:rsidR="009E4109" w:rsidRPr="008D3590">
        <w:rPr>
          <w:rFonts w:cs="Times New Roman"/>
          <w:sz w:val="24"/>
          <w:szCs w:val="24"/>
        </w:rPr>
        <w:t xml:space="preserve">; </w:t>
      </w:r>
      <w:r w:rsidR="0033266F" w:rsidRPr="008D3590">
        <w:rPr>
          <w:rFonts w:cs="Times New Roman"/>
          <w:sz w:val="24"/>
          <w:szCs w:val="24"/>
        </w:rPr>
        <w:t>therefore</w:t>
      </w:r>
      <w:r w:rsidR="009E4109" w:rsidRPr="008D3590">
        <w:rPr>
          <w:rFonts w:cs="Times New Roman"/>
          <w:sz w:val="24"/>
          <w:szCs w:val="24"/>
        </w:rPr>
        <w:t>,</w:t>
      </w:r>
      <w:r w:rsidR="0033266F" w:rsidRPr="008D3590">
        <w:rPr>
          <w:rFonts w:cs="Times New Roman"/>
          <w:sz w:val="24"/>
          <w:szCs w:val="24"/>
        </w:rPr>
        <w:t xml:space="preserve"> it is </w:t>
      </w:r>
      <w:r w:rsidR="009E4109" w:rsidRPr="008D3590">
        <w:rPr>
          <w:rFonts w:cs="Times New Roman"/>
          <w:sz w:val="24"/>
          <w:szCs w:val="24"/>
        </w:rPr>
        <w:t xml:space="preserve">not surprising that </w:t>
      </w:r>
      <w:r w:rsidR="0033266F" w:rsidRPr="008D3590">
        <w:rPr>
          <w:rFonts w:cs="Times New Roman"/>
          <w:sz w:val="24"/>
          <w:szCs w:val="24"/>
        </w:rPr>
        <w:t xml:space="preserve">they perform more complex tours to fit all their responsibilities in their schedules (see </w:t>
      </w:r>
      <w:proofErr w:type="spellStart"/>
      <w:r w:rsidR="0033266F" w:rsidRPr="008D3590">
        <w:rPr>
          <w:rFonts w:cs="Times New Roman"/>
          <w:sz w:val="24"/>
          <w:szCs w:val="24"/>
        </w:rPr>
        <w:t>Primerano</w:t>
      </w:r>
      <w:proofErr w:type="spellEnd"/>
      <w:r w:rsidR="0033266F" w:rsidRPr="008D3590">
        <w:rPr>
          <w:rFonts w:cs="Times New Roman"/>
          <w:sz w:val="24"/>
          <w:szCs w:val="24"/>
        </w:rPr>
        <w:t xml:space="preserve"> et al.</w:t>
      </w:r>
      <w:r w:rsidR="009E4109" w:rsidRPr="008D3590">
        <w:rPr>
          <w:rFonts w:cs="Times New Roman"/>
          <w:sz w:val="24"/>
          <w:szCs w:val="24"/>
        </w:rPr>
        <w:t xml:space="preserve">, </w:t>
      </w:r>
      <w:r w:rsidR="0033266F" w:rsidRPr="008D3590">
        <w:rPr>
          <w:rFonts w:cs="Times New Roman"/>
          <w:sz w:val="24"/>
          <w:szCs w:val="24"/>
        </w:rPr>
        <w:t>2008</w:t>
      </w:r>
      <w:r w:rsidR="009E4109" w:rsidRPr="008D3590">
        <w:rPr>
          <w:rFonts w:cs="Times New Roman"/>
          <w:sz w:val="24"/>
          <w:szCs w:val="24"/>
        </w:rPr>
        <w:t xml:space="preserve"> </w:t>
      </w:r>
      <w:r w:rsidR="0033266F" w:rsidRPr="008D3590">
        <w:rPr>
          <w:rFonts w:cs="Times New Roman"/>
          <w:sz w:val="24"/>
          <w:szCs w:val="24"/>
        </w:rPr>
        <w:t xml:space="preserve">for a similar result). </w:t>
      </w:r>
      <w:r w:rsidR="000C30F0" w:rsidRPr="008D3590">
        <w:rPr>
          <w:rFonts w:cs="Times New Roman"/>
          <w:sz w:val="24"/>
          <w:szCs w:val="24"/>
        </w:rPr>
        <w:t xml:space="preserve">Virtual accessibility </w:t>
      </w:r>
      <w:r w:rsidR="00CF1C18">
        <w:rPr>
          <w:rFonts w:cs="Times New Roman"/>
          <w:sz w:val="24"/>
          <w:szCs w:val="24"/>
          <w:lang w:eastAsia="zh-CN"/>
        </w:rPr>
        <w:t>increases</w:t>
      </w:r>
      <w:r w:rsidR="00CF1C18" w:rsidRPr="008D3590">
        <w:rPr>
          <w:rFonts w:cs="Times New Roman"/>
          <w:sz w:val="24"/>
          <w:szCs w:val="24"/>
          <w:lang w:eastAsia="zh-CN"/>
        </w:rPr>
        <w:t xml:space="preserve"> </w:t>
      </w:r>
      <w:r>
        <w:rPr>
          <w:rFonts w:cs="Times New Roman"/>
          <w:sz w:val="24"/>
          <w:szCs w:val="24"/>
          <w:lang w:eastAsia="zh-CN"/>
        </w:rPr>
        <w:t>trip</w:t>
      </w:r>
      <w:r w:rsidR="00CF3876" w:rsidRPr="008D3590">
        <w:rPr>
          <w:rFonts w:cs="Times New Roman"/>
          <w:sz w:val="24"/>
          <w:szCs w:val="24"/>
          <w:lang w:eastAsia="zh-CN"/>
        </w:rPr>
        <w:t xml:space="preserve"> chaining </w:t>
      </w:r>
      <w:r w:rsidR="00983713" w:rsidRPr="008D3590">
        <w:rPr>
          <w:rFonts w:cs="Times New Roman"/>
          <w:sz w:val="24"/>
          <w:szCs w:val="24"/>
          <w:lang w:eastAsia="zh-CN"/>
        </w:rPr>
        <w:t xml:space="preserve">propensity, an indication </w:t>
      </w:r>
      <w:r w:rsidR="00D95FF1">
        <w:rPr>
          <w:rFonts w:cs="Times New Roman"/>
          <w:sz w:val="24"/>
          <w:szCs w:val="24"/>
          <w:lang w:eastAsia="zh-CN"/>
        </w:rPr>
        <w:t>that ICT use may contribute to better planning of activity locations and efficient scheduling.</w:t>
      </w:r>
      <w:r w:rsidR="00983713" w:rsidRPr="008D3590">
        <w:rPr>
          <w:rFonts w:cs="Times New Roman"/>
          <w:sz w:val="24"/>
          <w:szCs w:val="24"/>
          <w:lang w:eastAsia="zh-CN"/>
        </w:rPr>
        <w:t xml:space="preserve"> </w:t>
      </w:r>
      <w:r w:rsidR="0033266F" w:rsidRPr="008D3590">
        <w:rPr>
          <w:rFonts w:cs="Times New Roman"/>
          <w:sz w:val="24"/>
          <w:szCs w:val="24"/>
        </w:rPr>
        <w:t>The physical accessibility PALSC measure</w:t>
      </w:r>
      <w:r w:rsidR="00881EC1" w:rsidRPr="008D3590">
        <w:rPr>
          <w:rFonts w:cs="Times New Roman"/>
          <w:sz w:val="24"/>
          <w:szCs w:val="24"/>
        </w:rPr>
        <w:t>,</w:t>
      </w:r>
      <w:r w:rsidR="000C30F0" w:rsidRPr="008D3590">
        <w:rPr>
          <w:rFonts w:cs="Times New Roman"/>
          <w:sz w:val="24"/>
          <w:szCs w:val="24"/>
        </w:rPr>
        <w:t xml:space="preserve"> on the other hand, </w:t>
      </w:r>
      <w:r w:rsidR="0033266F" w:rsidRPr="008D3590">
        <w:rPr>
          <w:rFonts w:cs="Times New Roman"/>
          <w:sz w:val="24"/>
          <w:szCs w:val="24"/>
        </w:rPr>
        <w:t>has a st</w:t>
      </w:r>
      <w:r w:rsidR="00A43A19" w:rsidRPr="008D3590">
        <w:rPr>
          <w:rFonts w:cs="Times New Roman"/>
          <w:sz w:val="24"/>
          <w:szCs w:val="24"/>
        </w:rPr>
        <w:t>r</w:t>
      </w:r>
      <w:r w:rsidR="0033266F" w:rsidRPr="008D3590">
        <w:rPr>
          <w:rFonts w:cs="Times New Roman"/>
          <w:sz w:val="24"/>
          <w:szCs w:val="24"/>
        </w:rPr>
        <w:t xml:space="preserve">ong negative effect on </w:t>
      </w:r>
      <w:r>
        <w:rPr>
          <w:rFonts w:cs="Times New Roman"/>
          <w:sz w:val="24"/>
          <w:szCs w:val="24"/>
        </w:rPr>
        <w:t>trip</w:t>
      </w:r>
      <w:r w:rsidR="0033266F" w:rsidRPr="008D3590">
        <w:rPr>
          <w:rFonts w:cs="Times New Roman"/>
          <w:sz w:val="24"/>
          <w:szCs w:val="24"/>
        </w:rPr>
        <w:t xml:space="preserve"> chaining</w:t>
      </w:r>
      <w:r w:rsidR="00A43A19" w:rsidRPr="008D3590">
        <w:rPr>
          <w:rFonts w:cs="Times New Roman"/>
          <w:sz w:val="24"/>
          <w:szCs w:val="24"/>
        </w:rPr>
        <w:t xml:space="preserve">, perhaps because of the </w:t>
      </w:r>
      <w:r w:rsidR="000C30F0" w:rsidRPr="008D3590">
        <w:rPr>
          <w:rFonts w:cs="Times New Roman"/>
          <w:sz w:val="24"/>
          <w:szCs w:val="24"/>
        </w:rPr>
        <w:t xml:space="preserve">ease </w:t>
      </w:r>
      <w:r w:rsidR="00A43A19" w:rsidRPr="008D3590">
        <w:rPr>
          <w:rFonts w:cs="Times New Roman"/>
          <w:sz w:val="24"/>
          <w:szCs w:val="24"/>
        </w:rPr>
        <w:t xml:space="preserve">of </w:t>
      </w:r>
      <w:r w:rsidR="000C30F0" w:rsidRPr="008D3590">
        <w:rPr>
          <w:rFonts w:cs="Times New Roman"/>
          <w:sz w:val="24"/>
          <w:szCs w:val="24"/>
        </w:rPr>
        <w:t>reach</w:t>
      </w:r>
      <w:r w:rsidR="00A43A19" w:rsidRPr="008D3590">
        <w:rPr>
          <w:rFonts w:cs="Times New Roman"/>
          <w:sz w:val="24"/>
          <w:szCs w:val="24"/>
        </w:rPr>
        <w:t>ing</w:t>
      </w:r>
      <w:r w:rsidR="000C30F0" w:rsidRPr="008D3590">
        <w:rPr>
          <w:rFonts w:cs="Times New Roman"/>
          <w:sz w:val="24"/>
          <w:szCs w:val="24"/>
        </w:rPr>
        <w:t xml:space="preserve"> activities </w:t>
      </w:r>
      <w:r w:rsidR="009E4109" w:rsidRPr="008D3590">
        <w:rPr>
          <w:rFonts w:cs="Times New Roman"/>
          <w:sz w:val="24"/>
          <w:szCs w:val="24"/>
        </w:rPr>
        <w:t>independently</w:t>
      </w:r>
      <w:r w:rsidR="00A43A19" w:rsidRPr="008D3590">
        <w:rPr>
          <w:rFonts w:cs="Times New Roman"/>
          <w:sz w:val="24"/>
          <w:szCs w:val="24"/>
        </w:rPr>
        <w:t xml:space="preserve"> </w:t>
      </w:r>
      <w:r w:rsidR="000C30F0" w:rsidRPr="008D3590">
        <w:rPr>
          <w:rFonts w:cs="Times New Roman"/>
          <w:sz w:val="24"/>
          <w:szCs w:val="24"/>
        </w:rPr>
        <w:t xml:space="preserve">from the household. </w:t>
      </w:r>
      <w:r>
        <w:rPr>
          <w:rFonts w:cs="Times New Roman"/>
          <w:sz w:val="24"/>
          <w:szCs w:val="24"/>
        </w:rPr>
        <w:t>H</w:t>
      </w:r>
      <w:r w:rsidR="00D95FF1">
        <w:rPr>
          <w:rFonts w:cs="Times New Roman"/>
          <w:sz w:val="24"/>
          <w:szCs w:val="24"/>
        </w:rPr>
        <w:t xml:space="preserve">aving goods delivered </w:t>
      </w:r>
      <w:r>
        <w:rPr>
          <w:rFonts w:cs="Times New Roman"/>
          <w:sz w:val="24"/>
          <w:szCs w:val="24"/>
        </w:rPr>
        <w:t xml:space="preserve">to the home </w:t>
      </w:r>
      <w:r w:rsidR="00D95FF1">
        <w:rPr>
          <w:rFonts w:cs="Times New Roman"/>
          <w:sz w:val="24"/>
          <w:szCs w:val="24"/>
        </w:rPr>
        <w:t>at least on</w:t>
      </w:r>
      <w:r>
        <w:rPr>
          <w:rFonts w:cs="Times New Roman"/>
          <w:sz w:val="24"/>
          <w:szCs w:val="24"/>
        </w:rPr>
        <w:t>c</w:t>
      </w:r>
      <w:r w:rsidR="00D95FF1">
        <w:rPr>
          <w:rFonts w:cs="Times New Roman"/>
          <w:sz w:val="24"/>
          <w:szCs w:val="24"/>
        </w:rPr>
        <w:t>e a week has a negative impact</w:t>
      </w:r>
      <w:r>
        <w:rPr>
          <w:rFonts w:cs="Times New Roman"/>
          <w:sz w:val="24"/>
          <w:szCs w:val="24"/>
        </w:rPr>
        <w:t xml:space="preserve"> on trip </w:t>
      </w:r>
      <w:r w:rsidR="00D95FF1">
        <w:rPr>
          <w:rFonts w:cs="Times New Roman"/>
          <w:sz w:val="24"/>
          <w:szCs w:val="24"/>
        </w:rPr>
        <w:t xml:space="preserve">chaining, </w:t>
      </w:r>
      <w:r>
        <w:rPr>
          <w:rFonts w:cs="Times New Roman"/>
          <w:sz w:val="24"/>
          <w:szCs w:val="24"/>
        </w:rPr>
        <w:t>suggesting</w:t>
      </w:r>
      <w:r w:rsidR="00D95FF1">
        <w:rPr>
          <w:rFonts w:cs="Times New Roman"/>
          <w:sz w:val="24"/>
          <w:szCs w:val="24"/>
        </w:rPr>
        <w:t xml:space="preserve"> a possible reduction in </w:t>
      </w:r>
      <w:r>
        <w:rPr>
          <w:rFonts w:cs="Times New Roman"/>
          <w:sz w:val="24"/>
          <w:szCs w:val="24"/>
        </w:rPr>
        <w:t xml:space="preserve">maintenance activity </w:t>
      </w:r>
      <w:r w:rsidR="00D95FF1">
        <w:rPr>
          <w:rFonts w:cs="Times New Roman"/>
          <w:sz w:val="24"/>
          <w:szCs w:val="24"/>
        </w:rPr>
        <w:t xml:space="preserve">episodes that are usually </w:t>
      </w:r>
      <w:r>
        <w:rPr>
          <w:rFonts w:cs="Times New Roman"/>
          <w:sz w:val="24"/>
          <w:szCs w:val="24"/>
        </w:rPr>
        <w:t xml:space="preserve">chained with other participations </w:t>
      </w:r>
      <w:r w:rsidR="00D95FF1">
        <w:rPr>
          <w:rFonts w:cs="Times New Roman"/>
          <w:sz w:val="24"/>
          <w:szCs w:val="24"/>
        </w:rPr>
        <w:t xml:space="preserve">within </w:t>
      </w:r>
      <w:r w:rsidR="00D70891">
        <w:rPr>
          <w:rFonts w:cs="Times New Roman"/>
          <w:sz w:val="24"/>
          <w:szCs w:val="24"/>
        </w:rPr>
        <w:t xml:space="preserve">multi-purpose tours. </w:t>
      </w:r>
    </w:p>
    <w:p w14:paraId="0A5B25BE" w14:textId="25F58E78" w:rsidR="000A7F81" w:rsidRPr="008D3590" w:rsidRDefault="00A43A19" w:rsidP="00881C66">
      <w:pPr>
        <w:ind w:firstLine="720"/>
        <w:rPr>
          <w:rFonts w:cs="Times New Roman"/>
          <w:sz w:val="24"/>
          <w:szCs w:val="24"/>
          <w:lang w:eastAsia="zh-CN"/>
        </w:rPr>
      </w:pPr>
      <w:r w:rsidRPr="008D3590">
        <w:rPr>
          <w:rFonts w:cs="Times New Roman"/>
          <w:sz w:val="24"/>
          <w:szCs w:val="24"/>
        </w:rPr>
        <w:t>Finally</w:t>
      </w:r>
      <w:r w:rsidR="00F13127" w:rsidRPr="008D3590">
        <w:rPr>
          <w:rFonts w:cs="Times New Roman"/>
          <w:sz w:val="24"/>
          <w:szCs w:val="24"/>
        </w:rPr>
        <w:t>, l</w:t>
      </w:r>
      <w:r w:rsidR="00A71AB7" w:rsidRPr="008D3590">
        <w:rPr>
          <w:rFonts w:cs="Times New Roman"/>
          <w:sz w:val="24"/>
          <w:szCs w:val="24"/>
        </w:rPr>
        <w:t xml:space="preserve">ower average trip distances </w:t>
      </w:r>
      <w:r w:rsidRPr="008D3590">
        <w:rPr>
          <w:rFonts w:cs="Times New Roman"/>
          <w:sz w:val="24"/>
          <w:szCs w:val="24"/>
        </w:rPr>
        <w:t xml:space="preserve">within a tour </w:t>
      </w:r>
      <w:r w:rsidR="00A71AB7" w:rsidRPr="008D3590">
        <w:rPr>
          <w:rFonts w:cs="Times New Roman"/>
          <w:sz w:val="24"/>
          <w:szCs w:val="24"/>
        </w:rPr>
        <w:t>are observed for individuals living in households with children. Children usually attend schools and have other activities located close to the residence</w:t>
      </w:r>
      <w:r w:rsidRPr="008D3590">
        <w:rPr>
          <w:rFonts w:cs="Times New Roman"/>
          <w:sz w:val="24"/>
          <w:szCs w:val="24"/>
        </w:rPr>
        <w:t>,</w:t>
      </w:r>
      <w:r w:rsidR="00CF3876" w:rsidRPr="008D3590">
        <w:rPr>
          <w:rFonts w:cs="Times New Roman"/>
          <w:sz w:val="24"/>
          <w:szCs w:val="24"/>
          <w:lang w:eastAsia="zh-CN"/>
        </w:rPr>
        <w:t xml:space="preserve"> </w:t>
      </w:r>
      <w:r w:rsidR="00A71AB7" w:rsidRPr="008D3590">
        <w:rPr>
          <w:rFonts w:cs="Times New Roman"/>
          <w:sz w:val="24"/>
          <w:szCs w:val="24"/>
        </w:rPr>
        <w:t xml:space="preserve">which </w:t>
      </w:r>
      <w:r w:rsidRPr="008D3590">
        <w:rPr>
          <w:rFonts w:cs="Times New Roman"/>
          <w:sz w:val="24"/>
          <w:szCs w:val="24"/>
        </w:rPr>
        <w:t xml:space="preserve">may </w:t>
      </w:r>
      <w:r w:rsidR="00A71AB7" w:rsidRPr="008D3590">
        <w:rPr>
          <w:rFonts w:cs="Times New Roman"/>
          <w:sz w:val="24"/>
          <w:szCs w:val="24"/>
        </w:rPr>
        <w:t xml:space="preserve">explain the </w:t>
      </w:r>
      <w:r w:rsidR="00447432">
        <w:rPr>
          <w:rFonts w:cs="Times New Roman"/>
          <w:sz w:val="24"/>
          <w:szCs w:val="24"/>
        </w:rPr>
        <w:t xml:space="preserve">above result. </w:t>
      </w:r>
      <w:r w:rsidR="00983713" w:rsidRPr="008D3590">
        <w:rPr>
          <w:rFonts w:cs="Times New Roman"/>
          <w:sz w:val="24"/>
          <w:szCs w:val="24"/>
        </w:rPr>
        <w:t xml:space="preserve">VALSC increases the average distance </w:t>
      </w:r>
      <w:r w:rsidR="00983713" w:rsidRPr="008D3590">
        <w:rPr>
          <w:rFonts w:cs="Times New Roman"/>
          <w:sz w:val="24"/>
          <w:szCs w:val="24"/>
        </w:rPr>
        <w:lastRenderedPageBreak/>
        <w:t xml:space="preserve">traveled per trip, suggesting that virtual access encourages individuals to expand their activity space, as also observed by Miranda-Moreno et al. (2012). </w:t>
      </w:r>
      <w:r w:rsidR="00D95FF1">
        <w:rPr>
          <w:rFonts w:cs="Times New Roman"/>
          <w:sz w:val="24"/>
          <w:szCs w:val="24"/>
        </w:rPr>
        <w:t xml:space="preserve">As expected, PALSC reduces trip distances. </w:t>
      </w:r>
    </w:p>
    <w:p w14:paraId="014881CB" w14:textId="1A6D9790" w:rsidR="000C30F0" w:rsidRPr="008D3590" w:rsidRDefault="000C30F0" w:rsidP="00A979F9">
      <w:pPr>
        <w:rPr>
          <w:rFonts w:cs="Times New Roman"/>
          <w:sz w:val="24"/>
          <w:szCs w:val="24"/>
        </w:rPr>
      </w:pPr>
    </w:p>
    <w:p w14:paraId="795C21BC" w14:textId="6485B1A7" w:rsidR="004A2100" w:rsidRPr="008D3590" w:rsidRDefault="00F93852" w:rsidP="004356A9">
      <w:pPr>
        <w:outlineLvl w:val="0"/>
        <w:rPr>
          <w:rFonts w:cs="Times New Roman"/>
          <w:b/>
          <w:sz w:val="24"/>
          <w:szCs w:val="24"/>
        </w:rPr>
      </w:pPr>
      <w:r>
        <w:rPr>
          <w:rFonts w:cs="Times New Roman"/>
          <w:b/>
          <w:sz w:val="24"/>
          <w:szCs w:val="24"/>
        </w:rPr>
        <w:t xml:space="preserve">3.3. </w:t>
      </w:r>
      <w:r w:rsidR="004A2100" w:rsidRPr="008D3590">
        <w:rPr>
          <w:rFonts w:cs="Times New Roman"/>
          <w:b/>
          <w:sz w:val="24"/>
          <w:szCs w:val="24"/>
        </w:rPr>
        <w:t>Summary of Results</w:t>
      </w:r>
      <w:r w:rsidR="00F77740">
        <w:rPr>
          <w:rFonts w:cs="Times New Roman"/>
          <w:b/>
          <w:sz w:val="24"/>
          <w:szCs w:val="24"/>
        </w:rPr>
        <w:t xml:space="preserve"> and</w:t>
      </w:r>
      <w:r w:rsidR="004A2100" w:rsidRPr="008D3590">
        <w:rPr>
          <w:rFonts w:cs="Times New Roman"/>
          <w:b/>
          <w:sz w:val="24"/>
          <w:szCs w:val="24"/>
        </w:rPr>
        <w:t xml:space="preserve"> Implications</w:t>
      </w:r>
    </w:p>
    <w:p w14:paraId="13E1409C" w14:textId="58358F23" w:rsidR="00670599" w:rsidRDefault="00A32272" w:rsidP="00A979F9">
      <w:pPr>
        <w:rPr>
          <w:rFonts w:cs="Times New Roman"/>
          <w:sz w:val="24"/>
          <w:szCs w:val="24"/>
        </w:rPr>
      </w:pPr>
      <w:r w:rsidRPr="008D3590">
        <w:rPr>
          <w:rFonts w:cs="Times New Roman"/>
          <w:sz w:val="24"/>
          <w:szCs w:val="24"/>
        </w:rPr>
        <w:t>The results above indicate the intricate and interwoven effects of virtual and physical access</w:t>
      </w:r>
      <w:r w:rsidR="009E4109" w:rsidRPr="008D3590">
        <w:rPr>
          <w:rFonts w:cs="Times New Roman"/>
          <w:sz w:val="24"/>
          <w:szCs w:val="24"/>
        </w:rPr>
        <w:t>ibility (as characterized by VA</w:t>
      </w:r>
      <w:r w:rsidRPr="008D3590">
        <w:rPr>
          <w:rFonts w:cs="Times New Roman"/>
          <w:sz w:val="24"/>
          <w:szCs w:val="24"/>
        </w:rPr>
        <w:t>L</w:t>
      </w:r>
      <w:r w:rsidR="009E4109" w:rsidRPr="008D3590">
        <w:rPr>
          <w:rFonts w:cs="Times New Roman"/>
          <w:sz w:val="24"/>
          <w:szCs w:val="24"/>
        </w:rPr>
        <w:t>SC and PA</w:t>
      </w:r>
      <w:r w:rsidRPr="008D3590">
        <w:rPr>
          <w:rFonts w:cs="Times New Roman"/>
          <w:sz w:val="24"/>
          <w:szCs w:val="24"/>
        </w:rPr>
        <w:t>L</w:t>
      </w:r>
      <w:r w:rsidR="009E4109" w:rsidRPr="008D3590">
        <w:rPr>
          <w:rFonts w:cs="Times New Roman"/>
          <w:sz w:val="24"/>
          <w:szCs w:val="24"/>
        </w:rPr>
        <w:t>S</w:t>
      </w:r>
      <w:r w:rsidRPr="008D3590">
        <w:rPr>
          <w:rFonts w:cs="Times New Roman"/>
          <w:sz w:val="24"/>
          <w:szCs w:val="24"/>
        </w:rPr>
        <w:t>C, which are themselves impacted by VAMs and PAMs) on both virtual and physical activity engagements (VAG and PAG)</w:t>
      </w:r>
      <w:r w:rsidR="00730BF4" w:rsidRPr="008D3590">
        <w:rPr>
          <w:rFonts w:cs="Times New Roman"/>
          <w:sz w:val="24"/>
          <w:szCs w:val="24"/>
        </w:rPr>
        <w:t xml:space="preserve"> for multiple activity purposes</w:t>
      </w:r>
      <w:r w:rsidRPr="008D3590">
        <w:rPr>
          <w:rFonts w:cs="Times New Roman"/>
          <w:sz w:val="24"/>
          <w:szCs w:val="24"/>
        </w:rPr>
        <w:t>. Particularly important to note</w:t>
      </w:r>
      <w:r w:rsidR="00325EC2" w:rsidRPr="008D3590">
        <w:rPr>
          <w:rFonts w:cs="Times New Roman"/>
          <w:sz w:val="24"/>
          <w:szCs w:val="24"/>
        </w:rPr>
        <w:t xml:space="preserve"> is </w:t>
      </w:r>
      <w:r w:rsidRPr="008D3590">
        <w:rPr>
          <w:rFonts w:cs="Times New Roman"/>
          <w:sz w:val="24"/>
          <w:szCs w:val="24"/>
        </w:rPr>
        <w:t xml:space="preserve">that each of the </w:t>
      </w:r>
      <w:r w:rsidR="00EF3A9A">
        <w:rPr>
          <w:rFonts w:cs="Times New Roman"/>
          <w:sz w:val="24"/>
          <w:szCs w:val="24"/>
        </w:rPr>
        <w:t xml:space="preserve">stochastic </w:t>
      </w:r>
      <w:r w:rsidR="009E4109" w:rsidRPr="008D3590">
        <w:rPr>
          <w:rFonts w:cs="Times New Roman"/>
          <w:sz w:val="24"/>
          <w:szCs w:val="24"/>
        </w:rPr>
        <w:t>VA</w:t>
      </w:r>
      <w:r w:rsidRPr="008D3590">
        <w:rPr>
          <w:rFonts w:cs="Times New Roman"/>
          <w:sz w:val="24"/>
          <w:szCs w:val="24"/>
        </w:rPr>
        <w:t>L</w:t>
      </w:r>
      <w:r w:rsidR="009E4109" w:rsidRPr="008D3590">
        <w:rPr>
          <w:rFonts w:cs="Times New Roman"/>
          <w:sz w:val="24"/>
          <w:szCs w:val="24"/>
        </w:rPr>
        <w:t>SC and PA</w:t>
      </w:r>
      <w:r w:rsidRPr="008D3590">
        <w:rPr>
          <w:rFonts w:cs="Times New Roman"/>
          <w:sz w:val="24"/>
          <w:szCs w:val="24"/>
        </w:rPr>
        <w:t>L</w:t>
      </w:r>
      <w:r w:rsidR="009E4109" w:rsidRPr="008D3590">
        <w:rPr>
          <w:rFonts w:cs="Times New Roman"/>
          <w:sz w:val="24"/>
          <w:szCs w:val="24"/>
        </w:rPr>
        <w:t>S</w:t>
      </w:r>
      <w:r w:rsidRPr="008D3590">
        <w:rPr>
          <w:rFonts w:cs="Times New Roman"/>
          <w:sz w:val="24"/>
          <w:szCs w:val="24"/>
        </w:rPr>
        <w:t>C impact multiple VAG and PAG measures simulta</w:t>
      </w:r>
      <w:r w:rsidR="009E4109" w:rsidRPr="008D3590">
        <w:rPr>
          <w:rFonts w:cs="Times New Roman"/>
          <w:sz w:val="24"/>
          <w:szCs w:val="24"/>
        </w:rPr>
        <w:t>neou</w:t>
      </w:r>
      <w:r w:rsidR="002606AC" w:rsidRPr="008D3590">
        <w:rPr>
          <w:rFonts w:cs="Times New Roman"/>
          <w:sz w:val="24"/>
          <w:szCs w:val="24"/>
        </w:rPr>
        <w:t>s</w:t>
      </w:r>
      <w:r w:rsidR="009E4109" w:rsidRPr="008D3590">
        <w:rPr>
          <w:rFonts w:cs="Times New Roman"/>
          <w:sz w:val="24"/>
          <w:szCs w:val="24"/>
        </w:rPr>
        <w:t xml:space="preserve">ly, immediately underscoring </w:t>
      </w:r>
      <w:r w:rsidRPr="008D3590">
        <w:rPr>
          <w:rFonts w:cs="Times New Roman"/>
          <w:sz w:val="24"/>
          <w:szCs w:val="24"/>
        </w:rPr>
        <w:t xml:space="preserve">the notion that studies that consider </w:t>
      </w:r>
      <w:r w:rsidR="003945AA" w:rsidRPr="008D3590">
        <w:rPr>
          <w:rFonts w:cs="Times New Roman"/>
          <w:sz w:val="24"/>
          <w:szCs w:val="24"/>
        </w:rPr>
        <w:t xml:space="preserve">VAG as exogenous variables </w:t>
      </w:r>
      <w:r w:rsidR="00E63D71" w:rsidRPr="008D3590">
        <w:rPr>
          <w:rFonts w:cs="Times New Roman"/>
          <w:sz w:val="24"/>
          <w:szCs w:val="24"/>
        </w:rPr>
        <w:t>in analy</w:t>
      </w:r>
      <w:r w:rsidR="002606AC" w:rsidRPr="008D3590">
        <w:rPr>
          <w:rFonts w:cs="Times New Roman"/>
          <w:sz w:val="24"/>
          <w:szCs w:val="24"/>
        </w:rPr>
        <w:t>z</w:t>
      </w:r>
      <w:r w:rsidR="00E63D71" w:rsidRPr="008D3590">
        <w:rPr>
          <w:rFonts w:cs="Times New Roman"/>
          <w:sz w:val="24"/>
          <w:szCs w:val="24"/>
        </w:rPr>
        <w:t>ing PAG measures are f</w:t>
      </w:r>
      <w:r w:rsidR="00983713" w:rsidRPr="008D3590">
        <w:rPr>
          <w:rFonts w:cs="Times New Roman"/>
          <w:sz w:val="24"/>
          <w:szCs w:val="24"/>
        </w:rPr>
        <w:t>raught</w:t>
      </w:r>
      <w:r w:rsidR="00E63D71" w:rsidRPr="008D3590">
        <w:rPr>
          <w:rFonts w:cs="Times New Roman"/>
          <w:sz w:val="24"/>
          <w:szCs w:val="24"/>
        </w:rPr>
        <w:t xml:space="preserve"> with a fundamental endogeneity problem. </w:t>
      </w:r>
      <w:r w:rsidR="00325EC2" w:rsidRPr="008D3590">
        <w:rPr>
          <w:rFonts w:cs="Times New Roman"/>
          <w:sz w:val="24"/>
          <w:szCs w:val="24"/>
        </w:rPr>
        <w:t>In particular, based on our results, after controlling for observed factors, unobserved factors that increase the propensity to engage in VAG (</w:t>
      </w:r>
      <w:r w:rsidR="00564455" w:rsidRPr="008D3590">
        <w:rPr>
          <w:rFonts w:cs="Times New Roman"/>
          <w:sz w:val="24"/>
          <w:szCs w:val="24"/>
        </w:rPr>
        <w:t xml:space="preserve">the VAG includes </w:t>
      </w:r>
      <w:r w:rsidR="00325EC2" w:rsidRPr="008D3590">
        <w:rPr>
          <w:rFonts w:cs="Times New Roman"/>
          <w:sz w:val="24"/>
          <w:szCs w:val="24"/>
        </w:rPr>
        <w:t xml:space="preserve">frequency of work from home, and shopping for goods online) </w:t>
      </w:r>
      <w:r w:rsidR="00A524B0" w:rsidRPr="008D3590">
        <w:rPr>
          <w:rFonts w:cs="Times New Roman"/>
          <w:sz w:val="24"/>
          <w:szCs w:val="24"/>
        </w:rPr>
        <w:t xml:space="preserve">through the VALSC latent construct </w:t>
      </w:r>
      <w:r w:rsidR="004407CA" w:rsidRPr="008D3590">
        <w:rPr>
          <w:rFonts w:cs="Times New Roman"/>
          <w:sz w:val="24"/>
          <w:szCs w:val="24"/>
        </w:rPr>
        <w:t xml:space="preserve">also </w:t>
      </w:r>
      <w:r w:rsidR="00A524B0" w:rsidRPr="008D3590">
        <w:rPr>
          <w:rFonts w:cs="Times New Roman"/>
          <w:sz w:val="24"/>
          <w:szCs w:val="24"/>
        </w:rPr>
        <w:t xml:space="preserve">impact </w:t>
      </w:r>
      <w:r w:rsidR="00A71A93">
        <w:rPr>
          <w:rFonts w:cs="Times New Roman"/>
          <w:sz w:val="24"/>
          <w:szCs w:val="24"/>
        </w:rPr>
        <w:t>most</w:t>
      </w:r>
      <w:r w:rsidR="00A524B0" w:rsidRPr="008D3590">
        <w:rPr>
          <w:rFonts w:cs="Times New Roman"/>
          <w:sz w:val="24"/>
          <w:szCs w:val="24"/>
        </w:rPr>
        <w:t xml:space="preserve"> PAG outcomes</w:t>
      </w:r>
      <w:r w:rsidR="00B95798">
        <w:rPr>
          <w:rFonts w:cs="Times New Roman"/>
          <w:sz w:val="24"/>
          <w:szCs w:val="24"/>
        </w:rPr>
        <w:t xml:space="preserve"> </w:t>
      </w:r>
      <w:r w:rsidR="00EC149B">
        <w:rPr>
          <w:rFonts w:cs="Times New Roman"/>
          <w:sz w:val="24"/>
          <w:szCs w:val="24"/>
        </w:rPr>
        <w:t>(</w:t>
      </w:r>
      <w:r w:rsidR="007201A4">
        <w:rPr>
          <w:rFonts w:cs="Times New Roman"/>
          <w:sz w:val="24"/>
          <w:szCs w:val="24"/>
        </w:rPr>
        <w:t>also,</w:t>
      </w:r>
      <w:r w:rsidR="00B95798">
        <w:rPr>
          <w:rFonts w:cs="Times New Roman"/>
          <w:sz w:val="24"/>
          <w:szCs w:val="24"/>
        </w:rPr>
        <w:t xml:space="preserve"> VALSC and PALSC exhibit a moderate positive correlation</w:t>
      </w:r>
      <w:r w:rsidR="00EC149B">
        <w:rPr>
          <w:rFonts w:cs="Times New Roman"/>
          <w:sz w:val="24"/>
          <w:szCs w:val="24"/>
        </w:rPr>
        <w:t>).</w:t>
      </w:r>
      <w:r w:rsidR="00A524B0" w:rsidRPr="008D3590">
        <w:rPr>
          <w:rFonts w:cs="Times New Roman"/>
          <w:sz w:val="24"/>
          <w:szCs w:val="24"/>
        </w:rPr>
        <w:t xml:space="preserve"> </w:t>
      </w:r>
      <w:r w:rsidR="002745DB" w:rsidRPr="008D3590">
        <w:rPr>
          <w:rFonts w:cs="Times New Roman"/>
          <w:sz w:val="24"/>
          <w:szCs w:val="24"/>
        </w:rPr>
        <w:t xml:space="preserve">For example, </w:t>
      </w:r>
      <w:r w:rsidR="0014201C">
        <w:rPr>
          <w:rFonts w:cs="Times New Roman"/>
          <w:sz w:val="24"/>
          <w:szCs w:val="24"/>
        </w:rPr>
        <w:t xml:space="preserve">individuals with a higher degree of </w:t>
      </w:r>
      <w:r w:rsidR="00D275B3">
        <w:rPr>
          <w:rFonts w:cs="Times New Roman"/>
          <w:sz w:val="24"/>
          <w:szCs w:val="24"/>
        </w:rPr>
        <w:t xml:space="preserve">self-efficacy or </w:t>
      </w:r>
      <w:r w:rsidR="0014201C">
        <w:rPr>
          <w:rFonts w:cs="Times New Roman"/>
          <w:sz w:val="24"/>
          <w:szCs w:val="24"/>
        </w:rPr>
        <w:t xml:space="preserve">intensity of </w:t>
      </w:r>
      <w:r w:rsidR="00D275B3">
        <w:rPr>
          <w:rFonts w:cs="Times New Roman"/>
          <w:sz w:val="24"/>
          <w:szCs w:val="24"/>
        </w:rPr>
        <w:t>exploration</w:t>
      </w:r>
      <w:r w:rsidR="0014201C">
        <w:rPr>
          <w:rFonts w:cs="Times New Roman"/>
          <w:sz w:val="24"/>
          <w:szCs w:val="24"/>
        </w:rPr>
        <w:t xml:space="preserve"> </w:t>
      </w:r>
      <w:r w:rsidR="00D275B3">
        <w:rPr>
          <w:rFonts w:cs="Times New Roman"/>
          <w:sz w:val="24"/>
          <w:szCs w:val="24"/>
        </w:rPr>
        <w:t>orientation</w:t>
      </w:r>
      <w:r w:rsidR="0014201C">
        <w:rPr>
          <w:rFonts w:cs="Times New Roman"/>
          <w:sz w:val="24"/>
          <w:szCs w:val="24"/>
        </w:rPr>
        <w:t xml:space="preserve"> will tend to have </w:t>
      </w:r>
      <w:r w:rsidR="00D275B3">
        <w:rPr>
          <w:rFonts w:cs="Times New Roman"/>
          <w:sz w:val="24"/>
          <w:szCs w:val="24"/>
        </w:rPr>
        <w:t>a higher VALSC and PALSC (</w:t>
      </w:r>
      <w:r w:rsidR="0014201C">
        <w:rPr>
          <w:rFonts w:cs="Times New Roman"/>
          <w:sz w:val="24"/>
          <w:szCs w:val="24"/>
        </w:rPr>
        <w:t>the latter due to</w:t>
      </w:r>
      <w:r w:rsidR="00D275B3">
        <w:rPr>
          <w:rFonts w:cs="Times New Roman"/>
          <w:sz w:val="24"/>
          <w:szCs w:val="24"/>
        </w:rPr>
        <w:t xml:space="preserve"> the positive correlation between VALSC and PALSC)</w:t>
      </w:r>
      <w:r w:rsidR="0014201C">
        <w:rPr>
          <w:rFonts w:cs="Times New Roman"/>
          <w:sz w:val="24"/>
          <w:szCs w:val="24"/>
        </w:rPr>
        <w:t xml:space="preserve">, which then would make these individuals simultaneously more pre-disposed to </w:t>
      </w:r>
      <w:r w:rsidR="00A524B0" w:rsidRPr="008D3590">
        <w:rPr>
          <w:rFonts w:cs="Times New Roman"/>
          <w:sz w:val="24"/>
          <w:szCs w:val="24"/>
        </w:rPr>
        <w:t>work</w:t>
      </w:r>
      <w:r w:rsidR="0014201C">
        <w:rPr>
          <w:rFonts w:cs="Times New Roman"/>
          <w:sz w:val="24"/>
          <w:szCs w:val="24"/>
        </w:rPr>
        <w:t>ing</w:t>
      </w:r>
      <w:r w:rsidR="00A524B0" w:rsidRPr="008D3590">
        <w:rPr>
          <w:rFonts w:cs="Times New Roman"/>
          <w:sz w:val="24"/>
          <w:szCs w:val="24"/>
        </w:rPr>
        <w:t xml:space="preserve"> from home</w:t>
      </w:r>
      <w:r w:rsidR="00B41E22">
        <w:rPr>
          <w:rFonts w:cs="Times New Roman"/>
          <w:sz w:val="24"/>
          <w:szCs w:val="24"/>
        </w:rPr>
        <w:t>, us</w:t>
      </w:r>
      <w:r w:rsidR="0014201C">
        <w:rPr>
          <w:rFonts w:cs="Times New Roman"/>
          <w:sz w:val="24"/>
          <w:szCs w:val="24"/>
        </w:rPr>
        <w:t>ing</w:t>
      </w:r>
      <w:r w:rsidR="00B41E22">
        <w:rPr>
          <w:rFonts w:cs="Times New Roman"/>
          <w:sz w:val="24"/>
          <w:szCs w:val="24"/>
        </w:rPr>
        <w:t xml:space="preserve"> an online platform </w:t>
      </w:r>
      <w:r w:rsidR="00EC149B">
        <w:rPr>
          <w:rFonts w:cs="Times New Roman"/>
          <w:sz w:val="24"/>
          <w:szCs w:val="24"/>
        </w:rPr>
        <w:t>to purchase goods</w:t>
      </w:r>
      <w:r w:rsidR="00B41E22">
        <w:rPr>
          <w:rFonts w:cs="Times New Roman"/>
          <w:sz w:val="24"/>
          <w:szCs w:val="24"/>
        </w:rPr>
        <w:t xml:space="preserve">, </w:t>
      </w:r>
      <w:r w:rsidR="00F77740">
        <w:rPr>
          <w:rFonts w:cs="Times New Roman"/>
          <w:sz w:val="24"/>
          <w:szCs w:val="24"/>
        </w:rPr>
        <w:t xml:space="preserve">and </w:t>
      </w:r>
      <w:r w:rsidR="00B41E22">
        <w:rPr>
          <w:rFonts w:cs="Times New Roman"/>
          <w:sz w:val="24"/>
          <w:szCs w:val="24"/>
        </w:rPr>
        <w:t>participat</w:t>
      </w:r>
      <w:r w:rsidR="0014201C">
        <w:rPr>
          <w:rFonts w:cs="Times New Roman"/>
          <w:sz w:val="24"/>
          <w:szCs w:val="24"/>
        </w:rPr>
        <w:t>ing</w:t>
      </w:r>
      <w:r w:rsidR="00B41E22">
        <w:rPr>
          <w:rFonts w:cs="Times New Roman"/>
          <w:sz w:val="24"/>
          <w:szCs w:val="24"/>
        </w:rPr>
        <w:t xml:space="preserve"> less in </w:t>
      </w:r>
      <w:r w:rsidR="00A06A98">
        <w:rPr>
          <w:rFonts w:cs="Times New Roman"/>
          <w:sz w:val="24"/>
          <w:szCs w:val="24"/>
        </w:rPr>
        <w:t xml:space="preserve">mandatory and </w:t>
      </w:r>
      <w:r w:rsidR="00B41E22">
        <w:rPr>
          <w:rFonts w:cs="Times New Roman"/>
          <w:sz w:val="24"/>
          <w:szCs w:val="24"/>
        </w:rPr>
        <w:t xml:space="preserve">maintenance </w:t>
      </w:r>
      <w:r w:rsidR="0071485D">
        <w:rPr>
          <w:rFonts w:cs="Times New Roman"/>
          <w:sz w:val="24"/>
          <w:szCs w:val="24"/>
        </w:rPr>
        <w:t xml:space="preserve">OH </w:t>
      </w:r>
      <w:r w:rsidR="00B41E22">
        <w:rPr>
          <w:rFonts w:cs="Times New Roman"/>
          <w:sz w:val="24"/>
          <w:szCs w:val="24"/>
        </w:rPr>
        <w:t>activities</w:t>
      </w:r>
      <w:r w:rsidR="0071485D">
        <w:rPr>
          <w:rFonts w:cs="Times New Roman"/>
          <w:sz w:val="24"/>
          <w:szCs w:val="24"/>
        </w:rPr>
        <w:t>.</w:t>
      </w:r>
      <w:r w:rsidR="002745DB" w:rsidRPr="008D3590">
        <w:rPr>
          <w:rFonts w:cs="Times New Roman"/>
          <w:sz w:val="24"/>
          <w:szCs w:val="24"/>
        </w:rPr>
        <w:t xml:space="preserve"> Not taking into account</w:t>
      </w:r>
      <w:r w:rsidR="00F77740">
        <w:rPr>
          <w:rFonts w:cs="Times New Roman"/>
          <w:sz w:val="24"/>
          <w:szCs w:val="24"/>
        </w:rPr>
        <w:t xml:space="preserve"> th</w:t>
      </w:r>
      <w:r w:rsidR="0014201C">
        <w:rPr>
          <w:rFonts w:cs="Times New Roman"/>
          <w:sz w:val="24"/>
          <w:szCs w:val="24"/>
        </w:rPr>
        <w:t>ese</w:t>
      </w:r>
      <w:r w:rsidR="00F77740">
        <w:rPr>
          <w:rFonts w:cs="Times New Roman"/>
          <w:sz w:val="24"/>
          <w:szCs w:val="24"/>
        </w:rPr>
        <w:t xml:space="preserve"> unobserved VALSC </w:t>
      </w:r>
      <w:r w:rsidR="0014201C">
        <w:rPr>
          <w:rFonts w:cs="Times New Roman"/>
          <w:sz w:val="24"/>
          <w:szCs w:val="24"/>
        </w:rPr>
        <w:t xml:space="preserve">and PALSC </w:t>
      </w:r>
      <w:r w:rsidR="00F77740">
        <w:rPr>
          <w:rFonts w:cs="Times New Roman"/>
          <w:sz w:val="24"/>
          <w:szCs w:val="24"/>
        </w:rPr>
        <w:t>effect</w:t>
      </w:r>
      <w:r w:rsidR="0014201C">
        <w:rPr>
          <w:rFonts w:cs="Times New Roman"/>
          <w:sz w:val="24"/>
          <w:szCs w:val="24"/>
        </w:rPr>
        <w:t>s</w:t>
      </w:r>
      <w:r w:rsidR="00F77740">
        <w:rPr>
          <w:rFonts w:cs="Times New Roman"/>
          <w:sz w:val="24"/>
          <w:szCs w:val="24"/>
        </w:rPr>
        <w:t xml:space="preserve"> </w:t>
      </w:r>
      <w:r w:rsidR="002C28DF" w:rsidRPr="008D3590">
        <w:rPr>
          <w:rFonts w:cs="Times New Roman"/>
          <w:sz w:val="24"/>
          <w:szCs w:val="24"/>
        </w:rPr>
        <w:t>can result in</w:t>
      </w:r>
      <w:r w:rsidR="00A524B0" w:rsidRPr="008D3590">
        <w:rPr>
          <w:rFonts w:cs="Times New Roman"/>
          <w:sz w:val="24"/>
          <w:szCs w:val="24"/>
        </w:rPr>
        <w:t xml:space="preserve"> </w:t>
      </w:r>
      <w:r w:rsidR="0014201C">
        <w:rPr>
          <w:rFonts w:cs="Times New Roman"/>
          <w:sz w:val="24"/>
          <w:szCs w:val="24"/>
        </w:rPr>
        <w:t xml:space="preserve">the </w:t>
      </w:r>
      <w:r w:rsidR="00A524B0" w:rsidRPr="008D3590">
        <w:rPr>
          <w:rFonts w:cs="Times New Roman"/>
          <w:sz w:val="24"/>
          <w:szCs w:val="24"/>
        </w:rPr>
        <w:t>incorrect conclusion that telecommu</w:t>
      </w:r>
      <w:r w:rsidR="002C28DF" w:rsidRPr="008D3590">
        <w:rPr>
          <w:rFonts w:cs="Times New Roman"/>
          <w:sz w:val="24"/>
          <w:szCs w:val="24"/>
        </w:rPr>
        <w:t>ting</w:t>
      </w:r>
      <w:r w:rsidR="00B41E22">
        <w:rPr>
          <w:rFonts w:cs="Times New Roman"/>
          <w:sz w:val="24"/>
          <w:szCs w:val="24"/>
        </w:rPr>
        <w:t xml:space="preserve"> and </w:t>
      </w:r>
      <w:r w:rsidR="0071485D">
        <w:rPr>
          <w:rFonts w:cs="Times New Roman"/>
          <w:sz w:val="24"/>
          <w:szCs w:val="24"/>
        </w:rPr>
        <w:t>frequency of goods delivered</w:t>
      </w:r>
      <w:r w:rsidR="002C28DF" w:rsidRPr="008D3590">
        <w:rPr>
          <w:rFonts w:cs="Times New Roman"/>
          <w:sz w:val="24"/>
          <w:szCs w:val="24"/>
        </w:rPr>
        <w:t xml:space="preserve">, by </w:t>
      </w:r>
      <w:r w:rsidR="00B41E22">
        <w:rPr>
          <w:rFonts w:cs="Times New Roman"/>
          <w:sz w:val="24"/>
          <w:szCs w:val="24"/>
        </w:rPr>
        <w:t>themselves</w:t>
      </w:r>
      <w:r w:rsidR="002C28DF" w:rsidRPr="008D3590">
        <w:rPr>
          <w:rFonts w:cs="Times New Roman"/>
          <w:sz w:val="24"/>
          <w:szCs w:val="24"/>
        </w:rPr>
        <w:t>, lead</w:t>
      </w:r>
      <w:r w:rsidR="00B41E22">
        <w:rPr>
          <w:rFonts w:cs="Times New Roman"/>
          <w:sz w:val="24"/>
          <w:szCs w:val="24"/>
        </w:rPr>
        <w:t xml:space="preserve"> to a substitution effect on maintenance activity participation</w:t>
      </w:r>
      <w:r w:rsidR="00A06A98">
        <w:rPr>
          <w:rFonts w:cs="Times New Roman"/>
          <w:sz w:val="24"/>
          <w:szCs w:val="24"/>
        </w:rPr>
        <w:t>.</w:t>
      </w:r>
      <w:r w:rsidR="00B41E22">
        <w:rPr>
          <w:rFonts w:cs="Times New Roman"/>
          <w:sz w:val="24"/>
          <w:szCs w:val="24"/>
        </w:rPr>
        <w:t xml:space="preserve"> </w:t>
      </w:r>
    </w:p>
    <w:p w14:paraId="1DCC5F10" w14:textId="77777777" w:rsidR="00F77740" w:rsidRDefault="000A5063" w:rsidP="009A69FC">
      <w:pPr>
        <w:autoSpaceDE w:val="0"/>
        <w:autoSpaceDN w:val="0"/>
        <w:adjustRightInd w:val="0"/>
        <w:ind w:firstLine="708"/>
        <w:rPr>
          <w:rFonts w:cs="Times New Roman"/>
          <w:sz w:val="24"/>
          <w:szCs w:val="24"/>
        </w:rPr>
      </w:pPr>
      <w:r w:rsidRPr="008D66F5">
        <w:rPr>
          <w:rFonts w:cs="Times New Roman"/>
          <w:sz w:val="24"/>
          <w:szCs w:val="24"/>
        </w:rPr>
        <w:t>To further demonstrate th</w:t>
      </w:r>
      <w:r w:rsidR="00670599" w:rsidRPr="008D66F5">
        <w:rPr>
          <w:rFonts w:cs="Times New Roman"/>
          <w:sz w:val="24"/>
          <w:szCs w:val="24"/>
        </w:rPr>
        <w:t>e misleading effects that can result from ignoring the package nature of VAG and PAG outcomes</w:t>
      </w:r>
      <w:r w:rsidRPr="008D66F5">
        <w:rPr>
          <w:rFonts w:cs="Times New Roman"/>
          <w:sz w:val="24"/>
          <w:szCs w:val="24"/>
        </w:rPr>
        <w:t xml:space="preserve">, </w:t>
      </w:r>
      <w:r w:rsidR="00670599" w:rsidRPr="008D66F5">
        <w:rPr>
          <w:rFonts w:cs="Times New Roman"/>
          <w:sz w:val="24"/>
          <w:szCs w:val="24"/>
        </w:rPr>
        <w:t xml:space="preserve">we compute </w:t>
      </w:r>
      <w:r w:rsidR="00FC31C0" w:rsidRPr="008D66F5">
        <w:rPr>
          <w:rFonts w:cs="Times New Roman"/>
          <w:sz w:val="24"/>
          <w:szCs w:val="24"/>
        </w:rPr>
        <w:t>average treatment effects (ATE</w:t>
      </w:r>
      <w:r w:rsidR="00670599" w:rsidRPr="008D66F5">
        <w:rPr>
          <w:rFonts w:cs="Times New Roman"/>
          <w:sz w:val="24"/>
          <w:szCs w:val="24"/>
        </w:rPr>
        <w:t xml:space="preserve">) </w:t>
      </w:r>
      <w:r w:rsidR="00D16C63" w:rsidRPr="008D66F5">
        <w:rPr>
          <w:rFonts w:cs="Times New Roman"/>
          <w:sz w:val="24"/>
          <w:szCs w:val="24"/>
        </w:rPr>
        <w:t xml:space="preserve">(see Heckman and </w:t>
      </w:r>
      <w:proofErr w:type="spellStart"/>
      <w:r w:rsidR="00D16C63" w:rsidRPr="008D66F5">
        <w:rPr>
          <w:rFonts w:cs="Times New Roman"/>
          <w:sz w:val="24"/>
          <w:szCs w:val="24"/>
        </w:rPr>
        <w:t>Vytlacil</w:t>
      </w:r>
      <w:proofErr w:type="spellEnd"/>
      <w:r w:rsidR="00D16C63" w:rsidRPr="008D66F5">
        <w:rPr>
          <w:rFonts w:cs="Times New Roman"/>
          <w:sz w:val="24"/>
          <w:szCs w:val="24"/>
        </w:rPr>
        <w:t>, 2000</w:t>
      </w:r>
      <w:r w:rsidR="00821850">
        <w:rPr>
          <w:rFonts w:cs="Times New Roman"/>
          <w:sz w:val="24"/>
          <w:szCs w:val="24"/>
        </w:rPr>
        <w:t xml:space="preserve">, </w:t>
      </w:r>
      <w:r w:rsidR="00D16C63" w:rsidRPr="008D66F5">
        <w:rPr>
          <w:rFonts w:cs="Times New Roman"/>
          <w:sz w:val="24"/>
          <w:szCs w:val="24"/>
        </w:rPr>
        <w:t xml:space="preserve">2001) </w:t>
      </w:r>
      <w:r w:rsidR="00670599" w:rsidRPr="008D66F5">
        <w:rPr>
          <w:rFonts w:cs="Times New Roman"/>
          <w:sz w:val="24"/>
          <w:szCs w:val="24"/>
        </w:rPr>
        <w:t>of the impacts of the VAG outcomes on the PAG outcomes, as implied by our GHDM model and the simpler independent heterogeneous data model (IHDM) model. The IHDM model excludes the VALSC and PALSC constructs, but includes the exogenous determinants of these latent constructs as explanatory variables as well as considers all statistically significant VAG outcome effects on PAG outcomes (that is, incorrectly consider</w:t>
      </w:r>
      <w:r w:rsidR="00EF3A9A" w:rsidRPr="008D66F5">
        <w:rPr>
          <w:rFonts w:cs="Times New Roman"/>
          <w:sz w:val="24"/>
          <w:szCs w:val="24"/>
        </w:rPr>
        <w:t>s</w:t>
      </w:r>
      <w:r w:rsidR="00670599" w:rsidRPr="008D66F5">
        <w:rPr>
          <w:rFonts w:cs="Times New Roman"/>
          <w:sz w:val="24"/>
          <w:szCs w:val="24"/>
        </w:rPr>
        <w:t xml:space="preserve"> the VAG outcomes as exogenous, as has been commonly done in the extant literature). This is an </w:t>
      </w:r>
      <w:r w:rsidR="00670599" w:rsidRPr="008D66F5">
        <w:rPr>
          <w:rFonts w:cs="Times New Roman"/>
          <w:sz w:val="24"/>
          <w:szCs w:val="24"/>
        </w:rPr>
        <w:lastRenderedPageBreak/>
        <w:t>independent model because of the absence of the unobserved correlation across the VAG and PAG outcomes and also across outcomes within each of the VAG and PAG outcome subsets (</w:t>
      </w:r>
      <w:r w:rsidR="00EF3A9A" w:rsidRPr="008D66F5">
        <w:rPr>
          <w:rFonts w:cs="Times New Roman"/>
          <w:sz w:val="24"/>
          <w:szCs w:val="24"/>
        </w:rPr>
        <w:t xml:space="preserve">engendered </w:t>
      </w:r>
      <w:r w:rsidR="00670599" w:rsidRPr="008D66F5">
        <w:rPr>
          <w:rFonts w:cs="Times New Roman"/>
          <w:sz w:val="24"/>
          <w:szCs w:val="24"/>
        </w:rPr>
        <w:t xml:space="preserve">through the </w:t>
      </w:r>
      <w:r w:rsidR="00EF3A9A" w:rsidRPr="008D66F5">
        <w:rPr>
          <w:rFonts w:cs="Times New Roman"/>
          <w:sz w:val="24"/>
          <w:szCs w:val="24"/>
        </w:rPr>
        <w:t xml:space="preserve">stochastic </w:t>
      </w:r>
      <w:r w:rsidR="00670599" w:rsidRPr="008D66F5">
        <w:rPr>
          <w:rFonts w:cs="Times New Roman"/>
          <w:sz w:val="24"/>
          <w:szCs w:val="24"/>
        </w:rPr>
        <w:t>VALSC and PALSC in our GHDM model).</w:t>
      </w:r>
      <w:r w:rsidR="00AE66BA" w:rsidRPr="008D66F5">
        <w:rPr>
          <w:rFonts w:cs="Times New Roman"/>
          <w:sz w:val="24"/>
          <w:szCs w:val="24"/>
        </w:rPr>
        <w:t xml:space="preserve"> </w:t>
      </w:r>
      <w:r w:rsidR="00670599" w:rsidRPr="008D66F5">
        <w:rPr>
          <w:rFonts w:cs="Times New Roman"/>
          <w:sz w:val="24"/>
          <w:szCs w:val="24"/>
        </w:rPr>
        <w:t xml:space="preserve">The </w:t>
      </w:r>
      <w:r w:rsidR="00FC31C0" w:rsidRPr="008D66F5">
        <w:rPr>
          <w:rFonts w:cs="Times New Roman"/>
          <w:sz w:val="24"/>
          <w:szCs w:val="24"/>
        </w:rPr>
        <w:t xml:space="preserve">ATE </w:t>
      </w:r>
      <w:r w:rsidR="00670599" w:rsidRPr="008D66F5">
        <w:rPr>
          <w:rFonts w:cs="Times New Roman"/>
          <w:sz w:val="24"/>
          <w:szCs w:val="24"/>
        </w:rPr>
        <w:t xml:space="preserve">of </w:t>
      </w:r>
      <w:r w:rsidR="004915D8" w:rsidRPr="008D66F5">
        <w:rPr>
          <w:rFonts w:cs="Times New Roman"/>
          <w:sz w:val="24"/>
          <w:szCs w:val="24"/>
        </w:rPr>
        <w:t>each</w:t>
      </w:r>
      <w:r w:rsidR="00670599" w:rsidRPr="008D66F5">
        <w:rPr>
          <w:rFonts w:cs="Times New Roman"/>
          <w:sz w:val="24"/>
          <w:szCs w:val="24"/>
        </w:rPr>
        <w:t xml:space="preserve"> VAG outcome on the PAG outcomes </w:t>
      </w:r>
      <w:r w:rsidR="00D16C63" w:rsidRPr="008D66F5">
        <w:rPr>
          <w:rFonts w:cs="Times New Roman"/>
          <w:sz w:val="24"/>
          <w:szCs w:val="24"/>
        </w:rPr>
        <w:t>provides the expected PAG outcome change for a random individual if the individual’s VAG outcome changed from one state to another.</w:t>
      </w:r>
      <w:r w:rsidR="00D72464" w:rsidRPr="008D66F5">
        <w:rPr>
          <w:rStyle w:val="FootnoteReference"/>
          <w:rFonts w:cs="Times New Roman"/>
          <w:sz w:val="24"/>
          <w:szCs w:val="24"/>
        </w:rPr>
        <w:footnoteReference w:id="3"/>
      </w:r>
      <w:r w:rsidR="00D16C63" w:rsidRPr="008D66F5">
        <w:rPr>
          <w:rFonts w:cs="Times New Roman"/>
          <w:sz w:val="24"/>
          <w:szCs w:val="24"/>
        </w:rPr>
        <w:t xml:space="preserve">  </w:t>
      </w:r>
    </w:p>
    <w:p w14:paraId="583DC098" w14:textId="130E77D2" w:rsidR="000C41DF" w:rsidRPr="00E42625" w:rsidRDefault="00F6103A" w:rsidP="009A69FC">
      <w:pPr>
        <w:autoSpaceDE w:val="0"/>
        <w:autoSpaceDN w:val="0"/>
        <w:adjustRightInd w:val="0"/>
        <w:ind w:firstLine="708"/>
        <w:rPr>
          <w:rFonts w:cs="Times New Roman"/>
          <w:sz w:val="24"/>
          <w:szCs w:val="24"/>
        </w:rPr>
      </w:pPr>
      <w:r w:rsidRPr="00E42625">
        <w:rPr>
          <w:rFonts w:cs="Times New Roman"/>
          <w:sz w:val="24"/>
          <w:szCs w:val="24"/>
        </w:rPr>
        <w:t xml:space="preserve">The analyst can compute the ATE for all combinations of state changes </w:t>
      </w:r>
      <w:r w:rsidR="00EF3A9A" w:rsidRPr="00E42625">
        <w:rPr>
          <w:rFonts w:cs="Times New Roman"/>
          <w:sz w:val="24"/>
          <w:szCs w:val="24"/>
        </w:rPr>
        <w:t xml:space="preserve">within each </w:t>
      </w:r>
      <w:r w:rsidRPr="00E42625">
        <w:rPr>
          <w:rFonts w:cs="Times New Roman"/>
          <w:sz w:val="24"/>
          <w:szCs w:val="24"/>
        </w:rPr>
        <w:t xml:space="preserve">VAG outcome. To streamline the presentation, we focus on the ATE for the following state changes for </w:t>
      </w:r>
      <w:r w:rsidR="0014201C" w:rsidRPr="00E42625">
        <w:rPr>
          <w:rFonts w:cs="Times New Roman"/>
          <w:sz w:val="24"/>
          <w:szCs w:val="24"/>
        </w:rPr>
        <w:t>two</w:t>
      </w:r>
      <w:r w:rsidRPr="00E42625">
        <w:rPr>
          <w:rFonts w:cs="Times New Roman"/>
          <w:sz w:val="24"/>
          <w:szCs w:val="24"/>
        </w:rPr>
        <w:t xml:space="preserve"> VAG outcome</w:t>
      </w:r>
      <w:r w:rsidR="0014201C" w:rsidRPr="00E42625">
        <w:rPr>
          <w:rFonts w:cs="Times New Roman"/>
          <w:sz w:val="24"/>
          <w:szCs w:val="24"/>
        </w:rPr>
        <w:t>s</w:t>
      </w:r>
      <w:r w:rsidRPr="00E42625">
        <w:rPr>
          <w:rFonts w:cs="Times New Roman"/>
          <w:sz w:val="24"/>
          <w:szCs w:val="24"/>
        </w:rPr>
        <w:t xml:space="preserve">: (a) from “twice a year or less” </w:t>
      </w:r>
      <w:r w:rsidR="00FE2A95" w:rsidRPr="00E42625">
        <w:rPr>
          <w:rFonts w:cs="Times New Roman"/>
          <w:sz w:val="24"/>
          <w:szCs w:val="24"/>
        </w:rPr>
        <w:t xml:space="preserve">(for ease, we will refer to this state as one of non-telecommuting) </w:t>
      </w:r>
      <w:r w:rsidRPr="00E42625">
        <w:rPr>
          <w:rFonts w:cs="Times New Roman"/>
          <w:sz w:val="24"/>
          <w:szCs w:val="24"/>
        </w:rPr>
        <w:t xml:space="preserve">to “one or more times a week” for the frequency of working from home, </w:t>
      </w:r>
      <w:r w:rsidR="00C44461">
        <w:rPr>
          <w:rFonts w:cs="Times New Roman"/>
          <w:sz w:val="24"/>
          <w:szCs w:val="24"/>
        </w:rPr>
        <w:t xml:space="preserve">and </w:t>
      </w:r>
      <w:r w:rsidRPr="00E42625">
        <w:rPr>
          <w:rFonts w:cs="Times New Roman"/>
          <w:sz w:val="24"/>
          <w:szCs w:val="24"/>
        </w:rPr>
        <w:t xml:space="preserve">(b) from “twice a year or less” to “one or more times a week” for the frequency of </w:t>
      </w:r>
      <w:r w:rsidR="000C41DF" w:rsidRPr="00E42625">
        <w:rPr>
          <w:rFonts w:cs="Times New Roman"/>
          <w:sz w:val="24"/>
          <w:szCs w:val="24"/>
        </w:rPr>
        <w:t>goods</w:t>
      </w:r>
      <w:r w:rsidRPr="00E42625">
        <w:rPr>
          <w:rFonts w:cs="Times New Roman"/>
          <w:sz w:val="24"/>
          <w:szCs w:val="24"/>
        </w:rPr>
        <w:t xml:space="preserve"> delivery</w:t>
      </w:r>
      <w:r w:rsidR="00FE2CA9" w:rsidRPr="00E42625">
        <w:rPr>
          <w:rFonts w:cs="Times New Roman"/>
          <w:sz w:val="24"/>
          <w:szCs w:val="24"/>
        </w:rPr>
        <w:t xml:space="preserve"> (these two VAG </w:t>
      </w:r>
      <w:r w:rsidR="0014201C" w:rsidRPr="00E42625">
        <w:rPr>
          <w:rFonts w:cs="Times New Roman"/>
          <w:sz w:val="24"/>
          <w:szCs w:val="24"/>
        </w:rPr>
        <w:t xml:space="preserve">outcomes </w:t>
      </w:r>
      <w:r w:rsidR="00FE2CA9" w:rsidRPr="00E42625">
        <w:rPr>
          <w:rFonts w:cs="Times New Roman"/>
          <w:sz w:val="24"/>
          <w:szCs w:val="24"/>
        </w:rPr>
        <w:t>were chosen because</w:t>
      </w:r>
      <w:r w:rsidR="00821850" w:rsidRPr="00E42625">
        <w:rPr>
          <w:rFonts w:cs="Times New Roman"/>
          <w:sz w:val="24"/>
          <w:szCs w:val="24"/>
        </w:rPr>
        <w:t>, for the current data set,</w:t>
      </w:r>
      <w:r w:rsidR="00FE2CA9" w:rsidRPr="00E42625">
        <w:rPr>
          <w:rFonts w:cs="Times New Roman"/>
          <w:sz w:val="24"/>
          <w:szCs w:val="24"/>
        </w:rPr>
        <w:t xml:space="preserve"> they were the only ones to present direct effects on PAG in the </w:t>
      </w:r>
      <w:r w:rsidR="00406539" w:rsidRPr="00E42625">
        <w:rPr>
          <w:rFonts w:cs="Times New Roman"/>
          <w:sz w:val="24"/>
          <w:szCs w:val="24"/>
        </w:rPr>
        <w:t xml:space="preserve">GHDM and/or </w:t>
      </w:r>
      <w:r w:rsidR="00FE2CA9" w:rsidRPr="00E42625">
        <w:rPr>
          <w:rFonts w:cs="Times New Roman"/>
          <w:sz w:val="24"/>
          <w:szCs w:val="24"/>
        </w:rPr>
        <w:t>IHDM</w:t>
      </w:r>
      <w:r w:rsidR="00821850" w:rsidRPr="00E42625">
        <w:rPr>
          <w:rFonts w:cs="Times New Roman"/>
          <w:sz w:val="24"/>
          <w:szCs w:val="24"/>
        </w:rPr>
        <w:t xml:space="preserve"> specification</w:t>
      </w:r>
      <w:r w:rsidR="00FE2CA9" w:rsidRPr="00E42625">
        <w:rPr>
          <w:rFonts w:cs="Times New Roman"/>
          <w:sz w:val="24"/>
          <w:szCs w:val="24"/>
        </w:rPr>
        <w:t>)</w:t>
      </w:r>
      <w:r w:rsidRPr="00E42625">
        <w:rPr>
          <w:rFonts w:cs="Times New Roman"/>
          <w:sz w:val="24"/>
          <w:szCs w:val="24"/>
        </w:rPr>
        <w:t>.</w:t>
      </w:r>
      <w:r w:rsidR="00600BC4" w:rsidRPr="00E42625">
        <w:rPr>
          <w:rFonts w:cs="Times New Roman"/>
          <w:sz w:val="24"/>
          <w:szCs w:val="24"/>
        </w:rPr>
        <w:t xml:space="preserve"> </w:t>
      </w:r>
      <w:r w:rsidR="0014201C" w:rsidRPr="00E42625">
        <w:rPr>
          <w:rFonts w:cs="Times New Roman"/>
          <w:sz w:val="24"/>
          <w:szCs w:val="24"/>
        </w:rPr>
        <w:t xml:space="preserve">Further, </w:t>
      </w:r>
      <w:r w:rsidR="000C41DF" w:rsidRPr="00E42625">
        <w:rPr>
          <w:rFonts w:cs="Times New Roman"/>
          <w:sz w:val="24"/>
          <w:szCs w:val="24"/>
        </w:rPr>
        <w:t xml:space="preserve">because the two VAG outcomes both do not have any statistically significant recursive impacts on the motorized vehicle availability and average trip distance PAG outcomes, we do not consider the ATE effects for these two PAG outcomes. Additionally, </w:t>
      </w:r>
      <w:r w:rsidR="0014201C" w:rsidRPr="00E42625">
        <w:rPr>
          <w:rFonts w:cs="Times New Roman"/>
          <w:sz w:val="24"/>
          <w:szCs w:val="24"/>
        </w:rPr>
        <w:t xml:space="preserve">to keep the ATE results simple and interpretable, we assign a cardinal value for each of the ordinal categories (representing the mid-point of the ordinal threshold values) for the average durations </w:t>
      </w:r>
      <w:r w:rsidR="000C41DF" w:rsidRPr="00E42625">
        <w:rPr>
          <w:rFonts w:cs="Times New Roman"/>
          <w:sz w:val="24"/>
          <w:szCs w:val="24"/>
        </w:rPr>
        <w:t xml:space="preserve">and </w:t>
      </w:r>
      <w:r w:rsidR="0014201C" w:rsidRPr="00E42625">
        <w:rPr>
          <w:rFonts w:cs="Times New Roman"/>
          <w:sz w:val="24"/>
          <w:szCs w:val="24"/>
        </w:rPr>
        <w:t>average number of trips per tour</w:t>
      </w:r>
      <w:r w:rsidR="000C41DF" w:rsidRPr="00E42625">
        <w:rPr>
          <w:rFonts w:cs="Times New Roman"/>
          <w:sz w:val="24"/>
          <w:szCs w:val="24"/>
        </w:rPr>
        <w:t xml:space="preserve"> </w:t>
      </w:r>
      <w:r w:rsidR="0014201C" w:rsidRPr="00E42625">
        <w:rPr>
          <w:rFonts w:cs="Times New Roman"/>
          <w:sz w:val="24"/>
          <w:szCs w:val="24"/>
        </w:rPr>
        <w:t xml:space="preserve">PAG outcomes. </w:t>
      </w:r>
      <w:r w:rsidR="0014201C" w:rsidRPr="00E42625">
        <w:rPr>
          <w:sz w:val="24"/>
          <w:szCs w:val="24"/>
        </w:rPr>
        <w:t>For example, an individual whose average</w:t>
      </w:r>
      <w:r w:rsidR="000C41DF" w:rsidRPr="00E42625">
        <w:rPr>
          <w:sz w:val="24"/>
          <w:szCs w:val="24"/>
        </w:rPr>
        <w:t xml:space="preserve"> maintenance</w:t>
      </w:r>
      <w:r w:rsidR="0014201C" w:rsidRPr="00E42625">
        <w:rPr>
          <w:sz w:val="24"/>
          <w:szCs w:val="24"/>
        </w:rPr>
        <w:t xml:space="preserve"> episode </w:t>
      </w:r>
      <w:r w:rsidR="000C41DF" w:rsidRPr="00E42625">
        <w:rPr>
          <w:sz w:val="24"/>
          <w:szCs w:val="24"/>
        </w:rPr>
        <w:t xml:space="preserve">duration falls in the 1-2 hours ordinal category is assigned a cardinal value of average maintenance episode duration of 1.5 hours. The ATE for such variables then provides the change in the expected durations or number of trips per tour due to a change in state of the VAG outcome. </w:t>
      </w:r>
      <w:r w:rsidR="00CC00C4" w:rsidRPr="00E42625">
        <w:rPr>
          <w:rFonts w:cs="Times New Roman"/>
          <w:sz w:val="24"/>
          <w:szCs w:val="24"/>
        </w:rPr>
        <w:t xml:space="preserve">The procedure to compute these ATE effects is </w:t>
      </w:r>
      <w:r w:rsidR="004E2FBA" w:rsidRPr="00E42625">
        <w:rPr>
          <w:rFonts w:cs="Times New Roman"/>
          <w:sz w:val="24"/>
          <w:szCs w:val="24"/>
        </w:rPr>
        <w:t xml:space="preserve">the same as that in </w:t>
      </w:r>
      <w:proofErr w:type="spellStart"/>
      <w:r w:rsidR="00FE72F3" w:rsidRPr="00E42625">
        <w:rPr>
          <w:rFonts w:cs="Times New Roman"/>
          <w:sz w:val="24"/>
          <w:szCs w:val="24"/>
        </w:rPr>
        <w:t>Astroza</w:t>
      </w:r>
      <w:proofErr w:type="spellEnd"/>
      <w:r w:rsidR="00FE72F3" w:rsidRPr="00E42625">
        <w:rPr>
          <w:rFonts w:cs="Times New Roman"/>
          <w:sz w:val="24"/>
          <w:szCs w:val="24"/>
        </w:rPr>
        <w:t xml:space="preserve"> et al. (2017)</w:t>
      </w:r>
      <w:r w:rsidR="003B7034" w:rsidRPr="00E42625">
        <w:rPr>
          <w:rFonts w:cs="Times New Roman"/>
          <w:sz w:val="24"/>
          <w:szCs w:val="24"/>
        </w:rPr>
        <w:t xml:space="preserve">. </w:t>
      </w:r>
    </w:p>
    <w:p w14:paraId="54249489" w14:textId="0DEE9E59" w:rsidR="00152D05" w:rsidRDefault="001930DC" w:rsidP="009A69FC">
      <w:pPr>
        <w:autoSpaceDE w:val="0"/>
        <w:autoSpaceDN w:val="0"/>
        <w:adjustRightInd w:val="0"/>
        <w:ind w:firstLine="708"/>
        <w:rPr>
          <w:rFonts w:cs="Times New Roman"/>
          <w:sz w:val="24"/>
          <w:szCs w:val="24"/>
        </w:rPr>
      </w:pPr>
      <w:r w:rsidRPr="001930DC">
        <w:rPr>
          <w:rFonts w:cs="Times New Roman"/>
          <w:sz w:val="24"/>
          <w:szCs w:val="24"/>
        </w:rPr>
        <w:t>The</w:t>
      </w:r>
      <w:r w:rsidR="003B7034" w:rsidRPr="008D66F5">
        <w:rPr>
          <w:rFonts w:cs="Times New Roman"/>
          <w:sz w:val="24"/>
          <w:szCs w:val="24"/>
        </w:rPr>
        <w:t xml:space="preserve"> </w:t>
      </w:r>
      <w:r w:rsidR="003C041A" w:rsidRPr="008D66F5">
        <w:rPr>
          <w:rFonts w:cs="Times New Roman"/>
          <w:sz w:val="24"/>
          <w:szCs w:val="24"/>
        </w:rPr>
        <w:t xml:space="preserve">estimated ATE values (and standard errors) </w:t>
      </w:r>
      <w:r w:rsidR="003B7034" w:rsidRPr="008D66F5">
        <w:rPr>
          <w:rFonts w:cs="Times New Roman"/>
          <w:sz w:val="24"/>
          <w:szCs w:val="24"/>
        </w:rPr>
        <w:t xml:space="preserve">are provided in Table </w:t>
      </w:r>
      <w:r w:rsidR="00821850">
        <w:rPr>
          <w:rFonts w:cs="Times New Roman"/>
          <w:sz w:val="24"/>
          <w:szCs w:val="24"/>
        </w:rPr>
        <w:t>5</w:t>
      </w:r>
      <w:r w:rsidR="00821850" w:rsidRPr="008D66F5">
        <w:rPr>
          <w:rFonts w:cs="Times New Roman"/>
          <w:sz w:val="24"/>
          <w:szCs w:val="24"/>
        </w:rPr>
        <w:t xml:space="preserve"> </w:t>
      </w:r>
      <w:r w:rsidR="003C041A" w:rsidRPr="008D66F5">
        <w:rPr>
          <w:rFonts w:cs="Times New Roman"/>
          <w:sz w:val="24"/>
          <w:szCs w:val="24"/>
        </w:rPr>
        <w:t xml:space="preserve">for both the GHDM and IHDM models. </w:t>
      </w:r>
      <w:r w:rsidR="00FF5455">
        <w:rPr>
          <w:rFonts w:cs="Times New Roman"/>
          <w:sz w:val="24"/>
          <w:szCs w:val="24"/>
        </w:rPr>
        <w:t>The “treatment” variables (that is, the VAG outcomes in our case) are arranged column</w:t>
      </w:r>
      <w:r w:rsidR="006207A0">
        <w:rPr>
          <w:rFonts w:cs="Times New Roman"/>
          <w:sz w:val="24"/>
          <w:szCs w:val="24"/>
        </w:rPr>
        <w:t>-</w:t>
      </w:r>
      <w:r w:rsidR="00FF5455">
        <w:rPr>
          <w:rFonts w:cs="Times New Roman"/>
          <w:sz w:val="24"/>
          <w:szCs w:val="24"/>
        </w:rPr>
        <w:t>wise, while the PAG outcome variables are arranged row-</w:t>
      </w:r>
      <w:r w:rsidR="006207A0">
        <w:rPr>
          <w:rFonts w:cs="Times New Roman"/>
          <w:sz w:val="24"/>
          <w:szCs w:val="24"/>
        </w:rPr>
        <w:t>w</w:t>
      </w:r>
      <w:r w:rsidR="00FF5455">
        <w:rPr>
          <w:rFonts w:cs="Times New Roman"/>
          <w:sz w:val="24"/>
          <w:szCs w:val="24"/>
        </w:rPr>
        <w:t xml:space="preserve">ise. </w:t>
      </w:r>
      <w:r w:rsidR="003C041A" w:rsidRPr="008D66F5">
        <w:rPr>
          <w:rFonts w:cs="Times New Roman"/>
          <w:sz w:val="24"/>
          <w:szCs w:val="24"/>
        </w:rPr>
        <w:t xml:space="preserve">The first entry under the first </w:t>
      </w:r>
      <w:r w:rsidR="00C274A9">
        <w:rPr>
          <w:rFonts w:cs="Times New Roman"/>
          <w:sz w:val="24"/>
          <w:szCs w:val="24"/>
        </w:rPr>
        <w:t xml:space="preserve">numeric </w:t>
      </w:r>
      <w:r w:rsidR="003C041A" w:rsidRPr="008D66F5">
        <w:rPr>
          <w:rFonts w:cs="Times New Roman"/>
          <w:sz w:val="24"/>
          <w:szCs w:val="24"/>
        </w:rPr>
        <w:t xml:space="preserve">column </w:t>
      </w:r>
      <w:r w:rsidR="00FE2A95" w:rsidRPr="008D66F5">
        <w:rPr>
          <w:rFonts w:cs="Times New Roman"/>
          <w:sz w:val="24"/>
          <w:szCs w:val="24"/>
        </w:rPr>
        <w:t xml:space="preserve">with the </w:t>
      </w:r>
      <w:r w:rsidR="003C041A" w:rsidRPr="008D66F5">
        <w:rPr>
          <w:rFonts w:cs="Times New Roman"/>
          <w:sz w:val="24"/>
          <w:szCs w:val="24"/>
        </w:rPr>
        <w:t>“</w:t>
      </w:r>
      <w:r w:rsidR="00D536F4">
        <w:rPr>
          <w:rFonts w:cs="Times New Roman"/>
          <w:sz w:val="24"/>
          <w:szCs w:val="24"/>
        </w:rPr>
        <w:t>I</w:t>
      </w:r>
      <w:r w:rsidR="00D536F4" w:rsidRPr="008D66F5">
        <w:rPr>
          <w:rFonts w:cs="Times New Roman"/>
          <w:sz w:val="24"/>
          <w:szCs w:val="24"/>
        </w:rPr>
        <w:t xml:space="preserve">HDM </w:t>
      </w:r>
      <w:r w:rsidR="003C041A" w:rsidRPr="008D66F5">
        <w:rPr>
          <w:rFonts w:cs="Times New Roman"/>
          <w:sz w:val="24"/>
          <w:szCs w:val="24"/>
        </w:rPr>
        <w:t xml:space="preserve">model” heading indicates that a random individual </w:t>
      </w:r>
      <w:r w:rsidR="00FF5455">
        <w:rPr>
          <w:rFonts w:cs="Times New Roman"/>
          <w:sz w:val="24"/>
          <w:szCs w:val="24"/>
        </w:rPr>
        <w:t xml:space="preserve">who switches states from being a non-telecommuter to becoming a telecommuter </w:t>
      </w:r>
      <w:r w:rsidR="00FF5455">
        <w:rPr>
          <w:rFonts w:cs="Times New Roman"/>
          <w:sz w:val="24"/>
          <w:szCs w:val="24"/>
        </w:rPr>
        <w:lastRenderedPageBreak/>
        <w:t>(</w:t>
      </w:r>
      <w:r w:rsidR="00FE2A95" w:rsidRPr="008D66F5">
        <w:rPr>
          <w:rFonts w:cs="Times New Roman"/>
          <w:sz w:val="24"/>
          <w:szCs w:val="24"/>
        </w:rPr>
        <w:t>work</w:t>
      </w:r>
      <w:r w:rsidR="00FF5455">
        <w:rPr>
          <w:rFonts w:cs="Times New Roman"/>
          <w:sz w:val="24"/>
          <w:szCs w:val="24"/>
        </w:rPr>
        <w:t>ing</w:t>
      </w:r>
      <w:r w:rsidR="00FE2A95" w:rsidRPr="008D66F5">
        <w:rPr>
          <w:rFonts w:cs="Times New Roman"/>
          <w:sz w:val="24"/>
          <w:szCs w:val="24"/>
        </w:rPr>
        <w:t xml:space="preserve"> from home one or more times a wee</w:t>
      </w:r>
      <w:r w:rsidR="00FF5455">
        <w:rPr>
          <w:rFonts w:cs="Times New Roman"/>
          <w:sz w:val="24"/>
          <w:szCs w:val="24"/>
        </w:rPr>
        <w:t>k) is</w:t>
      </w:r>
      <w:r w:rsidR="00FE2A95" w:rsidRPr="008D66F5">
        <w:rPr>
          <w:rFonts w:cs="Times New Roman"/>
          <w:sz w:val="24"/>
          <w:szCs w:val="24"/>
        </w:rPr>
        <w:t xml:space="preserve">, </w:t>
      </w:r>
      <w:r w:rsidR="003C041A" w:rsidRPr="008D66F5">
        <w:rPr>
          <w:rFonts w:cs="Times New Roman"/>
          <w:sz w:val="24"/>
          <w:szCs w:val="24"/>
        </w:rPr>
        <w:t xml:space="preserve">on average, likely to reduce </w:t>
      </w:r>
      <w:r w:rsidR="00FE2A95" w:rsidRPr="008D66F5">
        <w:rPr>
          <w:rFonts w:cs="Times New Roman"/>
          <w:sz w:val="24"/>
          <w:szCs w:val="24"/>
        </w:rPr>
        <w:t>the number of ma</w:t>
      </w:r>
      <w:r w:rsidR="00FF5455">
        <w:rPr>
          <w:rFonts w:cs="Times New Roman"/>
          <w:sz w:val="24"/>
          <w:szCs w:val="24"/>
        </w:rPr>
        <w:t>ndatory</w:t>
      </w:r>
      <w:r w:rsidR="00FE2A95" w:rsidRPr="008D66F5">
        <w:rPr>
          <w:rFonts w:cs="Times New Roman"/>
          <w:sz w:val="24"/>
          <w:szCs w:val="24"/>
        </w:rPr>
        <w:t xml:space="preserve"> activity episodes during the </w:t>
      </w:r>
      <w:r w:rsidR="00C274A9">
        <w:rPr>
          <w:rFonts w:cs="Times New Roman"/>
          <w:sz w:val="24"/>
          <w:szCs w:val="24"/>
        </w:rPr>
        <w:t>week</w:t>
      </w:r>
      <w:r w:rsidR="00FE2A95" w:rsidRPr="008D66F5">
        <w:rPr>
          <w:rFonts w:cs="Times New Roman"/>
          <w:sz w:val="24"/>
          <w:szCs w:val="24"/>
        </w:rPr>
        <w:t xml:space="preserve"> </w:t>
      </w:r>
      <w:r w:rsidR="003C041A" w:rsidRPr="008D66F5">
        <w:rPr>
          <w:rFonts w:cs="Times New Roman"/>
          <w:sz w:val="24"/>
          <w:szCs w:val="24"/>
        </w:rPr>
        <w:t xml:space="preserve">by </w:t>
      </w:r>
      <w:r w:rsidR="00D536F4">
        <w:rPr>
          <w:rFonts w:cs="Times New Roman"/>
          <w:sz w:val="24"/>
          <w:szCs w:val="24"/>
        </w:rPr>
        <w:t xml:space="preserve">0.650 </w:t>
      </w:r>
      <w:r w:rsidR="00FE2A95" w:rsidRPr="008D66F5">
        <w:rPr>
          <w:rFonts w:cs="Times New Roman"/>
          <w:sz w:val="24"/>
          <w:szCs w:val="24"/>
        </w:rPr>
        <w:t>episodes</w:t>
      </w:r>
      <w:r w:rsidR="003C041A" w:rsidRPr="008D66F5">
        <w:rPr>
          <w:rFonts w:cs="Times New Roman"/>
          <w:sz w:val="24"/>
          <w:szCs w:val="24"/>
        </w:rPr>
        <w:t xml:space="preserve"> (standard error of</w:t>
      </w:r>
      <w:r w:rsidR="00FF5455">
        <w:rPr>
          <w:rFonts w:cs="Times New Roman"/>
          <w:sz w:val="24"/>
          <w:szCs w:val="24"/>
        </w:rPr>
        <w:t xml:space="preserve"> </w:t>
      </w:r>
      <w:r w:rsidR="00D536F4">
        <w:rPr>
          <w:rFonts w:cs="Times New Roman"/>
          <w:sz w:val="24"/>
          <w:szCs w:val="24"/>
        </w:rPr>
        <w:t>0.322</w:t>
      </w:r>
      <w:r w:rsidR="00D2524C" w:rsidRPr="008D66F5">
        <w:rPr>
          <w:rFonts w:cs="Times New Roman"/>
          <w:sz w:val="24"/>
          <w:szCs w:val="24"/>
        </w:rPr>
        <w:t xml:space="preserve">). </w:t>
      </w:r>
      <w:r w:rsidR="003C041A" w:rsidRPr="008D66F5">
        <w:rPr>
          <w:rFonts w:cs="Times New Roman"/>
          <w:sz w:val="24"/>
          <w:szCs w:val="24"/>
        </w:rPr>
        <w:t xml:space="preserve">Equivalently, if 100 random </w:t>
      </w:r>
      <w:r w:rsidR="00FE2A95" w:rsidRPr="008D66F5">
        <w:rPr>
          <w:rFonts w:cs="Times New Roman"/>
          <w:sz w:val="24"/>
          <w:szCs w:val="24"/>
        </w:rPr>
        <w:t>individuals changed their states from non-telecom</w:t>
      </w:r>
      <w:r w:rsidR="000B3739" w:rsidRPr="008D66F5">
        <w:rPr>
          <w:rFonts w:cs="Times New Roman"/>
          <w:sz w:val="24"/>
          <w:szCs w:val="24"/>
        </w:rPr>
        <w:t>m</w:t>
      </w:r>
      <w:r w:rsidR="00FE2A95" w:rsidRPr="008D66F5">
        <w:rPr>
          <w:rFonts w:cs="Times New Roman"/>
          <w:sz w:val="24"/>
          <w:szCs w:val="24"/>
        </w:rPr>
        <w:t>uting to telecommuting, the point estimate indicates that the number of m</w:t>
      </w:r>
      <w:r w:rsidR="00D10A4D">
        <w:rPr>
          <w:rFonts w:cs="Times New Roman"/>
          <w:sz w:val="24"/>
          <w:szCs w:val="24"/>
        </w:rPr>
        <w:t>andatory</w:t>
      </w:r>
      <w:r w:rsidR="00FE2A95" w:rsidRPr="008D66F5">
        <w:rPr>
          <w:rFonts w:cs="Times New Roman"/>
          <w:sz w:val="24"/>
          <w:szCs w:val="24"/>
        </w:rPr>
        <w:t xml:space="preserve"> activity episodes</w:t>
      </w:r>
      <w:r w:rsidR="00C274A9">
        <w:rPr>
          <w:rFonts w:cs="Times New Roman"/>
          <w:sz w:val="24"/>
          <w:szCs w:val="24"/>
        </w:rPr>
        <w:t xml:space="preserve"> per week</w:t>
      </w:r>
      <w:r w:rsidR="00FE2A95" w:rsidRPr="008D66F5">
        <w:rPr>
          <w:rFonts w:cs="Times New Roman"/>
          <w:sz w:val="24"/>
          <w:szCs w:val="24"/>
        </w:rPr>
        <w:t xml:space="preserve"> across those 100 individuals would reduce </w:t>
      </w:r>
      <w:r w:rsidR="003C041A" w:rsidRPr="008D66F5">
        <w:rPr>
          <w:rFonts w:cs="Times New Roman"/>
          <w:sz w:val="24"/>
          <w:szCs w:val="24"/>
        </w:rPr>
        <w:t xml:space="preserve">by about </w:t>
      </w:r>
      <w:r w:rsidR="00D536F4" w:rsidRPr="00D536F4">
        <w:rPr>
          <w:rFonts w:cs="Times New Roman"/>
          <w:sz w:val="24"/>
          <w:szCs w:val="24"/>
        </w:rPr>
        <w:t>65 episodes</w:t>
      </w:r>
      <w:r w:rsidR="003C041A" w:rsidRPr="008D66F5">
        <w:rPr>
          <w:rFonts w:cs="Times New Roman"/>
          <w:sz w:val="24"/>
          <w:szCs w:val="24"/>
        </w:rPr>
        <w:t>.</w:t>
      </w:r>
      <w:r w:rsidR="00FE2A95" w:rsidRPr="008D66F5">
        <w:rPr>
          <w:rFonts w:cs="Times New Roman"/>
          <w:sz w:val="24"/>
          <w:szCs w:val="24"/>
        </w:rPr>
        <w:t xml:space="preserve"> Other point estimates may be similarly interpreted. The results from Table </w:t>
      </w:r>
      <w:r w:rsidR="00D536F4">
        <w:rPr>
          <w:rFonts w:cs="Times New Roman"/>
          <w:sz w:val="24"/>
          <w:szCs w:val="24"/>
        </w:rPr>
        <w:t>5</w:t>
      </w:r>
      <w:r w:rsidR="00D536F4" w:rsidRPr="008D66F5">
        <w:rPr>
          <w:rFonts w:cs="Times New Roman"/>
          <w:sz w:val="24"/>
          <w:szCs w:val="24"/>
        </w:rPr>
        <w:t xml:space="preserve"> </w:t>
      </w:r>
      <w:r w:rsidR="00FE2A95" w:rsidRPr="008D66F5">
        <w:rPr>
          <w:rFonts w:cs="Times New Roman"/>
          <w:sz w:val="24"/>
          <w:szCs w:val="24"/>
        </w:rPr>
        <w:t xml:space="preserve">are revealing in that the </w:t>
      </w:r>
      <w:r w:rsidR="000951EA" w:rsidRPr="00265910">
        <w:rPr>
          <w:rFonts w:cs="Times New Roman"/>
          <w:sz w:val="24"/>
          <w:szCs w:val="24"/>
        </w:rPr>
        <w:t>simpler IHD</w:t>
      </w:r>
      <w:r w:rsidR="00152D05">
        <w:rPr>
          <w:rFonts w:cs="Times New Roman"/>
          <w:sz w:val="24"/>
          <w:szCs w:val="24"/>
        </w:rPr>
        <w:t>M</w:t>
      </w:r>
      <w:r w:rsidR="000951EA" w:rsidRPr="00265910">
        <w:rPr>
          <w:rFonts w:cs="Times New Roman"/>
          <w:sz w:val="24"/>
          <w:szCs w:val="24"/>
        </w:rPr>
        <w:t xml:space="preserve"> model </w:t>
      </w:r>
      <w:r w:rsidR="00406539">
        <w:rPr>
          <w:rFonts w:cs="Times New Roman"/>
          <w:sz w:val="24"/>
          <w:szCs w:val="24"/>
        </w:rPr>
        <w:t>(</w:t>
      </w:r>
      <w:r w:rsidR="000951EA" w:rsidRPr="00265910">
        <w:rPr>
          <w:rFonts w:cs="Times New Roman"/>
          <w:sz w:val="24"/>
          <w:szCs w:val="24"/>
        </w:rPr>
        <w:t>that ignores the package decision nature</w:t>
      </w:r>
      <w:r w:rsidR="00406539">
        <w:rPr>
          <w:rFonts w:cs="Times New Roman"/>
          <w:sz w:val="24"/>
          <w:szCs w:val="24"/>
        </w:rPr>
        <w:t>)</w:t>
      </w:r>
      <w:r w:rsidR="000951EA" w:rsidRPr="000951EA" w:rsidDel="000951EA">
        <w:rPr>
          <w:rFonts w:cs="Times New Roman"/>
          <w:sz w:val="24"/>
          <w:szCs w:val="24"/>
        </w:rPr>
        <w:t xml:space="preserve"> </w:t>
      </w:r>
      <w:r>
        <w:rPr>
          <w:rFonts w:cs="Times New Roman"/>
          <w:sz w:val="24"/>
          <w:szCs w:val="24"/>
        </w:rPr>
        <w:t xml:space="preserve">consistently </w:t>
      </w:r>
      <w:r w:rsidRPr="008D66F5">
        <w:rPr>
          <w:rFonts w:cs="Times New Roman"/>
          <w:sz w:val="24"/>
          <w:szCs w:val="24"/>
          <w:u w:val="single"/>
        </w:rPr>
        <w:t xml:space="preserve">overestimates </w:t>
      </w:r>
      <w:r w:rsidR="00EE52A0">
        <w:rPr>
          <w:rFonts w:cs="Times New Roman"/>
          <w:sz w:val="24"/>
          <w:szCs w:val="24"/>
          <w:u w:val="single"/>
        </w:rPr>
        <w:t xml:space="preserve">direct </w:t>
      </w:r>
      <w:r w:rsidRPr="008D66F5">
        <w:rPr>
          <w:rFonts w:cs="Times New Roman"/>
          <w:sz w:val="24"/>
          <w:szCs w:val="24"/>
          <w:u w:val="single"/>
        </w:rPr>
        <w:t>substitution</w:t>
      </w:r>
      <w:r w:rsidR="00FE2A95" w:rsidRPr="008D66F5">
        <w:rPr>
          <w:rFonts w:cs="Times New Roman"/>
          <w:sz w:val="24"/>
          <w:szCs w:val="24"/>
          <w:u w:val="single"/>
        </w:rPr>
        <w:t xml:space="preserve"> effect</w:t>
      </w:r>
      <w:r w:rsidRPr="008D66F5">
        <w:rPr>
          <w:rFonts w:cs="Times New Roman"/>
          <w:sz w:val="24"/>
          <w:szCs w:val="24"/>
          <w:u w:val="single"/>
        </w:rPr>
        <w:t>s</w:t>
      </w:r>
      <w:r w:rsidR="00FE2A95" w:rsidRPr="008D66F5">
        <w:rPr>
          <w:rFonts w:cs="Times New Roman"/>
          <w:sz w:val="24"/>
          <w:szCs w:val="24"/>
        </w:rPr>
        <w:t xml:space="preserve"> between the VAG and PAG outcomes</w:t>
      </w:r>
      <w:r w:rsidR="00D10A4D">
        <w:rPr>
          <w:rFonts w:cs="Times New Roman"/>
          <w:sz w:val="24"/>
          <w:szCs w:val="24"/>
        </w:rPr>
        <w:t xml:space="preserve"> because it ignores the presence of common observed and unobserved factors affecting the VAG and PAG outcomes in the form of the VALSC and PALSC latent constructs</w:t>
      </w:r>
      <w:r w:rsidR="000951EA">
        <w:rPr>
          <w:rFonts w:cs="Times New Roman"/>
          <w:sz w:val="24"/>
          <w:szCs w:val="24"/>
        </w:rPr>
        <w:t>.</w:t>
      </w:r>
      <w:r w:rsidR="00FE2A95" w:rsidRPr="008D66F5">
        <w:rPr>
          <w:rFonts w:cs="Times New Roman"/>
          <w:sz w:val="24"/>
          <w:szCs w:val="24"/>
        </w:rPr>
        <w:t xml:space="preserve"> </w:t>
      </w:r>
      <w:r w:rsidR="00D4589B">
        <w:rPr>
          <w:rFonts w:cs="Times New Roman"/>
          <w:sz w:val="24"/>
          <w:szCs w:val="24"/>
        </w:rPr>
        <w:t xml:space="preserve">Thus, in the context of the number of mandatory activity episodes, our results indicate that individuals who are very tech-savvy with a high VALSC would gravitate toward jobs that allow them to telecommute and reduce the need to travel into work, rather than the very act of telecommuting </w:t>
      </w:r>
      <w:r w:rsidR="00196FE5">
        <w:rPr>
          <w:rFonts w:cs="Times New Roman"/>
          <w:sz w:val="24"/>
          <w:szCs w:val="24"/>
        </w:rPr>
        <w:t xml:space="preserve">itself being the cause of </w:t>
      </w:r>
      <w:r w:rsidR="00D4589B">
        <w:rPr>
          <w:rFonts w:cs="Times New Roman"/>
          <w:sz w:val="24"/>
          <w:szCs w:val="24"/>
        </w:rPr>
        <w:t>decreasing the number of mandatory episodes</w:t>
      </w:r>
      <w:r w:rsidR="0089083A">
        <w:rPr>
          <w:rFonts w:cs="Times New Roman"/>
          <w:sz w:val="24"/>
          <w:szCs w:val="24"/>
        </w:rPr>
        <w:t xml:space="preserve"> (observe the positive effect of VALSC on the “frequency of working from home” in Table 3 and the negative effect of VALSC on “number of mandatory activity episodes in Table 4)</w:t>
      </w:r>
      <w:r w:rsidR="00D4589B">
        <w:rPr>
          <w:rFonts w:cs="Times New Roman"/>
          <w:sz w:val="24"/>
          <w:szCs w:val="24"/>
        </w:rPr>
        <w:t xml:space="preserve">. Similarly, </w:t>
      </w:r>
      <w:r w:rsidR="00EE52A0">
        <w:rPr>
          <w:rFonts w:cs="Times New Roman"/>
          <w:sz w:val="24"/>
          <w:szCs w:val="24"/>
        </w:rPr>
        <w:t xml:space="preserve">while </w:t>
      </w:r>
      <w:r w:rsidR="00D4589B">
        <w:rPr>
          <w:rFonts w:cs="Times New Roman"/>
          <w:sz w:val="24"/>
          <w:szCs w:val="24"/>
        </w:rPr>
        <w:t>our</w:t>
      </w:r>
      <w:r w:rsidR="00EE52A0">
        <w:rPr>
          <w:rFonts w:cs="Times New Roman"/>
          <w:sz w:val="24"/>
          <w:szCs w:val="24"/>
        </w:rPr>
        <w:t xml:space="preserve"> GHDM shows a neutrality effect between goods delivery frequency</w:t>
      </w:r>
      <w:r w:rsidR="00E42625">
        <w:rPr>
          <w:rFonts w:cs="Times New Roman"/>
          <w:sz w:val="24"/>
          <w:szCs w:val="24"/>
        </w:rPr>
        <w:t xml:space="preserve"> </w:t>
      </w:r>
      <w:r w:rsidR="00EE52A0">
        <w:rPr>
          <w:rFonts w:cs="Times New Roman"/>
          <w:sz w:val="24"/>
          <w:szCs w:val="24"/>
        </w:rPr>
        <w:t xml:space="preserve">and </w:t>
      </w:r>
      <w:r w:rsidR="00E42625">
        <w:rPr>
          <w:rFonts w:cs="Times New Roman"/>
          <w:sz w:val="24"/>
          <w:szCs w:val="24"/>
        </w:rPr>
        <w:t xml:space="preserve">the </w:t>
      </w:r>
      <w:r w:rsidR="00EE52A0">
        <w:rPr>
          <w:rFonts w:cs="Times New Roman"/>
          <w:sz w:val="24"/>
          <w:szCs w:val="24"/>
        </w:rPr>
        <w:t>number of maintenance</w:t>
      </w:r>
      <w:r w:rsidR="00F25652">
        <w:rPr>
          <w:rFonts w:cs="Times New Roman"/>
          <w:sz w:val="24"/>
          <w:szCs w:val="24"/>
        </w:rPr>
        <w:t xml:space="preserve"> </w:t>
      </w:r>
      <w:r w:rsidR="00EE52A0">
        <w:rPr>
          <w:rFonts w:cs="Times New Roman"/>
          <w:sz w:val="24"/>
          <w:szCs w:val="24"/>
        </w:rPr>
        <w:t xml:space="preserve">episodes, the IHDM shows a substitution of </w:t>
      </w:r>
      <w:r w:rsidR="00E42625">
        <w:rPr>
          <w:rFonts w:cs="Times New Roman"/>
          <w:sz w:val="24"/>
          <w:szCs w:val="24"/>
        </w:rPr>
        <w:t>almost half of an</w:t>
      </w:r>
      <w:r w:rsidR="00F25652">
        <w:rPr>
          <w:rFonts w:cs="Times New Roman"/>
          <w:sz w:val="24"/>
          <w:szCs w:val="24"/>
        </w:rPr>
        <w:t xml:space="preserve"> </w:t>
      </w:r>
      <w:r w:rsidR="00837805">
        <w:rPr>
          <w:rFonts w:cs="Times New Roman"/>
          <w:sz w:val="24"/>
          <w:szCs w:val="24"/>
        </w:rPr>
        <w:t>episode per individual</w:t>
      </w:r>
      <w:r w:rsidR="00F25652">
        <w:rPr>
          <w:rFonts w:cs="Times New Roman"/>
          <w:sz w:val="24"/>
          <w:szCs w:val="24"/>
        </w:rPr>
        <w:t xml:space="preserve"> </w:t>
      </w:r>
      <w:r w:rsidR="00C274A9">
        <w:rPr>
          <w:rFonts w:cs="Times New Roman"/>
          <w:sz w:val="24"/>
          <w:szCs w:val="24"/>
        </w:rPr>
        <w:t xml:space="preserve">per week </w:t>
      </w:r>
      <w:r w:rsidR="00F25652">
        <w:rPr>
          <w:rFonts w:cs="Times New Roman"/>
          <w:sz w:val="24"/>
          <w:szCs w:val="24"/>
        </w:rPr>
        <w:t xml:space="preserve">for maintenance episodes </w:t>
      </w:r>
      <w:r w:rsidR="0089083A">
        <w:rPr>
          <w:rFonts w:cs="Times New Roman"/>
          <w:sz w:val="24"/>
          <w:szCs w:val="24"/>
        </w:rPr>
        <w:t xml:space="preserve">(again because VALSC positively affects “frequency of goods delivery” and negatively affects “number of maintenance activity episodes”). </w:t>
      </w:r>
      <w:r w:rsidR="00F25652">
        <w:rPr>
          <w:rFonts w:cs="Times New Roman"/>
          <w:sz w:val="24"/>
          <w:szCs w:val="24"/>
        </w:rPr>
        <w:t xml:space="preserve">Similar overestimations may be noticed from the IHDM model regarding the impacts of the VAG outcomes on the </w:t>
      </w:r>
      <w:r w:rsidR="00E42625">
        <w:rPr>
          <w:rFonts w:cs="Times New Roman"/>
          <w:sz w:val="24"/>
          <w:szCs w:val="24"/>
        </w:rPr>
        <w:t xml:space="preserve">number of discretionary activity episodes (for the frequency of goods delivery), and the </w:t>
      </w:r>
      <w:r w:rsidR="00F25652">
        <w:rPr>
          <w:rFonts w:cs="Times New Roman"/>
          <w:sz w:val="24"/>
          <w:szCs w:val="24"/>
        </w:rPr>
        <w:t xml:space="preserve">average durations </w:t>
      </w:r>
      <w:r w:rsidR="00E42625">
        <w:rPr>
          <w:rFonts w:cs="Times New Roman"/>
          <w:sz w:val="24"/>
          <w:szCs w:val="24"/>
        </w:rPr>
        <w:t xml:space="preserve">of </w:t>
      </w:r>
      <w:r w:rsidR="00F25652">
        <w:rPr>
          <w:rFonts w:cs="Times New Roman"/>
          <w:sz w:val="24"/>
          <w:szCs w:val="24"/>
        </w:rPr>
        <w:t>mandatory and maintenan</w:t>
      </w:r>
      <w:r w:rsidR="00E42625">
        <w:rPr>
          <w:rFonts w:cs="Times New Roman"/>
          <w:sz w:val="24"/>
          <w:szCs w:val="24"/>
        </w:rPr>
        <w:t>c</w:t>
      </w:r>
      <w:r w:rsidR="00F25652">
        <w:rPr>
          <w:rFonts w:cs="Times New Roman"/>
          <w:sz w:val="24"/>
          <w:szCs w:val="24"/>
        </w:rPr>
        <w:t>e activity episodes</w:t>
      </w:r>
      <w:r w:rsidR="00E42625">
        <w:rPr>
          <w:rFonts w:cs="Times New Roman"/>
          <w:sz w:val="24"/>
          <w:szCs w:val="24"/>
        </w:rPr>
        <w:t xml:space="preserve"> (for the frequency of working from home)</w:t>
      </w:r>
      <w:r w:rsidR="00F25652">
        <w:rPr>
          <w:rFonts w:cs="Times New Roman"/>
          <w:sz w:val="24"/>
          <w:szCs w:val="24"/>
        </w:rPr>
        <w:t xml:space="preserve">. </w:t>
      </w:r>
      <w:r w:rsidR="00F84C6A">
        <w:rPr>
          <w:rFonts w:cs="Times New Roman"/>
          <w:sz w:val="24"/>
          <w:szCs w:val="24"/>
        </w:rPr>
        <w:t>The impact of goods delivery on trip chaining behavior, on the other hand, is underestimated by the IHDM</w:t>
      </w:r>
      <w:r w:rsidR="00C274A9">
        <w:rPr>
          <w:rFonts w:cs="Times New Roman"/>
          <w:sz w:val="24"/>
          <w:szCs w:val="24"/>
        </w:rPr>
        <w:t xml:space="preserve"> (see the last row of Table 5)</w:t>
      </w:r>
      <w:r w:rsidR="00F84C6A">
        <w:rPr>
          <w:rFonts w:cs="Times New Roman"/>
          <w:sz w:val="24"/>
          <w:szCs w:val="24"/>
        </w:rPr>
        <w:t xml:space="preserve">. As we observe </w:t>
      </w:r>
      <w:r w:rsidR="00152D05">
        <w:rPr>
          <w:rFonts w:cs="Times New Roman"/>
          <w:sz w:val="24"/>
          <w:szCs w:val="24"/>
        </w:rPr>
        <w:t>i</w:t>
      </w:r>
      <w:r w:rsidR="00F84C6A">
        <w:rPr>
          <w:rFonts w:cs="Times New Roman"/>
          <w:sz w:val="24"/>
          <w:szCs w:val="24"/>
        </w:rPr>
        <w:t>n Table</w:t>
      </w:r>
      <w:r w:rsidR="00F1329E">
        <w:rPr>
          <w:rFonts w:cs="Times New Roman"/>
          <w:sz w:val="24"/>
          <w:szCs w:val="24"/>
        </w:rPr>
        <w:t>s</w:t>
      </w:r>
      <w:r w:rsidR="00F84C6A">
        <w:rPr>
          <w:rFonts w:cs="Times New Roman"/>
          <w:sz w:val="24"/>
          <w:szCs w:val="24"/>
        </w:rPr>
        <w:t xml:space="preserve"> </w:t>
      </w:r>
      <w:r w:rsidR="00F1329E">
        <w:rPr>
          <w:rFonts w:cs="Times New Roman"/>
          <w:sz w:val="24"/>
          <w:szCs w:val="24"/>
        </w:rPr>
        <w:t xml:space="preserve">3 and </w:t>
      </w:r>
      <w:r w:rsidR="00F84C6A">
        <w:rPr>
          <w:rFonts w:cs="Times New Roman"/>
          <w:sz w:val="24"/>
          <w:szCs w:val="24"/>
        </w:rPr>
        <w:t xml:space="preserve">4, </w:t>
      </w:r>
      <w:r w:rsidR="00496740">
        <w:rPr>
          <w:rFonts w:cs="Times New Roman"/>
          <w:sz w:val="24"/>
          <w:szCs w:val="24"/>
        </w:rPr>
        <w:t xml:space="preserve">our GHDM model suggests that tech-savvy individuals </w:t>
      </w:r>
      <w:r w:rsidR="00152D05">
        <w:rPr>
          <w:rFonts w:cs="Times New Roman"/>
          <w:sz w:val="24"/>
          <w:szCs w:val="24"/>
        </w:rPr>
        <w:t xml:space="preserve">intrinsically have goods delivered more frequently to their homes and also may </w:t>
      </w:r>
      <w:r w:rsidR="00496740">
        <w:rPr>
          <w:rFonts w:cs="Times New Roman"/>
          <w:sz w:val="24"/>
          <w:szCs w:val="24"/>
        </w:rPr>
        <w:t xml:space="preserve">use ICT for effective chaining of </w:t>
      </w:r>
      <w:r w:rsidR="00152D05">
        <w:rPr>
          <w:rFonts w:cs="Times New Roman"/>
          <w:sz w:val="24"/>
          <w:szCs w:val="24"/>
        </w:rPr>
        <w:t xml:space="preserve">activities </w:t>
      </w:r>
      <w:r w:rsidR="00496740">
        <w:rPr>
          <w:rFonts w:cs="Times New Roman"/>
          <w:sz w:val="24"/>
          <w:szCs w:val="24"/>
        </w:rPr>
        <w:t xml:space="preserve">(based  on the positive VALSC effect on both </w:t>
      </w:r>
      <w:r w:rsidR="00F1329E">
        <w:rPr>
          <w:rFonts w:cs="Times New Roman"/>
          <w:sz w:val="24"/>
          <w:szCs w:val="24"/>
        </w:rPr>
        <w:t xml:space="preserve">the frequency of goods delivery </w:t>
      </w:r>
      <w:r w:rsidR="00496740">
        <w:rPr>
          <w:rFonts w:cs="Times New Roman"/>
          <w:sz w:val="24"/>
          <w:szCs w:val="24"/>
        </w:rPr>
        <w:t>and average number of trips per tour). Because the IHDM model ignores this positive association, it underestimates the direct negative impact of foods delivery on trip chaining tendency</w:t>
      </w:r>
      <w:r w:rsidR="00152D05">
        <w:rPr>
          <w:rFonts w:cs="Times New Roman"/>
          <w:sz w:val="24"/>
          <w:szCs w:val="24"/>
        </w:rPr>
        <w:t xml:space="preserve">. </w:t>
      </w:r>
    </w:p>
    <w:p w14:paraId="75C46D95" w14:textId="7AFB6533" w:rsidR="00CC00C4" w:rsidRPr="009A69FC" w:rsidRDefault="00837805" w:rsidP="009A69FC">
      <w:pPr>
        <w:autoSpaceDE w:val="0"/>
        <w:autoSpaceDN w:val="0"/>
        <w:adjustRightInd w:val="0"/>
        <w:ind w:firstLine="708"/>
        <w:rPr>
          <w:rFonts w:cs="Times New Roman"/>
          <w:sz w:val="24"/>
          <w:szCs w:val="24"/>
        </w:rPr>
      </w:pPr>
      <w:r>
        <w:rPr>
          <w:rFonts w:cs="Times New Roman"/>
          <w:sz w:val="24"/>
          <w:szCs w:val="24"/>
        </w:rPr>
        <w:lastRenderedPageBreak/>
        <w:t xml:space="preserve">The </w:t>
      </w:r>
      <w:r w:rsidR="00152D05">
        <w:rPr>
          <w:rFonts w:cs="Times New Roman"/>
          <w:sz w:val="24"/>
          <w:szCs w:val="24"/>
        </w:rPr>
        <w:t xml:space="preserve">overall </w:t>
      </w:r>
      <w:r>
        <w:rPr>
          <w:rFonts w:cs="Times New Roman"/>
          <w:sz w:val="24"/>
          <w:szCs w:val="24"/>
        </w:rPr>
        <w:t xml:space="preserve">implication </w:t>
      </w:r>
      <w:r w:rsidR="001B7314">
        <w:rPr>
          <w:rFonts w:cs="Times New Roman"/>
          <w:sz w:val="24"/>
          <w:szCs w:val="24"/>
        </w:rPr>
        <w:t xml:space="preserve">of </w:t>
      </w:r>
      <w:r w:rsidR="00152D05">
        <w:rPr>
          <w:rFonts w:cs="Times New Roman"/>
          <w:sz w:val="24"/>
          <w:szCs w:val="24"/>
        </w:rPr>
        <w:t>the</w:t>
      </w:r>
      <w:r w:rsidR="001B7314">
        <w:rPr>
          <w:rFonts w:cs="Times New Roman"/>
          <w:sz w:val="24"/>
          <w:szCs w:val="24"/>
        </w:rPr>
        <w:t xml:space="preserve"> results </w:t>
      </w:r>
      <w:r w:rsidR="00152D05">
        <w:rPr>
          <w:rFonts w:cs="Times New Roman"/>
          <w:sz w:val="24"/>
          <w:szCs w:val="24"/>
        </w:rPr>
        <w:t xml:space="preserve">above </w:t>
      </w:r>
      <w:r>
        <w:rPr>
          <w:rFonts w:cs="Times New Roman"/>
          <w:sz w:val="24"/>
          <w:szCs w:val="24"/>
        </w:rPr>
        <w:t xml:space="preserve">is that </w:t>
      </w:r>
      <w:r w:rsidR="00CC00C4" w:rsidRPr="008D66F5">
        <w:rPr>
          <w:rFonts w:cs="Times New Roman"/>
          <w:sz w:val="24"/>
          <w:szCs w:val="24"/>
        </w:rPr>
        <w:t>if VAG and PAG outcomes are not modeled jointly as a package, and VAG outcomes are considered exogenous to PAG outcomes (as has been the norm in existing studies), it can lead to misleading results regarding the “six effects” influence on PAG outcomes</w:t>
      </w:r>
      <w:r w:rsidR="00152D05">
        <w:rPr>
          <w:rFonts w:cs="Times New Roman"/>
          <w:sz w:val="24"/>
          <w:szCs w:val="24"/>
        </w:rPr>
        <w:t>.</w:t>
      </w:r>
      <w:r>
        <w:rPr>
          <w:rFonts w:cs="Times New Roman"/>
          <w:sz w:val="24"/>
          <w:szCs w:val="24"/>
        </w:rPr>
        <w:t xml:space="preserve"> </w:t>
      </w:r>
    </w:p>
    <w:p w14:paraId="2089985B" w14:textId="77777777" w:rsidR="00152D05" w:rsidRDefault="00152D05" w:rsidP="00152D05">
      <w:pPr>
        <w:rPr>
          <w:rFonts w:cs="Times New Roman"/>
          <w:sz w:val="24"/>
          <w:szCs w:val="24"/>
        </w:rPr>
      </w:pPr>
    </w:p>
    <w:p w14:paraId="605E3834" w14:textId="2804152E" w:rsidR="00152D05" w:rsidRPr="005D7939" w:rsidRDefault="00152D05" w:rsidP="00152D05">
      <w:pPr>
        <w:rPr>
          <w:rFonts w:cs="Times New Roman"/>
          <w:b/>
          <w:sz w:val="24"/>
          <w:szCs w:val="24"/>
        </w:rPr>
      </w:pPr>
      <w:r w:rsidRPr="005D7939">
        <w:rPr>
          <w:rFonts w:cs="Times New Roman"/>
          <w:b/>
          <w:sz w:val="24"/>
          <w:szCs w:val="24"/>
        </w:rPr>
        <w:t>3.4. Model Fit</w:t>
      </w:r>
    </w:p>
    <w:p w14:paraId="0041C07A" w14:textId="11A62FAA" w:rsidR="006D6964" w:rsidRPr="008D3590" w:rsidRDefault="00152D05" w:rsidP="005D7939">
      <w:pPr>
        <w:rPr>
          <w:rFonts w:cs="Times New Roman"/>
          <w:sz w:val="24"/>
          <w:szCs w:val="24"/>
        </w:rPr>
      </w:pPr>
      <w:r>
        <w:rPr>
          <w:rFonts w:cs="Times New Roman"/>
          <w:sz w:val="24"/>
          <w:szCs w:val="24"/>
        </w:rPr>
        <w:t>As we discuss in this section, t</w:t>
      </w:r>
      <w:r w:rsidR="001B7314">
        <w:rPr>
          <w:rFonts w:cs="Times New Roman"/>
          <w:sz w:val="24"/>
          <w:szCs w:val="24"/>
        </w:rPr>
        <w:t xml:space="preserve">he </w:t>
      </w:r>
      <w:r w:rsidR="009A69FC">
        <w:rPr>
          <w:rFonts w:cs="Times New Roman"/>
          <w:sz w:val="24"/>
          <w:szCs w:val="24"/>
        </w:rPr>
        <w:t>GHD</w:t>
      </w:r>
      <w:r>
        <w:rPr>
          <w:rFonts w:cs="Times New Roman"/>
          <w:sz w:val="24"/>
          <w:szCs w:val="24"/>
        </w:rPr>
        <w:t>M</w:t>
      </w:r>
      <w:r w:rsidR="009A69FC">
        <w:rPr>
          <w:rFonts w:cs="Times New Roman"/>
          <w:sz w:val="24"/>
          <w:szCs w:val="24"/>
        </w:rPr>
        <w:t xml:space="preserve"> model also </w:t>
      </w:r>
      <w:r w:rsidR="00E43FA9">
        <w:rPr>
          <w:rFonts w:cs="Times New Roman"/>
          <w:sz w:val="24"/>
          <w:szCs w:val="24"/>
        </w:rPr>
        <w:t xml:space="preserve">provides a better data fit than </w:t>
      </w:r>
      <w:r w:rsidR="009A69FC">
        <w:rPr>
          <w:rFonts w:cs="Times New Roman"/>
          <w:sz w:val="24"/>
          <w:szCs w:val="24"/>
        </w:rPr>
        <w:t>the IHD</w:t>
      </w:r>
      <w:r>
        <w:rPr>
          <w:rFonts w:cs="Times New Roman"/>
          <w:sz w:val="24"/>
          <w:szCs w:val="24"/>
        </w:rPr>
        <w:t>M</w:t>
      </w:r>
      <w:r w:rsidR="009A69FC">
        <w:rPr>
          <w:rFonts w:cs="Times New Roman"/>
          <w:sz w:val="24"/>
          <w:szCs w:val="24"/>
        </w:rPr>
        <w:t xml:space="preserve"> model</w:t>
      </w:r>
      <w:r w:rsidR="00E43FA9">
        <w:rPr>
          <w:rFonts w:cs="Times New Roman"/>
          <w:sz w:val="24"/>
          <w:szCs w:val="24"/>
        </w:rPr>
        <w:t>, validating our joint methodology for analyzing VAG and PAG outcomes</w:t>
      </w:r>
      <w:r w:rsidR="000105B3">
        <w:rPr>
          <w:rFonts w:cs="Times New Roman"/>
          <w:sz w:val="24"/>
          <w:szCs w:val="24"/>
        </w:rPr>
        <w:t xml:space="preserve"> rather than assuming VAG outcomes as exogenous to PAG outcomes</w:t>
      </w:r>
      <w:r w:rsidR="001766BF">
        <w:rPr>
          <w:rFonts w:cs="Times New Roman"/>
          <w:sz w:val="24"/>
          <w:szCs w:val="24"/>
        </w:rPr>
        <w:t>.</w:t>
      </w:r>
      <w:r w:rsidR="00730BF4" w:rsidRPr="008D3590">
        <w:rPr>
          <w:rFonts w:cs="Times New Roman"/>
          <w:sz w:val="24"/>
          <w:szCs w:val="24"/>
        </w:rPr>
        <w:t xml:space="preserve"> </w:t>
      </w:r>
      <w:r w:rsidR="006D6964" w:rsidRPr="008D3590">
        <w:rPr>
          <w:rFonts w:cs="Times New Roman"/>
          <w:sz w:val="24"/>
          <w:szCs w:val="24"/>
        </w:rPr>
        <w:t>The GHDM and the IHDM models are not nested, but they may be compared using the composite likelihood information criterion (CLIC)</w:t>
      </w:r>
      <w:r w:rsidR="001B7314">
        <w:rPr>
          <w:rFonts w:cs="Times New Roman"/>
          <w:sz w:val="24"/>
          <w:szCs w:val="24"/>
        </w:rPr>
        <w:t xml:space="preserve"> </w:t>
      </w:r>
      <w:r w:rsidR="006D6964" w:rsidRPr="008D3590">
        <w:rPr>
          <w:rFonts w:cs="Times New Roman"/>
          <w:sz w:val="24"/>
          <w:szCs w:val="24"/>
        </w:rPr>
        <w:t>(see Bhat</w:t>
      </w:r>
      <w:r w:rsidR="007F1374">
        <w:rPr>
          <w:rFonts w:cs="Times New Roman"/>
          <w:sz w:val="24"/>
          <w:szCs w:val="24"/>
        </w:rPr>
        <w:t xml:space="preserve"> </w:t>
      </w:r>
      <w:r w:rsidR="007F1374" w:rsidRPr="008D3590">
        <w:rPr>
          <w:rFonts w:cs="Times New Roman"/>
          <w:sz w:val="24"/>
          <w:szCs w:val="24"/>
        </w:rPr>
        <w:t>et al.</w:t>
      </w:r>
      <w:r w:rsidR="006D6964" w:rsidRPr="008D3590">
        <w:rPr>
          <w:rFonts w:cs="Times New Roman"/>
          <w:sz w:val="24"/>
          <w:szCs w:val="24"/>
        </w:rPr>
        <w:t>, 2016 for details). The model that provides a higher value of CLIC is preferred. Another way to examine the performance of the two models is to compute the equivalent GHDM predictive household-level likelihood value and computing the log-likelihood value across all respondents at convergence. The corresponding IHDM predictive log-likelihood value may also be computed. Then, one can compute the adjusted likelihood ratio index of each model with respect to the log-likelihood with only the constants. To test the performance of the two models statistically, the non-nested adjusted likelihood ratio test may be used (see Ben-</w:t>
      </w:r>
      <w:proofErr w:type="spellStart"/>
      <w:r w:rsidR="006D6964" w:rsidRPr="008D3590">
        <w:rPr>
          <w:rFonts w:cs="Times New Roman"/>
          <w:sz w:val="24"/>
          <w:szCs w:val="24"/>
        </w:rPr>
        <w:t>Akiva</w:t>
      </w:r>
      <w:proofErr w:type="spellEnd"/>
      <w:r w:rsidR="006D6964" w:rsidRPr="008D3590">
        <w:rPr>
          <w:rFonts w:cs="Times New Roman"/>
          <w:sz w:val="24"/>
          <w:szCs w:val="24"/>
        </w:rPr>
        <w:t xml:space="preserve"> and </w:t>
      </w:r>
      <w:proofErr w:type="spellStart"/>
      <w:r w:rsidR="006D6964" w:rsidRPr="008D3590">
        <w:rPr>
          <w:rFonts w:cs="Times New Roman"/>
          <w:sz w:val="24"/>
          <w:szCs w:val="24"/>
        </w:rPr>
        <w:t>Lerman</w:t>
      </w:r>
      <w:proofErr w:type="spellEnd"/>
      <w:r w:rsidR="006D6964" w:rsidRPr="008D3590">
        <w:rPr>
          <w:rFonts w:cs="Times New Roman"/>
          <w:sz w:val="24"/>
          <w:szCs w:val="24"/>
        </w:rPr>
        <w:t xml:space="preserve">, 1985, page 172). This test determines if the adjusted likelihood ratio </w:t>
      </w:r>
      <w:r w:rsidR="00DE2957" w:rsidRPr="008D3590">
        <w:rPr>
          <w:rFonts w:cs="Times New Roman"/>
          <w:sz w:val="24"/>
          <w:szCs w:val="24"/>
        </w:rPr>
        <w:t xml:space="preserve">(ALR) </w:t>
      </w:r>
      <w:r w:rsidR="006D6964" w:rsidRPr="008D3590">
        <w:rPr>
          <w:rFonts w:cs="Times New Roman"/>
          <w:sz w:val="24"/>
          <w:szCs w:val="24"/>
        </w:rPr>
        <w:t>indices of two non-nested models are significan</w:t>
      </w:r>
      <w:r w:rsidR="00DE2957" w:rsidRPr="008D3590">
        <w:rPr>
          <w:rFonts w:cs="Times New Roman"/>
          <w:sz w:val="24"/>
          <w:szCs w:val="24"/>
        </w:rPr>
        <w:t xml:space="preserve">tly different. In particular, the test determines the probability that </w:t>
      </w:r>
      <w:r w:rsidR="006D6964" w:rsidRPr="008D3590">
        <w:rPr>
          <w:rFonts w:cs="Times New Roman"/>
          <w:sz w:val="24"/>
          <w:szCs w:val="24"/>
        </w:rPr>
        <w:t xml:space="preserve">the difference in the </w:t>
      </w:r>
      <w:r w:rsidR="00DE2957" w:rsidRPr="008D3590">
        <w:rPr>
          <w:rFonts w:cs="Times New Roman"/>
          <w:sz w:val="24"/>
          <w:szCs w:val="24"/>
        </w:rPr>
        <w:t xml:space="preserve">ALR </w:t>
      </w:r>
      <w:r w:rsidR="006D6964" w:rsidRPr="008D3590">
        <w:rPr>
          <w:rFonts w:cs="Times New Roman"/>
          <w:sz w:val="24"/>
          <w:szCs w:val="24"/>
        </w:rPr>
        <w:t>indices could have occurred by chance in the asymptotic limit. A small value of the probability of chance occurrence indicates that the difference is statistically significant and that the model with the higher value of adjusted likelihood ratio index is to be preferred.</w:t>
      </w:r>
    </w:p>
    <w:p w14:paraId="1991E13C" w14:textId="3F0C9843" w:rsidR="00D02231" w:rsidRPr="00D30566" w:rsidRDefault="00D02231" w:rsidP="00D02231">
      <w:pPr>
        <w:ind w:firstLine="720"/>
        <w:rPr>
          <w:sz w:val="24"/>
          <w:szCs w:val="24"/>
        </w:rPr>
      </w:pPr>
      <w:r w:rsidRPr="00D30566">
        <w:rPr>
          <w:sz w:val="24"/>
          <w:szCs w:val="24"/>
        </w:rPr>
        <w:t xml:space="preserve">We also evaluate the data fit of the two models intuitively and informally at both </w:t>
      </w:r>
      <w:proofErr w:type="gramStart"/>
      <w:r w:rsidRPr="00D30566">
        <w:rPr>
          <w:sz w:val="24"/>
          <w:szCs w:val="24"/>
        </w:rPr>
        <w:t>the disaggregate</w:t>
      </w:r>
      <w:proofErr w:type="gramEnd"/>
      <w:r w:rsidRPr="00D30566">
        <w:rPr>
          <w:sz w:val="24"/>
          <w:szCs w:val="24"/>
        </w:rPr>
        <w:t xml:space="preserve"> and aggregate levels. To do so, we restrict ourselves to </w:t>
      </w:r>
      <w:r w:rsidR="006C2754" w:rsidRPr="00D30566">
        <w:rPr>
          <w:sz w:val="24"/>
          <w:szCs w:val="24"/>
        </w:rPr>
        <w:t>t</w:t>
      </w:r>
      <w:r w:rsidR="00491B91" w:rsidRPr="00D30566">
        <w:rPr>
          <w:sz w:val="24"/>
          <w:szCs w:val="24"/>
        </w:rPr>
        <w:t>wo</w:t>
      </w:r>
      <w:r w:rsidR="006C2754" w:rsidRPr="00D30566">
        <w:rPr>
          <w:sz w:val="24"/>
          <w:szCs w:val="24"/>
        </w:rPr>
        <w:t xml:space="preserve"> VAG outcomes (frequency of working from home</w:t>
      </w:r>
      <w:r w:rsidR="00491B91" w:rsidRPr="00D30566">
        <w:rPr>
          <w:sz w:val="24"/>
          <w:szCs w:val="24"/>
        </w:rPr>
        <w:t xml:space="preserve"> </w:t>
      </w:r>
      <w:r w:rsidR="006C2754" w:rsidRPr="00D30566">
        <w:rPr>
          <w:sz w:val="24"/>
          <w:szCs w:val="24"/>
        </w:rPr>
        <w:t>and frequency of food delivery</w:t>
      </w:r>
      <w:r w:rsidR="00D2524C">
        <w:rPr>
          <w:sz w:val="24"/>
          <w:szCs w:val="24"/>
        </w:rPr>
        <w:t>)</w:t>
      </w:r>
      <w:r w:rsidR="006C2754" w:rsidRPr="00D30566">
        <w:rPr>
          <w:sz w:val="24"/>
          <w:szCs w:val="24"/>
        </w:rPr>
        <w:t xml:space="preserve">, and </w:t>
      </w:r>
      <w:r w:rsidR="00491B91" w:rsidRPr="00D30566">
        <w:rPr>
          <w:sz w:val="24"/>
          <w:szCs w:val="24"/>
        </w:rPr>
        <w:t>two</w:t>
      </w:r>
      <w:r w:rsidR="006C2754" w:rsidRPr="00D30566">
        <w:rPr>
          <w:sz w:val="24"/>
          <w:szCs w:val="24"/>
        </w:rPr>
        <w:t xml:space="preserve"> PAG outcomes </w:t>
      </w:r>
      <w:r w:rsidR="00602D96" w:rsidRPr="00D30566">
        <w:rPr>
          <w:sz w:val="24"/>
          <w:szCs w:val="24"/>
        </w:rPr>
        <w:t>(</w:t>
      </w:r>
      <w:r w:rsidR="006C2754" w:rsidRPr="00D30566">
        <w:rPr>
          <w:sz w:val="24"/>
          <w:szCs w:val="24"/>
        </w:rPr>
        <w:t>number of</w:t>
      </w:r>
      <w:r w:rsidR="00602D96" w:rsidRPr="00D30566">
        <w:rPr>
          <w:sz w:val="24"/>
          <w:szCs w:val="24"/>
        </w:rPr>
        <w:t xml:space="preserve"> maintenance activity episodes and discretionary activity episodes). </w:t>
      </w:r>
      <w:r w:rsidR="00491B91" w:rsidRPr="00D30566">
        <w:rPr>
          <w:sz w:val="24"/>
          <w:szCs w:val="24"/>
        </w:rPr>
        <w:t xml:space="preserve">Even with this restricted set of dimensions, there are too many combinations, and so we focus on </w:t>
      </w:r>
      <w:r w:rsidR="00336D38">
        <w:rPr>
          <w:sz w:val="24"/>
          <w:szCs w:val="24"/>
        </w:rPr>
        <w:t xml:space="preserve">working from home </w:t>
      </w:r>
      <w:r w:rsidR="00491B91" w:rsidRPr="00D30566">
        <w:rPr>
          <w:sz w:val="24"/>
          <w:szCs w:val="24"/>
        </w:rPr>
        <w:t xml:space="preserve">two </w:t>
      </w:r>
      <w:r w:rsidR="00336D38">
        <w:rPr>
          <w:sz w:val="24"/>
          <w:szCs w:val="24"/>
        </w:rPr>
        <w:t xml:space="preserve">times a year or less and two </w:t>
      </w:r>
      <w:r w:rsidR="00491B91" w:rsidRPr="00D30566">
        <w:rPr>
          <w:sz w:val="24"/>
          <w:szCs w:val="24"/>
        </w:rPr>
        <w:t xml:space="preserve">possible alternatives within each of the </w:t>
      </w:r>
      <w:r w:rsidR="00336D38">
        <w:rPr>
          <w:sz w:val="24"/>
          <w:szCs w:val="24"/>
        </w:rPr>
        <w:t>remaining three</w:t>
      </w:r>
      <w:r w:rsidR="00491B91" w:rsidRPr="00D30566">
        <w:rPr>
          <w:sz w:val="24"/>
          <w:szCs w:val="24"/>
        </w:rPr>
        <w:t xml:space="preserve"> outcomes (leading to a total of </w:t>
      </w:r>
      <w:r w:rsidR="00336D38">
        <w:rPr>
          <w:sz w:val="24"/>
          <w:szCs w:val="24"/>
        </w:rPr>
        <w:t>8</w:t>
      </w:r>
      <w:r w:rsidR="00491B91" w:rsidRPr="00D30566">
        <w:rPr>
          <w:sz w:val="24"/>
          <w:szCs w:val="24"/>
        </w:rPr>
        <w:t xml:space="preserve"> joint combinations). These two possible alternatives correspond to the two most </w:t>
      </w:r>
      <w:r w:rsidR="007D079E" w:rsidRPr="00D30566">
        <w:rPr>
          <w:sz w:val="24"/>
          <w:szCs w:val="24"/>
        </w:rPr>
        <w:t xml:space="preserve">frequently chosen ordinal/count categories </w:t>
      </w:r>
      <w:r w:rsidR="00491B91" w:rsidRPr="00D30566">
        <w:rPr>
          <w:sz w:val="24"/>
          <w:szCs w:val="24"/>
        </w:rPr>
        <w:t xml:space="preserve">within each </w:t>
      </w:r>
      <w:r w:rsidR="00336D38">
        <w:rPr>
          <w:sz w:val="24"/>
          <w:szCs w:val="24"/>
        </w:rPr>
        <w:t xml:space="preserve">of the remaining three </w:t>
      </w:r>
      <w:r w:rsidR="00491B91" w:rsidRPr="00D30566">
        <w:rPr>
          <w:sz w:val="24"/>
          <w:szCs w:val="24"/>
        </w:rPr>
        <w:lastRenderedPageBreak/>
        <w:t>outcome</w:t>
      </w:r>
      <w:r w:rsidR="00336D38">
        <w:rPr>
          <w:sz w:val="24"/>
          <w:szCs w:val="24"/>
        </w:rPr>
        <w:t>s</w:t>
      </w:r>
      <w:r w:rsidR="00491B91" w:rsidRPr="00D30566">
        <w:rPr>
          <w:sz w:val="24"/>
          <w:szCs w:val="24"/>
        </w:rPr>
        <w:t xml:space="preserve">. We then </w:t>
      </w:r>
      <w:r w:rsidRPr="00D30566">
        <w:rPr>
          <w:sz w:val="24"/>
          <w:szCs w:val="24"/>
        </w:rPr>
        <w:t>compute</w:t>
      </w:r>
      <w:r w:rsidR="00491B91" w:rsidRPr="00D30566">
        <w:rPr>
          <w:sz w:val="24"/>
          <w:szCs w:val="24"/>
        </w:rPr>
        <w:t xml:space="preserve"> </w:t>
      </w:r>
      <w:r w:rsidRPr="00D30566">
        <w:rPr>
          <w:sz w:val="24"/>
          <w:szCs w:val="24"/>
        </w:rPr>
        <w:t xml:space="preserve">multivariate predictions for these </w:t>
      </w:r>
      <w:r w:rsidR="00196FE5">
        <w:rPr>
          <w:sz w:val="24"/>
          <w:szCs w:val="24"/>
        </w:rPr>
        <w:t>eight</w:t>
      </w:r>
      <w:r w:rsidR="00491B91" w:rsidRPr="00D30566">
        <w:rPr>
          <w:sz w:val="24"/>
          <w:szCs w:val="24"/>
        </w:rPr>
        <w:t xml:space="preserve"> </w:t>
      </w:r>
      <w:r w:rsidR="00180663">
        <w:rPr>
          <w:sz w:val="24"/>
          <w:szCs w:val="24"/>
        </w:rPr>
        <w:t>combinations</w:t>
      </w:r>
      <w:r w:rsidRPr="00D30566">
        <w:rPr>
          <w:sz w:val="24"/>
          <w:szCs w:val="24"/>
        </w:rPr>
        <w:t xml:space="preserve">. At the </w:t>
      </w:r>
      <w:r w:rsidRPr="00D30566">
        <w:rPr>
          <w:sz w:val="24"/>
          <w:szCs w:val="24"/>
          <w:u w:val="single"/>
        </w:rPr>
        <w:t>disaggregate level</w:t>
      </w:r>
      <w:r w:rsidRPr="00D30566">
        <w:rPr>
          <w:sz w:val="24"/>
          <w:szCs w:val="24"/>
        </w:rPr>
        <w:t>, for the GHDM model, we estimate the probability of the observed multivariate outcome for each</w:t>
      </w:r>
      <w:r w:rsidR="00CE7502" w:rsidRPr="00D30566">
        <w:rPr>
          <w:sz w:val="24"/>
          <w:szCs w:val="24"/>
        </w:rPr>
        <w:t xml:space="preserve"> individual</w:t>
      </w:r>
      <w:r w:rsidRPr="00D30566">
        <w:rPr>
          <w:sz w:val="24"/>
          <w:szCs w:val="24"/>
        </w:rPr>
        <w:t xml:space="preserve"> and compute an average (across </w:t>
      </w:r>
      <w:r w:rsidR="000838FA">
        <w:rPr>
          <w:sz w:val="24"/>
          <w:szCs w:val="24"/>
        </w:rPr>
        <w:t>individuals</w:t>
      </w:r>
      <w:r w:rsidRPr="00D30566">
        <w:rPr>
          <w:sz w:val="24"/>
          <w:szCs w:val="24"/>
        </w:rPr>
        <w:t>) probability of correct prediction at this four-variate level. Similar disaggregate measures are computed for the IHDM model. At the aggregate level, we design a heuristic diagnostic check of model fit by computing the predicted aggregate share of individuals</w:t>
      </w:r>
      <w:r w:rsidR="00180663">
        <w:rPr>
          <w:sz w:val="24"/>
          <w:szCs w:val="24"/>
        </w:rPr>
        <w:t xml:space="preserve"> in each of the </w:t>
      </w:r>
      <w:r w:rsidR="00196FE5">
        <w:rPr>
          <w:sz w:val="24"/>
          <w:szCs w:val="24"/>
        </w:rPr>
        <w:t>eight</w:t>
      </w:r>
      <w:r w:rsidR="00180663">
        <w:rPr>
          <w:sz w:val="24"/>
          <w:szCs w:val="24"/>
        </w:rPr>
        <w:t xml:space="preserve"> combination categories</w:t>
      </w:r>
      <w:r w:rsidRPr="00D30566">
        <w:rPr>
          <w:sz w:val="24"/>
          <w:szCs w:val="24"/>
        </w:rPr>
        <w:t xml:space="preserve">. The predicted shares from the GHDM and the IHDM models are compared to the actual shares, and the absolute percentage error (APE) statistic is computed. </w:t>
      </w:r>
    </w:p>
    <w:p w14:paraId="0A1A1809" w14:textId="0E7C957A" w:rsidR="00592F77" w:rsidRDefault="00BD45BA" w:rsidP="009A69FC">
      <w:pPr>
        <w:ind w:firstLine="720"/>
        <w:rPr>
          <w:rFonts w:cs="Times New Roman"/>
          <w:sz w:val="24"/>
          <w:szCs w:val="24"/>
        </w:rPr>
      </w:pPr>
      <w:r w:rsidRPr="00971788">
        <w:rPr>
          <w:rFonts w:cs="Times New Roman"/>
          <w:sz w:val="24"/>
          <w:szCs w:val="24"/>
        </w:rPr>
        <w:t xml:space="preserve">The composite marginal likelihoods of the GHDM and IHDM models came out to be </w:t>
      </w:r>
      <w:r w:rsidR="00C81E6F">
        <w:rPr>
          <w:rFonts w:cs="Times New Roman"/>
          <w:sz w:val="24"/>
          <w:szCs w:val="24"/>
        </w:rPr>
        <w:t xml:space="preserve">     –</w:t>
      </w:r>
      <w:r w:rsidR="00700F48">
        <w:rPr>
          <w:rFonts w:cs="Times New Roman"/>
          <w:sz w:val="24"/>
          <w:szCs w:val="24"/>
        </w:rPr>
        <w:t>1,</w:t>
      </w:r>
      <w:r w:rsidR="0066744C">
        <w:rPr>
          <w:rFonts w:cs="Times New Roman"/>
          <w:sz w:val="24"/>
          <w:szCs w:val="24"/>
        </w:rPr>
        <w:t>058</w:t>
      </w:r>
      <w:r w:rsidR="00700F48">
        <w:rPr>
          <w:rFonts w:cs="Times New Roman"/>
          <w:sz w:val="24"/>
          <w:szCs w:val="24"/>
        </w:rPr>
        <w:t>,</w:t>
      </w:r>
      <w:r w:rsidR="0066744C">
        <w:rPr>
          <w:rFonts w:cs="Times New Roman"/>
          <w:sz w:val="24"/>
          <w:szCs w:val="24"/>
        </w:rPr>
        <w:t>575</w:t>
      </w:r>
      <w:r w:rsidR="0066744C" w:rsidRPr="00971788">
        <w:rPr>
          <w:rFonts w:cs="Times New Roman"/>
          <w:sz w:val="24"/>
          <w:szCs w:val="24"/>
        </w:rPr>
        <w:t xml:space="preserve"> </w:t>
      </w:r>
      <w:r w:rsidRPr="00971788">
        <w:rPr>
          <w:rFonts w:cs="Times New Roman"/>
          <w:sz w:val="24"/>
          <w:szCs w:val="24"/>
        </w:rPr>
        <w:t xml:space="preserve">and </w:t>
      </w:r>
      <w:r w:rsidR="00C81E6F">
        <w:rPr>
          <w:rFonts w:cs="Times New Roman"/>
          <w:sz w:val="24"/>
          <w:szCs w:val="24"/>
        </w:rPr>
        <w:t>–</w:t>
      </w:r>
      <w:r w:rsidR="00700F48">
        <w:rPr>
          <w:rFonts w:cs="Times New Roman"/>
          <w:sz w:val="24"/>
          <w:szCs w:val="24"/>
        </w:rPr>
        <w:t>1,</w:t>
      </w:r>
      <w:r w:rsidR="0066744C">
        <w:rPr>
          <w:rFonts w:cs="Times New Roman"/>
          <w:sz w:val="24"/>
          <w:szCs w:val="24"/>
        </w:rPr>
        <w:t>066</w:t>
      </w:r>
      <w:r w:rsidR="00700F48">
        <w:rPr>
          <w:rFonts w:cs="Times New Roman"/>
          <w:sz w:val="24"/>
          <w:szCs w:val="24"/>
        </w:rPr>
        <w:t>,</w:t>
      </w:r>
      <w:r w:rsidR="0066744C">
        <w:rPr>
          <w:rFonts w:cs="Times New Roman"/>
          <w:sz w:val="24"/>
          <w:szCs w:val="24"/>
        </w:rPr>
        <w:t>129</w:t>
      </w:r>
      <w:r w:rsidR="00196FE5">
        <w:rPr>
          <w:rFonts w:cs="Times New Roman"/>
          <w:sz w:val="24"/>
          <w:szCs w:val="24"/>
        </w:rPr>
        <w:t>, respectively.</w:t>
      </w:r>
      <w:r w:rsidRPr="00971788">
        <w:rPr>
          <w:rFonts w:cs="Times New Roman"/>
          <w:sz w:val="24"/>
          <w:szCs w:val="24"/>
        </w:rPr>
        <w:t xml:space="preserve"> Other measures of fit are provided in Table </w:t>
      </w:r>
      <w:r w:rsidR="0066744C">
        <w:rPr>
          <w:rFonts w:cs="Times New Roman"/>
          <w:sz w:val="24"/>
          <w:szCs w:val="24"/>
        </w:rPr>
        <w:t>6a</w:t>
      </w:r>
      <w:r w:rsidR="00C81E6F">
        <w:rPr>
          <w:rFonts w:cs="Times New Roman"/>
          <w:sz w:val="24"/>
          <w:szCs w:val="24"/>
        </w:rPr>
        <w:t xml:space="preserve">. </w:t>
      </w:r>
      <w:r w:rsidRPr="00971788">
        <w:rPr>
          <w:rFonts w:cs="Times New Roman"/>
          <w:sz w:val="24"/>
          <w:szCs w:val="24"/>
        </w:rPr>
        <w:t xml:space="preserve">The GHDM shows a better goodness-of-fit on the basis of the CLIC statistic, the predictive </w:t>
      </w:r>
      <w:r w:rsidR="00196FE5">
        <w:rPr>
          <w:rFonts w:cs="Times New Roman"/>
          <w:sz w:val="24"/>
          <w:szCs w:val="24"/>
        </w:rPr>
        <w:t>log-</w:t>
      </w:r>
      <w:r w:rsidRPr="00971788">
        <w:rPr>
          <w:rFonts w:cs="Times New Roman"/>
          <w:sz w:val="24"/>
          <w:szCs w:val="24"/>
        </w:rPr>
        <w:t xml:space="preserve">likelihood values and the predictive adjusted likelihood ratio indices. The same result is obtained from the non-nested likelihood ratio statistic; the probability that the adjusted likelihood ratio index difference between the GHDM and the IHDM models could have occurred by chance is literally zero. </w:t>
      </w:r>
      <w:r w:rsidR="000A00A2" w:rsidRPr="00971788">
        <w:rPr>
          <w:sz w:val="24"/>
          <w:szCs w:val="24"/>
        </w:rPr>
        <w:t xml:space="preserve">The average probability of correct prediction </w:t>
      </w:r>
      <w:r w:rsidR="008E2099">
        <w:rPr>
          <w:sz w:val="24"/>
          <w:szCs w:val="24"/>
        </w:rPr>
        <w:t xml:space="preserve">is </w:t>
      </w:r>
      <w:r w:rsidR="00A7416F">
        <w:rPr>
          <w:sz w:val="24"/>
          <w:szCs w:val="24"/>
        </w:rPr>
        <w:t>0.014</w:t>
      </w:r>
      <w:r w:rsidR="00C863C0">
        <w:rPr>
          <w:sz w:val="24"/>
          <w:szCs w:val="24"/>
        </w:rPr>
        <w:t xml:space="preserve"> </w:t>
      </w:r>
      <w:r w:rsidR="000A00A2" w:rsidRPr="00971788">
        <w:rPr>
          <w:sz w:val="24"/>
          <w:szCs w:val="24"/>
        </w:rPr>
        <w:t xml:space="preserve">for the GHDM model, and </w:t>
      </w:r>
      <w:r w:rsidR="00A7416F">
        <w:rPr>
          <w:sz w:val="24"/>
          <w:szCs w:val="24"/>
        </w:rPr>
        <w:t>0.011</w:t>
      </w:r>
      <w:r w:rsidR="00C863C0" w:rsidRPr="00971788">
        <w:rPr>
          <w:sz w:val="24"/>
          <w:szCs w:val="24"/>
        </w:rPr>
        <w:t xml:space="preserve"> </w:t>
      </w:r>
      <w:r w:rsidR="000A00A2" w:rsidRPr="00971788">
        <w:rPr>
          <w:sz w:val="24"/>
          <w:szCs w:val="24"/>
        </w:rPr>
        <w:t xml:space="preserve">for the IHDM model. At the aggregate level, the </w:t>
      </w:r>
      <w:r w:rsidR="00FE72F3">
        <w:rPr>
          <w:sz w:val="24"/>
          <w:szCs w:val="24"/>
        </w:rPr>
        <w:t>eight</w:t>
      </w:r>
      <w:r w:rsidR="000A00A2" w:rsidRPr="00971788">
        <w:rPr>
          <w:sz w:val="24"/>
          <w:szCs w:val="24"/>
        </w:rPr>
        <w:t xml:space="preserve"> selected combinations at the four-variate level are identified in Table </w:t>
      </w:r>
      <w:r w:rsidR="0066744C">
        <w:rPr>
          <w:sz w:val="24"/>
          <w:szCs w:val="24"/>
        </w:rPr>
        <w:t>6</w:t>
      </w:r>
      <w:r w:rsidR="0066744C" w:rsidRPr="00971788">
        <w:rPr>
          <w:sz w:val="24"/>
          <w:szCs w:val="24"/>
        </w:rPr>
        <w:t>b</w:t>
      </w:r>
      <w:r w:rsidR="000A00A2" w:rsidRPr="00971788">
        <w:rPr>
          <w:sz w:val="24"/>
          <w:szCs w:val="24"/>
        </w:rPr>
        <w:t xml:space="preserve">. </w:t>
      </w:r>
      <w:r w:rsidR="000A00A2" w:rsidRPr="00193879">
        <w:rPr>
          <w:sz w:val="24"/>
          <w:szCs w:val="24"/>
        </w:rPr>
        <w:t>For each of these combinations, the shares predicted by the GHDM model are either superior to the IHDM model or about the same as the IHDM model. Across all</w:t>
      </w:r>
      <w:r w:rsidR="00FE72F3" w:rsidRPr="00193879">
        <w:rPr>
          <w:sz w:val="24"/>
          <w:szCs w:val="24"/>
        </w:rPr>
        <w:t xml:space="preserve"> eight</w:t>
      </w:r>
      <w:r w:rsidR="000A00A2" w:rsidRPr="00193879">
        <w:rPr>
          <w:sz w:val="24"/>
          <w:szCs w:val="24"/>
        </w:rPr>
        <w:t xml:space="preserve"> combinations, the average APE is </w:t>
      </w:r>
      <w:r w:rsidR="00700F48" w:rsidRPr="00193879">
        <w:rPr>
          <w:sz w:val="24"/>
          <w:szCs w:val="24"/>
        </w:rPr>
        <w:t>23.</w:t>
      </w:r>
      <w:r w:rsidR="00193879" w:rsidRPr="00193879">
        <w:rPr>
          <w:sz w:val="24"/>
          <w:szCs w:val="24"/>
        </w:rPr>
        <w:t>285</w:t>
      </w:r>
      <w:r w:rsidR="000A00A2" w:rsidRPr="00193879">
        <w:rPr>
          <w:sz w:val="24"/>
          <w:szCs w:val="24"/>
        </w:rPr>
        <w:t xml:space="preserve"> for the GHDM model compared to </w:t>
      </w:r>
      <w:r w:rsidR="00193879" w:rsidRPr="00193879">
        <w:rPr>
          <w:sz w:val="24"/>
          <w:szCs w:val="24"/>
        </w:rPr>
        <w:t>31.015</w:t>
      </w:r>
      <w:r w:rsidR="00700F48" w:rsidRPr="00193879">
        <w:rPr>
          <w:sz w:val="24"/>
          <w:szCs w:val="24"/>
        </w:rPr>
        <w:t xml:space="preserve"> </w:t>
      </w:r>
      <w:r w:rsidR="000A00A2" w:rsidRPr="00193879">
        <w:rPr>
          <w:sz w:val="24"/>
          <w:szCs w:val="24"/>
        </w:rPr>
        <w:t xml:space="preserve">for the IHDM. The aggregate fit measures in Table </w:t>
      </w:r>
      <w:r w:rsidR="0066744C" w:rsidRPr="00193879">
        <w:rPr>
          <w:sz w:val="24"/>
          <w:szCs w:val="24"/>
        </w:rPr>
        <w:t xml:space="preserve">6b </w:t>
      </w:r>
      <w:r w:rsidR="000A00A2" w:rsidRPr="00193879">
        <w:rPr>
          <w:sz w:val="24"/>
          <w:szCs w:val="24"/>
        </w:rPr>
        <w:t xml:space="preserve">reinforce </w:t>
      </w:r>
      <w:proofErr w:type="gramStart"/>
      <w:r w:rsidR="000A00A2" w:rsidRPr="00193879">
        <w:rPr>
          <w:sz w:val="24"/>
          <w:szCs w:val="24"/>
        </w:rPr>
        <w:t>the disaggregate</w:t>
      </w:r>
      <w:proofErr w:type="gramEnd"/>
      <w:r w:rsidR="000A00A2" w:rsidRPr="00193879">
        <w:rPr>
          <w:sz w:val="24"/>
          <w:szCs w:val="24"/>
        </w:rPr>
        <w:t xml:space="preserve"> level results in Table </w:t>
      </w:r>
      <w:r w:rsidR="0066744C" w:rsidRPr="00193879">
        <w:rPr>
          <w:sz w:val="24"/>
          <w:szCs w:val="24"/>
        </w:rPr>
        <w:t>6a</w:t>
      </w:r>
      <w:r w:rsidR="000A00A2" w:rsidRPr="00193879">
        <w:rPr>
          <w:sz w:val="24"/>
          <w:szCs w:val="24"/>
        </w:rPr>
        <w:t>.</w:t>
      </w:r>
      <w:r w:rsidR="0066744C">
        <w:rPr>
          <w:sz w:val="24"/>
          <w:szCs w:val="24"/>
        </w:rPr>
        <w:t xml:space="preserve"> </w:t>
      </w:r>
      <w:r w:rsidRPr="008D3590">
        <w:rPr>
          <w:rFonts w:cs="Times New Roman"/>
          <w:sz w:val="24"/>
          <w:szCs w:val="24"/>
        </w:rPr>
        <w:t xml:space="preserve">In summary, the results show that the GHDM model proposed here outperforms the IHDM model in </w:t>
      </w:r>
      <w:r w:rsidR="00B20CE0" w:rsidRPr="008D3590">
        <w:rPr>
          <w:rFonts w:cs="Times New Roman"/>
          <w:sz w:val="24"/>
          <w:szCs w:val="24"/>
        </w:rPr>
        <w:t>data fit</w:t>
      </w:r>
      <w:r w:rsidR="000A00A2">
        <w:rPr>
          <w:rFonts w:cs="Times New Roman"/>
          <w:sz w:val="24"/>
          <w:szCs w:val="24"/>
        </w:rPr>
        <w:t xml:space="preserve">, validating </w:t>
      </w:r>
      <w:r w:rsidR="00193879">
        <w:rPr>
          <w:rFonts w:cs="Times New Roman"/>
          <w:sz w:val="24"/>
          <w:szCs w:val="24"/>
        </w:rPr>
        <w:t>the</w:t>
      </w:r>
      <w:r w:rsidR="000A00A2">
        <w:rPr>
          <w:rFonts w:cs="Times New Roman"/>
          <w:sz w:val="24"/>
          <w:szCs w:val="24"/>
        </w:rPr>
        <w:t xml:space="preserve"> view that the PAG and VAG outcomes need to be modeled jointly as a package. </w:t>
      </w:r>
    </w:p>
    <w:p w14:paraId="54D62C5A" w14:textId="3893686E" w:rsidR="00271488" w:rsidRPr="008D3590" w:rsidRDefault="007C52D4" w:rsidP="00592F77">
      <w:pPr>
        <w:ind w:firstLine="720"/>
        <w:rPr>
          <w:rFonts w:cs="Times New Roman"/>
          <w:sz w:val="24"/>
          <w:szCs w:val="24"/>
        </w:rPr>
      </w:pPr>
      <w:r w:rsidRPr="008D3590">
        <w:rPr>
          <w:rFonts w:cs="Times New Roman"/>
          <w:sz w:val="24"/>
          <w:szCs w:val="24"/>
        </w:rPr>
        <w:t xml:space="preserve"> </w:t>
      </w:r>
    </w:p>
    <w:p w14:paraId="0583C679" w14:textId="55B00D06" w:rsidR="006D0919" w:rsidRPr="008D3590" w:rsidRDefault="00B64FAC" w:rsidP="004356A9">
      <w:pPr>
        <w:outlineLvl w:val="0"/>
        <w:rPr>
          <w:rFonts w:cs="Times New Roman"/>
          <w:b/>
          <w:sz w:val="24"/>
          <w:szCs w:val="24"/>
        </w:rPr>
      </w:pPr>
      <w:r w:rsidRPr="008D3590">
        <w:rPr>
          <w:rFonts w:cs="Times New Roman"/>
          <w:b/>
          <w:sz w:val="24"/>
          <w:szCs w:val="24"/>
        </w:rPr>
        <w:t>5</w:t>
      </w:r>
      <w:r w:rsidR="006D0919" w:rsidRPr="008D3590">
        <w:rPr>
          <w:rFonts w:cs="Times New Roman"/>
          <w:b/>
          <w:sz w:val="24"/>
          <w:szCs w:val="24"/>
        </w:rPr>
        <w:t>.</w:t>
      </w:r>
      <w:r w:rsidR="00DC1EE9">
        <w:rPr>
          <w:rFonts w:cs="Times New Roman"/>
          <w:b/>
          <w:sz w:val="24"/>
          <w:szCs w:val="24"/>
        </w:rPr>
        <w:t xml:space="preserve"> </w:t>
      </w:r>
      <w:r w:rsidR="006D0919" w:rsidRPr="008D3590">
        <w:rPr>
          <w:rFonts w:cs="Times New Roman"/>
          <w:b/>
          <w:sz w:val="24"/>
          <w:szCs w:val="24"/>
        </w:rPr>
        <w:t>CONCLUSI</w:t>
      </w:r>
      <w:r w:rsidR="005B7DEB" w:rsidRPr="008D3590">
        <w:rPr>
          <w:rFonts w:cs="Times New Roman"/>
          <w:b/>
          <w:sz w:val="24"/>
          <w:szCs w:val="24"/>
        </w:rPr>
        <w:t>ON</w:t>
      </w:r>
      <w:r w:rsidR="00560DEC">
        <w:rPr>
          <w:rFonts w:cs="Times New Roman"/>
          <w:b/>
          <w:sz w:val="24"/>
          <w:szCs w:val="24"/>
        </w:rPr>
        <w:t>S</w:t>
      </w:r>
    </w:p>
    <w:p w14:paraId="26842081" w14:textId="53F6A063" w:rsidR="00154674" w:rsidRPr="008D3590" w:rsidRDefault="00154674" w:rsidP="00154674">
      <w:pPr>
        <w:rPr>
          <w:rFonts w:cs="Times New Roman"/>
          <w:sz w:val="24"/>
          <w:szCs w:val="24"/>
          <w:lang w:eastAsia="zh-CN"/>
        </w:rPr>
      </w:pPr>
      <w:r w:rsidRPr="008D3590">
        <w:rPr>
          <w:rFonts w:cs="Times New Roman"/>
          <w:sz w:val="24"/>
          <w:szCs w:val="24"/>
          <w:lang w:eastAsia="zh-CN"/>
        </w:rPr>
        <w:t xml:space="preserve">This paper has proposed a modeling framework to study the effects of information and communication technologies (ICT) on activity and travel behavior based on physical and virtual accessibility. We utilized the generalized heterogeneous data model (GHDM) approach that allows for the joint modeling of multiple outcomes of mixed types, including count, continuous, and ordinal variables. The data used was extracted from the </w:t>
      </w:r>
      <w:r w:rsidRPr="008D3590">
        <w:rPr>
          <w:rFonts w:cs="Times New Roman"/>
          <w:sz w:val="24"/>
          <w:szCs w:val="24"/>
        </w:rPr>
        <w:t>2011 and 2012 National Tra</w:t>
      </w:r>
      <w:r w:rsidR="004A5D46" w:rsidRPr="008D3590">
        <w:rPr>
          <w:rFonts w:cs="Times New Roman"/>
          <w:sz w:val="24"/>
          <w:szCs w:val="24"/>
        </w:rPr>
        <w:t>vel Survey in Great Britain</w:t>
      </w:r>
      <w:r w:rsidRPr="008D3590">
        <w:rPr>
          <w:rFonts w:cs="Times New Roman"/>
          <w:sz w:val="24"/>
          <w:szCs w:val="24"/>
        </w:rPr>
        <w:t xml:space="preserve">, which collected information </w:t>
      </w:r>
      <w:r w:rsidRPr="008D3590">
        <w:rPr>
          <w:rFonts w:cs="Times New Roman"/>
          <w:sz w:val="24"/>
          <w:szCs w:val="24"/>
          <w:lang w:eastAsia="zh-CN"/>
        </w:rPr>
        <w:t xml:space="preserve">on individual sociodemographic </w:t>
      </w:r>
      <w:r w:rsidRPr="008D3590">
        <w:rPr>
          <w:rFonts w:cs="Times New Roman"/>
          <w:sz w:val="24"/>
          <w:szCs w:val="24"/>
          <w:lang w:eastAsia="zh-CN"/>
        </w:rPr>
        <w:lastRenderedPageBreak/>
        <w:t xml:space="preserve">characteristics, attitudes, stated frequency of remote purchases and work, as well as seven-day trip diaries. </w:t>
      </w:r>
    </w:p>
    <w:p w14:paraId="111080C9" w14:textId="20DC6B8A" w:rsidR="000C6B5B" w:rsidRDefault="00154674" w:rsidP="000C6B5B">
      <w:pPr>
        <w:ind w:firstLine="720"/>
        <w:rPr>
          <w:rFonts w:cs="Times New Roman"/>
          <w:sz w:val="24"/>
          <w:szCs w:val="24"/>
          <w:lang w:eastAsia="zh-CN"/>
        </w:rPr>
      </w:pPr>
      <w:r w:rsidRPr="008D3590">
        <w:rPr>
          <w:rFonts w:cs="Times New Roman"/>
          <w:sz w:val="24"/>
          <w:szCs w:val="24"/>
          <w:lang w:eastAsia="zh-CN"/>
        </w:rPr>
        <w:t xml:space="preserve">Our study provides several insightful results and observations. </w:t>
      </w:r>
      <w:r w:rsidRPr="008D3590">
        <w:rPr>
          <w:rFonts w:cs="Times New Roman"/>
          <w:sz w:val="24"/>
          <w:szCs w:val="24"/>
          <w:u w:val="single"/>
          <w:lang w:eastAsia="zh-CN"/>
        </w:rPr>
        <w:t>First</w:t>
      </w:r>
      <w:r w:rsidRPr="008D3590">
        <w:rPr>
          <w:rFonts w:cs="Times New Roman"/>
          <w:sz w:val="24"/>
          <w:szCs w:val="24"/>
          <w:lang w:eastAsia="zh-CN"/>
        </w:rPr>
        <w:t xml:space="preserve">, we identified that young wealthy individuals have the highest levels of virtual accessibility. </w:t>
      </w:r>
      <w:r w:rsidR="00FB701E">
        <w:rPr>
          <w:rFonts w:cs="Times New Roman"/>
          <w:sz w:val="24"/>
          <w:szCs w:val="24"/>
          <w:lang w:eastAsia="zh-CN"/>
        </w:rPr>
        <w:t xml:space="preserve">Also, </w:t>
      </w:r>
      <w:r w:rsidR="00FB701E" w:rsidRPr="008D3590">
        <w:rPr>
          <w:rFonts w:cs="Times New Roman"/>
          <w:sz w:val="24"/>
          <w:szCs w:val="24"/>
        </w:rPr>
        <w:t xml:space="preserve">individuals aged fifty or over have lower levels of virtual accessibility compared to younger individuals. </w:t>
      </w:r>
      <w:r w:rsidR="00FB701E">
        <w:rPr>
          <w:rFonts w:cs="Times New Roman"/>
          <w:sz w:val="24"/>
          <w:szCs w:val="24"/>
        </w:rPr>
        <w:t xml:space="preserve">At the same time, </w:t>
      </w:r>
      <w:r w:rsidR="00CD18FE">
        <w:rPr>
          <w:rFonts w:cs="Times New Roman"/>
          <w:sz w:val="24"/>
          <w:szCs w:val="24"/>
          <w:lang w:eastAsia="zh-CN"/>
        </w:rPr>
        <w:t>w</w:t>
      </w:r>
      <w:r w:rsidR="000C6B5B">
        <w:rPr>
          <w:rFonts w:cs="Times New Roman"/>
          <w:sz w:val="24"/>
          <w:szCs w:val="24"/>
          <w:lang w:eastAsia="zh-CN"/>
        </w:rPr>
        <w:t xml:space="preserve">hile age does not reveal a significant effect on physical accessibility in our study, </w:t>
      </w:r>
      <w:r w:rsidR="00FB701E" w:rsidRPr="008D3590">
        <w:rPr>
          <w:rFonts w:cs="Times New Roman"/>
          <w:sz w:val="24"/>
          <w:szCs w:val="24"/>
        </w:rPr>
        <w:t xml:space="preserve">potential social exclusion due to diminished physical accessibility for elders is a </w:t>
      </w:r>
      <w:r w:rsidR="00FB701E">
        <w:rPr>
          <w:rFonts w:cs="Times New Roman"/>
          <w:sz w:val="24"/>
          <w:szCs w:val="24"/>
        </w:rPr>
        <w:t xml:space="preserve">relevant </w:t>
      </w:r>
      <w:r w:rsidR="00FB701E" w:rsidRPr="008D3590">
        <w:rPr>
          <w:rFonts w:cs="Times New Roman"/>
          <w:sz w:val="24"/>
          <w:szCs w:val="24"/>
        </w:rPr>
        <w:t>concern</w:t>
      </w:r>
      <w:r w:rsidR="00CD18FE">
        <w:rPr>
          <w:rFonts w:cs="Times New Roman"/>
          <w:sz w:val="24"/>
          <w:szCs w:val="24"/>
        </w:rPr>
        <w:t xml:space="preserve"> </w:t>
      </w:r>
      <w:r w:rsidR="000C6B5B" w:rsidRPr="008D3590">
        <w:rPr>
          <w:rFonts w:cs="Times New Roman"/>
          <w:sz w:val="24"/>
          <w:szCs w:val="24"/>
        </w:rPr>
        <w:t>as developed count</w:t>
      </w:r>
      <w:r w:rsidR="000C6B5B" w:rsidRPr="008D3590">
        <w:rPr>
          <w:rFonts w:cs="Times New Roman"/>
          <w:sz w:val="24"/>
          <w:szCs w:val="24"/>
          <w:lang w:eastAsia="zh-CN"/>
        </w:rPr>
        <w:t>r</w:t>
      </w:r>
      <w:r w:rsidR="000C6B5B" w:rsidRPr="008D3590">
        <w:rPr>
          <w:rFonts w:cs="Times New Roman"/>
          <w:sz w:val="24"/>
          <w:szCs w:val="24"/>
        </w:rPr>
        <w:t>ies face aging populations</w:t>
      </w:r>
      <w:r w:rsidR="00CD18FE">
        <w:rPr>
          <w:rFonts w:cs="Times New Roman"/>
          <w:sz w:val="24"/>
          <w:szCs w:val="24"/>
        </w:rPr>
        <w:t xml:space="preserve"> </w:t>
      </w:r>
      <w:r w:rsidR="00CD18FE" w:rsidRPr="008D3590">
        <w:rPr>
          <w:rFonts w:cs="Times New Roman"/>
          <w:sz w:val="24"/>
          <w:szCs w:val="24"/>
        </w:rPr>
        <w:t>(</w:t>
      </w:r>
      <w:r w:rsidR="00CD18FE" w:rsidRPr="008D3590">
        <w:rPr>
          <w:rFonts w:cs="Times New Roman"/>
          <w:sz w:val="24"/>
          <w:szCs w:val="24"/>
        </w:rPr>
        <w:fldChar w:fldCharType="begin" w:fldLock="1"/>
      </w:r>
      <w:r w:rsidR="00CD18FE" w:rsidRPr="008D3590">
        <w:rPr>
          <w:rFonts w:cs="Times New Roman"/>
          <w:sz w:val="24"/>
          <w:szCs w:val="24"/>
        </w:rPr>
        <w:instrText>ADDIN CSL_CITATION { "citationItems" : [ { "id" : "ITEM-1", "itemData" : { "author" : [ { "dropping-particle" : "", "family" : "Scharf", "given" : "T", "non-dropping-particle" : "", "parse-names" : false, "suffix" : "" }, { "dropping-particle" : "", "family" : "Phillipson", "given" : "C", "non-dropping-particle" : "", "parse-names" : false, "suffix" : "" }, { "dropping-particle" : "", "family" : "Smith", "given" : "AE", "non-dropping-particle" : "", "parse-names" : false, "suffix" : "" } ], "container-title" : "European Journal of Ageing", "id" : "ITEM-1", "issued" : { "date-parts" : [ [ "2005" ] ] }, "title" : "Social exclusion of older people in deprived urban communities of England", "type" : "article-journal" }, "uris" : [ "http://www.mendeley.com/documents/?uuid=8c457f58-a47c-3b1b-8258-f2b3ce3534b4" ] } ], "mendeley" : { "formattedCitation" : "(Scharf, Phillipson and Smith, 2005)", "manualFormatting" : "Scharf et al. (2005)", "plainTextFormattedCitation" : "(Scharf, Phillipson and Smith, 2005)", "previouslyFormattedCitation" : "(Scharf, Phillipson and Smith, 2005)" }, "properties" : { "noteIndex" : 0 }, "schema" : "https://github.com/citation-style-language/schema/raw/master/csl-citation.json" }</w:instrText>
      </w:r>
      <w:r w:rsidR="00CD18FE" w:rsidRPr="008D3590">
        <w:rPr>
          <w:rFonts w:cs="Times New Roman"/>
          <w:sz w:val="24"/>
          <w:szCs w:val="24"/>
        </w:rPr>
        <w:fldChar w:fldCharType="separate"/>
      </w:r>
      <w:r w:rsidR="00CD18FE" w:rsidRPr="008D3590">
        <w:rPr>
          <w:rFonts w:cs="Times New Roman"/>
          <w:noProof/>
          <w:sz w:val="24"/>
          <w:szCs w:val="24"/>
        </w:rPr>
        <w:t>see, for example, Walsh et al., 2016 and King, 2016)</w:t>
      </w:r>
      <w:r w:rsidR="00CD18FE" w:rsidRPr="008D3590">
        <w:rPr>
          <w:rFonts w:cs="Times New Roman"/>
          <w:sz w:val="24"/>
          <w:szCs w:val="24"/>
        </w:rPr>
        <w:fldChar w:fldCharType="end"/>
      </w:r>
      <w:r w:rsidR="00CD18FE">
        <w:rPr>
          <w:rFonts w:cs="Times New Roman"/>
          <w:sz w:val="24"/>
          <w:szCs w:val="24"/>
        </w:rPr>
        <w:t xml:space="preserve">. </w:t>
      </w:r>
      <w:r w:rsidR="000C6B5B">
        <w:rPr>
          <w:rFonts w:cs="Times New Roman"/>
          <w:sz w:val="24"/>
          <w:szCs w:val="24"/>
        </w:rPr>
        <w:t xml:space="preserve">Since this </w:t>
      </w:r>
      <w:r w:rsidR="00CD18FE">
        <w:rPr>
          <w:rFonts w:cs="Times New Roman"/>
          <w:sz w:val="24"/>
          <w:szCs w:val="24"/>
        </w:rPr>
        <w:t xml:space="preserve">older </w:t>
      </w:r>
      <w:r w:rsidR="000C6B5B">
        <w:rPr>
          <w:rFonts w:cs="Times New Roman"/>
          <w:sz w:val="24"/>
          <w:szCs w:val="24"/>
        </w:rPr>
        <w:t xml:space="preserve">segment does not seem </w:t>
      </w:r>
      <w:r w:rsidR="000C6B5B" w:rsidRPr="008D3590">
        <w:rPr>
          <w:rFonts w:cs="Times New Roman"/>
          <w:sz w:val="24"/>
          <w:szCs w:val="24"/>
          <w:lang w:eastAsia="zh-CN"/>
        </w:rPr>
        <w:t>likely to benefit substantially from virtual accessibility as an overall accessibility enhancer, actions to increase their physical accessibility directly or to educate them on how to take advantage of virtual accessibility seem urgent.</w:t>
      </w:r>
    </w:p>
    <w:p w14:paraId="63B69BD5" w14:textId="6181F13E" w:rsidR="00154674" w:rsidRPr="008D3590" w:rsidRDefault="00154674" w:rsidP="00881C66">
      <w:pPr>
        <w:autoSpaceDE w:val="0"/>
        <w:autoSpaceDN w:val="0"/>
        <w:adjustRightInd w:val="0"/>
        <w:ind w:firstLine="720"/>
        <w:rPr>
          <w:rFonts w:cs="Times New Roman"/>
          <w:sz w:val="24"/>
          <w:szCs w:val="24"/>
          <w:lang w:eastAsia="zh-CN"/>
        </w:rPr>
      </w:pPr>
      <w:r w:rsidRPr="008D3590">
        <w:rPr>
          <w:rFonts w:cs="Times New Roman"/>
          <w:sz w:val="24"/>
          <w:szCs w:val="24"/>
          <w:u w:val="single"/>
          <w:lang w:eastAsia="zh-CN"/>
        </w:rPr>
        <w:t>Second</w:t>
      </w:r>
      <w:r w:rsidRPr="008D3590">
        <w:rPr>
          <w:rFonts w:cs="Times New Roman"/>
          <w:sz w:val="24"/>
          <w:szCs w:val="24"/>
          <w:lang w:eastAsia="zh-CN"/>
        </w:rPr>
        <w:t xml:space="preserve">, by focusing on a sample of individuals who are workers at the same time that they are the main food shoppers of their households, and by including interactions between gender, employment status, and presence of children, we were able to analyze gendered social roles and the potential benefits that virtual accessibility can bring to different individuals. Our results point to the busy and time-squeezed schedules of working mothers who seem to undertake major household and childcare responsibilities (the “second shift”, as referred to by </w:t>
      </w:r>
      <w:r w:rsidRPr="008D3590">
        <w:rPr>
          <w:rFonts w:cs="Times New Roman"/>
          <w:sz w:val="24"/>
          <w:szCs w:val="24"/>
        </w:rPr>
        <w:t>soc</w:t>
      </w:r>
      <w:r w:rsidR="00C014E6" w:rsidRPr="008D3590">
        <w:rPr>
          <w:rFonts w:cs="Times New Roman"/>
          <w:sz w:val="24"/>
          <w:szCs w:val="24"/>
        </w:rPr>
        <w:t xml:space="preserve">iologist </w:t>
      </w:r>
      <w:proofErr w:type="spellStart"/>
      <w:r w:rsidR="00C014E6" w:rsidRPr="008D3590">
        <w:rPr>
          <w:rFonts w:cs="Times New Roman"/>
          <w:sz w:val="24"/>
          <w:szCs w:val="24"/>
        </w:rPr>
        <w:t>Hochschild</w:t>
      </w:r>
      <w:proofErr w:type="spellEnd"/>
      <w:r w:rsidR="00C014E6" w:rsidRPr="008D3590">
        <w:rPr>
          <w:rFonts w:cs="Times New Roman"/>
          <w:sz w:val="24"/>
          <w:szCs w:val="24"/>
        </w:rPr>
        <w:t>, 1997</w:t>
      </w:r>
      <w:r w:rsidRPr="008D3590">
        <w:rPr>
          <w:rFonts w:cs="Times New Roman"/>
          <w:sz w:val="24"/>
          <w:szCs w:val="24"/>
        </w:rPr>
        <w:t xml:space="preserve">), </w:t>
      </w:r>
      <w:r w:rsidRPr="008D3590">
        <w:rPr>
          <w:rFonts w:cs="Times New Roman"/>
          <w:sz w:val="24"/>
          <w:szCs w:val="24"/>
          <w:lang w:eastAsia="zh-CN"/>
        </w:rPr>
        <w:t xml:space="preserve">and who could benefit from increased virtual and physical accessibility through welfare policies that enhance </w:t>
      </w:r>
      <w:proofErr w:type="spellStart"/>
      <w:r w:rsidRPr="008D3590">
        <w:rPr>
          <w:rFonts w:cs="Times New Roman"/>
          <w:sz w:val="24"/>
          <w:szCs w:val="24"/>
          <w:lang w:eastAsia="zh-CN"/>
        </w:rPr>
        <w:t>spatio</w:t>
      </w:r>
      <w:proofErr w:type="spellEnd"/>
      <w:r w:rsidR="00CD18FE">
        <w:rPr>
          <w:rFonts w:cs="Times New Roman"/>
          <w:sz w:val="24"/>
          <w:szCs w:val="24"/>
          <w:lang w:eastAsia="zh-CN"/>
        </w:rPr>
        <w:t>-</w:t>
      </w:r>
      <w:r w:rsidRPr="008D3590">
        <w:rPr>
          <w:rFonts w:cs="Times New Roman"/>
          <w:sz w:val="24"/>
          <w:szCs w:val="24"/>
          <w:lang w:eastAsia="zh-CN"/>
        </w:rPr>
        <w:t xml:space="preserve">temporal flexibility and encourage social-inclusion. </w:t>
      </w:r>
    </w:p>
    <w:p w14:paraId="6F851CD5" w14:textId="3AAE5BE7" w:rsidR="00154674" w:rsidRPr="008D3590" w:rsidRDefault="00154674" w:rsidP="00881C66">
      <w:pPr>
        <w:ind w:firstLine="720"/>
        <w:rPr>
          <w:rFonts w:cs="Times New Roman"/>
          <w:sz w:val="24"/>
          <w:szCs w:val="24"/>
        </w:rPr>
      </w:pPr>
      <w:r w:rsidRPr="008D3590">
        <w:rPr>
          <w:rFonts w:cs="Times New Roman"/>
          <w:sz w:val="24"/>
          <w:szCs w:val="24"/>
          <w:u w:val="single"/>
          <w:lang w:eastAsia="zh-CN"/>
        </w:rPr>
        <w:t>Third</w:t>
      </w:r>
      <w:r w:rsidRPr="008D3590">
        <w:rPr>
          <w:rFonts w:cs="Times New Roman"/>
          <w:sz w:val="24"/>
          <w:szCs w:val="24"/>
          <w:lang w:eastAsia="zh-CN"/>
        </w:rPr>
        <w:t xml:space="preserve">, </w:t>
      </w:r>
      <w:r w:rsidRPr="008D3590">
        <w:rPr>
          <w:rFonts w:cs="Times New Roman"/>
          <w:sz w:val="24"/>
          <w:szCs w:val="24"/>
        </w:rPr>
        <w:t>our construction of the latent accessibility variables VALSC and PALSC, and their effects on multiple VAG and PAG outcome variables, indicate that choices regarding participation and duration in virtual and physical pursuits of multiple activity purposes are jointly determined as a package. Considering a singular activity purpose for analysis (such as only shopping) or considering virtual pursuits to be exogenous in understanding ICT effects on physical pursuits can provide misinformed results</w:t>
      </w:r>
      <w:r w:rsidR="00560DEC">
        <w:rPr>
          <w:rFonts w:cs="Times New Roman"/>
          <w:sz w:val="24"/>
          <w:szCs w:val="24"/>
        </w:rPr>
        <w:t>. In particular, our study finds that the main effect between virtual activity engagements (VAG) and physical activity engagements (PAG) is one of neutrality</w:t>
      </w:r>
      <w:r w:rsidR="008E2099">
        <w:rPr>
          <w:rFonts w:cs="Times New Roman"/>
          <w:sz w:val="24"/>
          <w:szCs w:val="24"/>
        </w:rPr>
        <w:t xml:space="preserve"> (after accommodating the package nature of these choi</w:t>
      </w:r>
      <w:r w:rsidR="000B3739">
        <w:rPr>
          <w:rFonts w:cs="Times New Roman"/>
          <w:sz w:val="24"/>
          <w:szCs w:val="24"/>
        </w:rPr>
        <w:t>c</w:t>
      </w:r>
      <w:r w:rsidR="008E2099">
        <w:rPr>
          <w:rFonts w:cs="Times New Roman"/>
          <w:sz w:val="24"/>
          <w:szCs w:val="24"/>
        </w:rPr>
        <w:t xml:space="preserve">es). </w:t>
      </w:r>
      <w:r w:rsidR="00EE6265">
        <w:rPr>
          <w:rFonts w:cs="Times New Roman"/>
          <w:sz w:val="24"/>
          <w:szCs w:val="24"/>
        </w:rPr>
        <w:t xml:space="preserve">Thus, for example, our results indicate that a policy promoting a higher level of virtual shopping </w:t>
      </w:r>
      <w:r w:rsidR="000C6B5B">
        <w:rPr>
          <w:rFonts w:cs="Times New Roman"/>
          <w:sz w:val="24"/>
          <w:szCs w:val="24"/>
        </w:rPr>
        <w:t>(g</w:t>
      </w:r>
      <w:r w:rsidR="00EE6265">
        <w:rPr>
          <w:rFonts w:cs="Times New Roman"/>
          <w:sz w:val="24"/>
          <w:szCs w:val="24"/>
        </w:rPr>
        <w:t>ood</w:t>
      </w:r>
      <w:r w:rsidR="000C6B5B">
        <w:rPr>
          <w:rFonts w:cs="Times New Roman"/>
          <w:sz w:val="24"/>
          <w:szCs w:val="24"/>
        </w:rPr>
        <w:t>s</w:t>
      </w:r>
      <w:r w:rsidR="00EE6265">
        <w:rPr>
          <w:rFonts w:cs="Times New Roman"/>
          <w:sz w:val="24"/>
          <w:szCs w:val="24"/>
        </w:rPr>
        <w:t xml:space="preserve"> deliveries to the home</w:t>
      </w:r>
      <w:r w:rsidR="000C6B5B">
        <w:rPr>
          <w:rFonts w:cs="Times New Roman"/>
          <w:sz w:val="24"/>
          <w:szCs w:val="24"/>
        </w:rPr>
        <w:t>)</w:t>
      </w:r>
      <w:r w:rsidR="00EE6265">
        <w:rPr>
          <w:rFonts w:cs="Times New Roman"/>
          <w:sz w:val="24"/>
          <w:szCs w:val="24"/>
        </w:rPr>
        <w:t xml:space="preserve"> will not </w:t>
      </w:r>
      <w:r w:rsidR="000A2355">
        <w:rPr>
          <w:rFonts w:cs="Times New Roman"/>
          <w:sz w:val="24"/>
          <w:szCs w:val="24"/>
        </w:rPr>
        <w:t xml:space="preserve">necessarily </w:t>
      </w:r>
      <w:r w:rsidR="00EE6265">
        <w:rPr>
          <w:rFonts w:cs="Times New Roman"/>
          <w:sz w:val="24"/>
          <w:szCs w:val="24"/>
        </w:rPr>
        <w:t>reduce the number of in-person visits to the store</w:t>
      </w:r>
      <w:r w:rsidR="000C6B5B">
        <w:rPr>
          <w:rFonts w:cs="Times New Roman"/>
          <w:sz w:val="24"/>
          <w:szCs w:val="24"/>
        </w:rPr>
        <w:t>s</w:t>
      </w:r>
      <w:r w:rsidR="00EE6265">
        <w:rPr>
          <w:rFonts w:cs="Times New Roman"/>
          <w:sz w:val="24"/>
          <w:szCs w:val="24"/>
        </w:rPr>
        <w:t xml:space="preserve">. </w:t>
      </w:r>
      <w:r w:rsidRPr="008D3590">
        <w:rPr>
          <w:rFonts w:cs="Times New Roman"/>
          <w:sz w:val="24"/>
          <w:szCs w:val="24"/>
        </w:rPr>
        <w:t>While the final results may vary based on context</w:t>
      </w:r>
      <w:r w:rsidR="000A2355">
        <w:rPr>
          <w:rFonts w:cs="Times New Roman"/>
          <w:sz w:val="24"/>
          <w:szCs w:val="24"/>
        </w:rPr>
        <w:t xml:space="preserve">, data, </w:t>
      </w:r>
      <w:r w:rsidRPr="008D3590">
        <w:rPr>
          <w:rFonts w:cs="Times New Roman"/>
          <w:sz w:val="24"/>
          <w:szCs w:val="24"/>
        </w:rPr>
        <w:t xml:space="preserve">and the segment of the population studied, our study has </w:t>
      </w:r>
      <w:r w:rsidRPr="008D3590">
        <w:rPr>
          <w:rFonts w:cs="Times New Roman"/>
          <w:sz w:val="24"/>
          <w:szCs w:val="24"/>
        </w:rPr>
        <w:lastRenderedPageBreak/>
        <w:t xml:space="preserve">provided a conceptual and analytic structure to be able to consider the </w:t>
      </w:r>
      <w:proofErr w:type="spellStart"/>
      <w:r w:rsidRPr="008D3590">
        <w:rPr>
          <w:rFonts w:cs="Times New Roman"/>
          <w:sz w:val="24"/>
          <w:szCs w:val="24"/>
        </w:rPr>
        <w:t>jointness</w:t>
      </w:r>
      <w:proofErr w:type="spellEnd"/>
      <w:r w:rsidRPr="008D3590">
        <w:rPr>
          <w:rFonts w:cs="Times New Roman"/>
          <w:sz w:val="24"/>
          <w:szCs w:val="24"/>
        </w:rPr>
        <w:t xml:space="preserve"> of PAG and VAG outcomes, which we hope will lead to richer empirical studies in the future</w:t>
      </w:r>
      <w:r w:rsidR="00EE6265">
        <w:rPr>
          <w:rFonts w:cs="Times New Roman"/>
          <w:sz w:val="24"/>
          <w:szCs w:val="24"/>
        </w:rPr>
        <w:t xml:space="preserve"> and </w:t>
      </w:r>
      <w:r w:rsidR="00B80EA5">
        <w:rPr>
          <w:rFonts w:cs="Times New Roman"/>
          <w:sz w:val="24"/>
          <w:szCs w:val="24"/>
        </w:rPr>
        <w:t>more informed policy actions</w:t>
      </w:r>
      <w:r w:rsidRPr="008D3590">
        <w:rPr>
          <w:rFonts w:cs="Times New Roman"/>
          <w:sz w:val="24"/>
          <w:szCs w:val="24"/>
        </w:rPr>
        <w:t>. Further, our structure is also able to consider episode planning dimensions (through such instruments as vehicle</w:t>
      </w:r>
      <w:r w:rsidR="00CD18FE">
        <w:rPr>
          <w:rFonts w:cs="Times New Roman"/>
          <w:sz w:val="24"/>
          <w:szCs w:val="24"/>
        </w:rPr>
        <w:t xml:space="preserve"> availability</w:t>
      </w:r>
      <w:r w:rsidRPr="008D3590">
        <w:rPr>
          <w:rFonts w:cs="Times New Roman"/>
          <w:sz w:val="24"/>
          <w:szCs w:val="24"/>
        </w:rPr>
        <w:t xml:space="preserve"> and episode chaining/trip planning) as co-endogenous package variable</w:t>
      </w:r>
      <w:r w:rsidR="00B80EA5">
        <w:rPr>
          <w:rFonts w:cs="Times New Roman"/>
          <w:sz w:val="24"/>
          <w:szCs w:val="24"/>
        </w:rPr>
        <w:t xml:space="preserve">s. </w:t>
      </w:r>
    </w:p>
    <w:p w14:paraId="607D140D" w14:textId="0363FA99" w:rsidR="00560DEC" w:rsidRDefault="00560DEC" w:rsidP="00560DEC">
      <w:pPr>
        <w:ind w:firstLine="720"/>
        <w:rPr>
          <w:rFonts w:cs="Times New Roman"/>
          <w:sz w:val="24"/>
          <w:szCs w:val="24"/>
        </w:rPr>
      </w:pPr>
      <w:r w:rsidRPr="008D66F5">
        <w:rPr>
          <w:rFonts w:cs="Times New Roman"/>
          <w:sz w:val="24"/>
          <w:szCs w:val="24"/>
          <w:u w:val="single"/>
          <w:lang w:eastAsia="zh-CN"/>
        </w:rPr>
        <w:t>Fourth</w:t>
      </w:r>
      <w:r>
        <w:rPr>
          <w:rFonts w:cs="Times New Roman"/>
          <w:sz w:val="24"/>
          <w:szCs w:val="24"/>
          <w:lang w:eastAsia="zh-CN"/>
        </w:rPr>
        <w:t xml:space="preserve">, </w:t>
      </w:r>
      <w:r>
        <w:rPr>
          <w:rFonts w:cs="Times New Roman"/>
          <w:sz w:val="24"/>
          <w:szCs w:val="24"/>
        </w:rPr>
        <w:t>o</w:t>
      </w:r>
      <w:r w:rsidRPr="008D3590">
        <w:rPr>
          <w:rFonts w:cs="Times New Roman"/>
          <w:sz w:val="24"/>
          <w:szCs w:val="24"/>
        </w:rPr>
        <w:t>ur analysis includes multiple activity purposes at the same time, both virtually and physically (though we acknowledge that our analysis would have been substantially enhanced if the data had had some measures related to online socializing and recreation, in addition to online maintenance activity participation). By considering multiple activity purposes, our analysis is able to provide the rich interactions and interplay in activity engagement across both the virtual and real worlds</w:t>
      </w:r>
      <w:r w:rsidR="00960F65">
        <w:rPr>
          <w:rFonts w:cs="Times New Roman"/>
          <w:sz w:val="24"/>
          <w:szCs w:val="24"/>
        </w:rPr>
        <w:t xml:space="preserve">. </w:t>
      </w:r>
      <w:r w:rsidR="00057FCB">
        <w:rPr>
          <w:rFonts w:cs="Times New Roman"/>
          <w:sz w:val="24"/>
          <w:szCs w:val="24"/>
        </w:rPr>
        <w:t>It also recognizes that the determinants of virtual activity engagement vary based on activity purpose, just as in the case of physical activity engagement. I</w:t>
      </w:r>
      <w:r w:rsidRPr="008D3590">
        <w:rPr>
          <w:rFonts w:cs="Times New Roman"/>
          <w:sz w:val="24"/>
          <w:szCs w:val="24"/>
        </w:rPr>
        <w:t>t also enables us to see the “big picture” regarding overall activity accessibility afforded to specific segments of society. For example, our analysis indicates that women, relative to men, have a generally lower propensity (ability/opportunity) to work from home, have less flexibility to fragment temporally their work activities (</w:t>
      </w:r>
      <w:r w:rsidRPr="008D3590">
        <w:rPr>
          <w:rFonts w:cs="Times New Roman"/>
          <w:sz w:val="24"/>
          <w:szCs w:val="24"/>
          <w:lang w:eastAsia="zh-CN"/>
        </w:rPr>
        <w:t>especially when working full-time</w:t>
      </w:r>
      <w:r w:rsidRPr="008D3590">
        <w:rPr>
          <w:rFonts w:cs="Times New Roman"/>
          <w:sz w:val="24"/>
          <w:szCs w:val="24"/>
        </w:rPr>
        <w:t>), pursue maintenance activities for longer durations per episode and have more episode chaining as part of their daily and weekly activity patterns</w:t>
      </w:r>
      <w:r w:rsidRPr="008D3590">
        <w:rPr>
          <w:rFonts w:cs="Times New Roman"/>
          <w:sz w:val="24"/>
          <w:szCs w:val="24"/>
          <w:lang w:eastAsia="zh-CN"/>
        </w:rPr>
        <w:t xml:space="preserve"> (when working part-time)</w:t>
      </w:r>
      <w:r w:rsidRPr="008D3590">
        <w:rPr>
          <w:rFonts w:cs="Times New Roman"/>
          <w:sz w:val="24"/>
          <w:szCs w:val="24"/>
        </w:rPr>
        <w:t xml:space="preserve">. Further, parents (fathers and mothers), in general, perceive lower physical accessibility levels and tend to pursue fewer discretionary activity episodes. The clear implication is that women and parents of small children suffer from both low </w:t>
      </w:r>
      <w:r w:rsidRPr="008D3590">
        <w:rPr>
          <w:rFonts w:cs="Times New Roman"/>
          <w:sz w:val="24"/>
          <w:szCs w:val="24"/>
          <w:lang w:eastAsia="zh-CN"/>
        </w:rPr>
        <w:t>physical</w:t>
      </w:r>
      <w:r w:rsidRPr="008D3590">
        <w:rPr>
          <w:rFonts w:cs="Times New Roman"/>
          <w:sz w:val="24"/>
          <w:szCs w:val="24"/>
        </w:rPr>
        <w:t xml:space="preserve"> accessibility as well as </w:t>
      </w:r>
      <w:r w:rsidRPr="008D3590">
        <w:rPr>
          <w:rFonts w:cs="Times New Roman"/>
          <w:sz w:val="24"/>
          <w:szCs w:val="24"/>
          <w:lang w:eastAsia="zh-CN"/>
        </w:rPr>
        <w:t>less flexibility to telecommute</w:t>
      </w:r>
      <w:r w:rsidRPr="008D3590">
        <w:rPr>
          <w:rFonts w:cs="Times New Roman"/>
          <w:sz w:val="24"/>
          <w:szCs w:val="24"/>
        </w:rPr>
        <w:t xml:space="preserve">, appear to be time-poor, and tend to be socially excluded. These results suggest that, even if women have access to the internet, they may not be able to harness that access to increase their overall activity engagement experience. Perhaps there is a need to rigorously evaluate and continue to consider the implementation of work-friendly policies for women and parents in general. Policies that promote physical activity and or provide recreational opportunities at the work place may also be beneficial in addressing time poverty and social exclusion considerations. </w:t>
      </w:r>
    </w:p>
    <w:p w14:paraId="3C579349" w14:textId="2330EC1A" w:rsidR="009A69FC" w:rsidRDefault="00154674" w:rsidP="00560DEC">
      <w:pPr>
        <w:ind w:firstLine="720"/>
        <w:rPr>
          <w:rFonts w:cs="Times New Roman"/>
          <w:sz w:val="24"/>
          <w:szCs w:val="24"/>
          <w:lang w:eastAsia="zh-CN"/>
        </w:rPr>
      </w:pPr>
      <w:r w:rsidRPr="008D3590">
        <w:rPr>
          <w:rFonts w:cs="Times New Roman"/>
          <w:sz w:val="24"/>
          <w:szCs w:val="24"/>
          <w:lang w:eastAsia="zh-CN"/>
        </w:rPr>
        <w:t>Finally, as an observation, and as with all research studies, there are limitations of the current study that suggest future directions. Most of these limitations are related to data availability. In particular, improved data on virtual accessibility measures or VAMs (data on smartphone ownership, perceptions related to virtual accessibility, and use of real time-</w:t>
      </w:r>
      <w:r w:rsidRPr="008D3590">
        <w:rPr>
          <w:rFonts w:cs="Times New Roman"/>
          <w:sz w:val="24"/>
          <w:szCs w:val="24"/>
          <w:lang w:eastAsia="zh-CN"/>
        </w:rPr>
        <w:lastRenderedPageBreak/>
        <w:t xml:space="preserve">information), physical accessibility measures or PAMs (geocoded data of activity locations and residences, which can be used to develop improved BE attributes), and VAG outcomes (diaries of virtual activities, including multi-tasking) are needed to harness the full potential of our proposed framework and to provide a more complete analysis of joint activity participation in </w:t>
      </w:r>
      <w:r w:rsidRPr="009D7DBD">
        <w:rPr>
          <w:rFonts w:cs="Times New Roman"/>
          <w:sz w:val="24"/>
          <w:szCs w:val="24"/>
          <w:lang w:eastAsia="zh-CN"/>
        </w:rPr>
        <w:t xml:space="preserve">both the virtual and physical worlds. </w:t>
      </w:r>
    </w:p>
    <w:p w14:paraId="3406C574" w14:textId="77777777" w:rsidR="009A69FC" w:rsidRPr="009D7DBD" w:rsidRDefault="009A69FC" w:rsidP="009D7DBD">
      <w:pPr>
        <w:ind w:firstLine="432"/>
        <w:rPr>
          <w:rFonts w:cs="Times New Roman"/>
          <w:sz w:val="24"/>
          <w:szCs w:val="24"/>
          <w:lang w:eastAsia="zh-CN"/>
        </w:rPr>
      </w:pPr>
    </w:p>
    <w:p w14:paraId="43A6F69A" w14:textId="77777777" w:rsidR="009D7DBD" w:rsidRPr="009D7DBD" w:rsidRDefault="009D7DBD" w:rsidP="009D7DBD">
      <w:pPr>
        <w:rPr>
          <w:sz w:val="24"/>
          <w:szCs w:val="24"/>
        </w:rPr>
      </w:pPr>
      <w:r w:rsidRPr="009D7DBD">
        <w:rPr>
          <w:b/>
          <w:sz w:val="24"/>
          <w:szCs w:val="24"/>
        </w:rPr>
        <w:t xml:space="preserve">ACKNOWLEDGEMENTS </w:t>
      </w:r>
      <w:r w:rsidRPr="009D7DBD">
        <w:rPr>
          <w:sz w:val="24"/>
          <w:szCs w:val="24"/>
        </w:rPr>
        <w:t xml:space="preserve">  </w:t>
      </w:r>
    </w:p>
    <w:p w14:paraId="74882DEA" w14:textId="7E2B06B9" w:rsidR="00AA7591" w:rsidRDefault="009D7DBD" w:rsidP="00AA7591">
      <w:pPr>
        <w:rPr>
          <w:color w:val="000000"/>
          <w:sz w:val="24"/>
          <w:szCs w:val="24"/>
        </w:rPr>
      </w:pPr>
      <w:r w:rsidRPr="009D7DBD">
        <w:rPr>
          <w:sz w:val="24"/>
          <w:szCs w:val="24"/>
        </w:rPr>
        <w:t xml:space="preserve">This research was partially supported by the U.S. Department of Transportation through the Data-Supported Transportation Operations and Planning (D-STOP) Tier 1 University Transportation Center. The </w:t>
      </w:r>
      <w:r w:rsidR="002E578D">
        <w:rPr>
          <w:sz w:val="24"/>
          <w:szCs w:val="24"/>
        </w:rPr>
        <w:t xml:space="preserve">first </w:t>
      </w:r>
      <w:r w:rsidRPr="009D7DBD">
        <w:rPr>
          <w:sz w:val="24"/>
          <w:szCs w:val="24"/>
        </w:rPr>
        <w:t>author acknowledges funding support from CAPES and the Brazilian Government, and the third author acknowledges support from a Humboldt Research Award from the Alexander von Humboldt Foundation, Germany</w:t>
      </w:r>
      <w:r w:rsidRPr="00AA7591">
        <w:rPr>
          <w:sz w:val="24"/>
          <w:szCs w:val="24"/>
        </w:rPr>
        <w:t>. The authors are grateful to Lisa Macias for her help in formatting this document.</w:t>
      </w:r>
      <w:r w:rsidRPr="00AA7591">
        <w:rPr>
          <w:rFonts w:cs="Times New Roman"/>
          <w:b/>
          <w:sz w:val="24"/>
          <w:szCs w:val="24"/>
        </w:rPr>
        <w:t xml:space="preserve"> </w:t>
      </w:r>
      <w:r w:rsidR="00AA7591">
        <w:rPr>
          <w:color w:val="000000"/>
          <w:sz w:val="24"/>
          <w:szCs w:val="24"/>
        </w:rPr>
        <w:t>Two</w:t>
      </w:r>
      <w:r w:rsidR="00AA7591" w:rsidRPr="00AA7591">
        <w:rPr>
          <w:color w:val="000000"/>
          <w:sz w:val="24"/>
          <w:szCs w:val="24"/>
        </w:rPr>
        <w:t xml:space="preserve"> anonymous reviewers provided useful comments on an earlier version of this paper.</w:t>
      </w:r>
    </w:p>
    <w:p w14:paraId="3C4FF9D0" w14:textId="2FA5FC95" w:rsidR="00AF148C" w:rsidRPr="009D7DBD" w:rsidRDefault="00AF148C" w:rsidP="009D7DBD">
      <w:pPr>
        <w:rPr>
          <w:rFonts w:cs="Times New Roman"/>
          <w:b/>
          <w:sz w:val="24"/>
          <w:szCs w:val="24"/>
        </w:rPr>
      </w:pPr>
      <w:r w:rsidRPr="009D7DBD">
        <w:rPr>
          <w:rFonts w:cs="Times New Roman"/>
          <w:b/>
          <w:sz w:val="24"/>
          <w:szCs w:val="24"/>
        </w:rPr>
        <w:br w:type="page"/>
      </w:r>
    </w:p>
    <w:p w14:paraId="643295C3" w14:textId="49EB4634" w:rsidR="006626EF" w:rsidRPr="008D3590" w:rsidRDefault="006626EF" w:rsidP="004356A9">
      <w:pPr>
        <w:outlineLvl w:val="0"/>
        <w:rPr>
          <w:rFonts w:cs="Times New Roman"/>
          <w:b/>
          <w:sz w:val="24"/>
          <w:szCs w:val="24"/>
        </w:rPr>
      </w:pPr>
      <w:r w:rsidRPr="008D3590">
        <w:rPr>
          <w:rFonts w:cs="Times New Roman"/>
          <w:b/>
          <w:sz w:val="24"/>
          <w:szCs w:val="24"/>
        </w:rPr>
        <w:lastRenderedPageBreak/>
        <w:t>REFERENCES</w:t>
      </w:r>
    </w:p>
    <w:p w14:paraId="7F8875B6" w14:textId="5E096594"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proofErr w:type="spellStart"/>
      <w:r w:rsidRPr="00DD4E8B">
        <w:rPr>
          <w:rFonts w:cs="Times New Roman"/>
          <w:color w:val="000000" w:themeColor="text1"/>
          <w:sz w:val="24"/>
          <w:szCs w:val="24"/>
          <w:shd w:val="clear" w:color="auto" w:fill="FFFFFF"/>
        </w:rPr>
        <w:t>Asgari</w:t>
      </w:r>
      <w:proofErr w:type="spellEnd"/>
      <w:r w:rsidRPr="00DD4E8B">
        <w:rPr>
          <w:rFonts w:cs="Times New Roman"/>
          <w:color w:val="000000" w:themeColor="text1"/>
          <w:sz w:val="24"/>
          <w:szCs w:val="24"/>
          <w:shd w:val="clear" w:color="auto" w:fill="FFFFFF"/>
        </w:rPr>
        <w:t xml:space="preserve">, H., </w:t>
      </w:r>
      <w:proofErr w:type="spellStart"/>
      <w:r w:rsidRPr="00DD4E8B">
        <w:rPr>
          <w:rFonts w:cs="Times New Roman"/>
          <w:color w:val="000000" w:themeColor="text1"/>
          <w:sz w:val="24"/>
          <w:szCs w:val="24"/>
          <w:shd w:val="clear" w:color="auto" w:fill="FFFFFF"/>
        </w:rPr>
        <w:t>Jin</w:t>
      </w:r>
      <w:proofErr w:type="spellEnd"/>
      <w:r w:rsidRPr="00DD4E8B">
        <w:rPr>
          <w:rFonts w:cs="Times New Roman"/>
          <w:color w:val="000000" w:themeColor="text1"/>
          <w:sz w:val="24"/>
          <w:szCs w:val="24"/>
          <w:shd w:val="clear" w:color="auto" w:fill="FFFFFF"/>
        </w:rPr>
        <w:t xml:space="preserve">, X. and </w:t>
      </w:r>
      <w:proofErr w:type="spellStart"/>
      <w:r w:rsidRPr="00DD4E8B">
        <w:rPr>
          <w:rFonts w:cs="Times New Roman"/>
          <w:color w:val="000000" w:themeColor="text1"/>
          <w:sz w:val="24"/>
          <w:szCs w:val="24"/>
          <w:shd w:val="clear" w:color="auto" w:fill="FFFFFF"/>
        </w:rPr>
        <w:t>Mohseni</w:t>
      </w:r>
      <w:proofErr w:type="spellEnd"/>
      <w:r w:rsidRPr="00DD4E8B">
        <w:rPr>
          <w:rFonts w:cs="Times New Roman"/>
          <w:color w:val="000000" w:themeColor="text1"/>
          <w:sz w:val="24"/>
          <w:szCs w:val="24"/>
          <w:shd w:val="clear" w:color="auto" w:fill="FFFFFF"/>
        </w:rPr>
        <w:t xml:space="preserve">, A., 2014. Choice, </w:t>
      </w:r>
      <w:r w:rsidR="00D06F0A" w:rsidRPr="00DD4E8B">
        <w:rPr>
          <w:rFonts w:cs="Times New Roman"/>
          <w:color w:val="000000" w:themeColor="text1"/>
          <w:sz w:val="24"/>
          <w:szCs w:val="24"/>
          <w:shd w:val="clear" w:color="auto" w:fill="FFFFFF"/>
        </w:rPr>
        <w:t>f</w:t>
      </w:r>
      <w:r w:rsidRPr="00DD4E8B">
        <w:rPr>
          <w:rFonts w:cs="Times New Roman"/>
          <w:color w:val="000000" w:themeColor="text1"/>
          <w:sz w:val="24"/>
          <w:szCs w:val="24"/>
          <w:shd w:val="clear" w:color="auto" w:fill="FFFFFF"/>
        </w:rPr>
        <w:t xml:space="preserve">requency, and </w:t>
      </w:r>
      <w:r w:rsidR="00D06F0A" w:rsidRPr="00DD4E8B">
        <w:rPr>
          <w:rFonts w:cs="Times New Roman"/>
          <w:color w:val="000000" w:themeColor="text1"/>
          <w:sz w:val="24"/>
          <w:szCs w:val="24"/>
          <w:shd w:val="clear" w:color="auto" w:fill="FFFFFF"/>
        </w:rPr>
        <w:t>e</w:t>
      </w:r>
      <w:r w:rsidRPr="00DD4E8B">
        <w:rPr>
          <w:rFonts w:cs="Times New Roman"/>
          <w:color w:val="000000" w:themeColor="text1"/>
          <w:sz w:val="24"/>
          <w:szCs w:val="24"/>
          <w:shd w:val="clear" w:color="auto" w:fill="FFFFFF"/>
        </w:rPr>
        <w:t xml:space="preserve">ngagement: Framework for </w:t>
      </w:r>
      <w:r w:rsidR="00D06F0A" w:rsidRPr="00DD4E8B">
        <w:rPr>
          <w:rFonts w:cs="Times New Roman"/>
          <w:color w:val="000000" w:themeColor="text1"/>
          <w:sz w:val="24"/>
          <w:szCs w:val="24"/>
          <w:shd w:val="clear" w:color="auto" w:fill="FFFFFF"/>
        </w:rPr>
        <w:t>t</w:t>
      </w:r>
      <w:r w:rsidRPr="00DD4E8B">
        <w:rPr>
          <w:rFonts w:cs="Times New Roman"/>
          <w:color w:val="000000" w:themeColor="text1"/>
          <w:sz w:val="24"/>
          <w:szCs w:val="24"/>
          <w:shd w:val="clear" w:color="auto" w:fill="FFFFFF"/>
        </w:rPr>
        <w:t xml:space="preserve">elecommuting </w:t>
      </w:r>
      <w:r w:rsidR="00D06F0A" w:rsidRPr="00DD4E8B">
        <w:rPr>
          <w:rFonts w:cs="Times New Roman"/>
          <w:color w:val="000000" w:themeColor="text1"/>
          <w:sz w:val="24"/>
          <w:szCs w:val="24"/>
          <w:shd w:val="clear" w:color="auto" w:fill="FFFFFF"/>
        </w:rPr>
        <w:t>b</w:t>
      </w:r>
      <w:r w:rsidRPr="00DD4E8B">
        <w:rPr>
          <w:rFonts w:cs="Times New Roman"/>
          <w:color w:val="000000" w:themeColor="text1"/>
          <w:sz w:val="24"/>
          <w:szCs w:val="24"/>
          <w:shd w:val="clear" w:color="auto" w:fill="FFFFFF"/>
        </w:rPr>
        <w:t xml:space="preserve">ehavior </w:t>
      </w:r>
      <w:r w:rsidR="00D06F0A" w:rsidRPr="00DD4E8B">
        <w:rPr>
          <w:rFonts w:cs="Times New Roman"/>
          <w:color w:val="000000" w:themeColor="text1"/>
          <w:sz w:val="24"/>
          <w:szCs w:val="24"/>
          <w:shd w:val="clear" w:color="auto" w:fill="FFFFFF"/>
        </w:rPr>
        <w:t>a</w:t>
      </w:r>
      <w:r w:rsidRPr="00DD4E8B">
        <w:rPr>
          <w:rFonts w:cs="Times New Roman"/>
          <w:color w:val="000000" w:themeColor="text1"/>
          <w:sz w:val="24"/>
          <w:szCs w:val="24"/>
          <w:shd w:val="clear" w:color="auto" w:fill="FFFFFF"/>
        </w:rPr>
        <w:t xml:space="preserve">nalysis and </w:t>
      </w:r>
      <w:r w:rsidR="00D06F0A" w:rsidRPr="00DD4E8B">
        <w:rPr>
          <w:rFonts w:cs="Times New Roman"/>
          <w:color w:val="000000" w:themeColor="text1"/>
          <w:sz w:val="24"/>
          <w:szCs w:val="24"/>
          <w:shd w:val="clear" w:color="auto" w:fill="FFFFFF"/>
        </w:rPr>
        <w:t>m</w:t>
      </w:r>
      <w:r w:rsidRPr="00DD4E8B">
        <w:rPr>
          <w:rFonts w:cs="Times New Roman"/>
          <w:color w:val="000000" w:themeColor="text1"/>
          <w:sz w:val="24"/>
          <w:szCs w:val="24"/>
          <w:shd w:val="clear" w:color="auto" w:fill="FFFFFF"/>
        </w:rPr>
        <w:t>odeling. </w:t>
      </w:r>
      <w:r w:rsidRPr="00DD4E8B">
        <w:rPr>
          <w:rFonts w:cs="Times New Roman"/>
          <w:i/>
          <w:iCs/>
          <w:color w:val="000000" w:themeColor="text1"/>
          <w:sz w:val="24"/>
          <w:szCs w:val="24"/>
          <w:shd w:val="clear" w:color="auto" w:fill="FFFFFF"/>
        </w:rPr>
        <w:t>Transportation Research Record: Journal of the Transportation Research Board</w:t>
      </w:r>
      <w:r w:rsidR="00D06F0A" w:rsidRPr="00DD4E8B">
        <w:rPr>
          <w:rFonts w:cs="Times New Roman"/>
          <w:color w:val="000000" w:themeColor="text1"/>
          <w:sz w:val="24"/>
          <w:szCs w:val="24"/>
          <w:shd w:val="clear" w:color="auto" w:fill="FFFFFF"/>
        </w:rPr>
        <w:t>, 2413</w:t>
      </w:r>
      <w:r w:rsidRPr="00DD4E8B">
        <w:rPr>
          <w:rFonts w:cs="Times New Roman"/>
          <w:color w:val="000000" w:themeColor="text1"/>
          <w:sz w:val="24"/>
          <w:szCs w:val="24"/>
          <w:shd w:val="clear" w:color="auto" w:fill="FFFFFF"/>
        </w:rPr>
        <w:t>, 101-109.</w:t>
      </w:r>
    </w:p>
    <w:p w14:paraId="1FD138E2" w14:textId="21C1D1AC" w:rsidR="00C04E4A" w:rsidRDefault="00C04E4A" w:rsidP="00881C66">
      <w:pPr>
        <w:spacing w:after="120" w:line="240" w:lineRule="auto"/>
        <w:ind w:left="540" w:hanging="529"/>
        <w:rPr>
          <w:rFonts w:cs="Times New Roman"/>
          <w:color w:val="000000" w:themeColor="text1"/>
          <w:sz w:val="24"/>
          <w:szCs w:val="24"/>
          <w:shd w:val="clear" w:color="auto" w:fill="FFFFFF"/>
        </w:rPr>
      </w:pPr>
      <w:proofErr w:type="spellStart"/>
      <w:r w:rsidRPr="00DD4E8B">
        <w:rPr>
          <w:rFonts w:cs="Times New Roman"/>
          <w:color w:val="000000" w:themeColor="text1"/>
          <w:sz w:val="24"/>
          <w:szCs w:val="24"/>
          <w:shd w:val="clear" w:color="auto" w:fill="FFFFFF"/>
        </w:rPr>
        <w:t>Astroza</w:t>
      </w:r>
      <w:proofErr w:type="spellEnd"/>
      <w:r w:rsidRPr="00DD4E8B">
        <w:rPr>
          <w:rFonts w:cs="Times New Roman"/>
          <w:color w:val="000000" w:themeColor="text1"/>
          <w:sz w:val="24"/>
          <w:szCs w:val="24"/>
          <w:shd w:val="clear" w:color="auto" w:fill="FFFFFF"/>
        </w:rPr>
        <w:t xml:space="preserve">, S., </w:t>
      </w:r>
      <w:proofErr w:type="spellStart"/>
      <w:r w:rsidRPr="00DD4E8B">
        <w:rPr>
          <w:rFonts w:cs="Times New Roman"/>
          <w:color w:val="000000" w:themeColor="text1"/>
          <w:sz w:val="24"/>
          <w:szCs w:val="24"/>
          <w:shd w:val="clear" w:color="auto" w:fill="FFFFFF"/>
        </w:rPr>
        <w:t>Garikapati</w:t>
      </w:r>
      <w:proofErr w:type="spellEnd"/>
      <w:r w:rsidRPr="00DD4E8B">
        <w:rPr>
          <w:rFonts w:cs="Times New Roman"/>
          <w:color w:val="000000" w:themeColor="text1"/>
          <w:sz w:val="24"/>
          <w:szCs w:val="24"/>
          <w:shd w:val="clear" w:color="auto" w:fill="FFFFFF"/>
        </w:rPr>
        <w:t xml:space="preserve">, V.M., Bhat, C.R., </w:t>
      </w:r>
      <w:proofErr w:type="spellStart"/>
      <w:r w:rsidRPr="00DD4E8B">
        <w:rPr>
          <w:rFonts w:cs="Times New Roman"/>
          <w:color w:val="000000" w:themeColor="text1"/>
          <w:sz w:val="24"/>
          <w:szCs w:val="24"/>
          <w:shd w:val="clear" w:color="auto" w:fill="FFFFFF"/>
        </w:rPr>
        <w:t>Pendyala</w:t>
      </w:r>
      <w:proofErr w:type="spellEnd"/>
      <w:r w:rsidRPr="00DD4E8B">
        <w:rPr>
          <w:rFonts w:cs="Times New Roman"/>
          <w:color w:val="000000" w:themeColor="text1"/>
          <w:sz w:val="24"/>
          <w:szCs w:val="24"/>
          <w:shd w:val="clear" w:color="auto" w:fill="FFFFFF"/>
        </w:rPr>
        <w:t xml:space="preserve">, R.M., </w:t>
      </w:r>
      <w:proofErr w:type="spellStart"/>
      <w:r w:rsidRPr="00DD4E8B">
        <w:rPr>
          <w:rFonts w:cs="Times New Roman"/>
          <w:color w:val="000000" w:themeColor="text1"/>
          <w:sz w:val="24"/>
          <w:szCs w:val="24"/>
          <w:shd w:val="clear" w:color="auto" w:fill="FFFFFF"/>
        </w:rPr>
        <w:t>Lavieri</w:t>
      </w:r>
      <w:proofErr w:type="spellEnd"/>
      <w:r w:rsidRPr="00DD4E8B">
        <w:rPr>
          <w:rFonts w:cs="Times New Roman"/>
          <w:color w:val="000000" w:themeColor="text1"/>
          <w:sz w:val="24"/>
          <w:szCs w:val="24"/>
          <w:shd w:val="clear" w:color="auto" w:fill="FFFFFF"/>
        </w:rPr>
        <w:t>, P.S. and Dias, F.F., 2017. </w:t>
      </w:r>
      <w:r w:rsidRPr="00DD4E8B">
        <w:rPr>
          <w:rFonts w:cs="Times New Roman"/>
          <w:iCs/>
          <w:color w:val="000000" w:themeColor="text1"/>
          <w:sz w:val="24"/>
          <w:szCs w:val="24"/>
          <w:shd w:val="clear" w:color="auto" w:fill="FFFFFF"/>
        </w:rPr>
        <w:t xml:space="preserve">Analysis of the </w:t>
      </w:r>
      <w:r w:rsidR="00D06F0A" w:rsidRPr="00DD4E8B">
        <w:rPr>
          <w:rFonts w:cs="Times New Roman"/>
          <w:iCs/>
          <w:color w:val="000000" w:themeColor="text1"/>
          <w:sz w:val="24"/>
          <w:szCs w:val="24"/>
          <w:shd w:val="clear" w:color="auto" w:fill="FFFFFF"/>
        </w:rPr>
        <w:t>i</w:t>
      </w:r>
      <w:r w:rsidRPr="00DD4E8B">
        <w:rPr>
          <w:rFonts w:cs="Times New Roman"/>
          <w:iCs/>
          <w:color w:val="000000" w:themeColor="text1"/>
          <w:sz w:val="24"/>
          <w:szCs w:val="24"/>
          <w:shd w:val="clear" w:color="auto" w:fill="FFFFFF"/>
        </w:rPr>
        <w:t xml:space="preserve">mpact of </w:t>
      </w:r>
      <w:r w:rsidR="00D06F0A" w:rsidRPr="00DD4E8B">
        <w:rPr>
          <w:rFonts w:cs="Times New Roman"/>
          <w:iCs/>
          <w:color w:val="000000" w:themeColor="text1"/>
          <w:sz w:val="24"/>
          <w:szCs w:val="24"/>
          <w:shd w:val="clear" w:color="auto" w:fill="FFFFFF"/>
        </w:rPr>
        <w:t>t</w:t>
      </w:r>
      <w:r w:rsidRPr="00DD4E8B">
        <w:rPr>
          <w:rFonts w:cs="Times New Roman"/>
          <w:iCs/>
          <w:color w:val="000000" w:themeColor="text1"/>
          <w:sz w:val="24"/>
          <w:szCs w:val="24"/>
          <w:shd w:val="clear" w:color="auto" w:fill="FFFFFF"/>
        </w:rPr>
        <w:t xml:space="preserve">echnology </w:t>
      </w:r>
      <w:r w:rsidR="00D06F0A" w:rsidRPr="00DD4E8B">
        <w:rPr>
          <w:rFonts w:cs="Times New Roman"/>
          <w:iCs/>
          <w:color w:val="000000" w:themeColor="text1"/>
          <w:sz w:val="24"/>
          <w:szCs w:val="24"/>
          <w:shd w:val="clear" w:color="auto" w:fill="FFFFFF"/>
        </w:rPr>
        <w:t>u</w:t>
      </w:r>
      <w:r w:rsidRPr="00DD4E8B">
        <w:rPr>
          <w:rFonts w:cs="Times New Roman"/>
          <w:iCs/>
          <w:color w:val="000000" w:themeColor="text1"/>
          <w:sz w:val="24"/>
          <w:szCs w:val="24"/>
          <w:shd w:val="clear" w:color="auto" w:fill="FFFFFF"/>
        </w:rPr>
        <w:t xml:space="preserve">se on </w:t>
      </w:r>
      <w:r w:rsidR="00D06F0A" w:rsidRPr="00DD4E8B">
        <w:rPr>
          <w:rFonts w:cs="Times New Roman"/>
          <w:iCs/>
          <w:color w:val="000000" w:themeColor="text1"/>
          <w:sz w:val="24"/>
          <w:szCs w:val="24"/>
          <w:shd w:val="clear" w:color="auto" w:fill="FFFFFF"/>
        </w:rPr>
        <w:t>m</w:t>
      </w:r>
      <w:r w:rsidR="00413B20">
        <w:rPr>
          <w:rFonts w:cs="Times New Roman"/>
          <w:iCs/>
          <w:color w:val="000000" w:themeColor="text1"/>
          <w:sz w:val="24"/>
          <w:szCs w:val="24"/>
          <w:shd w:val="clear" w:color="auto" w:fill="FFFFFF"/>
        </w:rPr>
        <w:t>ulti</w:t>
      </w:r>
      <w:r w:rsidR="00D06F0A" w:rsidRPr="00DD4E8B">
        <w:rPr>
          <w:rFonts w:cs="Times New Roman"/>
          <w:iCs/>
          <w:color w:val="000000" w:themeColor="text1"/>
          <w:sz w:val="24"/>
          <w:szCs w:val="24"/>
          <w:shd w:val="clear" w:color="auto" w:fill="FFFFFF"/>
        </w:rPr>
        <w:t>m</w:t>
      </w:r>
      <w:r w:rsidRPr="00DD4E8B">
        <w:rPr>
          <w:rFonts w:cs="Times New Roman"/>
          <w:iCs/>
          <w:color w:val="000000" w:themeColor="text1"/>
          <w:sz w:val="24"/>
          <w:szCs w:val="24"/>
          <w:shd w:val="clear" w:color="auto" w:fill="FFFFFF"/>
        </w:rPr>
        <w:t xml:space="preserve">odality and </w:t>
      </w:r>
      <w:r w:rsidR="00D06F0A" w:rsidRPr="00DD4E8B">
        <w:rPr>
          <w:rFonts w:cs="Times New Roman"/>
          <w:iCs/>
          <w:color w:val="000000" w:themeColor="text1"/>
          <w:sz w:val="24"/>
          <w:szCs w:val="24"/>
          <w:shd w:val="clear" w:color="auto" w:fill="FFFFFF"/>
        </w:rPr>
        <w:t>a</w:t>
      </w:r>
      <w:r w:rsidR="00413B20">
        <w:rPr>
          <w:rFonts w:cs="Times New Roman"/>
          <w:iCs/>
          <w:color w:val="000000" w:themeColor="text1"/>
          <w:sz w:val="24"/>
          <w:szCs w:val="24"/>
          <w:shd w:val="clear" w:color="auto" w:fill="FFFFFF"/>
        </w:rPr>
        <w:t xml:space="preserve">ctivity </w:t>
      </w:r>
      <w:r w:rsidR="00D06F0A" w:rsidRPr="00DD4E8B">
        <w:rPr>
          <w:rFonts w:cs="Times New Roman"/>
          <w:iCs/>
          <w:color w:val="000000" w:themeColor="text1"/>
          <w:sz w:val="24"/>
          <w:szCs w:val="24"/>
          <w:shd w:val="clear" w:color="auto" w:fill="FFFFFF"/>
        </w:rPr>
        <w:t>t</w:t>
      </w:r>
      <w:r w:rsidRPr="00DD4E8B">
        <w:rPr>
          <w:rFonts w:cs="Times New Roman"/>
          <w:iCs/>
          <w:color w:val="000000" w:themeColor="text1"/>
          <w:sz w:val="24"/>
          <w:szCs w:val="24"/>
          <w:shd w:val="clear" w:color="auto" w:fill="FFFFFF"/>
        </w:rPr>
        <w:t xml:space="preserve">ravel </w:t>
      </w:r>
      <w:r w:rsidR="00D06F0A" w:rsidRPr="00DD4E8B">
        <w:rPr>
          <w:rFonts w:cs="Times New Roman"/>
          <w:iCs/>
          <w:color w:val="000000" w:themeColor="text1"/>
          <w:sz w:val="24"/>
          <w:szCs w:val="24"/>
          <w:shd w:val="clear" w:color="auto" w:fill="FFFFFF"/>
        </w:rPr>
        <w:t>c</w:t>
      </w:r>
      <w:r w:rsidRPr="00DD4E8B">
        <w:rPr>
          <w:rFonts w:cs="Times New Roman"/>
          <w:iCs/>
          <w:color w:val="000000" w:themeColor="text1"/>
          <w:sz w:val="24"/>
          <w:szCs w:val="24"/>
          <w:shd w:val="clear" w:color="auto" w:fill="FFFFFF"/>
        </w:rPr>
        <w:t>haracteristics</w:t>
      </w:r>
      <w:r w:rsidR="009037E7" w:rsidRPr="00DD4E8B">
        <w:rPr>
          <w:rFonts w:cs="Times New Roman"/>
          <w:color w:val="000000" w:themeColor="text1"/>
          <w:sz w:val="24"/>
          <w:szCs w:val="24"/>
          <w:shd w:val="clear" w:color="auto" w:fill="FFFFFF"/>
        </w:rPr>
        <w:t>.</w:t>
      </w:r>
      <w:r w:rsidR="009037E7" w:rsidRPr="00DD4E8B">
        <w:rPr>
          <w:rFonts w:cs="Times New Roman"/>
          <w:color w:val="000000" w:themeColor="text1"/>
          <w:sz w:val="24"/>
          <w:szCs w:val="24"/>
        </w:rPr>
        <w:t xml:space="preserve"> </w:t>
      </w:r>
      <w:r w:rsidR="009037E7" w:rsidRPr="00DD4E8B">
        <w:rPr>
          <w:rFonts w:cs="Times New Roman"/>
          <w:i/>
          <w:iCs/>
          <w:color w:val="000000" w:themeColor="text1"/>
          <w:sz w:val="24"/>
          <w:szCs w:val="24"/>
        </w:rPr>
        <w:t xml:space="preserve">Transportation Research Record: </w:t>
      </w:r>
      <w:r w:rsidR="009037E7" w:rsidRPr="00DD4E8B">
        <w:rPr>
          <w:rFonts w:cs="Times New Roman"/>
          <w:i/>
          <w:iCs/>
          <w:color w:val="000000" w:themeColor="text1"/>
          <w:sz w:val="24"/>
          <w:szCs w:val="24"/>
          <w:shd w:val="clear" w:color="auto" w:fill="FFFFFF"/>
        </w:rPr>
        <w:t>Journal of the Transportation Research Board</w:t>
      </w:r>
      <w:r w:rsidR="009037E7" w:rsidRPr="00DD4E8B">
        <w:rPr>
          <w:rFonts w:cs="Times New Roman"/>
          <w:iCs/>
          <w:color w:val="000000" w:themeColor="text1"/>
          <w:sz w:val="24"/>
          <w:szCs w:val="24"/>
          <w:shd w:val="clear" w:color="auto" w:fill="FFFFFF"/>
        </w:rPr>
        <w:t xml:space="preserve">, </w:t>
      </w:r>
      <w:r w:rsidR="00413B20">
        <w:rPr>
          <w:rFonts w:cs="Times New Roman"/>
          <w:iCs/>
          <w:color w:val="000000" w:themeColor="text1"/>
          <w:sz w:val="24"/>
          <w:szCs w:val="24"/>
          <w:shd w:val="clear" w:color="auto" w:fill="FFFFFF"/>
        </w:rPr>
        <w:t>2666, 19-28</w:t>
      </w:r>
      <w:r w:rsidRPr="00DD4E8B">
        <w:rPr>
          <w:rFonts w:cs="Times New Roman"/>
          <w:color w:val="000000" w:themeColor="text1"/>
          <w:sz w:val="24"/>
          <w:szCs w:val="24"/>
          <w:shd w:val="clear" w:color="auto" w:fill="FFFFFF"/>
        </w:rPr>
        <w:t>.</w:t>
      </w:r>
    </w:p>
    <w:p w14:paraId="04E095BD" w14:textId="7B19EA7A" w:rsidR="00413B20" w:rsidRPr="00413B20" w:rsidRDefault="005B4418" w:rsidP="00881C66">
      <w:pPr>
        <w:spacing w:after="120" w:line="240" w:lineRule="auto"/>
        <w:ind w:left="540" w:hanging="529"/>
        <w:rPr>
          <w:rFonts w:cs="Times New Roman"/>
          <w:sz w:val="24"/>
          <w:szCs w:val="24"/>
          <w:shd w:val="clear" w:color="auto" w:fill="FFFFFF"/>
        </w:rPr>
      </w:pPr>
      <w:r w:rsidRPr="00413B20">
        <w:rPr>
          <w:rFonts w:cs="Times New Roman"/>
          <w:sz w:val="24"/>
          <w:szCs w:val="24"/>
          <w:shd w:val="clear" w:color="auto" w:fill="FFFFFF"/>
        </w:rPr>
        <w:t>Bandura, A., 1982. Self-efficacy mechanism in human agency. </w:t>
      </w:r>
      <w:r w:rsidRPr="00413B20">
        <w:rPr>
          <w:rFonts w:cs="Times New Roman"/>
          <w:i/>
          <w:iCs/>
          <w:sz w:val="24"/>
          <w:szCs w:val="24"/>
          <w:shd w:val="clear" w:color="auto" w:fill="FFFFFF"/>
        </w:rPr>
        <w:t xml:space="preserve">American </w:t>
      </w:r>
      <w:r w:rsidR="00413B20" w:rsidRPr="00413B20">
        <w:rPr>
          <w:rFonts w:cs="Times New Roman"/>
          <w:i/>
          <w:iCs/>
          <w:sz w:val="24"/>
          <w:szCs w:val="24"/>
          <w:shd w:val="clear" w:color="auto" w:fill="FFFFFF"/>
        </w:rPr>
        <w:t>P</w:t>
      </w:r>
      <w:r w:rsidRPr="00413B20">
        <w:rPr>
          <w:rFonts w:cs="Times New Roman"/>
          <w:i/>
          <w:iCs/>
          <w:sz w:val="24"/>
          <w:szCs w:val="24"/>
          <w:shd w:val="clear" w:color="auto" w:fill="FFFFFF"/>
        </w:rPr>
        <w:t>sychologist</w:t>
      </w:r>
      <w:r w:rsidRPr="00413B20">
        <w:rPr>
          <w:rFonts w:cs="Times New Roman"/>
          <w:sz w:val="24"/>
          <w:szCs w:val="24"/>
          <w:shd w:val="clear" w:color="auto" w:fill="FFFFFF"/>
        </w:rPr>
        <w:t>, </w:t>
      </w:r>
      <w:r w:rsidRPr="00413B20">
        <w:rPr>
          <w:rFonts w:cs="Times New Roman"/>
          <w:iCs/>
          <w:sz w:val="24"/>
          <w:szCs w:val="24"/>
          <w:shd w:val="clear" w:color="auto" w:fill="FFFFFF"/>
        </w:rPr>
        <w:t>37</w:t>
      </w:r>
      <w:r w:rsidRPr="00413B20">
        <w:rPr>
          <w:rFonts w:cs="Times New Roman"/>
          <w:sz w:val="24"/>
          <w:szCs w:val="24"/>
          <w:shd w:val="clear" w:color="auto" w:fill="FFFFFF"/>
        </w:rPr>
        <w:t>(2), 122</w:t>
      </w:r>
      <w:r w:rsidR="00413B20">
        <w:rPr>
          <w:rFonts w:cs="Times New Roman"/>
          <w:sz w:val="24"/>
          <w:szCs w:val="24"/>
          <w:shd w:val="clear" w:color="auto" w:fill="FFFFFF"/>
        </w:rPr>
        <w:t>-147</w:t>
      </w:r>
      <w:r w:rsidRPr="00413B20">
        <w:rPr>
          <w:rFonts w:cs="Times New Roman"/>
          <w:sz w:val="24"/>
          <w:szCs w:val="24"/>
          <w:shd w:val="clear" w:color="auto" w:fill="FFFFFF"/>
        </w:rPr>
        <w:t>.</w:t>
      </w:r>
    </w:p>
    <w:p w14:paraId="5FC3AECE" w14:textId="36DD3692" w:rsidR="00E52527" w:rsidRPr="00413B20" w:rsidRDefault="00E52527" w:rsidP="00881C66">
      <w:pPr>
        <w:spacing w:after="120" w:line="240" w:lineRule="auto"/>
        <w:ind w:left="540" w:hanging="529"/>
        <w:rPr>
          <w:sz w:val="24"/>
        </w:rPr>
      </w:pPr>
      <w:r w:rsidRPr="00413B20">
        <w:rPr>
          <w:sz w:val="24"/>
        </w:rPr>
        <w:t>Ben-</w:t>
      </w:r>
      <w:proofErr w:type="spellStart"/>
      <w:r w:rsidRPr="00413B20">
        <w:rPr>
          <w:sz w:val="24"/>
        </w:rPr>
        <w:t>Akiva</w:t>
      </w:r>
      <w:proofErr w:type="spellEnd"/>
      <w:r w:rsidRPr="00413B20">
        <w:rPr>
          <w:sz w:val="24"/>
        </w:rPr>
        <w:t xml:space="preserve">, M., </w:t>
      </w:r>
      <w:proofErr w:type="spellStart"/>
      <w:r w:rsidRPr="00413B20">
        <w:rPr>
          <w:sz w:val="24"/>
        </w:rPr>
        <w:t>Lerman</w:t>
      </w:r>
      <w:proofErr w:type="spellEnd"/>
      <w:r w:rsidRPr="00413B20">
        <w:rPr>
          <w:sz w:val="24"/>
        </w:rPr>
        <w:t xml:space="preserve">, S.R., 1985. </w:t>
      </w:r>
      <w:r w:rsidRPr="00413B20">
        <w:rPr>
          <w:i/>
          <w:sz w:val="24"/>
        </w:rPr>
        <w:t>Discrete Choice Analysis: Theory and Application to Travel Demand</w:t>
      </w:r>
      <w:r w:rsidRPr="00413B20">
        <w:rPr>
          <w:sz w:val="24"/>
        </w:rPr>
        <w:t xml:space="preserve">, </w:t>
      </w:r>
      <w:proofErr w:type="gramStart"/>
      <w:r w:rsidRPr="00413B20">
        <w:rPr>
          <w:sz w:val="24"/>
        </w:rPr>
        <w:t>The</w:t>
      </w:r>
      <w:proofErr w:type="gramEnd"/>
      <w:r w:rsidRPr="00413B20">
        <w:rPr>
          <w:sz w:val="24"/>
        </w:rPr>
        <w:t xml:space="preserve"> MIT Press, Cambridge, Massachusetts.</w:t>
      </w:r>
    </w:p>
    <w:p w14:paraId="015A2519" w14:textId="5B2A4818" w:rsidR="00C04E4A" w:rsidRPr="00413B20" w:rsidRDefault="00C04E4A" w:rsidP="009037E7">
      <w:pPr>
        <w:spacing w:after="120" w:line="240" w:lineRule="auto"/>
        <w:ind w:left="540" w:hanging="529"/>
        <w:rPr>
          <w:rFonts w:cs="Times New Roman"/>
          <w:sz w:val="24"/>
          <w:szCs w:val="24"/>
          <w:shd w:val="clear" w:color="auto" w:fill="FFFFFF"/>
        </w:rPr>
      </w:pPr>
      <w:r w:rsidRPr="00413B20">
        <w:rPr>
          <w:rFonts w:cs="Times New Roman"/>
          <w:sz w:val="24"/>
          <w:szCs w:val="24"/>
          <w:shd w:val="clear" w:color="auto" w:fill="FFFFFF"/>
        </w:rPr>
        <w:t xml:space="preserve">Berliner, R.M., </w:t>
      </w:r>
      <w:proofErr w:type="spellStart"/>
      <w:r w:rsidRPr="00413B20">
        <w:rPr>
          <w:rFonts w:cs="Times New Roman"/>
          <w:sz w:val="24"/>
          <w:szCs w:val="24"/>
          <w:shd w:val="clear" w:color="auto" w:fill="FFFFFF"/>
        </w:rPr>
        <w:t>Malokin</w:t>
      </w:r>
      <w:proofErr w:type="spellEnd"/>
      <w:r w:rsidRPr="00413B20">
        <w:rPr>
          <w:rFonts w:cs="Times New Roman"/>
          <w:sz w:val="24"/>
          <w:szCs w:val="24"/>
          <w:shd w:val="clear" w:color="auto" w:fill="FFFFFF"/>
        </w:rPr>
        <w:t xml:space="preserve">, A., </w:t>
      </w:r>
      <w:proofErr w:type="spellStart"/>
      <w:r w:rsidRPr="00413B20">
        <w:rPr>
          <w:rFonts w:cs="Times New Roman"/>
          <w:sz w:val="24"/>
          <w:szCs w:val="24"/>
          <w:shd w:val="clear" w:color="auto" w:fill="FFFFFF"/>
        </w:rPr>
        <w:t>Circella</w:t>
      </w:r>
      <w:proofErr w:type="spellEnd"/>
      <w:r w:rsidRPr="00413B20">
        <w:rPr>
          <w:rFonts w:cs="Times New Roman"/>
          <w:sz w:val="24"/>
          <w:szCs w:val="24"/>
          <w:shd w:val="clear" w:color="auto" w:fill="FFFFFF"/>
        </w:rPr>
        <w:t xml:space="preserve">, G. and </w:t>
      </w:r>
      <w:proofErr w:type="spellStart"/>
      <w:r w:rsidRPr="00413B20">
        <w:rPr>
          <w:rFonts w:cs="Times New Roman"/>
          <w:sz w:val="24"/>
          <w:szCs w:val="24"/>
          <w:shd w:val="clear" w:color="auto" w:fill="FFFFFF"/>
        </w:rPr>
        <w:t>Mokhtarian</w:t>
      </w:r>
      <w:proofErr w:type="spellEnd"/>
      <w:r w:rsidRPr="00413B20">
        <w:rPr>
          <w:rFonts w:cs="Times New Roman"/>
          <w:sz w:val="24"/>
          <w:szCs w:val="24"/>
          <w:shd w:val="clear" w:color="auto" w:fill="FFFFFF"/>
        </w:rPr>
        <w:t xml:space="preserve">, P.L., 2015. Travel-based multitasking: </w:t>
      </w:r>
      <w:r w:rsidR="005D1C21">
        <w:rPr>
          <w:rFonts w:cs="Times New Roman"/>
          <w:sz w:val="24"/>
          <w:szCs w:val="24"/>
          <w:shd w:val="clear" w:color="auto" w:fill="FFFFFF"/>
        </w:rPr>
        <w:t>M</w:t>
      </w:r>
      <w:r w:rsidRPr="00413B20">
        <w:rPr>
          <w:rFonts w:cs="Times New Roman"/>
          <w:sz w:val="24"/>
          <w:szCs w:val="24"/>
          <w:shd w:val="clear" w:color="auto" w:fill="FFFFFF"/>
        </w:rPr>
        <w:t>odeling the propensity to con</w:t>
      </w:r>
      <w:r w:rsidR="009037E7" w:rsidRPr="00413B20">
        <w:rPr>
          <w:rFonts w:cs="Times New Roman"/>
          <w:sz w:val="24"/>
          <w:szCs w:val="24"/>
          <w:shd w:val="clear" w:color="auto" w:fill="FFFFFF"/>
        </w:rPr>
        <w:t>duct activities while commuting</w:t>
      </w:r>
      <w:r w:rsidRPr="00413B20">
        <w:rPr>
          <w:rFonts w:cs="Times New Roman"/>
          <w:sz w:val="24"/>
          <w:szCs w:val="24"/>
          <w:shd w:val="clear" w:color="auto" w:fill="FFFFFF"/>
        </w:rPr>
        <w:t>.</w:t>
      </w:r>
      <w:r w:rsidR="009037E7" w:rsidRPr="00413B20">
        <w:rPr>
          <w:rFonts w:cs="Times New Roman"/>
          <w:sz w:val="24"/>
          <w:szCs w:val="24"/>
          <w:shd w:val="clear" w:color="auto" w:fill="FFFFFF"/>
        </w:rPr>
        <w:t xml:space="preserve"> </w:t>
      </w:r>
      <w:r w:rsidR="005763AE" w:rsidRPr="00413B20">
        <w:rPr>
          <w:rFonts w:cs="Times New Roman"/>
          <w:sz w:val="24"/>
          <w:szCs w:val="24"/>
          <w:shd w:val="clear" w:color="auto" w:fill="FFFFFF"/>
        </w:rPr>
        <w:t xml:space="preserve">Paper no. 15-5018. </w:t>
      </w:r>
      <w:r w:rsidR="009037E7" w:rsidRPr="00413B20">
        <w:rPr>
          <w:rFonts w:cs="Times New Roman"/>
          <w:sz w:val="24"/>
          <w:szCs w:val="24"/>
          <w:shd w:val="clear" w:color="auto" w:fill="FFFFFF"/>
        </w:rPr>
        <w:t>P</w:t>
      </w:r>
      <w:r w:rsidR="009037E7" w:rsidRPr="00413B20">
        <w:rPr>
          <w:rFonts w:eastAsia="Times New Roman" w:cs="Times New Roman"/>
          <w:sz w:val="24"/>
          <w:szCs w:val="24"/>
        </w:rPr>
        <w:t>resented at the 94</w:t>
      </w:r>
      <w:r w:rsidR="009037E7" w:rsidRPr="00413B20">
        <w:rPr>
          <w:rFonts w:eastAsia="Times New Roman" w:cs="Times New Roman"/>
          <w:sz w:val="24"/>
          <w:szCs w:val="24"/>
          <w:vertAlign w:val="superscript"/>
        </w:rPr>
        <w:t>th</w:t>
      </w:r>
      <w:r w:rsidR="009037E7" w:rsidRPr="00413B20">
        <w:rPr>
          <w:rFonts w:cs="Times New Roman"/>
          <w:sz w:val="24"/>
          <w:szCs w:val="24"/>
          <w:shd w:val="clear" w:color="auto" w:fill="FFFFFF"/>
        </w:rPr>
        <w:t xml:space="preserve"> </w:t>
      </w:r>
      <w:r w:rsidR="009037E7" w:rsidRPr="00413B20">
        <w:rPr>
          <w:rFonts w:eastAsia="Times New Roman" w:cs="Times New Roman"/>
          <w:sz w:val="24"/>
          <w:szCs w:val="24"/>
        </w:rPr>
        <w:t xml:space="preserve">Annual Meeting of the Transportation Research Board, Washington DC, </w:t>
      </w:r>
      <w:proofErr w:type="gramStart"/>
      <w:r w:rsidR="009037E7" w:rsidRPr="00413B20">
        <w:rPr>
          <w:rFonts w:eastAsia="Times New Roman" w:cs="Times New Roman"/>
          <w:sz w:val="24"/>
          <w:szCs w:val="24"/>
        </w:rPr>
        <w:t>January</w:t>
      </w:r>
      <w:proofErr w:type="gramEnd"/>
      <w:r w:rsidR="009037E7" w:rsidRPr="00413B20">
        <w:rPr>
          <w:rFonts w:cs="Times New Roman"/>
          <w:sz w:val="24"/>
          <w:szCs w:val="24"/>
          <w:shd w:val="clear" w:color="auto" w:fill="FFFFFF"/>
        </w:rPr>
        <w:t>.</w:t>
      </w:r>
    </w:p>
    <w:p w14:paraId="7A4DEF78" w14:textId="58C052A3"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Benz, M. and Frey, B.S., 2008. Being independent is a great thing: Subjective evaluations of self</w:t>
      </w:r>
      <w:r w:rsidRPr="00DD4E8B">
        <w:rPr>
          <w:rFonts w:ascii="Cambria Math" w:eastAsia="Calibri" w:hAnsi="Cambria Math" w:cs="Cambria Math"/>
          <w:color w:val="000000" w:themeColor="text1"/>
          <w:sz w:val="24"/>
          <w:szCs w:val="24"/>
          <w:shd w:val="clear" w:color="auto" w:fill="FFFFFF"/>
        </w:rPr>
        <w:t>‐</w:t>
      </w:r>
      <w:r w:rsidRPr="00DD4E8B">
        <w:rPr>
          <w:rFonts w:cs="Times New Roman"/>
          <w:color w:val="000000" w:themeColor="text1"/>
          <w:sz w:val="24"/>
          <w:szCs w:val="24"/>
          <w:shd w:val="clear" w:color="auto" w:fill="FFFFFF"/>
        </w:rPr>
        <w:t>employment and hierarchy. </w:t>
      </w:r>
      <w:proofErr w:type="spellStart"/>
      <w:r w:rsidRPr="00DD4E8B">
        <w:rPr>
          <w:rFonts w:cs="Times New Roman"/>
          <w:i/>
          <w:iCs/>
          <w:color w:val="000000" w:themeColor="text1"/>
          <w:sz w:val="24"/>
          <w:szCs w:val="24"/>
          <w:shd w:val="clear" w:color="auto" w:fill="FFFFFF"/>
        </w:rPr>
        <w:t>Economica</w:t>
      </w:r>
      <w:proofErr w:type="spellEnd"/>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75</w:t>
      </w:r>
      <w:r w:rsidRPr="00DD4E8B">
        <w:rPr>
          <w:rFonts w:cs="Times New Roman"/>
          <w:color w:val="000000" w:themeColor="text1"/>
          <w:sz w:val="24"/>
          <w:szCs w:val="24"/>
          <w:shd w:val="clear" w:color="auto" w:fill="FFFFFF"/>
        </w:rPr>
        <w:t>(298), 362-383.</w:t>
      </w:r>
    </w:p>
    <w:p w14:paraId="1DDE66A8" w14:textId="3A9AB0BA" w:rsidR="00C014E6" w:rsidRPr="00DD4E8B" w:rsidRDefault="00C014E6" w:rsidP="00881C66">
      <w:pPr>
        <w:spacing w:after="120" w:line="240" w:lineRule="auto"/>
        <w:ind w:left="540" w:hanging="529"/>
        <w:rPr>
          <w:rFonts w:cs="Times New Roman"/>
          <w:color w:val="000000" w:themeColor="text1"/>
          <w:sz w:val="24"/>
          <w:szCs w:val="24"/>
        </w:rPr>
      </w:pPr>
      <w:r w:rsidRPr="00DD4E8B">
        <w:rPr>
          <w:rFonts w:cs="Times New Roman"/>
          <w:color w:val="000000" w:themeColor="text1"/>
          <w:sz w:val="24"/>
          <w:szCs w:val="24"/>
          <w:shd w:val="clear" w:color="auto" w:fill="FFFFFF"/>
        </w:rPr>
        <w:t xml:space="preserve">Bhat, C.R., 2015. </w:t>
      </w:r>
      <w:r w:rsidRPr="00DD4E8B">
        <w:rPr>
          <w:rFonts w:cs="Times New Roman"/>
          <w:bCs/>
          <w:color w:val="000000" w:themeColor="text1"/>
          <w:sz w:val="24"/>
          <w:szCs w:val="24"/>
        </w:rPr>
        <w:t>A new generalized heterogeneous data model (GHDM) to jointly model mixed types of dependent variables</w:t>
      </w:r>
      <w:r w:rsidRPr="00DD4E8B">
        <w:rPr>
          <w:rFonts w:cs="Times New Roman"/>
          <w:color w:val="000000" w:themeColor="text1"/>
          <w:sz w:val="24"/>
          <w:szCs w:val="24"/>
        </w:rPr>
        <w:t xml:space="preserve">. </w:t>
      </w:r>
      <w:r w:rsidRPr="00DD4E8B">
        <w:rPr>
          <w:rFonts w:cs="Times New Roman"/>
          <w:i/>
          <w:iCs/>
          <w:color w:val="000000" w:themeColor="text1"/>
          <w:sz w:val="24"/>
          <w:szCs w:val="24"/>
        </w:rPr>
        <w:t>Transportation Research Part B</w:t>
      </w:r>
      <w:r w:rsidRPr="00DD4E8B">
        <w:rPr>
          <w:rFonts w:cs="Times New Roman"/>
          <w:color w:val="000000" w:themeColor="text1"/>
          <w:sz w:val="24"/>
          <w:szCs w:val="24"/>
        </w:rPr>
        <w:t>, 79, 50-77</w:t>
      </w:r>
      <w:r w:rsidR="006E23D4" w:rsidRPr="00DD4E8B">
        <w:rPr>
          <w:rFonts w:cs="Times New Roman"/>
          <w:color w:val="000000" w:themeColor="text1"/>
          <w:sz w:val="24"/>
          <w:szCs w:val="24"/>
        </w:rPr>
        <w:t>.</w:t>
      </w:r>
    </w:p>
    <w:p w14:paraId="1AE8C210" w14:textId="5DA0A49A" w:rsidR="00C04E4A"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 xml:space="preserve">Bhat, C.R., </w:t>
      </w:r>
      <w:proofErr w:type="spellStart"/>
      <w:r w:rsidRPr="00DD4E8B">
        <w:rPr>
          <w:rFonts w:cs="Times New Roman"/>
          <w:color w:val="000000" w:themeColor="text1"/>
          <w:sz w:val="24"/>
          <w:szCs w:val="24"/>
          <w:shd w:val="clear" w:color="auto" w:fill="FFFFFF"/>
        </w:rPr>
        <w:t>Astroza</w:t>
      </w:r>
      <w:proofErr w:type="spellEnd"/>
      <w:r w:rsidRPr="00DD4E8B">
        <w:rPr>
          <w:rFonts w:cs="Times New Roman"/>
          <w:color w:val="000000" w:themeColor="text1"/>
          <w:sz w:val="24"/>
          <w:szCs w:val="24"/>
          <w:shd w:val="clear" w:color="auto" w:fill="FFFFFF"/>
        </w:rPr>
        <w:t>, S., Bhat, A.C. and Nagel, K., 2016. Incorporating a multiple discrete-continuous outcome in the generalized heterogeneous data model: Application to residential self-selection effects analysis in an activity time-use behavior model. </w:t>
      </w:r>
      <w:r w:rsidR="006E23D4" w:rsidRPr="00DD4E8B">
        <w:rPr>
          <w:rFonts w:cs="Times New Roman"/>
          <w:i/>
          <w:iCs/>
          <w:color w:val="000000" w:themeColor="text1"/>
          <w:sz w:val="24"/>
          <w:szCs w:val="24"/>
          <w:shd w:val="clear" w:color="auto" w:fill="FFFFFF"/>
        </w:rPr>
        <w:t>Transportation Research Part B</w:t>
      </w:r>
      <w:r w:rsidR="006E23D4" w:rsidRPr="00DD4E8B">
        <w:rPr>
          <w:rFonts w:cs="Times New Roman"/>
          <w:iCs/>
          <w:color w:val="000000" w:themeColor="text1"/>
          <w:sz w:val="24"/>
          <w:szCs w:val="24"/>
          <w:shd w:val="clear" w:color="auto" w:fill="FFFFFF"/>
        </w:rPr>
        <w:t>,</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91</w:t>
      </w:r>
      <w:r w:rsidRPr="00DD4E8B">
        <w:rPr>
          <w:rFonts w:cs="Times New Roman"/>
          <w:color w:val="000000" w:themeColor="text1"/>
          <w:sz w:val="24"/>
          <w:szCs w:val="24"/>
          <w:shd w:val="clear" w:color="auto" w:fill="FFFFFF"/>
        </w:rPr>
        <w:t>, 52-76.</w:t>
      </w:r>
    </w:p>
    <w:p w14:paraId="152124CA" w14:textId="4AA54BA6" w:rsidR="005B4418" w:rsidRPr="005B4418" w:rsidRDefault="005B4418" w:rsidP="00881C66">
      <w:pPr>
        <w:spacing w:after="120" w:line="240" w:lineRule="auto"/>
        <w:ind w:left="540" w:hanging="529"/>
        <w:rPr>
          <w:rFonts w:cs="Times New Roman"/>
          <w:color w:val="000000" w:themeColor="text1"/>
          <w:sz w:val="24"/>
          <w:szCs w:val="24"/>
        </w:rPr>
      </w:pPr>
      <w:proofErr w:type="spellStart"/>
      <w:r w:rsidRPr="008D66F5">
        <w:rPr>
          <w:rFonts w:cs="Times New Roman"/>
          <w:color w:val="222222"/>
          <w:sz w:val="24"/>
          <w:szCs w:val="24"/>
          <w:shd w:val="clear" w:color="auto" w:fill="FFFFFF"/>
        </w:rPr>
        <w:t>Buddelmeyer</w:t>
      </w:r>
      <w:proofErr w:type="spellEnd"/>
      <w:r w:rsidRPr="008D66F5">
        <w:rPr>
          <w:rFonts w:cs="Times New Roman"/>
          <w:color w:val="222222"/>
          <w:sz w:val="24"/>
          <w:szCs w:val="24"/>
          <w:shd w:val="clear" w:color="auto" w:fill="FFFFFF"/>
        </w:rPr>
        <w:t xml:space="preserve">, H., </w:t>
      </w:r>
      <w:proofErr w:type="spellStart"/>
      <w:r w:rsidRPr="008D66F5">
        <w:rPr>
          <w:rFonts w:cs="Times New Roman"/>
          <w:color w:val="222222"/>
          <w:sz w:val="24"/>
          <w:szCs w:val="24"/>
          <w:shd w:val="clear" w:color="auto" w:fill="FFFFFF"/>
        </w:rPr>
        <w:t>Hamermesh</w:t>
      </w:r>
      <w:proofErr w:type="spellEnd"/>
      <w:r w:rsidRPr="008D66F5">
        <w:rPr>
          <w:rFonts w:cs="Times New Roman"/>
          <w:color w:val="222222"/>
          <w:sz w:val="24"/>
          <w:szCs w:val="24"/>
          <w:shd w:val="clear" w:color="auto" w:fill="FFFFFF"/>
        </w:rPr>
        <w:t>, D.S. and Wooden, M., 2017. THE stress cost of children on moms and dads. </w:t>
      </w:r>
      <w:r w:rsidRPr="008D66F5">
        <w:rPr>
          <w:rFonts w:cs="Times New Roman"/>
          <w:i/>
          <w:iCs/>
          <w:color w:val="222222"/>
          <w:sz w:val="24"/>
          <w:szCs w:val="24"/>
          <w:shd w:val="clear" w:color="auto" w:fill="FFFFFF"/>
        </w:rPr>
        <w:t>European Economic Review</w:t>
      </w:r>
      <w:r w:rsidR="00413B20">
        <w:rPr>
          <w:rFonts w:cs="Times New Roman"/>
          <w:color w:val="222222"/>
          <w:sz w:val="24"/>
          <w:szCs w:val="24"/>
          <w:shd w:val="clear" w:color="auto" w:fill="FFFFFF"/>
        </w:rPr>
        <w:t>, in press.</w:t>
      </w:r>
    </w:p>
    <w:p w14:paraId="154C82D1" w14:textId="65F1BFA5" w:rsidR="00C04E4A" w:rsidRPr="00DD4E8B" w:rsidRDefault="00C04E4A" w:rsidP="00881C66">
      <w:pPr>
        <w:spacing w:after="120" w:line="240" w:lineRule="auto"/>
        <w:ind w:left="540" w:hanging="529"/>
        <w:rPr>
          <w:rFonts w:cs="Times New Roman"/>
          <w:color w:val="000000" w:themeColor="text1"/>
          <w:sz w:val="24"/>
          <w:szCs w:val="24"/>
        </w:rPr>
      </w:pPr>
      <w:r w:rsidRPr="00DD4E8B">
        <w:rPr>
          <w:rFonts w:cs="Times New Roman"/>
          <w:color w:val="000000" w:themeColor="text1"/>
          <w:sz w:val="24"/>
          <w:szCs w:val="24"/>
        </w:rPr>
        <w:t xml:space="preserve">Cao, X.J., Xu, Z. and </w:t>
      </w:r>
      <w:proofErr w:type="spellStart"/>
      <w:r w:rsidRPr="00DD4E8B">
        <w:rPr>
          <w:rFonts w:cs="Times New Roman"/>
          <w:color w:val="000000" w:themeColor="text1"/>
          <w:sz w:val="24"/>
          <w:szCs w:val="24"/>
        </w:rPr>
        <w:t>Douma</w:t>
      </w:r>
      <w:proofErr w:type="spellEnd"/>
      <w:r w:rsidRPr="00DD4E8B">
        <w:rPr>
          <w:rFonts w:cs="Times New Roman"/>
          <w:color w:val="000000" w:themeColor="text1"/>
          <w:sz w:val="24"/>
          <w:szCs w:val="24"/>
        </w:rPr>
        <w:t xml:space="preserve">, F., 2012. The interactions between e-shopping and traditional in-store shopping: </w:t>
      </w:r>
      <w:r w:rsidR="005D1C21">
        <w:rPr>
          <w:rFonts w:cs="Times New Roman"/>
          <w:color w:val="000000" w:themeColor="text1"/>
          <w:sz w:val="24"/>
          <w:szCs w:val="24"/>
        </w:rPr>
        <w:t>A</w:t>
      </w:r>
      <w:r w:rsidRPr="00DD4E8B">
        <w:rPr>
          <w:rFonts w:cs="Times New Roman"/>
          <w:color w:val="000000" w:themeColor="text1"/>
          <w:sz w:val="24"/>
          <w:szCs w:val="24"/>
        </w:rPr>
        <w:t xml:space="preserve">n application of structural equations model. </w:t>
      </w:r>
      <w:r w:rsidRPr="00DD4E8B">
        <w:rPr>
          <w:rFonts w:cs="Times New Roman"/>
          <w:i/>
          <w:color w:val="000000" w:themeColor="text1"/>
          <w:sz w:val="24"/>
          <w:szCs w:val="24"/>
        </w:rPr>
        <w:t>Transportation</w:t>
      </w:r>
      <w:r w:rsidR="00D06F0A" w:rsidRPr="00DD4E8B">
        <w:rPr>
          <w:rFonts w:cs="Times New Roman"/>
          <w:color w:val="000000" w:themeColor="text1"/>
          <w:sz w:val="24"/>
          <w:szCs w:val="24"/>
        </w:rPr>
        <w:t xml:space="preserve">, </w:t>
      </w:r>
      <w:r w:rsidRPr="00DD4E8B">
        <w:rPr>
          <w:rFonts w:cs="Times New Roman"/>
          <w:color w:val="000000" w:themeColor="text1"/>
          <w:sz w:val="24"/>
          <w:szCs w:val="24"/>
        </w:rPr>
        <w:t>39(5), 957-974.</w:t>
      </w:r>
    </w:p>
    <w:p w14:paraId="334349E5" w14:textId="11C892F8" w:rsidR="00C04E4A" w:rsidRPr="00DD4E8B" w:rsidRDefault="00C04E4A" w:rsidP="005D1C21">
      <w:pPr>
        <w:spacing w:after="120" w:line="240" w:lineRule="auto"/>
        <w:ind w:left="540" w:hanging="529"/>
        <w:rPr>
          <w:rFonts w:cs="Times New Roman"/>
          <w:color w:val="000000" w:themeColor="text1"/>
          <w:sz w:val="24"/>
          <w:szCs w:val="24"/>
        </w:rPr>
      </w:pPr>
      <w:r w:rsidRPr="00DD4E8B">
        <w:rPr>
          <w:rFonts w:cs="Times New Roman"/>
          <w:color w:val="000000" w:themeColor="text1"/>
          <w:sz w:val="24"/>
          <w:szCs w:val="24"/>
        </w:rPr>
        <w:t xml:space="preserve">Castro, M., </w:t>
      </w:r>
      <w:proofErr w:type="spellStart"/>
      <w:r w:rsidRPr="00DD4E8B">
        <w:rPr>
          <w:rFonts w:cs="Times New Roman"/>
          <w:color w:val="000000" w:themeColor="text1"/>
          <w:sz w:val="24"/>
          <w:szCs w:val="24"/>
        </w:rPr>
        <w:t>Paleti</w:t>
      </w:r>
      <w:proofErr w:type="spellEnd"/>
      <w:r w:rsidRPr="00DD4E8B">
        <w:rPr>
          <w:rFonts w:cs="Times New Roman"/>
          <w:color w:val="000000" w:themeColor="text1"/>
          <w:sz w:val="24"/>
          <w:szCs w:val="24"/>
        </w:rPr>
        <w:t>, R. and Bhat, C.R., 2012. A latent variable representation of count data models to accommodate s</w:t>
      </w:r>
      <w:r w:rsidR="005D1C21">
        <w:rPr>
          <w:rFonts w:cs="Times New Roman"/>
          <w:color w:val="000000" w:themeColor="text1"/>
          <w:sz w:val="24"/>
          <w:szCs w:val="24"/>
        </w:rPr>
        <w:t xml:space="preserve">patial and temporal dependence: </w:t>
      </w:r>
      <w:r w:rsidRPr="00DD4E8B">
        <w:rPr>
          <w:rFonts w:cs="Times New Roman"/>
          <w:color w:val="000000" w:themeColor="text1"/>
          <w:sz w:val="24"/>
          <w:szCs w:val="24"/>
        </w:rPr>
        <w:t xml:space="preserve">Application to predicting crash frequency at intersections. </w:t>
      </w:r>
      <w:r w:rsidRPr="00DD4E8B">
        <w:rPr>
          <w:rFonts w:cs="Times New Roman"/>
          <w:i/>
          <w:color w:val="000000" w:themeColor="text1"/>
          <w:sz w:val="24"/>
          <w:szCs w:val="24"/>
        </w:rPr>
        <w:t xml:space="preserve">Transportation </w:t>
      </w:r>
      <w:r w:rsidR="00881C66" w:rsidRPr="00DD4E8B">
        <w:rPr>
          <w:rFonts w:cs="Times New Roman"/>
          <w:i/>
          <w:color w:val="000000" w:themeColor="text1"/>
          <w:sz w:val="24"/>
          <w:szCs w:val="24"/>
        </w:rPr>
        <w:t>R</w:t>
      </w:r>
      <w:r w:rsidRPr="00DD4E8B">
        <w:rPr>
          <w:rFonts w:cs="Times New Roman"/>
          <w:i/>
          <w:color w:val="000000" w:themeColor="text1"/>
          <w:sz w:val="24"/>
          <w:szCs w:val="24"/>
        </w:rPr>
        <w:t xml:space="preserve">esearch </w:t>
      </w:r>
      <w:r w:rsidR="00881C66" w:rsidRPr="00DD4E8B">
        <w:rPr>
          <w:rFonts w:cs="Times New Roman"/>
          <w:i/>
          <w:color w:val="000000" w:themeColor="text1"/>
          <w:sz w:val="24"/>
          <w:szCs w:val="24"/>
        </w:rPr>
        <w:t>Part B</w:t>
      </w:r>
      <w:r w:rsidRPr="00DD4E8B">
        <w:rPr>
          <w:rFonts w:cs="Times New Roman"/>
          <w:color w:val="000000" w:themeColor="text1"/>
          <w:sz w:val="24"/>
          <w:szCs w:val="24"/>
        </w:rPr>
        <w:t>, 46(1), 253-272.</w:t>
      </w:r>
    </w:p>
    <w:p w14:paraId="43A6CD00" w14:textId="4A843DAA" w:rsidR="00C04E4A" w:rsidRPr="00DD4E8B" w:rsidRDefault="00C04E4A" w:rsidP="00881C66">
      <w:pPr>
        <w:spacing w:after="120" w:line="240" w:lineRule="auto"/>
        <w:ind w:left="540" w:hanging="529"/>
        <w:rPr>
          <w:rFonts w:cs="Times New Roman"/>
          <w:color w:val="000000" w:themeColor="text1"/>
          <w:sz w:val="24"/>
          <w:szCs w:val="24"/>
        </w:rPr>
      </w:pPr>
      <w:proofErr w:type="spellStart"/>
      <w:r w:rsidRPr="00DD4E8B">
        <w:rPr>
          <w:rFonts w:cs="Times New Roman"/>
          <w:color w:val="000000" w:themeColor="text1"/>
          <w:sz w:val="24"/>
          <w:szCs w:val="24"/>
        </w:rPr>
        <w:t>Couclelis</w:t>
      </w:r>
      <w:proofErr w:type="spellEnd"/>
      <w:r w:rsidRPr="00DD4E8B">
        <w:rPr>
          <w:rFonts w:cs="Times New Roman"/>
          <w:color w:val="000000" w:themeColor="text1"/>
          <w:sz w:val="24"/>
          <w:szCs w:val="24"/>
        </w:rPr>
        <w:t>, H., 2000. From sustainable transportation to sustainable accessibility: Can we avoid</w:t>
      </w:r>
      <w:r w:rsidR="00D06F0A" w:rsidRPr="00DD4E8B">
        <w:rPr>
          <w:rFonts w:cs="Times New Roman"/>
          <w:color w:val="000000" w:themeColor="text1"/>
          <w:sz w:val="24"/>
          <w:szCs w:val="24"/>
        </w:rPr>
        <w:t xml:space="preserve"> a new tragedy of the commons? </w:t>
      </w:r>
      <w:r w:rsidRPr="00DD4E8B">
        <w:rPr>
          <w:rFonts w:cs="Times New Roman"/>
          <w:color w:val="000000" w:themeColor="text1"/>
          <w:sz w:val="24"/>
          <w:szCs w:val="24"/>
        </w:rPr>
        <w:t>In </w:t>
      </w:r>
      <w:r w:rsidRPr="00DD4E8B">
        <w:rPr>
          <w:rFonts w:cs="Times New Roman"/>
          <w:i/>
          <w:iCs/>
          <w:color w:val="000000" w:themeColor="text1"/>
          <w:sz w:val="24"/>
          <w:szCs w:val="24"/>
        </w:rPr>
        <w:t>Information, Place, and Cyberspace</w:t>
      </w:r>
      <w:r w:rsidR="00D06F0A" w:rsidRPr="00DD4E8B">
        <w:rPr>
          <w:rFonts w:cs="Times New Roman"/>
          <w:color w:val="000000" w:themeColor="text1"/>
          <w:sz w:val="24"/>
          <w:szCs w:val="24"/>
        </w:rPr>
        <w:t xml:space="preserve">, 341-356, </w:t>
      </w:r>
      <w:r w:rsidRPr="00DD4E8B">
        <w:rPr>
          <w:rFonts w:cs="Times New Roman"/>
          <w:color w:val="000000" w:themeColor="text1"/>
          <w:sz w:val="24"/>
          <w:szCs w:val="24"/>
        </w:rPr>
        <w:t>Springer Berlin Heidelberg.</w:t>
      </w:r>
    </w:p>
    <w:p w14:paraId="0C1BE244" w14:textId="58EB0C76" w:rsidR="00C04E4A" w:rsidRPr="00DD4E8B" w:rsidRDefault="00C04E4A" w:rsidP="00881C66">
      <w:pPr>
        <w:spacing w:after="120" w:line="240" w:lineRule="auto"/>
        <w:ind w:left="540" w:hanging="529"/>
        <w:rPr>
          <w:rFonts w:cs="Times New Roman"/>
          <w:color w:val="000000" w:themeColor="text1"/>
          <w:sz w:val="24"/>
          <w:szCs w:val="24"/>
          <w:lang w:eastAsia="zh-CN"/>
        </w:rPr>
      </w:pPr>
      <w:r w:rsidRPr="00DD4E8B">
        <w:rPr>
          <w:rFonts w:cs="Times New Roman"/>
          <w:color w:val="000000" w:themeColor="text1"/>
          <w:sz w:val="24"/>
          <w:szCs w:val="24"/>
        </w:rPr>
        <w:t xml:space="preserve">Curl, A., Nelson, J.D. and </w:t>
      </w:r>
      <w:proofErr w:type="spellStart"/>
      <w:r w:rsidRPr="00DD4E8B">
        <w:rPr>
          <w:rFonts w:cs="Times New Roman"/>
          <w:color w:val="000000" w:themeColor="text1"/>
          <w:sz w:val="24"/>
          <w:szCs w:val="24"/>
        </w:rPr>
        <w:t>Anable</w:t>
      </w:r>
      <w:proofErr w:type="spellEnd"/>
      <w:r w:rsidRPr="00DD4E8B">
        <w:rPr>
          <w:rFonts w:cs="Times New Roman"/>
          <w:color w:val="000000" w:themeColor="text1"/>
          <w:sz w:val="24"/>
          <w:szCs w:val="24"/>
        </w:rPr>
        <w:t>, J., 2011. Does accessibility planning address what matters? A review of current practice and practitioner perspectives. </w:t>
      </w:r>
      <w:r w:rsidRPr="00DD4E8B">
        <w:rPr>
          <w:rFonts w:cs="Times New Roman"/>
          <w:i/>
          <w:iCs/>
          <w:color w:val="000000" w:themeColor="text1"/>
          <w:sz w:val="24"/>
          <w:szCs w:val="24"/>
        </w:rPr>
        <w:t>Research in Transportation Business &amp; Management</w:t>
      </w:r>
      <w:r w:rsidRPr="00DD4E8B">
        <w:rPr>
          <w:rFonts w:cs="Times New Roman"/>
          <w:color w:val="000000" w:themeColor="text1"/>
          <w:sz w:val="24"/>
          <w:szCs w:val="24"/>
        </w:rPr>
        <w:t>, </w:t>
      </w:r>
      <w:r w:rsidRPr="00DD4E8B">
        <w:rPr>
          <w:rFonts w:cs="Times New Roman"/>
          <w:iCs/>
          <w:color w:val="000000" w:themeColor="text1"/>
          <w:sz w:val="24"/>
          <w:szCs w:val="24"/>
        </w:rPr>
        <w:t>2</w:t>
      </w:r>
      <w:r w:rsidRPr="00DD4E8B">
        <w:rPr>
          <w:rFonts w:cs="Times New Roman"/>
          <w:color w:val="000000" w:themeColor="text1"/>
          <w:sz w:val="24"/>
          <w:szCs w:val="24"/>
        </w:rPr>
        <w:t>, 3-11.</w:t>
      </w:r>
    </w:p>
    <w:p w14:paraId="0290A9AF" w14:textId="48C8C2EE" w:rsidR="008D3F56" w:rsidRPr="00DD4E8B" w:rsidRDefault="008D3F56" w:rsidP="00881C66">
      <w:pPr>
        <w:spacing w:after="120" w:line="240" w:lineRule="auto"/>
        <w:ind w:left="540" w:hanging="529"/>
        <w:rPr>
          <w:rFonts w:cs="Times New Roman"/>
          <w:color w:val="000000" w:themeColor="text1"/>
          <w:sz w:val="24"/>
          <w:szCs w:val="24"/>
          <w:lang w:eastAsia="zh-CN"/>
        </w:rPr>
      </w:pPr>
      <w:r w:rsidRPr="00DD4E8B">
        <w:rPr>
          <w:rFonts w:cs="Times New Roman"/>
          <w:color w:val="000000" w:themeColor="text1"/>
          <w:sz w:val="24"/>
          <w:szCs w:val="24"/>
          <w:lang w:eastAsia="zh-CN"/>
        </w:rPr>
        <w:t xml:space="preserve">Dawson, C., Henley, A. and </w:t>
      </w:r>
      <w:proofErr w:type="spellStart"/>
      <w:r w:rsidRPr="00DD4E8B">
        <w:rPr>
          <w:rFonts w:cs="Times New Roman"/>
          <w:color w:val="000000" w:themeColor="text1"/>
          <w:sz w:val="24"/>
          <w:szCs w:val="24"/>
          <w:lang w:eastAsia="zh-CN"/>
        </w:rPr>
        <w:t>Latreille</w:t>
      </w:r>
      <w:proofErr w:type="spellEnd"/>
      <w:r w:rsidRPr="00DD4E8B">
        <w:rPr>
          <w:rFonts w:cs="Times New Roman"/>
          <w:color w:val="000000" w:themeColor="text1"/>
          <w:sz w:val="24"/>
          <w:szCs w:val="24"/>
          <w:lang w:eastAsia="zh-CN"/>
        </w:rPr>
        <w:t>, P., 2014. Individual motives for choosing self-employment</w:t>
      </w:r>
      <w:r w:rsidR="00D06F0A" w:rsidRPr="00DD4E8B">
        <w:rPr>
          <w:rFonts w:cs="Times New Roman"/>
          <w:color w:val="000000" w:themeColor="text1"/>
          <w:sz w:val="24"/>
          <w:szCs w:val="24"/>
          <w:lang w:eastAsia="zh-CN"/>
        </w:rPr>
        <w:t xml:space="preserve"> in the UK: Does region matter?</w:t>
      </w:r>
      <w:r w:rsidRPr="00DD4E8B">
        <w:rPr>
          <w:rFonts w:cs="Times New Roman"/>
          <w:color w:val="000000" w:themeColor="text1"/>
          <w:sz w:val="24"/>
          <w:szCs w:val="24"/>
          <w:lang w:eastAsia="zh-CN"/>
        </w:rPr>
        <w:t xml:space="preserve"> </w:t>
      </w:r>
      <w:r w:rsidRPr="00DD4E8B">
        <w:rPr>
          <w:rFonts w:cs="Times New Roman"/>
          <w:i/>
          <w:color w:val="000000" w:themeColor="text1"/>
          <w:sz w:val="24"/>
          <w:szCs w:val="24"/>
          <w:lang w:eastAsia="zh-CN"/>
        </w:rPr>
        <w:t>Regional Studies</w:t>
      </w:r>
      <w:r w:rsidRPr="00DD4E8B">
        <w:rPr>
          <w:rFonts w:cs="Times New Roman"/>
          <w:color w:val="000000" w:themeColor="text1"/>
          <w:sz w:val="24"/>
          <w:szCs w:val="24"/>
          <w:lang w:eastAsia="zh-CN"/>
        </w:rPr>
        <w:t>, 48(5), 804-822.</w:t>
      </w:r>
    </w:p>
    <w:p w14:paraId="24C3FF14" w14:textId="364A945E"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lastRenderedPageBreak/>
        <w:t xml:space="preserve">Ding, Y. and Lu, H., 2017. The interactions between online shopping and personal activity travel behavior: </w:t>
      </w:r>
      <w:r w:rsidR="005D1C21">
        <w:rPr>
          <w:rFonts w:cs="Times New Roman"/>
          <w:color w:val="000000" w:themeColor="text1"/>
          <w:sz w:val="24"/>
          <w:szCs w:val="24"/>
          <w:shd w:val="clear" w:color="auto" w:fill="FFFFFF"/>
        </w:rPr>
        <w:t>A</w:t>
      </w:r>
      <w:r w:rsidRPr="00DD4E8B">
        <w:rPr>
          <w:rFonts w:cs="Times New Roman"/>
          <w:color w:val="000000" w:themeColor="text1"/>
          <w:sz w:val="24"/>
          <w:szCs w:val="24"/>
          <w:shd w:val="clear" w:color="auto" w:fill="FFFFFF"/>
        </w:rPr>
        <w:t>n analysis with a GPS-based activity travel diary. </w:t>
      </w:r>
      <w:r w:rsidRPr="00DD4E8B">
        <w:rPr>
          <w:rFonts w:cs="Times New Roman"/>
          <w:i/>
          <w:iCs/>
          <w:color w:val="000000" w:themeColor="text1"/>
          <w:sz w:val="24"/>
          <w:szCs w:val="24"/>
          <w:shd w:val="clear" w:color="auto" w:fill="FFFFFF"/>
        </w:rPr>
        <w:t>Transportation</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44</w:t>
      </w:r>
      <w:r w:rsidRPr="00DD4E8B">
        <w:rPr>
          <w:rFonts w:cs="Times New Roman"/>
          <w:color w:val="000000" w:themeColor="text1"/>
          <w:sz w:val="24"/>
          <w:szCs w:val="24"/>
          <w:shd w:val="clear" w:color="auto" w:fill="FFFFFF"/>
        </w:rPr>
        <w:t>(2), 311-324.</w:t>
      </w:r>
    </w:p>
    <w:p w14:paraId="1CE422C1" w14:textId="14C05A56" w:rsidR="003A6D5B" w:rsidRPr="003A6D5B" w:rsidRDefault="003A6D5B" w:rsidP="003A6D5B">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 xml:space="preserve">Fan, Y., 2017. Household structure and gender differences in travel time: </w:t>
      </w:r>
      <w:r>
        <w:rPr>
          <w:rFonts w:cs="Times New Roman"/>
          <w:color w:val="000000" w:themeColor="text1"/>
          <w:sz w:val="24"/>
          <w:szCs w:val="24"/>
          <w:shd w:val="clear" w:color="auto" w:fill="FFFFFF"/>
        </w:rPr>
        <w:t>S</w:t>
      </w:r>
      <w:r w:rsidRPr="00DD4E8B">
        <w:rPr>
          <w:rFonts w:cs="Times New Roman"/>
          <w:color w:val="000000" w:themeColor="text1"/>
          <w:sz w:val="24"/>
          <w:szCs w:val="24"/>
          <w:shd w:val="clear" w:color="auto" w:fill="FFFFFF"/>
        </w:rPr>
        <w:t>pouse/partner presence, parenthood, and breadwinner status. </w:t>
      </w:r>
      <w:r w:rsidRPr="00DD4E8B">
        <w:rPr>
          <w:rFonts w:cs="Times New Roman"/>
          <w:i/>
          <w:iCs/>
          <w:color w:val="000000" w:themeColor="text1"/>
          <w:sz w:val="24"/>
          <w:szCs w:val="24"/>
          <w:shd w:val="clear" w:color="auto" w:fill="FFFFFF"/>
        </w:rPr>
        <w:t>Transportation</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44</w:t>
      </w:r>
      <w:r w:rsidRPr="00DD4E8B">
        <w:rPr>
          <w:rFonts w:cs="Times New Roman"/>
          <w:color w:val="000000" w:themeColor="text1"/>
          <w:sz w:val="24"/>
          <w:szCs w:val="24"/>
          <w:shd w:val="clear" w:color="auto" w:fill="FFFFFF"/>
        </w:rPr>
        <w:t>(2), 271-291.</w:t>
      </w:r>
    </w:p>
    <w:p w14:paraId="7BE56CAD" w14:textId="25D299C2" w:rsidR="00C04E4A" w:rsidRPr="00413B20" w:rsidRDefault="00C04E4A" w:rsidP="00881C66">
      <w:pPr>
        <w:spacing w:after="120" w:line="240" w:lineRule="auto"/>
        <w:ind w:left="540" w:hanging="529"/>
        <w:rPr>
          <w:rFonts w:cs="Times New Roman"/>
          <w:sz w:val="24"/>
          <w:szCs w:val="24"/>
        </w:rPr>
      </w:pPr>
      <w:r w:rsidRPr="00DD4E8B">
        <w:rPr>
          <w:rFonts w:cs="Times New Roman"/>
          <w:color w:val="000000" w:themeColor="text1"/>
          <w:sz w:val="24"/>
          <w:szCs w:val="24"/>
        </w:rPr>
        <w:t xml:space="preserve">Food Standards Agency, 2016. </w:t>
      </w:r>
      <w:r w:rsidRPr="00DD4E8B">
        <w:rPr>
          <w:rFonts w:cs="Times New Roman"/>
          <w:bCs/>
          <w:color w:val="000000" w:themeColor="text1"/>
          <w:sz w:val="24"/>
          <w:szCs w:val="24"/>
        </w:rPr>
        <w:t>How often do you cook or prepare food for your</w:t>
      </w:r>
      <w:r w:rsidR="00413B20">
        <w:rPr>
          <w:rFonts w:cs="Times New Roman"/>
          <w:bCs/>
          <w:color w:val="000000" w:themeColor="text1"/>
          <w:sz w:val="24"/>
          <w:szCs w:val="24"/>
        </w:rPr>
        <w:t>self and others? Accessed on 06/22/</w:t>
      </w:r>
      <w:r w:rsidRPr="00DD4E8B">
        <w:rPr>
          <w:rFonts w:cs="Times New Roman"/>
          <w:bCs/>
          <w:color w:val="000000" w:themeColor="text1"/>
          <w:sz w:val="24"/>
          <w:szCs w:val="24"/>
        </w:rPr>
        <w:t>2017.</w:t>
      </w:r>
      <w:r w:rsidRPr="008D3590">
        <w:rPr>
          <w:rFonts w:cs="Times New Roman"/>
          <w:bCs/>
          <w:sz w:val="24"/>
          <w:szCs w:val="24"/>
        </w:rPr>
        <w:t xml:space="preserve"> </w:t>
      </w:r>
      <w:hyperlink r:id="rId17" w:history="1">
        <w:r w:rsidRPr="00413B20">
          <w:rPr>
            <w:rStyle w:val="Hyperlink"/>
            <w:rFonts w:cs="Times New Roman"/>
            <w:bCs/>
            <w:sz w:val="24"/>
            <w:szCs w:val="24"/>
          </w:rPr>
          <w:t>https://www.statista.com/statistics/429292/frequency-of-cooking-meals-for-yourself-in-the-united-kingdom-uk/</w:t>
        </w:r>
      </w:hyperlink>
      <w:r w:rsidRPr="00413B20">
        <w:rPr>
          <w:rFonts w:cs="Times New Roman"/>
          <w:bCs/>
          <w:sz w:val="24"/>
          <w:szCs w:val="24"/>
        </w:rPr>
        <w:t xml:space="preserve"> </w:t>
      </w:r>
    </w:p>
    <w:p w14:paraId="2B87308B" w14:textId="0FE5DB79" w:rsidR="00C04E4A" w:rsidRPr="00413B20" w:rsidRDefault="00C04E4A" w:rsidP="00881C66">
      <w:pPr>
        <w:spacing w:after="120" w:line="240" w:lineRule="auto"/>
        <w:ind w:left="540" w:hanging="529"/>
        <w:rPr>
          <w:rFonts w:cs="Times New Roman"/>
          <w:sz w:val="24"/>
          <w:szCs w:val="24"/>
          <w:shd w:val="clear" w:color="auto" w:fill="FFFFFF"/>
        </w:rPr>
      </w:pPr>
      <w:proofErr w:type="spellStart"/>
      <w:r w:rsidRPr="00413B20">
        <w:rPr>
          <w:rFonts w:cs="Times New Roman"/>
          <w:sz w:val="24"/>
          <w:szCs w:val="24"/>
          <w:shd w:val="clear" w:color="auto" w:fill="FFFFFF"/>
        </w:rPr>
        <w:t>Geurs</w:t>
      </w:r>
      <w:proofErr w:type="spellEnd"/>
      <w:r w:rsidRPr="00413B20">
        <w:rPr>
          <w:rFonts w:cs="Times New Roman"/>
          <w:sz w:val="24"/>
          <w:szCs w:val="24"/>
          <w:shd w:val="clear" w:color="auto" w:fill="FFFFFF"/>
        </w:rPr>
        <w:t xml:space="preserve">, K.T. and </w:t>
      </w:r>
      <w:r w:rsidR="00C81E6F">
        <w:rPr>
          <w:rFonts w:cs="Times New Roman"/>
          <w:sz w:val="24"/>
          <w:szCs w:val="24"/>
          <w:shd w:val="clear" w:color="auto" w:fill="FFFFFF"/>
        </w:rPr>
        <w:t>v</w:t>
      </w:r>
      <w:r w:rsidRPr="00413B20">
        <w:rPr>
          <w:rFonts w:cs="Times New Roman"/>
          <w:sz w:val="24"/>
          <w:szCs w:val="24"/>
          <w:shd w:val="clear" w:color="auto" w:fill="FFFFFF"/>
        </w:rPr>
        <w:t xml:space="preserve">an Wee, B., 2004. Accessibility evaluation of land-use and transport strategies: </w:t>
      </w:r>
      <w:r w:rsidR="005D1C21">
        <w:rPr>
          <w:rFonts w:cs="Times New Roman"/>
          <w:sz w:val="24"/>
          <w:szCs w:val="24"/>
          <w:shd w:val="clear" w:color="auto" w:fill="FFFFFF"/>
        </w:rPr>
        <w:t>R</w:t>
      </w:r>
      <w:r w:rsidRPr="00413B20">
        <w:rPr>
          <w:rFonts w:cs="Times New Roman"/>
          <w:sz w:val="24"/>
          <w:szCs w:val="24"/>
          <w:shd w:val="clear" w:color="auto" w:fill="FFFFFF"/>
        </w:rPr>
        <w:t>eview and research directions. </w:t>
      </w:r>
      <w:r w:rsidRPr="00413B20">
        <w:rPr>
          <w:rFonts w:cs="Times New Roman"/>
          <w:i/>
          <w:iCs/>
          <w:sz w:val="24"/>
          <w:szCs w:val="24"/>
          <w:shd w:val="clear" w:color="auto" w:fill="FFFFFF"/>
        </w:rPr>
        <w:t>Journal of Transport Geography</w:t>
      </w:r>
      <w:r w:rsidRPr="00413B20">
        <w:rPr>
          <w:rFonts w:cs="Times New Roman"/>
          <w:sz w:val="24"/>
          <w:szCs w:val="24"/>
          <w:shd w:val="clear" w:color="auto" w:fill="FFFFFF"/>
        </w:rPr>
        <w:t>, </w:t>
      </w:r>
      <w:r w:rsidRPr="00413B20">
        <w:rPr>
          <w:rFonts w:cs="Times New Roman"/>
          <w:iCs/>
          <w:sz w:val="24"/>
          <w:szCs w:val="24"/>
          <w:shd w:val="clear" w:color="auto" w:fill="FFFFFF"/>
        </w:rPr>
        <w:t>12</w:t>
      </w:r>
      <w:r w:rsidRPr="00413B20">
        <w:rPr>
          <w:rFonts w:cs="Times New Roman"/>
          <w:sz w:val="24"/>
          <w:szCs w:val="24"/>
          <w:shd w:val="clear" w:color="auto" w:fill="FFFFFF"/>
        </w:rPr>
        <w:t>(2), 127-140.</w:t>
      </w:r>
    </w:p>
    <w:p w14:paraId="777ADE08" w14:textId="12204FEF" w:rsidR="00821850" w:rsidRPr="00413B20" w:rsidRDefault="00821850" w:rsidP="00881C66">
      <w:pPr>
        <w:spacing w:after="120" w:line="240" w:lineRule="auto"/>
        <w:ind w:left="540" w:hanging="529"/>
        <w:rPr>
          <w:rFonts w:cs="Times New Roman"/>
          <w:sz w:val="24"/>
          <w:szCs w:val="24"/>
          <w:shd w:val="clear" w:color="auto" w:fill="FFFFFF"/>
        </w:rPr>
      </w:pPr>
      <w:r w:rsidRPr="00413B20">
        <w:rPr>
          <w:rFonts w:cs="Times New Roman"/>
          <w:sz w:val="24"/>
          <w:szCs w:val="24"/>
          <w:shd w:val="clear" w:color="auto" w:fill="FFFFFF"/>
        </w:rPr>
        <w:t xml:space="preserve">Heckman, J.J. and </w:t>
      </w:r>
      <w:proofErr w:type="spellStart"/>
      <w:r w:rsidRPr="00413B20">
        <w:rPr>
          <w:rFonts w:cs="Times New Roman"/>
          <w:sz w:val="24"/>
          <w:szCs w:val="24"/>
          <w:shd w:val="clear" w:color="auto" w:fill="FFFFFF"/>
        </w:rPr>
        <w:t>Vytlacil</w:t>
      </w:r>
      <w:proofErr w:type="spellEnd"/>
      <w:r w:rsidRPr="00413B20">
        <w:rPr>
          <w:rFonts w:cs="Times New Roman"/>
          <w:sz w:val="24"/>
          <w:szCs w:val="24"/>
          <w:shd w:val="clear" w:color="auto" w:fill="FFFFFF"/>
        </w:rPr>
        <w:t>, E.J., 2000. The relationship between treatment parameters within a latent variable framework. </w:t>
      </w:r>
      <w:r w:rsidRPr="00413B20">
        <w:rPr>
          <w:rFonts w:cs="Times New Roman"/>
          <w:i/>
          <w:iCs/>
          <w:sz w:val="24"/>
          <w:szCs w:val="24"/>
          <w:shd w:val="clear" w:color="auto" w:fill="FFFFFF"/>
        </w:rPr>
        <w:t xml:space="preserve">Economics </w:t>
      </w:r>
      <w:r w:rsidR="00413B20" w:rsidRPr="00413B20">
        <w:rPr>
          <w:rFonts w:cs="Times New Roman"/>
          <w:i/>
          <w:iCs/>
          <w:sz w:val="24"/>
          <w:szCs w:val="24"/>
          <w:shd w:val="clear" w:color="auto" w:fill="FFFFFF"/>
        </w:rPr>
        <w:t>L</w:t>
      </w:r>
      <w:r w:rsidRPr="00413B20">
        <w:rPr>
          <w:rFonts w:cs="Times New Roman"/>
          <w:i/>
          <w:iCs/>
          <w:sz w:val="24"/>
          <w:szCs w:val="24"/>
          <w:shd w:val="clear" w:color="auto" w:fill="FFFFFF"/>
        </w:rPr>
        <w:t>etters</w:t>
      </w:r>
      <w:r w:rsidRPr="00413B20">
        <w:rPr>
          <w:rFonts w:cs="Times New Roman"/>
          <w:sz w:val="24"/>
          <w:szCs w:val="24"/>
          <w:shd w:val="clear" w:color="auto" w:fill="FFFFFF"/>
        </w:rPr>
        <w:t>, </w:t>
      </w:r>
      <w:r w:rsidRPr="00413B20">
        <w:rPr>
          <w:rFonts w:cs="Times New Roman"/>
          <w:iCs/>
          <w:sz w:val="24"/>
          <w:szCs w:val="24"/>
          <w:shd w:val="clear" w:color="auto" w:fill="FFFFFF"/>
        </w:rPr>
        <w:t>66</w:t>
      </w:r>
      <w:r w:rsidRPr="00413B20">
        <w:rPr>
          <w:rFonts w:cs="Times New Roman"/>
          <w:sz w:val="24"/>
          <w:szCs w:val="24"/>
          <w:shd w:val="clear" w:color="auto" w:fill="FFFFFF"/>
        </w:rPr>
        <w:t>(1), 33-39.</w:t>
      </w:r>
    </w:p>
    <w:p w14:paraId="7DB785E3" w14:textId="7CA72C22" w:rsidR="00821850" w:rsidRPr="00413B20" w:rsidRDefault="00821850" w:rsidP="00881C66">
      <w:pPr>
        <w:spacing w:after="120" w:line="240" w:lineRule="auto"/>
        <w:ind w:left="540" w:hanging="529"/>
        <w:rPr>
          <w:rFonts w:cs="Times New Roman"/>
          <w:sz w:val="24"/>
          <w:szCs w:val="24"/>
        </w:rPr>
      </w:pPr>
      <w:r w:rsidRPr="00413B20">
        <w:rPr>
          <w:rFonts w:cs="Times New Roman"/>
          <w:sz w:val="24"/>
          <w:szCs w:val="24"/>
          <w:shd w:val="clear" w:color="auto" w:fill="FFFFFF"/>
        </w:rPr>
        <w:t xml:space="preserve">Heckman, J.J. and </w:t>
      </w:r>
      <w:proofErr w:type="spellStart"/>
      <w:r w:rsidRPr="00413B20">
        <w:rPr>
          <w:rFonts w:cs="Times New Roman"/>
          <w:sz w:val="24"/>
          <w:szCs w:val="24"/>
          <w:shd w:val="clear" w:color="auto" w:fill="FFFFFF"/>
        </w:rPr>
        <w:t>Vytlacil</w:t>
      </w:r>
      <w:proofErr w:type="spellEnd"/>
      <w:r w:rsidRPr="00413B20">
        <w:rPr>
          <w:rFonts w:cs="Times New Roman"/>
          <w:sz w:val="24"/>
          <w:szCs w:val="24"/>
          <w:shd w:val="clear" w:color="auto" w:fill="FFFFFF"/>
        </w:rPr>
        <w:t>, E., 2001. Policy-relevant treatment effects. </w:t>
      </w:r>
      <w:r w:rsidRPr="00413B20">
        <w:rPr>
          <w:rFonts w:cs="Times New Roman"/>
          <w:i/>
          <w:iCs/>
          <w:sz w:val="24"/>
          <w:szCs w:val="24"/>
          <w:shd w:val="clear" w:color="auto" w:fill="FFFFFF"/>
        </w:rPr>
        <w:t>American Economic Review</w:t>
      </w:r>
      <w:r w:rsidRPr="00413B20">
        <w:rPr>
          <w:rFonts w:cs="Times New Roman"/>
          <w:sz w:val="24"/>
          <w:szCs w:val="24"/>
          <w:shd w:val="clear" w:color="auto" w:fill="FFFFFF"/>
        </w:rPr>
        <w:t>, </w:t>
      </w:r>
      <w:r w:rsidRPr="00413B20">
        <w:rPr>
          <w:rFonts w:cs="Times New Roman"/>
          <w:iCs/>
          <w:sz w:val="24"/>
          <w:szCs w:val="24"/>
          <w:shd w:val="clear" w:color="auto" w:fill="FFFFFF"/>
        </w:rPr>
        <w:t>91</w:t>
      </w:r>
      <w:r w:rsidRPr="00413B20">
        <w:rPr>
          <w:rFonts w:cs="Times New Roman"/>
          <w:sz w:val="24"/>
          <w:szCs w:val="24"/>
          <w:shd w:val="clear" w:color="auto" w:fill="FFFFFF"/>
        </w:rPr>
        <w:t>(2), 107-111.</w:t>
      </w:r>
    </w:p>
    <w:p w14:paraId="05773E29" w14:textId="464F0E9E" w:rsidR="00C04E4A" w:rsidRPr="00413B20" w:rsidRDefault="00C04E4A" w:rsidP="00881C66">
      <w:pPr>
        <w:spacing w:after="120" w:line="240" w:lineRule="auto"/>
        <w:ind w:left="540" w:hanging="529"/>
        <w:rPr>
          <w:rFonts w:cs="Times New Roman"/>
          <w:sz w:val="24"/>
          <w:szCs w:val="24"/>
        </w:rPr>
      </w:pPr>
      <w:proofErr w:type="spellStart"/>
      <w:r w:rsidRPr="00413B20">
        <w:rPr>
          <w:rFonts w:cs="Times New Roman"/>
          <w:sz w:val="24"/>
          <w:szCs w:val="24"/>
        </w:rPr>
        <w:t>Helsper</w:t>
      </w:r>
      <w:proofErr w:type="spellEnd"/>
      <w:r w:rsidRPr="00413B20">
        <w:rPr>
          <w:rFonts w:cs="Times New Roman"/>
          <w:sz w:val="24"/>
          <w:szCs w:val="24"/>
        </w:rPr>
        <w:t xml:space="preserve">, E.J. and </w:t>
      </w:r>
      <w:proofErr w:type="spellStart"/>
      <w:r w:rsidRPr="00413B20">
        <w:rPr>
          <w:rFonts w:cs="Times New Roman"/>
          <w:sz w:val="24"/>
          <w:szCs w:val="24"/>
        </w:rPr>
        <w:t>Eynon</w:t>
      </w:r>
      <w:proofErr w:type="spellEnd"/>
      <w:r w:rsidRPr="00413B20">
        <w:rPr>
          <w:rFonts w:cs="Times New Roman"/>
          <w:sz w:val="24"/>
          <w:szCs w:val="24"/>
        </w:rPr>
        <w:t xml:space="preserve">, R., 2010. Digital </w:t>
      </w:r>
      <w:r w:rsidR="00977F44" w:rsidRPr="00413B20">
        <w:rPr>
          <w:rFonts w:cs="Times New Roman"/>
          <w:sz w:val="24"/>
          <w:szCs w:val="24"/>
        </w:rPr>
        <w:t xml:space="preserve">natives: </w:t>
      </w:r>
      <w:r w:rsidR="00C81E6F">
        <w:rPr>
          <w:rFonts w:cs="Times New Roman"/>
          <w:sz w:val="24"/>
          <w:szCs w:val="24"/>
        </w:rPr>
        <w:t>W</w:t>
      </w:r>
      <w:r w:rsidR="00977F44" w:rsidRPr="00413B20">
        <w:rPr>
          <w:rFonts w:cs="Times New Roman"/>
          <w:sz w:val="24"/>
          <w:szCs w:val="24"/>
        </w:rPr>
        <w:t>here is the evidence?</w:t>
      </w:r>
      <w:r w:rsidRPr="00413B20">
        <w:rPr>
          <w:rFonts w:cs="Times New Roman"/>
          <w:sz w:val="24"/>
          <w:szCs w:val="24"/>
        </w:rPr>
        <w:t> </w:t>
      </w:r>
      <w:r w:rsidRPr="00413B20">
        <w:rPr>
          <w:rFonts w:cs="Times New Roman"/>
          <w:i/>
          <w:iCs/>
          <w:sz w:val="24"/>
          <w:szCs w:val="24"/>
        </w:rPr>
        <w:t xml:space="preserve">British </w:t>
      </w:r>
      <w:r w:rsidR="00977F44" w:rsidRPr="00413B20">
        <w:rPr>
          <w:rFonts w:cs="Times New Roman"/>
          <w:i/>
          <w:iCs/>
          <w:sz w:val="24"/>
          <w:szCs w:val="24"/>
        </w:rPr>
        <w:t>E</w:t>
      </w:r>
      <w:r w:rsidRPr="00413B20">
        <w:rPr>
          <w:rFonts w:cs="Times New Roman"/>
          <w:i/>
          <w:iCs/>
          <w:sz w:val="24"/>
          <w:szCs w:val="24"/>
        </w:rPr>
        <w:t xml:space="preserve">ducational </w:t>
      </w:r>
      <w:r w:rsidR="00977F44" w:rsidRPr="00413B20">
        <w:rPr>
          <w:rFonts w:cs="Times New Roman"/>
          <w:i/>
          <w:iCs/>
          <w:sz w:val="24"/>
          <w:szCs w:val="24"/>
        </w:rPr>
        <w:t>R</w:t>
      </w:r>
      <w:r w:rsidRPr="00413B20">
        <w:rPr>
          <w:rFonts w:cs="Times New Roman"/>
          <w:i/>
          <w:iCs/>
          <w:sz w:val="24"/>
          <w:szCs w:val="24"/>
        </w:rPr>
        <w:t xml:space="preserve">esearch </w:t>
      </w:r>
      <w:r w:rsidR="00977F44" w:rsidRPr="00413B20">
        <w:rPr>
          <w:rFonts w:cs="Times New Roman"/>
          <w:i/>
          <w:iCs/>
          <w:sz w:val="24"/>
          <w:szCs w:val="24"/>
        </w:rPr>
        <w:t>J</w:t>
      </w:r>
      <w:r w:rsidRPr="00413B20">
        <w:rPr>
          <w:rFonts w:cs="Times New Roman"/>
          <w:i/>
          <w:iCs/>
          <w:sz w:val="24"/>
          <w:szCs w:val="24"/>
        </w:rPr>
        <w:t>ournal</w:t>
      </w:r>
      <w:r w:rsidRPr="00413B20">
        <w:rPr>
          <w:rFonts w:cs="Times New Roman"/>
          <w:sz w:val="24"/>
          <w:szCs w:val="24"/>
        </w:rPr>
        <w:t>, </w:t>
      </w:r>
      <w:r w:rsidRPr="00413B20">
        <w:rPr>
          <w:rFonts w:cs="Times New Roman"/>
          <w:iCs/>
          <w:sz w:val="24"/>
          <w:szCs w:val="24"/>
        </w:rPr>
        <w:t>36</w:t>
      </w:r>
      <w:r w:rsidRPr="00413B20">
        <w:rPr>
          <w:rFonts w:cs="Times New Roman"/>
          <w:sz w:val="24"/>
          <w:szCs w:val="24"/>
        </w:rPr>
        <w:t>(3), 503-520.</w:t>
      </w:r>
    </w:p>
    <w:p w14:paraId="1F2834B1" w14:textId="599EF718" w:rsidR="00154674" w:rsidRPr="00413B20" w:rsidRDefault="00154674" w:rsidP="00881C66">
      <w:pPr>
        <w:spacing w:after="120" w:line="240" w:lineRule="auto"/>
        <w:ind w:left="540" w:hanging="529"/>
        <w:rPr>
          <w:rFonts w:cs="Times New Roman"/>
          <w:sz w:val="24"/>
          <w:szCs w:val="24"/>
        </w:rPr>
      </w:pPr>
      <w:proofErr w:type="spellStart"/>
      <w:r w:rsidRPr="00413B20">
        <w:rPr>
          <w:rFonts w:cs="Times New Roman"/>
          <w:sz w:val="24"/>
          <w:szCs w:val="24"/>
        </w:rPr>
        <w:t>Hochschild</w:t>
      </w:r>
      <w:proofErr w:type="spellEnd"/>
      <w:r w:rsidRPr="00413B20">
        <w:rPr>
          <w:rFonts w:cs="Times New Roman"/>
          <w:sz w:val="24"/>
          <w:szCs w:val="24"/>
        </w:rPr>
        <w:t xml:space="preserve">, A.R. (1997). </w:t>
      </w:r>
      <w:r w:rsidRPr="00413B20">
        <w:rPr>
          <w:rFonts w:cs="Times New Roman"/>
          <w:i/>
          <w:iCs/>
          <w:sz w:val="24"/>
          <w:szCs w:val="24"/>
        </w:rPr>
        <w:t>The Time Bind: When Work Becomes Home and Home Becomes Work</w:t>
      </w:r>
      <w:r w:rsidR="00BC22CB" w:rsidRPr="00413B20">
        <w:rPr>
          <w:rFonts w:cs="Times New Roman"/>
          <w:sz w:val="24"/>
          <w:szCs w:val="24"/>
        </w:rPr>
        <w:t xml:space="preserve">, </w:t>
      </w:r>
      <w:r w:rsidRPr="00413B20">
        <w:rPr>
          <w:rFonts w:cs="Times New Roman"/>
          <w:sz w:val="24"/>
          <w:szCs w:val="24"/>
        </w:rPr>
        <w:t xml:space="preserve">Holt, New York, </w:t>
      </w:r>
      <w:proofErr w:type="gramStart"/>
      <w:r w:rsidRPr="00413B20">
        <w:rPr>
          <w:rFonts w:cs="Times New Roman"/>
          <w:sz w:val="24"/>
          <w:szCs w:val="24"/>
        </w:rPr>
        <w:t>NY</w:t>
      </w:r>
      <w:proofErr w:type="gramEnd"/>
      <w:r w:rsidRPr="00413B20">
        <w:rPr>
          <w:rFonts w:cs="Times New Roman"/>
          <w:sz w:val="24"/>
          <w:szCs w:val="24"/>
        </w:rPr>
        <w:t>.</w:t>
      </w:r>
    </w:p>
    <w:p w14:paraId="33CA7206" w14:textId="7DCF30B6" w:rsidR="00807F45" w:rsidRPr="00413B20" w:rsidRDefault="00807F45" w:rsidP="00881C66">
      <w:pPr>
        <w:spacing w:after="120" w:line="240" w:lineRule="auto"/>
        <w:ind w:left="540" w:hanging="529"/>
        <w:rPr>
          <w:rFonts w:cs="Times New Roman"/>
          <w:sz w:val="24"/>
          <w:szCs w:val="24"/>
          <w:shd w:val="clear" w:color="auto" w:fill="FFFFFF"/>
          <w:lang w:eastAsia="zh-CN"/>
        </w:rPr>
      </w:pPr>
      <w:r w:rsidRPr="00413B20">
        <w:rPr>
          <w:rFonts w:cs="Times New Roman"/>
          <w:sz w:val="24"/>
          <w:szCs w:val="24"/>
          <w:shd w:val="clear" w:color="auto" w:fill="FFFFFF"/>
          <w:lang w:eastAsia="zh-CN"/>
        </w:rPr>
        <w:t xml:space="preserve">Hu, L. and He, S.Y., 2016. Association between </w:t>
      </w:r>
      <w:r w:rsidR="00413B20">
        <w:rPr>
          <w:rFonts w:cs="Times New Roman"/>
          <w:sz w:val="24"/>
          <w:szCs w:val="24"/>
          <w:shd w:val="clear" w:color="auto" w:fill="FFFFFF"/>
          <w:lang w:eastAsia="zh-CN"/>
        </w:rPr>
        <w:t>t</w:t>
      </w:r>
      <w:r w:rsidRPr="00413B20">
        <w:rPr>
          <w:rFonts w:cs="Times New Roman"/>
          <w:sz w:val="24"/>
          <w:szCs w:val="24"/>
          <w:shd w:val="clear" w:color="auto" w:fill="FFFFFF"/>
          <w:lang w:eastAsia="zh-CN"/>
        </w:rPr>
        <w:t xml:space="preserve">elecommuting and </w:t>
      </w:r>
      <w:r w:rsidR="00413B20">
        <w:rPr>
          <w:rFonts w:cs="Times New Roman"/>
          <w:sz w:val="24"/>
          <w:szCs w:val="24"/>
          <w:shd w:val="clear" w:color="auto" w:fill="FFFFFF"/>
          <w:lang w:eastAsia="zh-CN"/>
        </w:rPr>
        <w:t>h</w:t>
      </w:r>
      <w:r w:rsidRPr="00413B20">
        <w:rPr>
          <w:rFonts w:cs="Times New Roman"/>
          <w:sz w:val="24"/>
          <w:szCs w:val="24"/>
          <w:shd w:val="clear" w:color="auto" w:fill="FFFFFF"/>
          <w:lang w:eastAsia="zh-CN"/>
        </w:rPr>
        <w:t xml:space="preserve">ousehold </w:t>
      </w:r>
      <w:r w:rsidR="00413B20">
        <w:rPr>
          <w:rFonts w:cs="Times New Roman"/>
          <w:sz w:val="24"/>
          <w:szCs w:val="24"/>
          <w:shd w:val="clear" w:color="auto" w:fill="FFFFFF"/>
          <w:lang w:eastAsia="zh-CN"/>
        </w:rPr>
        <w:t>t</w:t>
      </w:r>
      <w:r w:rsidRPr="00413B20">
        <w:rPr>
          <w:rFonts w:cs="Times New Roman"/>
          <w:sz w:val="24"/>
          <w:szCs w:val="24"/>
          <w:shd w:val="clear" w:color="auto" w:fill="FFFFFF"/>
          <w:lang w:eastAsia="zh-CN"/>
        </w:rPr>
        <w:t xml:space="preserve">ravel in the Chicago </w:t>
      </w:r>
      <w:r w:rsidR="00413B20">
        <w:rPr>
          <w:rFonts w:cs="Times New Roman"/>
          <w:sz w:val="24"/>
          <w:szCs w:val="24"/>
          <w:shd w:val="clear" w:color="auto" w:fill="FFFFFF"/>
          <w:lang w:eastAsia="zh-CN"/>
        </w:rPr>
        <w:t>m</w:t>
      </w:r>
      <w:r w:rsidRPr="00413B20">
        <w:rPr>
          <w:rFonts w:cs="Times New Roman"/>
          <w:sz w:val="24"/>
          <w:szCs w:val="24"/>
          <w:shd w:val="clear" w:color="auto" w:fill="FFFFFF"/>
          <w:lang w:eastAsia="zh-CN"/>
        </w:rPr>
        <w:t xml:space="preserve">etropolitan </w:t>
      </w:r>
      <w:r w:rsidR="00413B20">
        <w:rPr>
          <w:rFonts w:cs="Times New Roman"/>
          <w:sz w:val="24"/>
          <w:szCs w:val="24"/>
          <w:shd w:val="clear" w:color="auto" w:fill="FFFFFF"/>
          <w:lang w:eastAsia="zh-CN"/>
        </w:rPr>
        <w:t>a</w:t>
      </w:r>
      <w:r w:rsidRPr="00413B20">
        <w:rPr>
          <w:rFonts w:cs="Times New Roman"/>
          <w:sz w:val="24"/>
          <w:szCs w:val="24"/>
          <w:shd w:val="clear" w:color="auto" w:fill="FFFFFF"/>
          <w:lang w:eastAsia="zh-CN"/>
        </w:rPr>
        <w:t xml:space="preserve">rea. </w:t>
      </w:r>
      <w:r w:rsidRPr="00413B20">
        <w:rPr>
          <w:rFonts w:cs="Times New Roman"/>
          <w:i/>
          <w:sz w:val="24"/>
          <w:szCs w:val="24"/>
          <w:shd w:val="clear" w:color="auto" w:fill="FFFFFF"/>
          <w:lang w:eastAsia="zh-CN"/>
        </w:rPr>
        <w:t>Journal of Urban Planning and Development</w:t>
      </w:r>
      <w:r w:rsidRPr="00413B20">
        <w:rPr>
          <w:rFonts w:cs="Times New Roman"/>
          <w:sz w:val="24"/>
          <w:szCs w:val="24"/>
          <w:shd w:val="clear" w:color="auto" w:fill="FFFFFF"/>
          <w:lang w:eastAsia="zh-CN"/>
        </w:rPr>
        <w:t>, 142(3), p.04016005.</w:t>
      </w:r>
    </w:p>
    <w:p w14:paraId="74345D74" w14:textId="531644BB" w:rsidR="00C04E4A" w:rsidRPr="00413B20" w:rsidRDefault="00C04E4A" w:rsidP="00881C66">
      <w:pPr>
        <w:spacing w:after="120" w:line="240" w:lineRule="auto"/>
        <w:ind w:left="540" w:hanging="529"/>
        <w:rPr>
          <w:rFonts w:cs="Times New Roman"/>
          <w:sz w:val="24"/>
          <w:szCs w:val="24"/>
          <w:shd w:val="clear" w:color="auto" w:fill="FFFFFF"/>
        </w:rPr>
      </w:pPr>
      <w:proofErr w:type="spellStart"/>
      <w:r w:rsidRPr="00413B20">
        <w:rPr>
          <w:rFonts w:cs="Times New Roman"/>
          <w:sz w:val="24"/>
          <w:szCs w:val="24"/>
          <w:shd w:val="clear" w:color="auto" w:fill="FFFFFF"/>
        </w:rPr>
        <w:t>Hubers</w:t>
      </w:r>
      <w:proofErr w:type="spellEnd"/>
      <w:r w:rsidRPr="00413B20">
        <w:rPr>
          <w:rFonts w:cs="Times New Roman"/>
          <w:sz w:val="24"/>
          <w:szCs w:val="24"/>
          <w:shd w:val="clear" w:color="auto" w:fill="FFFFFF"/>
        </w:rPr>
        <w:t xml:space="preserve">, C., </w:t>
      </w:r>
      <w:proofErr w:type="spellStart"/>
      <w:r w:rsidRPr="00413B20">
        <w:rPr>
          <w:rFonts w:cs="Times New Roman"/>
          <w:sz w:val="24"/>
          <w:szCs w:val="24"/>
          <w:shd w:val="clear" w:color="auto" w:fill="FFFFFF"/>
        </w:rPr>
        <w:t>Dijst</w:t>
      </w:r>
      <w:proofErr w:type="spellEnd"/>
      <w:r w:rsidRPr="00413B20">
        <w:rPr>
          <w:rFonts w:cs="Times New Roman"/>
          <w:sz w:val="24"/>
          <w:szCs w:val="24"/>
          <w:shd w:val="clear" w:color="auto" w:fill="FFFFFF"/>
        </w:rPr>
        <w:t xml:space="preserve">, M. and </w:t>
      </w:r>
      <w:proofErr w:type="spellStart"/>
      <w:r w:rsidRPr="00413B20">
        <w:rPr>
          <w:rFonts w:cs="Times New Roman"/>
          <w:sz w:val="24"/>
          <w:szCs w:val="24"/>
          <w:shd w:val="clear" w:color="auto" w:fill="FFFFFF"/>
        </w:rPr>
        <w:t>Schwanen</w:t>
      </w:r>
      <w:proofErr w:type="spellEnd"/>
      <w:r w:rsidRPr="00413B20">
        <w:rPr>
          <w:rFonts w:cs="Times New Roman"/>
          <w:sz w:val="24"/>
          <w:szCs w:val="24"/>
          <w:shd w:val="clear" w:color="auto" w:fill="FFFFFF"/>
        </w:rPr>
        <w:t xml:space="preserve">, T., 2015. The fragmented worker? </w:t>
      </w:r>
      <w:r w:rsidR="00CF7145" w:rsidRPr="00413B20">
        <w:rPr>
          <w:rFonts w:cs="Times New Roman"/>
          <w:sz w:val="24"/>
          <w:szCs w:val="24"/>
          <w:shd w:val="clear" w:color="auto" w:fill="FFFFFF"/>
        </w:rPr>
        <w:t>ICT</w:t>
      </w:r>
      <w:r w:rsidRPr="00413B20">
        <w:rPr>
          <w:rFonts w:cs="Times New Roman"/>
          <w:sz w:val="24"/>
          <w:szCs w:val="24"/>
          <w:shd w:val="clear" w:color="auto" w:fill="FFFFFF"/>
        </w:rPr>
        <w:t xml:space="preserve">, coping strategies and gender differences in the temporal and spatial fragmentation of paid </w:t>
      </w:r>
      <w:proofErr w:type="spellStart"/>
      <w:r w:rsidRPr="00413B20">
        <w:rPr>
          <w:rFonts w:cs="Times New Roman"/>
          <w:sz w:val="24"/>
          <w:szCs w:val="24"/>
          <w:shd w:val="clear" w:color="auto" w:fill="FFFFFF"/>
        </w:rPr>
        <w:t>labour</w:t>
      </w:r>
      <w:proofErr w:type="spellEnd"/>
      <w:r w:rsidRPr="00413B20">
        <w:rPr>
          <w:rFonts w:cs="Times New Roman"/>
          <w:sz w:val="24"/>
          <w:szCs w:val="24"/>
          <w:shd w:val="clear" w:color="auto" w:fill="FFFFFF"/>
        </w:rPr>
        <w:t>.</w:t>
      </w:r>
      <w:r w:rsidRPr="00413B20">
        <w:rPr>
          <w:rStyle w:val="apple-converted-space"/>
          <w:rFonts w:cs="Times New Roman"/>
          <w:sz w:val="24"/>
          <w:szCs w:val="24"/>
          <w:shd w:val="clear" w:color="auto" w:fill="FFFFFF"/>
        </w:rPr>
        <w:t> </w:t>
      </w:r>
      <w:r w:rsidRPr="00413B20">
        <w:rPr>
          <w:rFonts w:cs="Times New Roman"/>
          <w:i/>
          <w:iCs/>
          <w:sz w:val="24"/>
          <w:szCs w:val="24"/>
          <w:shd w:val="clear" w:color="auto" w:fill="FFFFFF"/>
        </w:rPr>
        <w:t>Time &amp; Society</w:t>
      </w:r>
      <w:r w:rsidRPr="00413B20">
        <w:rPr>
          <w:rFonts w:cs="Times New Roman"/>
          <w:sz w:val="24"/>
          <w:szCs w:val="24"/>
          <w:shd w:val="clear" w:color="auto" w:fill="FFFFFF"/>
        </w:rPr>
        <w:t xml:space="preserve">, </w:t>
      </w:r>
      <w:r w:rsidR="00413B20">
        <w:rPr>
          <w:rFonts w:cs="Times New Roman"/>
          <w:sz w:val="24"/>
          <w:szCs w:val="24"/>
          <w:shd w:val="clear" w:color="auto" w:fill="FFFFFF"/>
        </w:rPr>
        <w:t>27(1), 92-130</w:t>
      </w:r>
      <w:r w:rsidRPr="00413B20">
        <w:rPr>
          <w:rFonts w:cs="Times New Roman"/>
          <w:sz w:val="24"/>
          <w:szCs w:val="24"/>
          <w:shd w:val="clear" w:color="auto" w:fill="FFFFFF"/>
        </w:rPr>
        <w:t>.</w:t>
      </w:r>
    </w:p>
    <w:p w14:paraId="3F700C69" w14:textId="2AD5AFF1" w:rsidR="00C04E4A" w:rsidRPr="00413B20" w:rsidRDefault="00C04E4A" w:rsidP="00881C66">
      <w:pPr>
        <w:spacing w:after="120" w:line="240" w:lineRule="auto"/>
        <w:ind w:left="540" w:hanging="529"/>
        <w:rPr>
          <w:rFonts w:cs="Times New Roman"/>
          <w:sz w:val="24"/>
          <w:szCs w:val="24"/>
          <w:lang w:eastAsia="zh-CN"/>
        </w:rPr>
      </w:pPr>
      <w:r w:rsidRPr="00413B20">
        <w:rPr>
          <w:rFonts w:cs="Times New Roman"/>
          <w:sz w:val="24"/>
          <w:szCs w:val="24"/>
          <w:lang w:val="fr-FR" w:eastAsia="zh-CN"/>
        </w:rPr>
        <w:t>International Labour Organisation (ILO), 2016. </w:t>
      </w:r>
      <w:r w:rsidRPr="00413B20">
        <w:rPr>
          <w:rFonts w:cs="Times New Roman"/>
          <w:i/>
          <w:iCs/>
          <w:sz w:val="24"/>
          <w:szCs w:val="24"/>
          <w:lang w:eastAsia="zh-CN"/>
        </w:rPr>
        <w:t xml:space="preserve">Women at work: </w:t>
      </w:r>
      <w:r w:rsidR="009B1767">
        <w:rPr>
          <w:rFonts w:cs="Times New Roman"/>
          <w:i/>
          <w:iCs/>
          <w:sz w:val="24"/>
          <w:szCs w:val="24"/>
          <w:lang w:eastAsia="zh-CN"/>
        </w:rPr>
        <w:t>T</w:t>
      </w:r>
      <w:r w:rsidRPr="00413B20">
        <w:rPr>
          <w:rFonts w:cs="Times New Roman"/>
          <w:i/>
          <w:iCs/>
          <w:sz w:val="24"/>
          <w:szCs w:val="24"/>
          <w:lang w:eastAsia="zh-CN"/>
        </w:rPr>
        <w:t>rends 2016</w:t>
      </w:r>
      <w:r w:rsidRPr="00413B20">
        <w:rPr>
          <w:rFonts w:cs="Times New Roman"/>
          <w:sz w:val="24"/>
          <w:szCs w:val="24"/>
          <w:lang w:eastAsia="zh-CN"/>
        </w:rPr>
        <w:t>. ILO, Geneva, Switzerland.</w:t>
      </w:r>
    </w:p>
    <w:p w14:paraId="2D2C51DE" w14:textId="1C8CA2B2" w:rsidR="00C04E4A" w:rsidRPr="00413B20" w:rsidRDefault="00097E96" w:rsidP="00881C66">
      <w:pPr>
        <w:spacing w:after="120" w:line="240" w:lineRule="auto"/>
        <w:ind w:left="540" w:hanging="529"/>
        <w:rPr>
          <w:rFonts w:cs="Times New Roman"/>
          <w:sz w:val="24"/>
          <w:szCs w:val="24"/>
          <w:lang w:eastAsia="zh-CN"/>
        </w:rPr>
      </w:pPr>
      <w:r w:rsidRPr="00413B20">
        <w:rPr>
          <w:rFonts w:cs="Times New Roman"/>
          <w:sz w:val="24"/>
          <w:szCs w:val="24"/>
          <w:lang w:eastAsia="zh-CN"/>
        </w:rPr>
        <w:t xml:space="preserve">Jabs, J., Devine, C.M., </w:t>
      </w:r>
      <w:proofErr w:type="spellStart"/>
      <w:r w:rsidRPr="00413B20">
        <w:rPr>
          <w:rFonts w:cs="Times New Roman"/>
          <w:sz w:val="24"/>
          <w:szCs w:val="24"/>
          <w:lang w:eastAsia="zh-CN"/>
        </w:rPr>
        <w:t>Bisogni</w:t>
      </w:r>
      <w:proofErr w:type="spellEnd"/>
      <w:r w:rsidRPr="00413B20">
        <w:rPr>
          <w:rFonts w:cs="Times New Roman"/>
          <w:sz w:val="24"/>
          <w:szCs w:val="24"/>
          <w:lang w:eastAsia="zh-CN"/>
        </w:rPr>
        <w:t xml:space="preserve">, C.A., Farrell, T.J., </w:t>
      </w:r>
      <w:proofErr w:type="spellStart"/>
      <w:r w:rsidRPr="00413B20">
        <w:rPr>
          <w:rFonts w:cs="Times New Roman"/>
          <w:sz w:val="24"/>
          <w:szCs w:val="24"/>
          <w:lang w:eastAsia="zh-CN"/>
        </w:rPr>
        <w:t>Jastran</w:t>
      </w:r>
      <w:proofErr w:type="spellEnd"/>
      <w:r w:rsidRPr="00413B20">
        <w:rPr>
          <w:rFonts w:cs="Times New Roman"/>
          <w:sz w:val="24"/>
          <w:szCs w:val="24"/>
          <w:lang w:eastAsia="zh-CN"/>
        </w:rPr>
        <w:t xml:space="preserve">, M. and </w:t>
      </w:r>
      <w:proofErr w:type="spellStart"/>
      <w:r w:rsidRPr="00413B20">
        <w:rPr>
          <w:rFonts w:cs="Times New Roman"/>
          <w:sz w:val="24"/>
          <w:szCs w:val="24"/>
          <w:lang w:eastAsia="zh-CN"/>
        </w:rPr>
        <w:t>Wethington</w:t>
      </w:r>
      <w:proofErr w:type="spellEnd"/>
      <w:r w:rsidRPr="00413B20">
        <w:rPr>
          <w:rFonts w:cs="Times New Roman"/>
          <w:sz w:val="24"/>
          <w:szCs w:val="24"/>
          <w:lang w:eastAsia="zh-CN"/>
        </w:rPr>
        <w:t xml:space="preserve">, E., 2007. Trying to find the quickest way: </w:t>
      </w:r>
      <w:r w:rsidR="005D1C21">
        <w:rPr>
          <w:rFonts w:cs="Times New Roman"/>
          <w:sz w:val="24"/>
          <w:szCs w:val="24"/>
          <w:lang w:eastAsia="zh-CN"/>
        </w:rPr>
        <w:t>E</w:t>
      </w:r>
      <w:r w:rsidRPr="00413B20">
        <w:rPr>
          <w:rFonts w:cs="Times New Roman"/>
          <w:sz w:val="24"/>
          <w:szCs w:val="24"/>
          <w:lang w:eastAsia="zh-CN"/>
        </w:rPr>
        <w:t>mployed mothers’ constructions of time for food. </w:t>
      </w:r>
      <w:r w:rsidRPr="00413B20">
        <w:rPr>
          <w:rFonts w:cs="Times New Roman"/>
          <w:i/>
          <w:iCs/>
          <w:sz w:val="24"/>
          <w:szCs w:val="24"/>
          <w:lang w:eastAsia="zh-CN"/>
        </w:rPr>
        <w:t xml:space="preserve">Journal of </w:t>
      </w:r>
      <w:r w:rsidR="00881C66" w:rsidRPr="00413B20">
        <w:rPr>
          <w:rFonts w:cs="Times New Roman"/>
          <w:i/>
          <w:iCs/>
          <w:sz w:val="24"/>
          <w:szCs w:val="24"/>
          <w:lang w:eastAsia="zh-CN"/>
        </w:rPr>
        <w:t>N</w:t>
      </w:r>
      <w:r w:rsidRPr="00413B20">
        <w:rPr>
          <w:rFonts w:cs="Times New Roman"/>
          <w:i/>
          <w:iCs/>
          <w:sz w:val="24"/>
          <w:szCs w:val="24"/>
          <w:lang w:eastAsia="zh-CN"/>
        </w:rPr>
        <w:t xml:space="preserve">utrition </w:t>
      </w:r>
      <w:r w:rsidR="00881C66" w:rsidRPr="00413B20">
        <w:rPr>
          <w:rFonts w:cs="Times New Roman"/>
          <w:i/>
          <w:iCs/>
          <w:sz w:val="24"/>
          <w:szCs w:val="24"/>
          <w:lang w:eastAsia="zh-CN"/>
        </w:rPr>
        <w:t>E</w:t>
      </w:r>
      <w:r w:rsidRPr="00413B20">
        <w:rPr>
          <w:rFonts w:cs="Times New Roman"/>
          <w:i/>
          <w:iCs/>
          <w:sz w:val="24"/>
          <w:szCs w:val="24"/>
          <w:lang w:eastAsia="zh-CN"/>
        </w:rPr>
        <w:t xml:space="preserve">ducation and </w:t>
      </w:r>
      <w:r w:rsidR="00881C66" w:rsidRPr="00413B20">
        <w:rPr>
          <w:rFonts w:cs="Times New Roman"/>
          <w:i/>
          <w:iCs/>
          <w:sz w:val="24"/>
          <w:szCs w:val="24"/>
          <w:lang w:eastAsia="zh-CN"/>
        </w:rPr>
        <w:t>B</w:t>
      </w:r>
      <w:r w:rsidRPr="00413B20">
        <w:rPr>
          <w:rFonts w:cs="Times New Roman"/>
          <w:i/>
          <w:iCs/>
          <w:sz w:val="24"/>
          <w:szCs w:val="24"/>
          <w:lang w:eastAsia="zh-CN"/>
        </w:rPr>
        <w:t>ehavior</w:t>
      </w:r>
      <w:r w:rsidRPr="00413B20">
        <w:rPr>
          <w:rFonts w:cs="Times New Roman"/>
          <w:sz w:val="24"/>
          <w:szCs w:val="24"/>
          <w:lang w:eastAsia="zh-CN"/>
        </w:rPr>
        <w:t>, </w:t>
      </w:r>
      <w:r w:rsidRPr="00413B20">
        <w:rPr>
          <w:rFonts w:cs="Times New Roman"/>
          <w:iCs/>
          <w:sz w:val="24"/>
          <w:szCs w:val="24"/>
          <w:lang w:eastAsia="zh-CN"/>
        </w:rPr>
        <w:t>39</w:t>
      </w:r>
      <w:r w:rsidRPr="00413B20">
        <w:rPr>
          <w:rFonts w:cs="Times New Roman"/>
          <w:sz w:val="24"/>
          <w:szCs w:val="24"/>
          <w:lang w:eastAsia="zh-CN"/>
        </w:rPr>
        <w:t>(1), 18-25.</w:t>
      </w:r>
    </w:p>
    <w:p w14:paraId="5676251E" w14:textId="496B86E4" w:rsidR="000A7DFE" w:rsidRPr="00DD4E8B" w:rsidRDefault="000A7DFE" w:rsidP="00881C66">
      <w:pPr>
        <w:spacing w:after="120" w:line="240" w:lineRule="auto"/>
        <w:ind w:left="540" w:hanging="529"/>
        <w:rPr>
          <w:rFonts w:cs="Times New Roman"/>
          <w:color w:val="000000" w:themeColor="text1"/>
          <w:sz w:val="24"/>
          <w:szCs w:val="24"/>
        </w:rPr>
      </w:pPr>
      <w:r w:rsidRPr="00413B20">
        <w:rPr>
          <w:rFonts w:cs="Times New Roman"/>
          <w:sz w:val="24"/>
          <w:szCs w:val="24"/>
        </w:rPr>
        <w:t xml:space="preserve">Johnson, S., Li, J., Kendall, G., </w:t>
      </w:r>
      <w:proofErr w:type="spellStart"/>
      <w:r w:rsidRPr="00413B20">
        <w:rPr>
          <w:rFonts w:cs="Times New Roman"/>
          <w:sz w:val="24"/>
          <w:szCs w:val="24"/>
        </w:rPr>
        <w:t>Strazdins</w:t>
      </w:r>
      <w:proofErr w:type="spellEnd"/>
      <w:r w:rsidRPr="00413B20">
        <w:rPr>
          <w:rFonts w:cs="Times New Roman"/>
          <w:sz w:val="24"/>
          <w:szCs w:val="24"/>
        </w:rPr>
        <w:t xml:space="preserve">, L. and Jacoby, P., 2013. Mothers' </w:t>
      </w:r>
      <w:r w:rsidRPr="00DD4E8B">
        <w:rPr>
          <w:rFonts w:cs="Times New Roman"/>
          <w:color w:val="000000" w:themeColor="text1"/>
          <w:sz w:val="24"/>
          <w:szCs w:val="24"/>
        </w:rPr>
        <w:t xml:space="preserve">and fathers' work hours, child gender, and behavior in middle childhood. </w:t>
      </w:r>
      <w:r w:rsidRPr="00DD4E8B">
        <w:rPr>
          <w:rFonts w:cs="Times New Roman"/>
          <w:i/>
          <w:color w:val="000000" w:themeColor="text1"/>
          <w:sz w:val="24"/>
          <w:szCs w:val="24"/>
        </w:rPr>
        <w:t>Journal of Marriage and Family</w:t>
      </w:r>
      <w:r w:rsidRPr="00DD4E8B">
        <w:rPr>
          <w:rFonts w:cs="Times New Roman"/>
          <w:color w:val="000000" w:themeColor="text1"/>
          <w:sz w:val="24"/>
          <w:szCs w:val="24"/>
        </w:rPr>
        <w:t>, 75(1), 56-74.</w:t>
      </w:r>
    </w:p>
    <w:p w14:paraId="71D8ECFC" w14:textId="4842E582"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Kenyon, S., 2010. The impacts of Internet use upon activity participation and travel: Results from a longitudinal diary-based panel study. </w:t>
      </w:r>
      <w:r w:rsidRPr="00DD4E8B">
        <w:rPr>
          <w:rFonts w:cs="Times New Roman"/>
          <w:i/>
          <w:iCs/>
          <w:color w:val="000000" w:themeColor="text1"/>
          <w:sz w:val="24"/>
          <w:szCs w:val="24"/>
          <w:shd w:val="clear" w:color="auto" w:fill="FFFFFF"/>
        </w:rPr>
        <w:t xml:space="preserve">Transportation </w:t>
      </w:r>
      <w:r w:rsidR="00881C66" w:rsidRPr="00DD4E8B">
        <w:rPr>
          <w:rFonts w:cs="Times New Roman"/>
          <w:i/>
          <w:iCs/>
          <w:color w:val="000000" w:themeColor="text1"/>
          <w:sz w:val="24"/>
          <w:szCs w:val="24"/>
          <w:shd w:val="clear" w:color="auto" w:fill="FFFFFF"/>
        </w:rPr>
        <w:t>Research Part C</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18</w:t>
      </w:r>
      <w:r w:rsidRPr="00DD4E8B">
        <w:rPr>
          <w:rFonts w:cs="Times New Roman"/>
          <w:color w:val="000000" w:themeColor="text1"/>
          <w:sz w:val="24"/>
          <w:szCs w:val="24"/>
          <w:shd w:val="clear" w:color="auto" w:fill="FFFFFF"/>
        </w:rPr>
        <w:t>(1), 21-35.</w:t>
      </w:r>
    </w:p>
    <w:p w14:paraId="2A0875C9" w14:textId="1ABFB9AD"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Kenyon, S. and Lyons, G., 2007. Introducing multitasking to the study of travel and ICT: Examining its extent and assessing its potential importance. </w:t>
      </w:r>
      <w:r w:rsidR="00881C66" w:rsidRPr="00DD4E8B">
        <w:rPr>
          <w:rFonts w:cs="Times New Roman"/>
          <w:i/>
          <w:iCs/>
          <w:color w:val="000000" w:themeColor="text1"/>
          <w:sz w:val="24"/>
          <w:szCs w:val="24"/>
          <w:shd w:val="clear" w:color="auto" w:fill="FFFFFF"/>
        </w:rPr>
        <w:t>Transportation Research Part A</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41</w:t>
      </w:r>
      <w:r w:rsidRPr="00DD4E8B">
        <w:rPr>
          <w:rFonts w:cs="Times New Roman"/>
          <w:color w:val="000000" w:themeColor="text1"/>
          <w:sz w:val="24"/>
          <w:szCs w:val="24"/>
          <w:shd w:val="clear" w:color="auto" w:fill="FFFFFF"/>
        </w:rPr>
        <w:t>(2), 161-175.</w:t>
      </w:r>
    </w:p>
    <w:p w14:paraId="219B6BC6" w14:textId="7000D077"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 xml:space="preserve">Kenyon, S., Rafferty, J. and Lyons, G., 2003. Social exclusion and transport in the UK: </w:t>
      </w:r>
      <w:r w:rsidR="005D1C21">
        <w:rPr>
          <w:rFonts w:cs="Times New Roman"/>
          <w:color w:val="000000" w:themeColor="text1"/>
          <w:sz w:val="24"/>
          <w:szCs w:val="24"/>
          <w:shd w:val="clear" w:color="auto" w:fill="FFFFFF"/>
        </w:rPr>
        <w:t>A</w:t>
      </w:r>
      <w:r w:rsidRPr="00DD4E8B">
        <w:rPr>
          <w:rFonts w:cs="Times New Roman"/>
          <w:color w:val="000000" w:themeColor="text1"/>
          <w:sz w:val="24"/>
          <w:szCs w:val="24"/>
          <w:shd w:val="clear" w:color="auto" w:fill="FFFFFF"/>
        </w:rPr>
        <w:t xml:space="preserve"> role for virtual accessibility in the alleviation of mobility-related social exclusion</w:t>
      </w:r>
      <w:proofErr w:type="gramStart"/>
      <w:r w:rsidRPr="00DD4E8B">
        <w:rPr>
          <w:rFonts w:cs="Times New Roman"/>
          <w:color w:val="000000" w:themeColor="text1"/>
          <w:sz w:val="24"/>
          <w:szCs w:val="24"/>
          <w:shd w:val="clear" w:color="auto" w:fill="FFFFFF"/>
        </w:rPr>
        <w:t>?.</w:t>
      </w:r>
      <w:proofErr w:type="gramEnd"/>
      <w:r w:rsidRPr="00DD4E8B">
        <w:rPr>
          <w:rFonts w:cs="Times New Roman"/>
          <w:color w:val="000000" w:themeColor="text1"/>
          <w:sz w:val="24"/>
          <w:szCs w:val="24"/>
          <w:shd w:val="clear" w:color="auto" w:fill="FFFFFF"/>
        </w:rPr>
        <w:t> </w:t>
      </w:r>
      <w:r w:rsidRPr="00DD4E8B">
        <w:rPr>
          <w:rFonts w:cs="Times New Roman"/>
          <w:i/>
          <w:iCs/>
          <w:color w:val="000000" w:themeColor="text1"/>
          <w:sz w:val="24"/>
          <w:szCs w:val="24"/>
          <w:shd w:val="clear" w:color="auto" w:fill="FFFFFF"/>
        </w:rPr>
        <w:t>Journal of Social Policy</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32</w:t>
      </w:r>
      <w:r w:rsidRPr="00DD4E8B">
        <w:rPr>
          <w:rFonts w:cs="Times New Roman"/>
          <w:color w:val="000000" w:themeColor="text1"/>
          <w:sz w:val="24"/>
          <w:szCs w:val="24"/>
          <w:shd w:val="clear" w:color="auto" w:fill="FFFFFF"/>
        </w:rPr>
        <w:t>(3), 317-338.</w:t>
      </w:r>
    </w:p>
    <w:p w14:paraId="628256E8" w14:textId="41A995F0" w:rsidR="00C04E4A" w:rsidRPr="00DD4E8B" w:rsidRDefault="00C04E4A" w:rsidP="00881C66">
      <w:pPr>
        <w:spacing w:after="120" w:line="240" w:lineRule="auto"/>
        <w:ind w:left="540" w:hanging="529"/>
        <w:rPr>
          <w:rFonts w:cs="Times New Roman"/>
          <w:color w:val="000000" w:themeColor="text1"/>
          <w:sz w:val="24"/>
          <w:szCs w:val="24"/>
        </w:rPr>
      </w:pPr>
      <w:r w:rsidRPr="00DD4E8B">
        <w:rPr>
          <w:rFonts w:cs="Times New Roman"/>
          <w:color w:val="000000" w:themeColor="text1"/>
          <w:sz w:val="24"/>
          <w:szCs w:val="24"/>
          <w:shd w:val="clear" w:color="auto" w:fill="FFFFFF"/>
        </w:rPr>
        <w:lastRenderedPageBreak/>
        <w:t xml:space="preserve">King, M.J., 2016. Safety while walking among older people: </w:t>
      </w:r>
      <w:r w:rsidR="005D1C21">
        <w:rPr>
          <w:rFonts w:cs="Times New Roman"/>
          <w:color w:val="000000" w:themeColor="text1"/>
          <w:sz w:val="24"/>
          <w:szCs w:val="24"/>
          <w:shd w:val="clear" w:color="auto" w:fill="FFFFFF"/>
        </w:rPr>
        <w:t>T</w:t>
      </w:r>
      <w:r w:rsidRPr="00DD4E8B">
        <w:rPr>
          <w:rFonts w:cs="Times New Roman"/>
          <w:color w:val="000000" w:themeColor="text1"/>
          <w:sz w:val="24"/>
          <w:szCs w:val="24"/>
          <w:shd w:val="clear" w:color="auto" w:fill="FFFFFF"/>
        </w:rPr>
        <w:t>he intersection of mobility, road safety, physical fragility, gender and fears about personal safety.</w:t>
      </w:r>
      <w:r w:rsidRPr="00DD4E8B">
        <w:rPr>
          <w:rStyle w:val="apple-converted-space"/>
          <w:rFonts w:cs="Times New Roman"/>
          <w:color w:val="000000" w:themeColor="text1"/>
          <w:sz w:val="24"/>
          <w:szCs w:val="24"/>
          <w:shd w:val="clear" w:color="auto" w:fill="FFFFFF"/>
        </w:rPr>
        <w:t> </w:t>
      </w:r>
      <w:r w:rsidRPr="00DD4E8B">
        <w:rPr>
          <w:rFonts w:cs="Times New Roman"/>
          <w:i/>
          <w:iCs/>
          <w:color w:val="000000" w:themeColor="text1"/>
          <w:sz w:val="24"/>
          <w:szCs w:val="24"/>
          <w:shd w:val="clear" w:color="auto" w:fill="FFFFFF"/>
        </w:rPr>
        <w:t>International Journal of Psychology</w:t>
      </w:r>
      <w:r w:rsidRPr="00DD4E8B">
        <w:rPr>
          <w:rFonts w:cs="Times New Roman"/>
          <w:color w:val="000000" w:themeColor="text1"/>
          <w:sz w:val="24"/>
          <w:szCs w:val="24"/>
          <w:shd w:val="clear" w:color="auto" w:fill="FFFFFF"/>
        </w:rPr>
        <w:t>,</w:t>
      </w:r>
      <w:r w:rsidRPr="00DD4E8B">
        <w:rPr>
          <w:rStyle w:val="apple-converted-space"/>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51</w:t>
      </w:r>
      <w:r w:rsidRPr="00DD4E8B">
        <w:rPr>
          <w:rFonts w:cs="Times New Roman"/>
          <w:color w:val="000000" w:themeColor="text1"/>
          <w:sz w:val="24"/>
          <w:szCs w:val="24"/>
          <w:shd w:val="clear" w:color="auto" w:fill="FFFFFF"/>
        </w:rPr>
        <w:t>,</w:t>
      </w:r>
      <w:r w:rsidR="00977F44" w:rsidRPr="00DD4E8B">
        <w:rPr>
          <w:rFonts w:cs="Times New Roman"/>
          <w:color w:val="000000" w:themeColor="text1"/>
          <w:sz w:val="24"/>
          <w:szCs w:val="24"/>
          <w:shd w:val="clear" w:color="auto" w:fill="FFFFFF"/>
        </w:rPr>
        <w:t xml:space="preserve"> </w:t>
      </w:r>
      <w:r w:rsidRPr="00DD4E8B">
        <w:rPr>
          <w:rFonts w:cs="Times New Roman"/>
          <w:color w:val="000000" w:themeColor="text1"/>
          <w:sz w:val="24"/>
          <w:szCs w:val="24"/>
          <w:shd w:val="clear" w:color="auto" w:fill="FFFFFF"/>
        </w:rPr>
        <w:t>1144.</w:t>
      </w:r>
    </w:p>
    <w:p w14:paraId="49B396C7" w14:textId="637C37D5" w:rsidR="00C04E4A" w:rsidRPr="009B1767" w:rsidRDefault="00C04E4A" w:rsidP="00881C66">
      <w:pPr>
        <w:spacing w:after="120" w:line="240" w:lineRule="auto"/>
        <w:ind w:left="540" w:hanging="529"/>
        <w:rPr>
          <w:rFonts w:cs="Times New Roman"/>
          <w:color w:val="000000" w:themeColor="text1"/>
          <w:sz w:val="24"/>
          <w:szCs w:val="24"/>
          <w:shd w:val="clear" w:color="auto" w:fill="FFFFFF"/>
        </w:rPr>
      </w:pPr>
      <w:proofErr w:type="spellStart"/>
      <w:r w:rsidRPr="009B1767">
        <w:rPr>
          <w:rFonts w:cs="Times New Roman"/>
          <w:color w:val="000000" w:themeColor="text1"/>
          <w:sz w:val="24"/>
          <w:szCs w:val="24"/>
          <w:shd w:val="clear" w:color="auto" w:fill="FFFFFF"/>
        </w:rPr>
        <w:t>Lavieri</w:t>
      </w:r>
      <w:proofErr w:type="spellEnd"/>
      <w:r w:rsidRPr="009B1767">
        <w:rPr>
          <w:rFonts w:cs="Times New Roman"/>
          <w:color w:val="000000" w:themeColor="text1"/>
          <w:sz w:val="24"/>
          <w:szCs w:val="24"/>
          <w:shd w:val="clear" w:color="auto" w:fill="FFFFFF"/>
        </w:rPr>
        <w:t xml:space="preserve">, P.S., </w:t>
      </w:r>
      <w:proofErr w:type="spellStart"/>
      <w:r w:rsidRPr="009B1767">
        <w:rPr>
          <w:rFonts w:cs="Times New Roman"/>
          <w:color w:val="000000" w:themeColor="text1"/>
          <w:sz w:val="24"/>
          <w:szCs w:val="24"/>
          <w:shd w:val="clear" w:color="auto" w:fill="FFFFFF"/>
        </w:rPr>
        <w:t>Garikapati</w:t>
      </w:r>
      <w:proofErr w:type="spellEnd"/>
      <w:r w:rsidRPr="009B1767">
        <w:rPr>
          <w:rFonts w:cs="Times New Roman"/>
          <w:color w:val="000000" w:themeColor="text1"/>
          <w:sz w:val="24"/>
          <w:szCs w:val="24"/>
          <w:shd w:val="clear" w:color="auto" w:fill="FFFFFF"/>
        </w:rPr>
        <w:t xml:space="preserve">, V.M., Bhat, C.R., </w:t>
      </w:r>
      <w:proofErr w:type="spellStart"/>
      <w:r w:rsidRPr="009B1767">
        <w:rPr>
          <w:rFonts w:cs="Times New Roman"/>
          <w:color w:val="000000" w:themeColor="text1"/>
          <w:sz w:val="24"/>
          <w:szCs w:val="24"/>
          <w:shd w:val="clear" w:color="auto" w:fill="FFFFFF"/>
        </w:rPr>
        <w:t>Pendyala</w:t>
      </w:r>
      <w:proofErr w:type="spellEnd"/>
      <w:r w:rsidRPr="009B1767">
        <w:rPr>
          <w:rFonts w:cs="Times New Roman"/>
          <w:color w:val="000000" w:themeColor="text1"/>
          <w:sz w:val="24"/>
          <w:szCs w:val="24"/>
          <w:shd w:val="clear" w:color="auto" w:fill="FFFFFF"/>
        </w:rPr>
        <w:t xml:space="preserve">, R.M., </w:t>
      </w:r>
      <w:proofErr w:type="spellStart"/>
      <w:r w:rsidRPr="009B1767">
        <w:rPr>
          <w:rFonts w:cs="Times New Roman"/>
          <w:color w:val="000000" w:themeColor="text1"/>
          <w:sz w:val="24"/>
          <w:szCs w:val="24"/>
          <w:shd w:val="clear" w:color="auto" w:fill="FFFFFF"/>
        </w:rPr>
        <w:t>Astroza</w:t>
      </w:r>
      <w:proofErr w:type="spellEnd"/>
      <w:r w:rsidRPr="009B1767">
        <w:rPr>
          <w:rFonts w:cs="Times New Roman"/>
          <w:color w:val="000000" w:themeColor="text1"/>
          <w:sz w:val="24"/>
          <w:szCs w:val="24"/>
          <w:shd w:val="clear" w:color="auto" w:fill="FFFFFF"/>
        </w:rPr>
        <w:t>, S. and Dias, F.F., 2017a. </w:t>
      </w:r>
      <w:r w:rsidRPr="009B1767">
        <w:rPr>
          <w:rFonts w:cs="Times New Roman"/>
          <w:iCs/>
          <w:color w:val="000000" w:themeColor="text1"/>
          <w:sz w:val="24"/>
          <w:szCs w:val="24"/>
          <w:shd w:val="clear" w:color="auto" w:fill="FFFFFF"/>
        </w:rPr>
        <w:t xml:space="preserve">Modeling </w:t>
      </w:r>
      <w:r w:rsidR="00807322">
        <w:rPr>
          <w:rFonts w:cs="Times New Roman"/>
          <w:iCs/>
          <w:color w:val="000000" w:themeColor="text1"/>
          <w:sz w:val="24"/>
          <w:szCs w:val="24"/>
          <w:shd w:val="clear" w:color="auto" w:fill="FFFFFF"/>
        </w:rPr>
        <w:t>i</w:t>
      </w:r>
      <w:r w:rsidRPr="009B1767">
        <w:rPr>
          <w:rFonts w:cs="Times New Roman"/>
          <w:iCs/>
          <w:color w:val="000000" w:themeColor="text1"/>
          <w:sz w:val="24"/>
          <w:szCs w:val="24"/>
          <w:shd w:val="clear" w:color="auto" w:fill="FFFFFF"/>
        </w:rPr>
        <w:t xml:space="preserve">ndividual </w:t>
      </w:r>
      <w:r w:rsidR="00807322">
        <w:rPr>
          <w:rFonts w:cs="Times New Roman"/>
          <w:iCs/>
          <w:color w:val="000000" w:themeColor="text1"/>
          <w:sz w:val="24"/>
          <w:szCs w:val="24"/>
          <w:shd w:val="clear" w:color="auto" w:fill="FFFFFF"/>
        </w:rPr>
        <w:t>p</w:t>
      </w:r>
      <w:r w:rsidRPr="009B1767">
        <w:rPr>
          <w:rFonts w:cs="Times New Roman"/>
          <w:iCs/>
          <w:color w:val="000000" w:themeColor="text1"/>
          <w:sz w:val="24"/>
          <w:szCs w:val="24"/>
          <w:shd w:val="clear" w:color="auto" w:fill="FFFFFF"/>
        </w:rPr>
        <w:t xml:space="preserve">references for </w:t>
      </w:r>
      <w:r w:rsidR="00807322">
        <w:rPr>
          <w:rFonts w:cs="Times New Roman"/>
          <w:iCs/>
          <w:color w:val="000000" w:themeColor="text1"/>
          <w:sz w:val="24"/>
          <w:szCs w:val="24"/>
          <w:shd w:val="clear" w:color="auto" w:fill="FFFFFF"/>
        </w:rPr>
        <w:t>o</w:t>
      </w:r>
      <w:r w:rsidRPr="009B1767">
        <w:rPr>
          <w:rFonts w:cs="Times New Roman"/>
          <w:iCs/>
          <w:color w:val="000000" w:themeColor="text1"/>
          <w:sz w:val="24"/>
          <w:szCs w:val="24"/>
          <w:shd w:val="clear" w:color="auto" w:fill="FFFFFF"/>
        </w:rPr>
        <w:t xml:space="preserve">wnership and </w:t>
      </w:r>
      <w:r w:rsidR="00807322">
        <w:rPr>
          <w:rFonts w:cs="Times New Roman"/>
          <w:iCs/>
          <w:color w:val="000000" w:themeColor="text1"/>
          <w:sz w:val="24"/>
          <w:szCs w:val="24"/>
          <w:shd w:val="clear" w:color="auto" w:fill="FFFFFF"/>
        </w:rPr>
        <w:t>s</w:t>
      </w:r>
      <w:r w:rsidRPr="009B1767">
        <w:rPr>
          <w:rFonts w:cs="Times New Roman"/>
          <w:iCs/>
          <w:color w:val="000000" w:themeColor="text1"/>
          <w:sz w:val="24"/>
          <w:szCs w:val="24"/>
          <w:shd w:val="clear" w:color="auto" w:fill="FFFFFF"/>
        </w:rPr>
        <w:t xml:space="preserve">haring of </w:t>
      </w:r>
      <w:r w:rsidR="00807322">
        <w:rPr>
          <w:rFonts w:cs="Times New Roman"/>
          <w:iCs/>
          <w:color w:val="000000" w:themeColor="text1"/>
          <w:sz w:val="24"/>
          <w:szCs w:val="24"/>
          <w:shd w:val="clear" w:color="auto" w:fill="FFFFFF"/>
        </w:rPr>
        <w:t>a</w:t>
      </w:r>
      <w:r w:rsidRPr="009B1767">
        <w:rPr>
          <w:rFonts w:cs="Times New Roman"/>
          <w:iCs/>
          <w:color w:val="000000" w:themeColor="text1"/>
          <w:sz w:val="24"/>
          <w:szCs w:val="24"/>
          <w:shd w:val="clear" w:color="auto" w:fill="FFFFFF"/>
        </w:rPr>
        <w:t xml:space="preserve">utonomous </w:t>
      </w:r>
      <w:r w:rsidR="00807322">
        <w:rPr>
          <w:rFonts w:cs="Times New Roman"/>
          <w:iCs/>
          <w:color w:val="000000" w:themeColor="text1"/>
          <w:sz w:val="24"/>
          <w:szCs w:val="24"/>
          <w:shd w:val="clear" w:color="auto" w:fill="FFFFFF"/>
        </w:rPr>
        <w:t>v</w:t>
      </w:r>
      <w:r w:rsidRPr="009B1767">
        <w:rPr>
          <w:rFonts w:cs="Times New Roman"/>
          <w:iCs/>
          <w:color w:val="000000" w:themeColor="text1"/>
          <w:sz w:val="24"/>
          <w:szCs w:val="24"/>
          <w:shd w:val="clear" w:color="auto" w:fill="FFFFFF"/>
        </w:rPr>
        <w:t xml:space="preserve">ehicle </w:t>
      </w:r>
      <w:r w:rsidR="00807322">
        <w:rPr>
          <w:rFonts w:cs="Times New Roman"/>
          <w:iCs/>
          <w:color w:val="000000" w:themeColor="text1"/>
          <w:sz w:val="24"/>
          <w:szCs w:val="24"/>
          <w:shd w:val="clear" w:color="auto" w:fill="FFFFFF"/>
        </w:rPr>
        <w:t>t</w:t>
      </w:r>
      <w:r w:rsidRPr="009B1767">
        <w:rPr>
          <w:rFonts w:cs="Times New Roman"/>
          <w:iCs/>
          <w:color w:val="000000" w:themeColor="text1"/>
          <w:sz w:val="24"/>
          <w:szCs w:val="24"/>
          <w:shd w:val="clear" w:color="auto" w:fill="FFFFFF"/>
        </w:rPr>
        <w:t>echnologies</w:t>
      </w:r>
      <w:r w:rsidR="00C8093C" w:rsidRPr="009B1767">
        <w:rPr>
          <w:rFonts w:cs="Times New Roman"/>
          <w:color w:val="000000" w:themeColor="text1"/>
          <w:sz w:val="24"/>
          <w:szCs w:val="24"/>
          <w:shd w:val="clear" w:color="auto" w:fill="FFFFFF"/>
        </w:rPr>
        <w:t xml:space="preserve">. </w:t>
      </w:r>
      <w:r w:rsidR="00C8093C" w:rsidRPr="009B1767">
        <w:rPr>
          <w:rFonts w:cs="Times New Roman"/>
          <w:i/>
          <w:iCs/>
          <w:color w:val="000000" w:themeColor="text1"/>
          <w:sz w:val="24"/>
          <w:szCs w:val="24"/>
        </w:rPr>
        <w:t xml:space="preserve">Transportation Research Record: </w:t>
      </w:r>
      <w:r w:rsidR="00C8093C" w:rsidRPr="009B1767">
        <w:rPr>
          <w:rFonts w:cs="Times New Roman"/>
          <w:i/>
          <w:iCs/>
          <w:color w:val="000000" w:themeColor="text1"/>
          <w:sz w:val="24"/>
          <w:szCs w:val="24"/>
          <w:shd w:val="clear" w:color="auto" w:fill="FFFFFF"/>
        </w:rPr>
        <w:t>Journal of the Transportation Research Board</w:t>
      </w:r>
      <w:r w:rsidR="00C8093C" w:rsidRPr="009B1767">
        <w:rPr>
          <w:rFonts w:cs="Times New Roman"/>
          <w:iCs/>
          <w:color w:val="000000" w:themeColor="text1"/>
          <w:sz w:val="24"/>
          <w:szCs w:val="24"/>
          <w:shd w:val="clear" w:color="auto" w:fill="FFFFFF"/>
        </w:rPr>
        <w:t xml:space="preserve">, </w:t>
      </w:r>
      <w:r w:rsidR="009B1767" w:rsidRPr="009B1767">
        <w:rPr>
          <w:rFonts w:cs="Times New Roman"/>
          <w:sz w:val="24"/>
          <w:szCs w:val="24"/>
        </w:rPr>
        <w:t>2665, 1-10</w:t>
      </w:r>
      <w:r w:rsidR="00C8093C" w:rsidRPr="009B1767">
        <w:rPr>
          <w:rFonts w:cs="Times New Roman"/>
          <w:color w:val="000000" w:themeColor="text1"/>
          <w:sz w:val="24"/>
          <w:szCs w:val="24"/>
          <w:shd w:val="clear" w:color="auto" w:fill="FFFFFF"/>
        </w:rPr>
        <w:t>.</w:t>
      </w:r>
    </w:p>
    <w:p w14:paraId="09AC25F1" w14:textId="06DE63EA" w:rsidR="00C04E4A" w:rsidRPr="009B1767" w:rsidRDefault="00C04E4A" w:rsidP="00881C66">
      <w:pPr>
        <w:spacing w:after="120" w:line="240" w:lineRule="auto"/>
        <w:ind w:left="540" w:hanging="529"/>
        <w:rPr>
          <w:rFonts w:cs="Times New Roman"/>
          <w:color w:val="000000" w:themeColor="text1"/>
          <w:sz w:val="24"/>
          <w:szCs w:val="24"/>
        </w:rPr>
      </w:pPr>
      <w:proofErr w:type="spellStart"/>
      <w:r w:rsidRPr="009B1767">
        <w:rPr>
          <w:rFonts w:cs="Times New Roman"/>
          <w:color w:val="000000" w:themeColor="text1"/>
          <w:sz w:val="24"/>
          <w:szCs w:val="24"/>
        </w:rPr>
        <w:t>Lavieri</w:t>
      </w:r>
      <w:proofErr w:type="spellEnd"/>
      <w:r w:rsidRPr="009B1767">
        <w:rPr>
          <w:rFonts w:cs="Times New Roman"/>
          <w:color w:val="000000" w:themeColor="text1"/>
          <w:sz w:val="24"/>
          <w:szCs w:val="24"/>
        </w:rPr>
        <w:t xml:space="preserve">, P.S., </w:t>
      </w:r>
      <w:proofErr w:type="spellStart"/>
      <w:r w:rsidRPr="009B1767">
        <w:rPr>
          <w:rFonts w:cs="Times New Roman"/>
          <w:color w:val="000000" w:themeColor="text1"/>
          <w:sz w:val="24"/>
          <w:szCs w:val="24"/>
        </w:rPr>
        <w:t>Garikapati</w:t>
      </w:r>
      <w:proofErr w:type="spellEnd"/>
      <w:r w:rsidRPr="009B1767">
        <w:rPr>
          <w:rFonts w:cs="Times New Roman"/>
          <w:color w:val="000000" w:themeColor="text1"/>
          <w:sz w:val="24"/>
          <w:szCs w:val="24"/>
        </w:rPr>
        <w:t xml:space="preserve">, V.M., Bhat, C.R. and </w:t>
      </w:r>
      <w:proofErr w:type="spellStart"/>
      <w:r w:rsidRPr="009B1767">
        <w:rPr>
          <w:rFonts w:cs="Times New Roman"/>
          <w:color w:val="000000" w:themeColor="text1"/>
          <w:sz w:val="24"/>
          <w:szCs w:val="24"/>
        </w:rPr>
        <w:t>Pendyala</w:t>
      </w:r>
      <w:proofErr w:type="spellEnd"/>
      <w:r w:rsidRPr="009B1767">
        <w:rPr>
          <w:rFonts w:cs="Times New Roman"/>
          <w:color w:val="000000" w:themeColor="text1"/>
          <w:sz w:val="24"/>
          <w:szCs w:val="24"/>
        </w:rPr>
        <w:t>, R.M., 2017b. </w:t>
      </w:r>
      <w:r w:rsidR="009B1767" w:rsidRPr="009B1767">
        <w:rPr>
          <w:rFonts w:cs="Times New Roman"/>
          <w:bCs/>
          <w:sz w:val="24"/>
          <w:szCs w:val="24"/>
        </w:rPr>
        <w:t xml:space="preserve">Investigation of </w:t>
      </w:r>
      <w:r w:rsidR="00807322">
        <w:rPr>
          <w:rFonts w:cs="Times New Roman"/>
          <w:bCs/>
          <w:sz w:val="24"/>
          <w:szCs w:val="24"/>
        </w:rPr>
        <w:t>h</w:t>
      </w:r>
      <w:r w:rsidR="009B1767" w:rsidRPr="009B1767">
        <w:rPr>
          <w:rFonts w:cs="Times New Roman"/>
          <w:bCs/>
          <w:sz w:val="24"/>
          <w:szCs w:val="24"/>
        </w:rPr>
        <w:t xml:space="preserve">eterogeneity in </w:t>
      </w:r>
      <w:r w:rsidR="00807322">
        <w:rPr>
          <w:rFonts w:cs="Times New Roman"/>
          <w:bCs/>
          <w:sz w:val="24"/>
          <w:szCs w:val="24"/>
        </w:rPr>
        <w:t>v</w:t>
      </w:r>
      <w:r w:rsidR="009B1767" w:rsidRPr="009B1767">
        <w:rPr>
          <w:rFonts w:cs="Times New Roman"/>
          <w:bCs/>
          <w:sz w:val="24"/>
          <w:szCs w:val="24"/>
        </w:rPr>
        <w:t xml:space="preserve">ehicle </w:t>
      </w:r>
      <w:r w:rsidR="00807322">
        <w:rPr>
          <w:rFonts w:cs="Times New Roman"/>
          <w:bCs/>
          <w:sz w:val="24"/>
          <w:szCs w:val="24"/>
        </w:rPr>
        <w:t>o</w:t>
      </w:r>
      <w:r w:rsidR="009B1767" w:rsidRPr="009B1767">
        <w:rPr>
          <w:rFonts w:cs="Times New Roman"/>
          <w:bCs/>
          <w:sz w:val="24"/>
          <w:szCs w:val="24"/>
        </w:rPr>
        <w:t xml:space="preserve">wnership and </w:t>
      </w:r>
      <w:r w:rsidR="00807322">
        <w:rPr>
          <w:rFonts w:cs="Times New Roman"/>
          <w:bCs/>
          <w:sz w:val="24"/>
          <w:szCs w:val="24"/>
        </w:rPr>
        <w:t>u</w:t>
      </w:r>
      <w:r w:rsidR="009B1767" w:rsidRPr="009B1767">
        <w:rPr>
          <w:rFonts w:cs="Times New Roman"/>
          <w:bCs/>
          <w:sz w:val="24"/>
          <w:szCs w:val="24"/>
        </w:rPr>
        <w:t xml:space="preserve">sage for the </w:t>
      </w:r>
      <w:r w:rsidR="00807322">
        <w:rPr>
          <w:rFonts w:cs="Times New Roman"/>
          <w:bCs/>
          <w:sz w:val="24"/>
          <w:szCs w:val="24"/>
        </w:rPr>
        <w:t>m</w:t>
      </w:r>
      <w:r w:rsidR="009B1767" w:rsidRPr="009B1767">
        <w:rPr>
          <w:rFonts w:cs="Times New Roman"/>
          <w:bCs/>
          <w:sz w:val="24"/>
          <w:szCs w:val="24"/>
        </w:rPr>
        <w:t xml:space="preserve">illennial </w:t>
      </w:r>
      <w:r w:rsidR="00807322">
        <w:rPr>
          <w:rFonts w:cs="Times New Roman"/>
          <w:bCs/>
          <w:sz w:val="24"/>
          <w:szCs w:val="24"/>
        </w:rPr>
        <w:t>g</w:t>
      </w:r>
      <w:r w:rsidR="009B1767" w:rsidRPr="009B1767">
        <w:rPr>
          <w:rFonts w:cs="Times New Roman"/>
          <w:bCs/>
          <w:sz w:val="24"/>
          <w:szCs w:val="24"/>
        </w:rPr>
        <w:t>eneration</w:t>
      </w:r>
      <w:r w:rsidR="00C8093C" w:rsidRPr="009B1767">
        <w:rPr>
          <w:rFonts w:cs="Times New Roman"/>
          <w:color w:val="000000" w:themeColor="text1"/>
          <w:sz w:val="24"/>
          <w:szCs w:val="24"/>
        </w:rPr>
        <w:t xml:space="preserve">. </w:t>
      </w:r>
      <w:r w:rsidR="00C8093C" w:rsidRPr="009B1767">
        <w:rPr>
          <w:rFonts w:cs="Times New Roman"/>
          <w:i/>
          <w:iCs/>
          <w:color w:val="000000" w:themeColor="text1"/>
          <w:sz w:val="24"/>
          <w:szCs w:val="24"/>
        </w:rPr>
        <w:t xml:space="preserve">Transportation Research Record: </w:t>
      </w:r>
      <w:r w:rsidR="00C8093C" w:rsidRPr="009B1767">
        <w:rPr>
          <w:rFonts w:cs="Times New Roman"/>
          <w:i/>
          <w:iCs/>
          <w:color w:val="000000" w:themeColor="text1"/>
          <w:sz w:val="24"/>
          <w:szCs w:val="24"/>
          <w:shd w:val="clear" w:color="auto" w:fill="FFFFFF"/>
        </w:rPr>
        <w:t>Journal of the Transportation Research Board</w:t>
      </w:r>
      <w:r w:rsidR="00C8093C" w:rsidRPr="009B1767">
        <w:rPr>
          <w:rFonts w:cs="Times New Roman"/>
          <w:iCs/>
          <w:color w:val="000000" w:themeColor="text1"/>
          <w:sz w:val="24"/>
          <w:szCs w:val="24"/>
          <w:shd w:val="clear" w:color="auto" w:fill="FFFFFF"/>
        </w:rPr>
        <w:t xml:space="preserve">, </w:t>
      </w:r>
      <w:r w:rsidR="009B1767" w:rsidRPr="009B1767">
        <w:rPr>
          <w:rFonts w:cs="Times New Roman"/>
          <w:sz w:val="24"/>
          <w:szCs w:val="24"/>
        </w:rPr>
        <w:t>2664, 91-99</w:t>
      </w:r>
      <w:r w:rsidR="00C8093C" w:rsidRPr="009B1767">
        <w:rPr>
          <w:rFonts w:cs="Times New Roman"/>
          <w:color w:val="000000" w:themeColor="text1"/>
          <w:sz w:val="24"/>
          <w:szCs w:val="24"/>
          <w:shd w:val="clear" w:color="auto" w:fill="FFFFFF"/>
        </w:rPr>
        <w:t>.</w:t>
      </w:r>
    </w:p>
    <w:p w14:paraId="2C383344" w14:textId="6B4B32F8"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9B1767">
        <w:rPr>
          <w:rFonts w:cs="Times New Roman"/>
          <w:color w:val="000000" w:themeColor="text1"/>
          <w:sz w:val="24"/>
          <w:szCs w:val="24"/>
          <w:shd w:val="clear" w:color="auto" w:fill="FFFFFF"/>
        </w:rPr>
        <w:t xml:space="preserve">Lee, R.J., </w:t>
      </w:r>
      <w:proofErr w:type="spellStart"/>
      <w:r w:rsidRPr="009B1767">
        <w:rPr>
          <w:rFonts w:cs="Times New Roman"/>
          <w:color w:val="000000" w:themeColor="text1"/>
          <w:sz w:val="24"/>
          <w:szCs w:val="24"/>
          <w:shd w:val="clear" w:color="auto" w:fill="FFFFFF"/>
        </w:rPr>
        <w:t>Sener</w:t>
      </w:r>
      <w:proofErr w:type="spellEnd"/>
      <w:r w:rsidRPr="009B1767">
        <w:rPr>
          <w:rFonts w:cs="Times New Roman"/>
          <w:color w:val="000000" w:themeColor="text1"/>
          <w:sz w:val="24"/>
          <w:szCs w:val="24"/>
          <w:shd w:val="clear" w:color="auto" w:fill="FFFFFF"/>
        </w:rPr>
        <w:t xml:space="preserve">, I.N., </w:t>
      </w:r>
      <w:proofErr w:type="spellStart"/>
      <w:r w:rsidRPr="009B1767">
        <w:rPr>
          <w:rFonts w:cs="Times New Roman"/>
          <w:color w:val="000000" w:themeColor="text1"/>
          <w:sz w:val="24"/>
          <w:szCs w:val="24"/>
          <w:shd w:val="clear" w:color="auto" w:fill="FFFFFF"/>
        </w:rPr>
        <w:t>Mokhtarian</w:t>
      </w:r>
      <w:proofErr w:type="spellEnd"/>
      <w:r w:rsidRPr="00DD4E8B">
        <w:rPr>
          <w:rFonts w:cs="Times New Roman"/>
          <w:color w:val="000000" w:themeColor="text1"/>
          <w:sz w:val="24"/>
          <w:szCs w:val="24"/>
          <w:shd w:val="clear" w:color="auto" w:fill="FFFFFF"/>
        </w:rPr>
        <w:t>, P.L. and Handy, S.L., 2017. Relationships between the online and in-store shopping frequency of Davis, California residents. </w:t>
      </w:r>
      <w:r w:rsidR="00881C66" w:rsidRPr="00DD4E8B">
        <w:rPr>
          <w:rFonts w:cs="Times New Roman"/>
          <w:i/>
          <w:iCs/>
          <w:color w:val="000000" w:themeColor="text1"/>
          <w:sz w:val="24"/>
          <w:szCs w:val="24"/>
          <w:shd w:val="clear" w:color="auto" w:fill="FFFFFF"/>
        </w:rPr>
        <w:t>Transportation Research Part A</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100</w:t>
      </w:r>
      <w:r w:rsidRPr="00DD4E8B">
        <w:rPr>
          <w:rFonts w:cs="Times New Roman"/>
          <w:color w:val="000000" w:themeColor="text1"/>
          <w:sz w:val="24"/>
          <w:szCs w:val="24"/>
          <w:shd w:val="clear" w:color="auto" w:fill="FFFFFF"/>
        </w:rPr>
        <w:t>, 40-52.</w:t>
      </w:r>
    </w:p>
    <w:p w14:paraId="42D41D5F" w14:textId="6C22A382" w:rsidR="000A7DFE" w:rsidRPr="00DD4E8B" w:rsidRDefault="000A7DFE" w:rsidP="00881C66">
      <w:pPr>
        <w:spacing w:after="120" w:line="240" w:lineRule="auto"/>
        <w:ind w:left="540" w:hanging="529"/>
        <w:rPr>
          <w:rFonts w:cs="Times New Roman"/>
          <w:color w:val="000000" w:themeColor="text1"/>
          <w:sz w:val="24"/>
          <w:szCs w:val="24"/>
        </w:rPr>
      </w:pPr>
      <w:proofErr w:type="spellStart"/>
      <w:r w:rsidRPr="00DD4E8B">
        <w:rPr>
          <w:rFonts w:cs="Times New Roman"/>
          <w:color w:val="000000" w:themeColor="text1"/>
          <w:sz w:val="24"/>
          <w:szCs w:val="24"/>
        </w:rPr>
        <w:t>Lian</w:t>
      </w:r>
      <w:proofErr w:type="spellEnd"/>
      <w:r w:rsidRPr="00DD4E8B">
        <w:rPr>
          <w:rFonts w:cs="Times New Roman"/>
          <w:color w:val="000000" w:themeColor="text1"/>
          <w:sz w:val="24"/>
          <w:szCs w:val="24"/>
        </w:rPr>
        <w:t xml:space="preserve">, J.W. and Yen, D.C., 2014. Online shopping drivers and barriers for older adults: Age and gender differences. </w:t>
      </w:r>
      <w:r w:rsidRPr="00DD4E8B">
        <w:rPr>
          <w:rFonts w:cs="Times New Roman"/>
          <w:i/>
          <w:color w:val="000000" w:themeColor="text1"/>
          <w:sz w:val="24"/>
          <w:szCs w:val="24"/>
        </w:rPr>
        <w:t>Computers in Human Behavior</w:t>
      </w:r>
      <w:r w:rsidRPr="00DD4E8B">
        <w:rPr>
          <w:rFonts w:cs="Times New Roman"/>
          <w:color w:val="000000" w:themeColor="text1"/>
          <w:sz w:val="24"/>
          <w:szCs w:val="24"/>
        </w:rPr>
        <w:t>, 37, 133-143.</w:t>
      </w:r>
    </w:p>
    <w:p w14:paraId="5CE745CB" w14:textId="15E42315"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 xml:space="preserve">Lila, P.C. and </w:t>
      </w:r>
      <w:proofErr w:type="spellStart"/>
      <w:r w:rsidRPr="00DD4E8B">
        <w:rPr>
          <w:rFonts w:cs="Times New Roman"/>
          <w:color w:val="000000" w:themeColor="text1"/>
          <w:sz w:val="24"/>
          <w:szCs w:val="24"/>
          <w:shd w:val="clear" w:color="auto" w:fill="FFFFFF"/>
        </w:rPr>
        <w:t>Anjaneyulu</w:t>
      </w:r>
      <w:proofErr w:type="spellEnd"/>
      <w:r w:rsidRPr="00DD4E8B">
        <w:rPr>
          <w:rFonts w:cs="Times New Roman"/>
          <w:color w:val="000000" w:themeColor="text1"/>
          <w:sz w:val="24"/>
          <w:szCs w:val="24"/>
          <w:shd w:val="clear" w:color="auto" w:fill="FFFFFF"/>
        </w:rPr>
        <w:t xml:space="preserve">, M.V.L.R., 2016. Modeling the </w:t>
      </w:r>
      <w:r w:rsidR="00D06F0A" w:rsidRPr="00DD4E8B">
        <w:rPr>
          <w:rFonts w:cs="Times New Roman"/>
          <w:color w:val="000000" w:themeColor="text1"/>
          <w:sz w:val="24"/>
          <w:szCs w:val="24"/>
          <w:shd w:val="clear" w:color="auto" w:fill="FFFFFF"/>
        </w:rPr>
        <w:t>i</w:t>
      </w:r>
      <w:r w:rsidRPr="00DD4E8B">
        <w:rPr>
          <w:rFonts w:cs="Times New Roman"/>
          <w:color w:val="000000" w:themeColor="text1"/>
          <w:sz w:val="24"/>
          <w:szCs w:val="24"/>
          <w:shd w:val="clear" w:color="auto" w:fill="FFFFFF"/>
        </w:rPr>
        <w:t xml:space="preserve">mpact of ICT on the </w:t>
      </w:r>
      <w:r w:rsidR="00D06F0A" w:rsidRPr="00DD4E8B">
        <w:rPr>
          <w:rFonts w:cs="Times New Roman"/>
          <w:color w:val="000000" w:themeColor="text1"/>
          <w:sz w:val="24"/>
          <w:szCs w:val="24"/>
          <w:shd w:val="clear" w:color="auto" w:fill="FFFFFF"/>
        </w:rPr>
        <w:t>a</w:t>
      </w:r>
      <w:r w:rsidRPr="00DD4E8B">
        <w:rPr>
          <w:rFonts w:cs="Times New Roman"/>
          <w:color w:val="000000" w:themeColor="text1"/>
          <w:sz w:val="24"/>
          <w:szCs w:val="24"/>
          <w:shd w:val="clear" w:color="auto" w:fill="FFFFFF"/>
        </w:rPr>
        <w:t xml:space="preserve">ctivity and </w:t>
      </w:r>
      <w:r w:rsidR="00D06F0A" w:rsidRPr="00DD4E8B">
        <w:rPr>
          <w:rFonts w:cs="Times New Roman"/>
          <w:color w:val="000000" w:themeColor="text1"/>
          <w:sz w:val="24"/>
          <w:szCs w:val="24"/>
          <w:shd w:val="clear" w:color="auto" w:fill="FFFFFF"/>
        </w:rPr>
        <w:t>t</w:t>
      </w:r>
      <w:r w:rsidRPr="00DD4E8B">
        <w:rPr>
          <w:rFonts w:cs="Times New Roman"/>
          <w:color w:val="000000" w:themeColor="text1"/>
          <w:sz w:val="24"/>
          <w:szCs w:val="24"/>
          <w:shd w:val="clear" w:color="auto" w:fill="FFFFFF"/>
        </w:rPr>
        <w:t xml:space="preserve">ravel </w:t>
      </w:r>
      <w:proofErr w:type="spellStart"/>
      <w:r w:rsidR="00D06F0A" w:rsidRPr="00DD4E8B">
        <w:rPr>
          <w:rFonts w:cs="Times New Roman"/>
          <w:color w:val="000000" w:themeColor="text1"/>
          <w:sz w:val="24"/>
          <w:szCs w:val="24"/>
          <w:shd w:val="clear" w:color="auto" w:fill="FFFFFF"/>
        </w:rPr>
        <w:t>b</w:t>
      </w:r>
      <w:r w:rsidRPr="00DD4E8B">
        <w:rPr>
          <w:rFonts w:cs="Times New Roman"/>
          <w:color w:val="000000" w:themeColor="text1"/>
          <w:sz w:val="24"/>
          <w:szCs w:val="24"/>
          <w:shd w:val="clear" w:color="auto" w:fill="FFFFFF"/>
        </w:rPr>
        <w:t>ehaviour</w:t>
      </w:r>
      <w:proofErr w:type="spellEnd"/>
      <w:r w:rsidRPr="00DD4E8B">
        <w:rPr>
          <w:rFonts w:cs="Times New Roman"/>
          <w:color w:val="000000" w:themeColor="text1"/>
          <w:sz w:val="24"/>
          <w:szCs w:val="24"/>
          <w:shd w:val="clear" w:color="auto" w:fill="FFFFFF"/>
        </w:rPr>
        <w:t xml:space="preserve"> of </w:t>
      </w:r>
      <w:r w:rsidR="00D06F0A" w:rsidRPr="00DD4E8B">
        <w:rPr>
          <w:rFonts w:cs="Times New Roman"/>
          <w:color w:val="000000" w:themeColor="text1"/>
          <w:sz w:val="24"/>
          <w:szCs w:val="24"/>
          <w:shd w:val="clear" w:color="auto" w:fill="FFFFFF"/>
        </w:rPr>
        <w:t>u</w:t>
      </w:r>
      <w:r w:rsidRPr="00DD4E8B">
        <w:rPr>
          <w:rFonts w:cs="Times New Roman"/>
          <w:color w:val="000000" w:themeColor="text1"/>
          <w:sz w:val="24"/>
          <w:szCs w:val="24"/>
          <w:shd w:val="clear" w:color="auto" w:fill="FFFFFF"/>
        </w:rPr>
        <w:t xml:space="preserve">rban </w:t>
      </w:r>
      <w:r w:rsidR="00D06F0A" w:rsidRPr="00DD4E8B">
        <w:rPr>
          <w:rFonts w:cs="Times New Roman"/>
          <w:color w:val="000000" w:themeColor="text1"/>
          <w:sz w:val="24"/>
          <w:szCs w:val="24"/>
          <w:shd w:val="clear" w:color="auto" w:fill="FFFFFF"/>
        </w:rPr>
        <w:t>d</w:t>
      </w:r>
      <w:r w:rsidRPr="00DD4E8B">
        <w:rPr>
          <w:rFonts w:cs="Times New Roman"/>
          <w:color w:val="000000" w:themeColor="text1"/>
          <w:sz w:val="24"/>
          <w:szCs w:val="24"/>
          <w:shd w:val="clear" w:color="auto" w:fill="FFFFFF"/>
        </w:rPr>
        <w:t xml:space="preserve">wellers in Indian </w:t>
      </w:r>
      <w:r w:rsidR="00D06F0A" w:rsidRPr="00DD4E8B">
        <w:rPr>
          <w:rFonts w:cs="Times New Roman"/>
          <w:color w:val="000000" w:themeColor="text1"/>
          <w:sz w:val="24"/>
          <w:szCs w:val="24"/>
          <w:shd w:val="clear" w:color="auto" w:fill="FFFFFF"/>
        </w:rPr>
        <w:t>c</w:t>
      </w:r>
      <w:r w:rsidRPr="00DD4E8B">
        <w:rPr>
          <w:rFonts w:cs="Times New Roman"/>
          <w:color w:val="000000" w:themeColor="text1"/>
          <w:sz w:val="24"/>
          <w:szCs w:val="24"/>
          <w:shd w:val="clear" w:color="auto" w:fill="FFFFFF"/>
        </w:rPr>
        <w:t>ontext. </w:t>
      </w:r>
      <w:r w:rsidRPr="00DD4E8B">
        <w:rPr>
          <w:rFonts w:cs="Times New Roman"/>
          <w:i/>
          <w:iCs/>
          <w:color w:val="000000" w:themeColor="text1"/>
          <w:sz w:val="24"/>
          <w:szCs w:val="24"/>
          <w:shd w:val="clear" w:color="auto" w:fill="FFFFFF"/>
        </w:rPr>
        <w:t>Transportation Research Procedia</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17</w:t>
      </w:r>
      <w:r w:rsidRPr="00DD4E8B">
        <w:rPr>
          <w:rFonts w:cs="Times New Roman"/>
          <w:color w:val="000000" w:themeColor="text1"/>
          <w:sz w:val="24"/>
          <w:szCs w:val="24"/>
          <w:shd w:val="clear" w:color="auto" w:fill="FFFFFF"/>
        </w:rPr>
        <w:t>, 418-427.</w:t>
      </w:r>
    </w:p>
    <w:p w14:paraId="2F6D62BA" w14:textId="1C2A17EA"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Liu, N. and Yu, R., 2017. Identifying design feature factors critical to acceptance and usage behavior of smartphones. </w:t>
      </w:r>
      <w:r w:rsidRPr="00DD4E8B">
        <w:rPr>
          <w:rFonts w:cs="Times New Roman"/>
          <w:i/>
          <w:iCs/>
          <w:color w:val="000000" w:themeColor="text1"/>
          <w:sz w:val="24"/>
          <w:szCs w:val="24"/>
          <w:shd w:val="clear" w:color="auto" w:fill="FFFFFF"/>
        </w:rPr>
        <w:t>Computers in Human Behavior</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70</w:t>
      </w:r>
      <w:r w:rsidRPr="00DD4E8B">
        <w:rPr>
          <w:rFonts w:cs="Times New Roman"/>
          <w:color w:val="000000" w:themeColor="text1"/>
          <w:sz w:val="24"/>
          <w:szCs w:val="24"/>
          <w:shd w:val="clear" w:color="auto" w:fill="FFFFFF"/>
        </w:rPr>
        <w:t>, 131-142.</w:t>
      </w:r>
    </w:p>
    <w:p w14:paraId="12713537" w14:textId="7DC8D1EB"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 xml:space="preserve">Lu, R., Chorus, C.G. and Van Wee, B., 2014. The effects of different forms of ICT on accessibility–a </w:t>
      </w:r>
      <w:proofErr w:type="spellStart"/>
      <w:r w:rsidRPr="00DD4E8B">
        <w:rPr>
          <w:rFonts w:cs="Times New Roman"/>
          <w:color w:val="000000" w:themeColor="text1"/>
          <w:sz w:val="24"/>
          <w:szCs w:val="24"/>
          <w:shd w:val="clear" w:color="auto" w:fill="FFFFFF"/>
        </w:rPr>
        <w:t>behavioural</w:t>
      </w:r>
      <w:proofErr w:type="spellEnd"/>
      <w:r w:rsidRPr="00DD4E8B">
        <w:rPr>
          <w:rFonts w:cs="Times New Roman"/>
          <w:color w:val="000000" w:themeColor="text1"/>
          <w:sz w:val="24"/>
          <w:szCs w:val="24"/>
          <w:shd w:val="clear" w:color="auto" w:fill="FFFFFF"/>
        </w:rPr>
        <w:t xml:space="preserve"> model and numerical examples. </w:t>
      </w:r>
      <w:proofErr w:type="spellStart"/>
      <w:r w:rsidRPr="00DD4E8B">
        <w:rPr>
          <w:rFonts w:cs="Times New Roman"/>
          <w:i/>
          <w:iCs/>
          <w:color w:val="000000" w:themeColor="text1"/>
          <w:sz w:val="24"/>
          <w:szCs w:val="24"/>
          <w:shd w:val="clear" w:color="auto" w:fill="FFFFFF"/>
        </w:rPr>
        <w:t>Transportmetrica</w:t>
      </w:r>
      <w:proofErr w:type="spellEnd"/>
      <w:r w:rsidRPr="00DD4E8B">
        <w:rPr>
          <w:rFonts w:cs="Times New Roman"/>
          <w:i/>
          <w:iCs/>
          <w:color w:val="000000" w:themeColor="text1"/>
          <w:sz w:val="24"/>
          <w:szCs w:val="24"/>
          <w:shd w:val="clear" w:color="auto" w:fill="FFFFFF"/>
        </w:rPr>
        <w:t xml:space="preserve"> A: Transport Science</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10</w:t>
      </w:r>
      <w:r w:rsidRPr="00DD4E8B">
        <w:rPr>
          <w:rFonts w:cs="Times New Roman"/>
          <w:color w:val="000000" w:themeColor="text1"/>
          <w:sz w:val="24"/>
          <w:szCs w:val="24"/>
          <w:shd w:val="clear" w:color="auto" w:fill="FFFFFF"/>
        </w:rPr>
        <w:t>(3), 233-254.</w:t>
      </w:r>
    </w:p>
    <w:p w14:paraId="7E1BDE93" w14:textId="77777777" w:rsidR="005D1C21" w:rsidRDefault="005D1C21" w:rsidP="00881C66">
      <w:pPr>
        <w:spacing w:after="120" w:line="240" w:lineRule="auto"/>
        <w:ind w:left="540" w:hanging="529"/>
        <w:rPr>
          <w:rFonts w:cs="Times New Roman"/>
          <w:color w:val="000000" w:themeColor="text1"/>
          <w:sz w:val="24"/>
          <w:szCs w:val="24"/>
          <w:shd w:val="clear" w:color="auto" w:fill="FFFFFF"/>
        </w:rPr>
      </w:pPr>
      <w:proofErr w:type="spellStart"/>
      <w:r w:rsidRPr="00DD4E8B">
        <w:rPr>
          <w:rFonts w:cs="Times New Roman"/>
          <w:color w:val="000000" w:themeColor="text1"/>
          <w:sz w:val="24"/>
          <w:szCs w:val="24"/>
          <w:shd w:val="clear" w:color="auto" w:fill="FFFFFF"/>
        </w:rPr>
        <w:t>Matous</w:t>
      </w:r>
      <w:proofErr w:type="spellEnd"/>
      <w:r w:rsidRPr="00DD4E8B">
        <w:rPr>
          <w:rFonts w:cs="Times New Roman"/>
          <w:color w:val="000000" w:themeColor="text1"/>
          <w:sz w:val="24"/>
          <w:szCs w:val="24"/>
          <w:shd w:val="clear" w:color="auto" w:fill="FFFFFF"/>
        </w:rPr>
        <w:t xml:space="preserve">, P., 2017. Complementarity and substitution between physical and virtual travel for instrumental information sharing in remote rural regions: A social network </w:t>
      </w:r>
      <w:r>
        <w:rPr>
          <w:rFonts w:cs="Times New Roman"/>
          <w:color w:val="000000" w:themeColor="text1"/>
          <w:sz w:val="24"/>
          <w:szCs w:val="24"/>
          <w:shd w:val="clear" w:color="auto" w:fill="FFFFFF"/>
        </w:rPr>
        <w:t xml:space="preserve">approach. </w:t>
      </w:r>
      <w:r w:rsidRPr="002674E3">
        <w:rPr>
          <w:rFonts w:cs="Times New Roman"/>
          <w:i/>
          <w:color w:val="000000" w:themeColor="text1"/>
          <w:sz w:val="24"/>
          <w:szCs w:val="24"/>
          <w:shd w:val="clear" w:color="auto" w:fill="FFFFFF"/>
        </w:rPr>
        <w:t>Transportation Research Part A</w:t>
      </w:r>
      <w:r>
        <w:rPr>
          <w:rFonts w:cs="Times New Roman"/>
          <w:color w:val="000000" w:themeColor="text1"/>
          <w:sz w:val="24"/>
          <w:szCs w:val="24"/>
          <w:shd w:val="clear" w:color="auto" w:fill="FFFFFF"/>
        </w:rPr>
        <w:t>, 99, 61-79.</w:t>
      </w:r>
    </w:p>
    <w:p w14:paraId="2AE1DD61" w14:textId="569858F3"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 xml:space="preserve">Miranda-Moreno, L.F., </w:t>
      </w:r>
      <w:proofErr w:type="spellStart"/>
      <w:r w:rsidRPr="00DD4E8B">
        <w:rPr>
          <w:rFonts w:cs="Times New Roman"/>
          <w:color w:val="000000" w:themeColor="text1"/>
          <w:sz w:val="24"/>
          <w:szCs w:val="24"/>
          <w:shd w:val="clear" w:color="auto" w:fill="FFFFFF"/>
        </w:rPr>
        <w:t>Eluru</w:t>
      </w:r>
      <w:proofErr w:type="spellEnd"/>
      <w:r w:rsidRPr="00DD4E8B">
        <w:rPr>
          <w:rFonts w:cs="Times New Roman"/>
          <w:color w:val="000000" w:themeColor="text1"/>
          <w:sz w:val="24"/>
          <w:szCs w:val="24"/>
          <w:shd w:val="clear" w:color="auto" w:fill="FFFFFF"/>
        </w:rPr>
        <w:t xml:space="preserve">, N., Lee-Gosselin, M. and </w:t>
      </w:r>
      <w:proofErr w:type="spellStart"/>
      <w:r w:rsidRPr="00DD4E8B">
        <w:rPr>
          <w:rFonts w:cs="Times New Roman"/>
          <w:color w:val="000000" w:themeColor="text1"/>
          <w:sz w:val="24"/>
          <w:szCs w:val="24"/>
          <w:shd w:val="clear" w:color="auto" w:fill="FFFFFF"/>
        </w:rPr>
        <w:t>Kreider</w:t>
      </w:r>
      <w:proofErr w:type="spellEnd"/>
      <w:r w:rsidRPr="00DD4E8B">
        <w:rPr>
          <w:rFonts w:cs="Times New Roman"/>
          <w:color w:val="000000" w:themeColor="text1"/>
          <w:sz w:val="24"/>
          <w:szCs w:val="24"/>
          <w:shd w:val="clear" w:color="auto" w:fill="FFFFFF"/>
        </w:rPr>
        <w:t xml:space="preserve">, T., 2012. Impact of ICT access on personal activity space and greenhouse gas production: </w:t>
      </w:r>
      <w:r w:rsidR="005D1C21">
        <w:rPr>
          <w:rFonts w:cs="Times New Roman"/>
          <w:color w:val="000000" w:themeColor="text1"/>
          <w:sz w:val="24"/>
          <w:szCs w:val="24"/>
          <w:shd w:val="clear" w:color="auto" w:fill="FFFFFF"/>
        </w:rPr>
        <w:t>E</w:t>
      </w:r>
      <w:r w:rsidRPr="00DD4E8B">
        <w:rPr>
          <w:rFonts w:cs="Times New Roman"/>
          <w:color w:val="000000" w:themeColor="text1"/>
          <w:sz w:val="24"/>
          <w:szCs w:val="24"/>
          <w:shd w:val="clear" w:color="auto" w:fill="FFFFFF"/>
        </w:rPr>
        <w:t>vidence from Quebec City, Canada. </w:t>
      </w:r>
      <w:r w:rsidRPr="00DD4E8B">
        <w:rPr>
          <w:rFonts w:cs="Times New Roman"/>
          <w:i/>
          <w:iCs/>
          <w:color w:val="000000" w:themeColor="text1"/>
          <w:sz w:val="24"/>
          <w:szCs w:val="24"/>
          <w:shd w:val="clear" w:color="auto" w:fill="FFFFFF"/>
        </w:rPr>
        <w:t>Transportation</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39</w:t>
      </w:r>
      <w:r w:rsidRPr="00DD4E8B">
        <w:rPr>
          <w:rFonts w:cs="Times New Roman"/>
          <w:color w:val="000000" w:themeColor="text1"/>
          <w:sz w:val="24"/>
          <w:szCs w:val="24"/>
          <w:shd w:val="clear" w:color="auto" w:fill="FFFFFF"/>
        </w:rPr>
        <w:t>(5), 895-918.</w:t>
      </w:r>
    </w:p>
    <w:p w14:paraId="5ECE0E6E" w14:textId="671D4813"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Motte-</w:t>
      </w:r>
      <w:proofErr w:type="spellStart"/>
      <w:r w:rsidRPr="00DD4E8B">
        <w:rPr>
          <w:rFonts w:cs="Times New Roman"/>
          <w:color w:val="000000" w:themeColor="text1"/>
          <w:sz w:val="24"/>
          <w:szCs w:val="24"/>
          <w:shd w:val="clear" w:color="auto" w:fill="FFFFFF"/>
        </w:rPr>
        <w:t>Baumvol</w:t>
      </w:r>
      <w:proofErr w:type="spellEnd"/>
      <w:r w:rsidRPr="00DD4E8B">
        <w:rPr>
          <w:rFonts w:cs="Times New Roman"/>
          <w:color w:val="000000" w:themeColor="text1"/>
          <w:sz w:val="24"/>
          <w:szCs w:val="24"/>
          <w:shd w:val="clear" w:color="auto" w:fill="FFFFFF"/>
        </w:rPr>
        <w:t>, B., Bonin, O. and Belton-</w:t>
      </w:r>
      <w:proofErr w:type="spellStart"/>
      <w:r w:rsidRPr="00DD4E8B">
        <w:rPr>
          <w:rFonts w:cs="Times New Roman"/>
          <w:color w:val="000000" w:themeColor="text1"/>
          <w:sz w:val="24"/>
          <w:szCs w:val="24"/>
          <w:shd w:val="clear" w:color="auto" w:fill="FFFFFF"/>
        </w:rPr>
        <w:t>Chevallier</w:t>
      </w:r>
      <w:proofErr w:type="spellEnd"/>
      <w:r w:rsidRPr="00DD4E8B">
        <w:rPr>
          <w:rFonts w:cs="Times New Roman"/>
          <w:color w:val="000000" w:themeColor="text1"/>
          <w:sz w:val="24"/>
          <w:szCs w:val="24"/>
          <w:shd w:val="clear" w:color="auto" w:fill="FFFFFF"/>
        </w:rPr>
        <w:t xml:space="preserve">, L., 2017. Who escort children: </w:t>
      </w:r>
      <w:r w:rsidR="005D1C21">
        <w:rPr>
          <w:rFonts w:cs="Times New Roman"/>
          <w:color w:val="000000" w:themeColor="text1"/>
          <w:sz w:val="24"/>
          <w:szCs w:val="24"/>
          <w:shd w:val="clear" w:color="auto" w:fill="FFFFFF"/>
        </w:rPr>
        <w:t>M</w:t>
      </w:r>
      <w:r w:rsidRPr="00DD4E8B">
        <w:rPr>
          <w:rFonts w:cs="Times New Roman"/>
          <w:color w:val="000000" w:themeColor="text1"/>
          <w:sz w:val="24"/>
          <w:szCs w:val="24"/>
          <w:shd w:val="clear" w:color="auto" w:fill="FFFFFF"/>
        </w:rPr>
        <w:t xml:space="preserve">um or dad? Exploring gender differences in escorting mobility among </w:t>
      </w:r>
      <w:r w:rsidR="005D1C21">
        <w:rPr>
          <w:rFonts w:cs="Times New Roman"/>
          <w:color w:val="000000" w:themeColor="text1"/>
          <w:sz w:val="24"/>
          <w:szCs w:val="24"/>
          <w:shd w:val="clear" w:color="auto" w:fill="FFFFFF"/>
        </w:rPr>
        <w:t>P</w:t>
      </w:r>
      <w:r w:rsidRPr="00DD4E8B">
        <w:rPr>
          <w:rFonts w:cs="Times New Roman"/>
          <w:color w:val="000000" w:themeColor="text1"/>
          <w:sz w:val="24"/>
          <w:szCs w:val="24"/>
          <w:shd w:val="clear" w:color="auto" w:fill="FFFFFF"/>
        </w:rPr>
        <w:t>arisian dual-earner couples. </w:t>
      </w:r>
      <w:r w:rsidRPr="00DD4E8B">
        <w:rPr>
          <w:rFonts w:cs="Times New Roman"/>
          <w:i/>
          <w:iCs/>
          <w:color w:val="000000" w:themeColor="text1"/>
          <w:sz w:val="24"/>
          <w:szCs w:val="24"/>
          <w:shd w:val="clear" w:color="auto" w:fill="FFFFFF"/>
        </w:rPr>
        <w:t>Transportation</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44</w:t>
      </w:r>
      <w:r w:rsidRPr="00DD4E8B">
        <w:rPr>
          <w:rFonts w:cs="Times New Roman"/>
          <w:color w:val="000000" w:themeColor="text1"/>
          <w:sz w:val="24"/>
          <w:szCs w:val="24"/>
          <w:shd w:val="clear" w:color="auto" w:fill="FFFFFF"/>
        </w:rPr>
        <w:t>(1), 139-157.</w:t>
      </w:r>
    </w:p>
    <w:p w14:paraId="524AE4BA" w14:textId="77777777" w:rsidR="00C04E4A" w:rsidRPr="00807322" w:rsidRDefault="00C04E4A" w:rsidP="00881C66">
      <w:pPr>
        <w:spacing w:after="120" w:line="240" w:lineRule="auto"/>
        <w:ind w:left="540" w:hanging="529"/>
        <w:rPr>
          <w:rFonts w:cs="Times New Roman"/>
          <w:sz w:val="24"/>
          <w:szCs w:val="24"/>
          <w:shd w:val="clear" w:color="auto" w:fill="FFFFFF"/>
          <w:lang w:eastAsia="zh-CN"/>
        </w:rPr>
      </w:pPr>
      <w:r w:rsidRPr="00DD4E8B">
        <w:rPr>
          <w:rFonts w:cs="Times New Roman"/>
          <w:color w:val="000000" w:themeColor="text1"/>
          <w:sz w:val="24"/>
          <w:szCs w:val="24"/>
          <w:shd w:val="clear" w:color="auto" w:fill="FFFFFF"/>
          <w:lang w:eastAsia="zh-CN"/>
        </w:rPr>
        <w:t xml:space="preserve">ONS, 2013. Women in the </w:t>
      </w:r>
      <w:proofErr w:type="spellStart"/>
      <w:r w:rsidRPr="00DD4E8B">
        <w:rPr>
          <w:rFonts w:cs="Times New Roman"/>
          <w:color w:val="000000" w:themeColor="text1"/>
          <w:sz w:val="24"/>
          <w:szCs w:val="24"/>
          <w:shd w:val="clear" w:color="auto" w:fill="FFFFFF"/>
          <w:lang w:eastAsia="zh-CN"/>
        </w:rPr>
        <w:t>labour</w:t>
      </w:r>
      <w:proofErr w:type="spellEnd"/>
      <w:r w:rsidRPr="00DD4E8B">
        <w:rPr>
          <w:rFonts w:cs="Times New Roman"/>
          <w:color w:val="000000" w:themeColor="text1"/>
          <w:sz w:val="24"/>
          <w:szCs w:val="24"/>
          <w:shd w:val="clear" w:color="auto" w:fill="FFFFFF"/>
          <w:lang w:eastAsia="zh-CN"/>
        </w:rPr>
        <w:t xml:space="preserve"> market: 2013. Accessed on 07.07.2017. </w:t>
      </w:r>
      <w:hyperlink r:id="rId18" w:history="1">
        <w:r w:rsidRPr="00807322">
          <w:rPr>
            <w:rStyle w:val="Hyperlink"/>
            <w:rFonts w:cs="Times New Roman"/>
            <w:sz w:val="24"/>
            <w:szCs w:val="24"/>
            <w:shd w:val="clear" w:color="auto" w:fill="FFFFFF"/>
            <w:lang w:eastAsia="zh-CN"/>
          </w:rPr>
          <w:t>https://www.ons.gov.uk/employmentandlabourmarket/peopleinwork/employmentandemployeetypes/articles/womeninthelabourmarket/2013-09-25</w:t>
        </w:r>
      </w:hyperlink>
    </w:p>
    <w:p w14:paraId="62BC9E73" w14:textId="2F8DD755" w:rsidR="00847DEC" w:rsidRPr="00807322" w:rsidRDefault="00847DEC" w:rsidP="00847DEC">
      <w:pPr>
        <w:spacing w:after="120" w:line="240" w:lineRule="auto"/>
        <w:ind w:left="540" w:hanging="529"/>
        <w:rPr>
          <w:rFonts w:cs="Times New Roman"/>
          <w:bCs/>
          <w:color w:val="0000FF" w:themeColor="hyperlink"/>
          <w:sz w:val="24"/>
          <w:szCs w:val="24"/>
          <w:shd w:val="clear" w:color="auto" w:fill="FFFFFF"/>
        </w:rPr>
      </w:pPr>
      <w:r w:rsidRPr="00807322">
        <w:rPr>
          <w:rStyle w:val="Hyperlink"/>
          <w:rFonts w:cs="Times New Roman"/>
          <w:color w:val="000000" w:themeColor="text1"/>
          <w:sz w:val="24"/>
          <w:szCs w:val="24"/>
          <w:u w:val="none"/>
          <w:shd w:val="clear" w:color="auto" w:fill="FFFFFF"/>
        </w:rPr>
        <w:t xml:space="preserve">ONS, </w:t>
      </w:r>
      <w:r w:rsidR="001B1E06" w:rsidRPr="00807322">
        <w:rPr>
          <w:rStyle w:val="Hyperlink"/>
          <w:rFonts w:cs="Times New Roman"/>
          <w:color w:val="000000" w:themeColor="text1"/>
          <w:sz w:val="24"/>
          <w:szCs w:val="24"/>
          <w:u w:val="none"/>
          <w:shd w:val="clear" w:color="auto" w:fill="FFFFFF"/>
        </w:rPr>
        <w:t>2016a</w:t>
      </w:r>
      <w:r w:rsidRPr="00807322">
        <w:rPr>
          <w:rStyle w:val="Hyperlink"/>
          <w:rFonts w:cs="Times New Roman"/>
          <w:color w:val="000000" w:themeColor="text1"/>
          <w:sz w:val="24"/>
          <w:szCs w:val="24"/>
          <w:u w:val="none"/>
          <w:shd w:val="clear" w:color="auto" w:fill="FFFFFF"/>
        </w:rPr>
        <w:t xml:space="preserve">. </w:t>
      </w:r>
      <w:r w:rsidRPr="00807322">
        <w:rPr>
          <w:rFonts w:cs="Times New Roman"/>
          <w:bCs/>
          <w:color w:val="000000" w:themeColor="text1"/>
          <w:sz w:val="24"/>
          <w:szCs w:val="24"/>
          <w:shd w:val="clear" w:color="auto" w:fill="FFFFFF"/>
        </w:rPr>
        <w:t>Share of individuals who made purchases online in Great Britain in 2008-2016, by gender. Accessed on 06.22.2017</w:t>
      </w:r>
      <w:r w:rsidRPr="00807322">
        <w:rPr>
          <w:rFonts w:cs="Times New Roman"/>
          <w:bCs/>
          <w:color w:val="0000FF" w:themeColor="hyperlink"/>
          <w:sz w:val="24"/>
          <w:szCs w:val="24"/>
          <w:shd w:val="clear" w:color="auto" w:fill="FFFFFF"/>
        </w:rPr>
        <w:t xml:space="preserve">. </w:t>
      </w:r>
      <w:hyperlink r:id="rId19" w:history="1">
        <w:r w:rsidRPr="00807322">
          <w:rPr>
            <w:rStyle w:val="Hyperlink"/>
            <w:rFonts w:cs="Times New Roman"/>
            <w:bCs/>
            <w:sz w:val="24"/>
            <w:szCs w:val="24"/>
            <w:shd w:val="clear" w:color="auto" w:fill="FFFFFF"/>
          </w:rPr>
          <w:t>https://www.statista.com/statistics/276076/online-purchasing-penetration-in-great-britain-by-gender/</w:t>
        </w:r>
      </w:hyperlink>
      <w:r w:rsidRPr="00807322">
        <w:rPr>
          <w:rFonts w:cs="Times New Roman"/>
          <w:bCs/>
          <w:color w:val="0000FF" w:themeColor="hyperlink"/>
          <w:sz w:val="24"/>
          <w:szCs w:val="24"/>
          <w:shd w:val="clear" w:color="auto" w:fill="FFFFFF"/>
        </w:rPr>
        <w:t xml:space="preserve"> </w:t>
      </w:r>
    </w:p>
    <w:p w14:paraId="1E358B8A" w14:textId="22B0305C" w:rsidR="00C04E4A" w:rsidRPr="00807322" w:rsidRDefault="00C04E4A" w:rsidP="00881C66">
      <w:pPr>
        <w:spacing w:after="120" w:line="240" w:lineRule="auto"/>
        <w:ind w:left="540" w:hanging="529"/>
        <w:rPr>
          <w:rStyle w:val="Hyperlink"/>
          <w:rFonts w:cs="Times New Roman"/>
          <w:sz w:val="24"/>
          <w:szCs w:val="24"/>
          <w:shd w:val="clear" w:color="auto" w:fill="FFFFFF"/>
          <w:lang w:eastAsia="zh-CN"/>
        </w:rPr>
      </w:pPr>
      <w:r w:rsidRPr="00F74DCD">
        <w:rPr>
          <w:rFonts w:cs="Times New Roman"/>
          <w:sz w:val="24"/>
          <w:szCs w:val="24"/>
          <w:shd w:val="clear" w:color="auto" w:fill="FFFFFF"/>
          <w:lang w:eastAsia="zh-CN"/>
        </w:rPr>
        <w:t xml:space="preserve">ONS, </w:t>
      </w:r>
      <w:r w:rsidR="001B1E06" w:rsidRPr="00F74DCD">
        <w:rPr>
          <w:rFonts w:cs="Times New Roman"/>
          <w:sz w:val="24"/>
          <w:szCs w:val="24"/>
          <w:shd w:val="clear" w:color="auto" w:fill="FFFFFF"/>
          <w:lang w:eastAsia="zh-CN"/>
        </w:rPr>
        <w:t>2016</w:t>
      </w:r>
      <w:r w:rsidR="00F74DCD" w:rsidRPr="00F74DCD">
        <w:rPr>
          <w:rFonts w:cs="Times New Roman"/>
          <w:sz w:val="24"/>
          <w:szCs w:val="24"/>
          <w:shd w:val="clear" w:color="auto" w:fill="FFFFFF"/>
          <w:lang w:eastAsia="zh-CN"/>
        </w:rPr>
        <w:t>b</w:t>
      </w:r>
      <w:r w:rsidRPr="008D3590">
        <w:rPr>
          <w:rFonts w:cs="Times New Roman"/>
          <w:sz w:val="24"/>
          <w:szCs w:val="24"/>
          <w:shd w:val="clear" w:color="auto" w:fill="FFFFFF"/>
          <w:lang w:eastAsia="zh-CN"/>
        </w:rPr>
        <w:t xml:space="preserve">. EMP04: Employment by occupation. Accessed on 07.07.2017. </w:t>
      </w:r>
      <w:hyperlink r:id="rId20" w:history="1">
        <w:r w:rsidRPr="00807322">
          <w:rPr>
            <w:rStyle w:val="Hyperlink"/>
            <w:rFonts w:cs="Times New Roman"/>
            <w:sz w:val="24"/>
            <w:szCs w:val="24"/>
            <w:shd w:val="clear" w:color="auto" w:fill="FFFFFF"/>
            <w:lang w:eastAsia="zh-CN"/>
          </w:rPr>
          <w:t>https://www.ons.gov.uk/employmentandlabourmarket/peopleinwork/employmentandemployeetypes/datasets/employmentbyoccupationemp04</w:t>
        </w:r>
      </w:hyperlink>
    </w:p>
    <w:p w14:paraId="5D2A72B3" w14:textId="14317160"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proofErr w:type="spellStart"/>
      <w:r w:rsidRPr="00DD4E8B">
        <w:rPr>
          <w:rFonts w:cs="Times New Roman"/>
          <w:color w:val="000000" w:themeColor="text1"/>
          <w:sz w:val="24"/>
          <w:szCs w:val="24"/>
          <w:shd w:val="clear" w:color="auto" w:fill="FFFFFF"/>
        </w:rPr>
        <w:lastRenderedPageBreak/>
        <w:t>Páez</w:t>
      </w:r>
      <w:proofErr w:type="spellEnd"/>
      <w:r w:rsidRPr="00DD4E8B">
        <w:rPr>
          <w:rFonts w:cs="Times New Roman"/>
          <w:color w:val="000000" w:themeColor="text1"/>
          <w:sz w:val="24"/>
          <w:szCs w:val="24"/>
          <w:shd w:val="clear" w:color="auto" w:fill="FFFFFF"/>
        </w:rPr>
        <w:t xml:space="preserve">, A., Scott, D.M. and </w:t>
      </w:r>
      <w:proofErr w:type="spellStart"/>
      <w:r w:rsidRPr="00DD4E8B">
        <w:rPr>
          <w:rFonts w:cs="Times New Roman"/>
          <w:color w:val="000000" w:themeColor="text1"/>
          <w:sz w:val="24"/>
          <w:szCs w:val="24"/>
          <w:shd w:val="clear" w:color="auto" w:fill="FFFFFF"/>
        </w:rPr>
        <w:t>Morency</w:t>
      </w:r>
      <w:proofErr w:type="spellEnd"/>
      <w:r w:rsidRPr="00DD4E8B">
        <w:rPr>
          <w:rFonts w:cs="Times New Roman"/>
          <w:color w:val="000000" w:themeColor="text1"/>
          <w:sz w:val="24"/>
          <w:szCs w:val="24"/>
          <w:shd w:val="clear" w:color="auto" w:fill="FFFFFF"/>
        </w:rPr>
        <w:t xml:space="preserve">, C., 2012. Measuring accessibility: </w:t>
      </w:r>
      <w:r w:rsidR="005D1C21">
        <w:rPr>
          <w:rFonts w:cs="Times New Roman"/>
          <w:color w:val="000000" w:themeColor="text1"/>
          <w:sz w:val="24"/>
          <w:szCs w:val="24"/>
          <w:shd w:val="clear" w:color="auto" w:fill="FFFFFF"/>
        </w:rPr>
        <w:t>P</w:t>
      </w:r>
      <w:r w:rsidRPr="00DD4E8B">
        <w:rPr>
          <w:rFonts w:cs="Times New Roman"/>
          <w:color w:val="000000" w:themeColor="text1"/>
          <w:sz w:val="24"/>
          <w:szCs w:val="24"/>
          <w:shd w:val="clear" w:color="auto" w:fill="FFFFFF"/>
        </w:rPr>
        <w:t>ositive and normative implementations of various accessibility indicators. </w:t>
      </w:r>
      <w:r w:rsidRPr="00DD4E8B">
        <w:rPr>
          <w:rFonts w:cs="Times New Roman"/>
          <w:i/>
          <w:iCs/>
          <w:color w:val="000000" w:themeColor="text1"/>
          <w:sz w:val="24"/>
          <w:szCs w:val="24"/>
          <w:shd w:val="clear" w:color="auto" w:fill="FFFFFF"/>
        </w:rPr>
        <w:t>Journal of Transport Geography</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25</w:t>
      </w:r>
      <w:r w:rsidRPr="00DD4E8B">
        <w:rPr>
          <w:rFonts w:cs="Times New Roman"/>
          <w:color w:val="000000" w:themeColor="text1"/>
          <w:sz w:val="24"/>
          <w:szCs w:val="24"/>
          <w:shd w:val="clear" w:color="auto" w:fill="FFFFFF"/>
        </w:rPr>
        <w:t>, 141-153.</w:t>
      </w:r>
    </w:p>
    <w:p w14:paraId="407F2361" w14:textId="1CD005A4"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proofErr w:type="spellStart"/>
      <w:r w:rsidRPr="00DD4E8B">
        <w:rPr>
          <w:rFonts w:cs="Times New Roman"/>
          <w:color w:val="000000" w:themeColor="text1"/>
          <w:sz w:val="24"/>
          <w:szCs w:val="24"/>
          <w:shd w:val="clear" w:color="auto" w:fill="FFFFFF"/>
        </w:rPr>
        <w:t>Pawlak</w:t>
      </w:r>
      <w:proofErr w:type="spellEnd"/>
      <w:r w:rsidRPr="00DD4E8B">
        <w:rPr>
          <w:rFonts w:cs="Times New Roman"/>
          <w:color w:val="000000" w:themeColor="text1"/>
          <w:sz w:val="24"/>
          <w:szCs w:val="24"/>
          <w:shd w:val="clear" w:color="auto" w:fill="FFFFFF"/>
        </w:rPr>
        <w:t xml:space="preserve">, J., </w:t>
      </w:r>
      <w:proofErr w:type="spellStart"/>
      <w:r w:rsidRPr="00DD4E8B">
        <w:rPr>
          <w:rFonts w:cs="Times New Roman"/>
          <w:color w:val="000000" w:themeColor="text1"/>
          <w:sz w:val="24"/>
          <w:szCs w:val="24"/>
          <w:shd w:val="clear" w:color="auto" w:fill="FFFFFF"/>
        </w:rPr>
        <w:t>Polak</w:t>
      </w:r>
      <w:proofErr w:type="spellEnd"/>
      <w:r w:rsidRPr="00DD4E8B">
        <w:rPr>
          <w:rFonts w:cs="Times New Roman"/>
          <w:color w:val="000000" w:themeColor="text1"/>
          <w:sz w:val="24"/>
          <w:szCs w:val="24"/>
          <w:shd w:val="clear" w:color="auto" w:fill="FFFFFF"/>
        </w:rPr>
        <w:t xml:space="preserve">, J.W. and </w:t>
      </w:r>
      <w:proofErr w:type="spellStart"/>
      <w:r w:rsidRPr="00DD4E8B">
        <w:rPr>
          <w:rFonts w:cs="Times New Roman"/>
          <w:color w:val="000000" w:themeColor="text1"/>
          <w:sz w:val="24"/>
          <w:szCs w:val="24"/>
          <w:shd w:val="clear" w:color="auto" w:fill="FFFFFF"/>
        </w:rPr>
        <w:t>Sivakumar</w:t>
      </w:r>
      <w:proofErr w:type="spellEnd"/>
      <w:r w:rsidRPr="00DD4E8B">
        <w:rPr>
          <w:rFonts w:cs="Times New Roman"/>
          <w:color w:val="000000" w:themeColor="text1"/>
          <w:sz w:val="24"/>
          <w:szCs w:val="24"/>
          <w:shd w:val="clear" w:color="auto" w:fill="FFFFFF"/>
        </w:rPr>
        <w:t xml:space="preserve">, A., 2015. Towards a microeconomic framework for modelling the joint choice of activity–travel </w:t>
      </w:r>
      <w:proofErr w:type="spellStart"/>
      <w:r w:rsidRPr="00DD4E8B">
        <w:rPr>
          <w:rFonts w:cs="Times New Roman"/>
          <w:color w:val="000000" w:themeColor="text1"/>
          <w:sz w:val="24"/>
          <w:szCs w:val="24"/>
          <w:shd w:val="clear" w:color="auto" w:fill="FFFFFF"/>
        </w:rPr>
        <w:t>behaviour</w:t>
      </w:r>
      <w:proofErr w:type="spellEnd"/>
      <w:r w:rsidRPr="00DD4E8B">
        <w:rPr>
          <w:rFonts w:cs="Times New Roman"/>
          <w:color w:val="000000" w:themeColor="text1"/>
          <w:sz w:val="24"/>
          <w:szCs w:val="24"/>
          <w:shd w:val="clear" w:color="auto" w:fill="FFFFFF"/>
        </w:rPr>
        <w:t xml:space="preserve"> and ICT use. </w:t>
      </w:r>
      <w:r w:rsidR="00881C66" w:rsidRPr="00DD4E8B">
        <w:rPr>
          <w:rFonts w:cs="Times New Roman"/>
          <w:i/>
          <w:iCs/>
          <w:color w:val="000000" w:themeColor="text1"/>
          <w:sz w:val="24"/>
          <w:szCs w:val="24"/>
          <w:shd w:val="clear" w:color="auto" w:fill="FFFFFF"/>
        </w:rPr>
        <w:t>Transportation Research Part A</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76</w:t>
      </w:r>
      <w:r w:rsidRPr="00DD4E8B">
        <w:rPr>
          <w:rFonts w:cs="Times New Roman"/>
          <w:color w:val="000000" w:themeColor="text1"/>
          <w:sz w:val="24"/>
          <w:szCs w:val="24"/>
          <w:shd w:val="clear" w:color="auto" w:fill="FFFFFF"/>
        </w:rPr>
        <w:t>, 92-112.</w:t>
      </w:r>
    </w:p>
    <w:p w14:paraId="23107AEC" w14:textId="578907D6" w:rsidR="00C04E4A" w:rsidRPr="00807322" w:rsidRDefault="00C04E4A" w:rsidP="00881C66">
      <w:pPr>
        <w:spacing w:after="120" w:line="240" w:lineRule="auto"/>
        <w:ind w:left="540" w:hanging="529"/>
        <w:rPr>
          <w:rFonts w:cs="Times New Roman"/>
          <w:sz w:val="24"/>
          <w:szCs w:val="24"/>
        </w:rPr>
      </w:pPr>
      <w:proofErr w:type="spellStart"/>
      <w:r w:rsidRPr="00807322">
        <w:rPr>
          <w:rFonts w:cs="Times New Roman"/>
          <w:sz w:val="24"/>
          <w:szCs w:val="24"/>
        </w:rPr>
        <w:t>Primerano</w:t>
      </w:r>
      <w:proofErr w:type="spellEnd"/>
      <w:r w:rsidRPr="00807322">
        <w:rPr>
          <w:rFonts w:cs="Times New Roman"/>
          <w:sz w:val="24"/>
          <w:szCs w:val="24"/>
        </w:rPr>
        <w:t xml:space="preserve">, F., Taylor, M.A., </w:t>
      </w:r>
      <w:proofErr w:type="spellStart"/>
      <w:r w:rsidRPr="00807322">
        <w:rPr>
          <w:rFonts w:cs="Times New Roman"/>
          <w:sz w:val="24"/>
          <w:szCs w:val="24"/>
        </w:rPr>
        <w:t>Pitaksringkarn</w:t>
      </w:r>
      <w:proofErr w:type="spellEnd"/>
      <w:r w:rsidRPr="00807322">
        <w:rPr>
          <w:rFonts w:cs="Times New Roman"/>
          <w:sz w:val="24"/>
          <w:szCs w:val="24"/>
        </w:rPr>
        <w:t xml:space="preserve">, L. and </w:t>
      </w:r>
      <w:proofErr w:type="spellStart"/>
      <w:r w:rsidRPr="00807322">
        <w:rPr>
          <w:rFonts w:cs="Times New Roman"/>
          <w:sz w:val="24"/>
          <w:szCs w:val="24"/>
        </w:rPr>
        <w:t>Tisato</w:t>
      </w:r>
      <w:proofErr w:type="spellEnd"/>
      <w:r w:rsidRPr="00807322">
        <w:rPr>
          <w:rFonts w:cs="Times New Roman"/>
          <w:sz w:val="24"/>
          <w:szCs w:val="24"/>
        </w:rPr>
        <w:t xml:space="preserve">, P., 2008. Defining and understanding trip chaining </w:t>
      </w:r>
      <w:proofErr w:type="spellStart"/>
      <w:r w:rsidRPr="00807322">
        <w:rPr>
          <w:rFonts w:cs="Times New Roman"/>
          <w:sz w:val="24"/>
          <w:szCs w:val="24"/>
        </w:rPr>
        <w:t>behaviour</w:t>
      </w:r>
      <w:proofErr w:type="spellEnd"/>
      <w:r w:rsidRPr="00807322">
        <w:rPr>
          <w:rFonts w:cs="Times New Roman"/>
          <w:sz w:val="24"/>
          <w:szCs w:val="24"/>
        </w:rPr>
        <w:t>. </w:t>
      </w:r>
      <w:r w:rsidRPr="00807322">
        <w:rPr>
          <w:rFonts w:cs="Times New Roman"/>
          <w:i/>
          <w:iCs/>
          <w:sz w:val="24"/>
          <w:szCs w:val="24"/>
        </w:rPr>
        <w:t>Transportation</w:t>
      </w:r>
      <w:r w:rsidRPr="00807322">
        <w:rPr>
          <w:rFonts w:cs="Times New Roman"/>
          <w:sz w:val="24"/>
          <w:szCs w:val="24"/>
        </w:rPr>
        <w:t>, </w:t>
      </w:r>
      <w:r w:rsidRPr="00807322">
        <w:rPr>
          <w:rFonts w:cs="Times New Roman"/>
          <w:iCs/>
          <w:sz w:val="24"/>
          <w:szCs w:val="24"/>
        </w:rPr>
        <w:t>35</w:t>
      </w:r>
      <w:r w:rsidRPr="00807322">
        <w:rPr>
          <w:rFonts w:cs="Times New Roman"/>
          <w:sz w:val="24"/>
          <w:szCs w:val="24"/>
        </w:rPr>
        <w:t>(1), 55-72.</w:t>
      </w:r>
    </w:p>
    <w:p w14:paraId="57F5CA90" w14:textId="2F798C90" w:rsidR="00C04E4A" w:rsidRPr="00807322" w:rsidRDefault="00C04E4A" w:rsidP="00881C66">
      <w:pPr>
        <w:spacing w:after="120" w:line="240" w:lineRule="auto"/>
        <w:ind w:left="540" w:hanging="529"/>
        <w:rPr>
          <w:rFonts w:cs="Times New Roman"/>
          <w:sz w:val="24"/>
          <w:szCs w:val="24"/>
          <w:shd w:val="clear" w:color="auto" w:fill="FFFFFF"/>
        </w:rPr>
      </w:pPr>
      <w:r w:rsidRPr="00807322">
        <w:rPr>
          <w:rFonts w:cs="Times New Roman"/>
          <w:sz w:val="24"/>
          <w:szCs w:val="24"/>
          <w:shd w:val="clear" w:color="auto" w:fill="FFFFFF"/>
        </w:rPr>
        <w:t>Ren, F. and Kwan, M.P., 2009. The impact of</w:t>
      </w:r>
      <w:r w:rsidR="005D1C21">
        <w:rPr>
          <w:rFonts w:cs="Times New Roman"/>
          <w:sz w:val="24"/>
          <w:szCs w:val="24"/>
          <w:shd w:val="clear" w:color="auto" w:fill="FFFFFF"/>
        </w:rPr>
        <w:t xml:space="preserve"> the Internet on human activity-</w:t>
      </w:r>
      <w:r w:rsidRPr="00807322">
        <w:rPr>
          <w:rFonts w:cs="Times New Roman"/>
          <w:sz w:val="24"/>
          <w:szCs w:val="24"/>
          <w:shd w:val="clear" w:color="auto" w:fill="FFFFFF"/>
        </w:rPr>
        <w:t xml:space="preserve">travel patterns: </w:t>
      </w:r>
      <w:r w:rsidR="005D1C21">
        <w:rPr>
          <w:rFonts w:cs="Times New Roman"/>
          <w:sz w:val="24"/>
          <w:szCs w:val="24"/>
          <w:shd w:val="clear" w:color="auto" w:fill="FFFFFF"/>
        </w:rPr>
        <w:t>A</w:t>
      </w:r>
      <w:r w:rsidRPr="00807322">
        <w:rPr>
          <w:rFonts w:cs="Times New Roman"/>
          <w:sz w:val="24"/>
          <w:szCs w:val="24"/>
          <w:shd w:val="clear" w:color="auto" w:fill="FFFFFF"/>
        </w:rPr>
        <w:t>nalysis of gender differences using multi-group structural equation models. </w:t>
      </w:r>
      <w:r w:rsidRPr="00807322">
        <w:rPr>
          <w:rFonts w:cs="Times New Roman"/>
          <w:i/>
          <w:iCs/>
          <w:sz w:val="24"/>
          <w:szCs w:val="24"/>
          <w:shd w:val="clear" w:color="auto" w:fill="FFFFFF"/>
        </w:rPr>
        <w:t>Journal of Transport Geography</w:t>
      </w:r>
      <w:r w:rsidRPr="00807322">
        <w:rPr>
          <w:rFonts w:cs="Times New Roman"/>
          <w:sz w:val="24"/>
          <w:szCs w:val="24"/>
          <w:shd w:val="clear" w:color="auto" w:fill="FFFFFF"/>
        </w:rPr>
        <w:t>, </w:t>
      </w:r>
      <w:r w:rsidRPr="00807322">
        <w:rPr>
          <w:rFonts w:cs="Times New Roman"/>
          <w:iCs/>
          <w:sz w:val="24"/>
          <w:szCs w:val="24"/>
          <w:shd w:val="clear" w:color="auto" w:fill="FFFFFF"/>
        </w:rPr>
        <w:t>17</w:t>
      </w:r>
      <w:r w:rsidRPr="00807322">
        <w:rPr>
          <w:rFonts w:cs="Times New Roman"/>
          <w:sz w:val="24"/>
          <w:szCs w:val="24"/>
          <w:shd w:val="clear" w:color="auto" w:fill="FFFFFF"/>
        </w:rPr>
        <w:t>(6), 440-450.</w:t>
      </w:r>
    </w:p>
    <w:p w14:paraId="0B68CDE8" w14:textId="2E427E63"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 xml:space="preserve">Salomon, I., 1986. Telecommunications and travel relations: a review. </w:t>
      </w:r>
      <w:r w:rsidRPr="00DD4E8B">
        <w:rPr>
          <w:rFonts w:cs="Times New Roman"/>
          <w:i/>
          <w:color w:val="000000" w:themeColor="text1"/>
          <w:sz w:val="24"/>
          <w:szCs w:val="24"/>
          <w:shd w:val="clear" w:color="auto" w:fill="FFFFFF"/>
        </w:rPr>
        <w:t xml:space="preserve">Transportation </w:t>
      </w:r>
      <w:r w:rsidR="00881C66" w:rsidRPr="00DD4E8B">
        <w:rPr>
          <w:rFonts w:cs="Times New Roman"/>
          <w:i/>
          <w:color w:val="000000" w:themeColor="text1"/>
          <w:sz w:val="24"/>
          <w:szCs w:val="24"/>
          <w:shd w:val="clear" w:color="auto" w:fill="FFFFFF"/>
        </w:rPr>
        <w:t>R</w:t>
      </w:r>
      <w:r w:rsidRPr="00DD4E8B">
        <w:rPr>
          <w:rFonts w:cs="Times New Roman"/>
          <w:i/>
          <w:color w:val="000000" w:themeColor="text1"/>
          <w:sz w:val="24"/>
          <w:szCs w:val="24"/>
          <w:shd w:val="clear" w:color="auto" w:fill="FFFFFF"/>
        </w:rPr>
        <w:t xml:space="preserve">esearch Part </w:t>
      </w:r>
      <w:proofErr w:type="gramStart"/>
      <w:r w:rsidRPr="00DD4E8B">
        <w:rPr>
          <w:rFonts w:cs="Times New Roman"/>
          <w:i/>
          <w:color w:val="000000" w:themeColor="text1"/>
          <w:sz w:val="24"/>
          <w:szCs w:val="24"/>
          <w:shd w:val="clear" w:color="auto" w:fill="FFFFFF"/>
        </w:rPr>
        <w:t>A</w:t>
      </w:r>
      <w:proofErr w:type="gramEnd"/>
      <w:r w:rsidR="00881C66" w:rsidRPr="00DD4E8B">
        <w:rPr>
          <w:rFonts w:cs="Times New Roman"/>
          <w:color w:val="000000" w:themeColor="text1"/>
          <w:sz w:val="24"/>
          <w:szCs w:val="24"/>
          <w:shd w:val="clear" w:color="auto" w:fill="FFFFFF"/>
        </w:rPr>
        <w:t>, 20</w:t>
      </w:r>
      <w:r w:rsidR="00977F44" w:rsidRPr="00DD4E8B">
        <w:rPr>
          <w:rFonts w:cs="Times New Roman"/>
          <w:color w:val="000000" w:themeColor="text1"/>
          <w:sz w:val="24"/>
          <w:szCs w:val="24"/>
          <w:shd w:val="clear" w:color="auto" w:fill="FFFFFF"/>
        </w:rPr>
        <w:t>(3), 223-</w:t>
      </w:r>
      <w:r w:rsidRPr="00DD4E8B">
        <w:rPr>
          <w:rFonts w:cs="Times New Roman"/>
          <w:color w:val="000000" w:themeColor="text1"/>
          <w:sz w:val="24"/>
          <w:szCs w:val="24"/>
          <w:shd w:val="clear" w:color="auto" w:fill="FFFFFF"/>
        </w:rPr>
        <w:t>238</w:t>
      </w:r>
    </w:p>
    <w:p w14:paraId="4BC775FE" w14:textId="07100A3C"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 xml:space="preserve">Singh, P., </w:t>
      </w:r>
      <w:proofErr w:type="spellStart"/>
      <w:r w:rsidRPr="00DD4E8B">
        <w:rPr>
          <w:rFonts w:cs="Times New Roman"/>
          <w:color w:val="000000" w:themeColor="text1"/>
          <w:sz w:val="24"/>
          <w:szCs w:val="24"/>
          <w:shd w:val="clear" w:color="auto" w:fill="FFFFFF"/>
        </w:rPr>
        <w:t>Paleti</w:t>
      </w:r>
      <w:proofErr w:type="spellEnd"/>
      <w:r w:rsidRPr="00DD4E8B">
        <w:rPr>
          <w:rFonts w:cs="Times New Roman"/>
          <w:color w:val="000000" w:themeColor="text1"/>
          <w:sz w:val="24"/>
          <w:szCs w:val="24"/>
          <w:shd w:val="clear" w:color="auto" w:fill="FFFFFF"/>
        </w:rPr>
        <w:t xml:space="preserve">, R., Jenkins, S. and Bhat, C.R., 2013. On modeling telecommuting behavior: </w:t>
      </w:r>
      <w:r w:rsidR="005D1C21">
        <w:rPr>
          <w:rFonts w:cs="Times New Roman"/>
          <w:color w:val="000000" w:themeColor="text1"/>
          <w:sz w:val="24"/>
          <w:szCs w:val="24"/>
          <w:shd w:val="clear" w:color="auto" w:fill="FFFFFF"/>
        </w:rPr>
        <w:t>O</w:t>
      </w:r>
      <w:r w:rsidRPr="00DD4E8B">
        <w:rPr>
          <w:rFonts w:cs="Times New Roman"/>
          <w:color w:val="000000" w:themeColor="text1"/>
          <w:sz w:val="24"/>
          <w:szCs w:val="24"/>
          <w:shd w:val="clear" w:color="auto" w:fill="FFFFFF"/>
        </w:rPr>
        <w:t>ption, choice, and frequency. </w:t>
      </w:r>
      <w:r w:rsidRPr="00DD4E8B">
        <w:rPr>
          <w:rFonts w:cs="Times New Roman"/>
          <w:i/>
          <w:iCs/>
          <w:color w:val="000000" w:themeColor="text1"/>
          <w:sz w:val="24"/>
          <w:szCs w:val="24"/>
          <w:shd w:val="clear" w:color="auto" w:fill="FFFFFF"/>
        </w:rPr>
        <w:t>Transportation</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40</w:t>
      </w:r>
      <w:r w:rsidRPr="00DD4E8B">
        <w:rPr>
          <w:rFonts w:cs="Times New Roman"/>
          <w:color w:val="000000" w:themeColor="text1"/>
          <w:sz w:val="24"/>
          <w:szCs w:val="24"/>
          <w:shd w:val="clear" w:color="auto" w:fill="FFFFFF"/>
        </w:rPr>
        <w:t>(2), 373-396.</w:t>
      </w:r>
    </w:p>
    <w:p w14:paraId="2710225B" w14:textId="7EAAC659" w:rsidR="00582045" w:rsidRPr="00DD4E8B" w:rsidRDefault="00582045" w:rsidP="00881C66">
      <w:pPr>
        <w:spacing w:after="120" w:line="240" w:lineRule="auto"/>
        <w:ind w:left="540" w:hanging="529"/>
        <w:rPr>
          <w:rFonts w:cs="Times New Roman"/>
          <w:color w:val="000000" w:themeColor="text1"/>
          <w:sz w:val="24"/>
          <w:szCs w:val="24"/>
          <w:lang w:eastAsia="zh-CN"/>
        </w:rPr>
      </w:pPr>
      <w:r w:rsidRPr="00DD4E8B">
        <w:rPr>
          <w:rFonts w:cs="Times New Roman"/>
          <w:color w:val="000000" w:themeColor="text1"/>
          <w:sz w:val="24"/>
          <w:szCs w:val="24"/>
          <w:lang w:eastAsia="zh-CN"/>
        </w:rPr>
        <w:t>Taylor, E., Humphrey, A., Pickering, K. and Tipping, S., 2013. National Travel Survey 2012 Technical Report. Department for Transport</w:t>
      </w:r>
      <w:r w:rsidR="005D1C21">
        <w:rPr>
          <w:rFonts w:cs="Times New Roman"/>
          <w:color w:val="000000" w:themeColor="text1"/>
          <w:sz w:val="24"/>
          <w:szCs w:val="24"/>
          <w:lang w:eastAsia="zh-CN"/>
        </w:rPr>
        <w:t>, London</w:t>
      </w:r>
      <w:r w:rsidRPr="00DD4E8B">
        <w:rPr>
          <w:rFonts w:cs="Times New Roman"/>
          <w:color w:val="000000" w:themeColor="text1"/>
          <w:sz w:val="24"/>
          <w:szCs w:val="24"/>
          <w:lang w:eastAsia="zh-CN"/>
        </w:rPr>
        <w:t>.</w:t>
      </w:r>
    </w:p>
    <w:p w14:paraId="498EF738" w14:textId="34E83DCF" w:rsidR="00C04E4A" w:rsidRPr="00DD4E8B" w:rsidRDefault="00C04E4A" w:rsidP="00881C66">
      <w:pPr>
        <w:spacing w:after="120" w:line="240" w:lineRule="auto"/>
        <w:ind w:left="540" w:hanging="529"/>
        <w:rPr>
          <w:rFonts w:cs="Times New Roman"/>
          <w:color w:val="000000" w:themeColor="text1"/>
          <w:sz w:val="24"/>
          <w:szCs w:val="24"/>
        </w:rPr>
      </w:pPr>
      <w:proofErr w:type="spellStart"/>
      <w:r w:rsidRPr="00DD4E8B">
        <w:rPr>
          <w:rFonts w:cs="Times New Roman"/>
          <w:color w:val="000000" w:themeColor="text1"/>
          <w:sz w:val="24"/>
          <w:szCs w:val="24"/>
          <w:shd w:val="clear" w:color="auto" w:fill="FFFFFF"/>
        </w:rPr>
        <w:t>Tranos</w:t>
      </w:r>
      <w:proofErr w:type="spellEnd"/>
      <w:r w:rsidRPr="00DD4E8B">
        <w:rPr>
          <w:rFonts w:cs="Times New Roman"/>
          <w:color w:val="000000" w:themeColor="text1"/>
          <w:sz w:val="24"/>
          <w:szCs w:val="24"/>
          <w:shd w:val="clear" w:color="auto" w:fill="FFFFFF"/>
        </w:rPr>
        <w:t xml:space="preserve">, E., </w:t>
      </w:r>
      <w:proofErr w:type="spellStart"/>
      <w:r w:rsidRPr="00DD4E8B">
        <w:rPr>
          <w:rFonts w:cs="Times New Roman"/>
          <w:color w:val="000000" w:themeColor="text1"/>
          <w:sz w:val="24"/>
          <w:szCs w:val="24"/>
          <w:shd w:val="clear" w:color="auto" w:fill="FFFFFF"/>
        </w:rPr>
        <w:t>Reggiani</w:t>
      </w:r>
      <w:proofErr w:type="spellEnd"/>
      <w:r w:rsidRPr="00DD4E8B">
        <w:rPr>
          <w:rFonts w:cs="Times New Roman"/>
          <w:color w:val="000000" w:themeColor="text1"/>
          <w:sz w:val="24"/>
          <w:szCs w:val="24"/>
          <w:shd w:val="clear" w:color="auto" w:fill="FFFFFF"/>
        </w:rPr>
        <w:t>, A. and Nijkamp, P., 2013. Accessibility of cities in the digital economy. </w:t>
      </w:r>
      <w:r w:rsidRPr="00DD4E8B">
        <w:rPr>
          <w:rFonts w:cs="Times New Roman"/>
          <w:i/>
          <w:iCs/>
          <w:color w:val="000000" w:themeColor="text1"/>
          <w:sz w:val="24"/>
          <w:szCs w:val="24"/>
          <w:shd w:val="clear" w:color="auto" w:fill="FFFFFF"/>
        </w:rPr>
        <w:t>Cities</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30</w:t>
      </w:r>
      <w:r w:rsidRPr="00DD4E8B">
        <w:rPr>
          <w:rFonts w:cs="Times New Roman"/>
          <w:color w:val="000000" w:themeColor="text1"/>
          <w:sz w:val="24"/>
          <w:szCs w:val="24"/>
          <w:shd w:val="clear" w:color="auto" w:fill="FFFFFF"/>
        </w:rPr>
        <w:t>, 59-67.</w:t>
      </w:r>
    </w:p>
    <w:p w14:paraId="30BF848E" w14:textId="65F7A93D" w:rsidR="00C04E4A" w:rsidRPr="00DD4E8B" w:rsidRDefault="00C04E4A" w:rsidP="00881C66">
      <w:pPr>
        <w:spacing w:after="120" w:line="240" w:lineRule="auto"/>
        <w:ind w:left="540" w:hanging="529"/>
        <w:rPr>
          <w:rFonts w:cs="Times New Roman"/>
          <w:color w:val="000000" w:themeColor="text1"/>
          <w:sz w:val="24"/>
          <w:szCs w:val="24"/>
        </w:rPr>
      </w:pPr>
      <w:proofErr w:type="gramStart"/>
      <w:r w:rsidRPr="00DD4E8B">
        <w:rPr>
          <w:rFonts w:cs="Times New Roman"/>
          <w:color w:val="000000" w:themeColor="text1"/>
          <w:sz w:val="24"/>
          <w:szCs w:val="24"/>
        </w:rPr>
        <w:t>van</w:t>
      </w:r>
      <w:proofErr w:type="gramEnd"/>
      <w:r w:rsidRPr="00DD4E8B">
        <w:rPr>
          <w:rFonts w:cs="Times New Roman"/>
          <w:color w:val="000000" w:themeColor="text1"/>
          <w:sz w:val="24"/>
          <w:szCs w:val="24"/>
        </w:rPr>
        <w:t xml:space="preserve"> Wee, B., 2015. Peak car: The first signs of a shift towards ICT-based activities replacing travel? A discussion paper. </w:t>
      </w:r>
      <w:r w:rsidRPr="00DD4E8B">
        <w:rPr>
          <w:rFonts w:cs="Times New Roman"/>
          <w:i/>
          <w:iCs/>
          <w:color w:val="000000" w:themeColor="text1"/>
          <w:sz w:val="24"/>
          <w:szCs w:val="24"/>
        </w:rPr>
        <w:t>Transport Policy</w:t>
      </w:r>
      <w:r w:rsidRPr="00DD4E8B">
        <w:rPr>
          <w:rFonts w:cs="Times New Roman"/>
          <w:color w:val="000000" w:themeColor="text1"/>
          <w:sz w:val="24"/>
          <w:szCs w:val="24"/>
        </w:rPr>
        <w:t>, </w:t>
      </w:r>
      <w:r w:rsidRPr="00DD4E8B">
        <w:rPr>
          <w:rFonts w:cs="Times New Roman"/>
          <w:iCs/>
          <w:color w:val="000000" w:themeColor="text1"/>
          <w:sz w:val="24"/>
          <w:szCs w:val="24"/>
        </w:rPr>
        <w:t>42</w:t>
      </w:r>
      <w:r w:rsidRPr="00DD4E8B">
        <w:rPr>
          <w:rFonts w:cs="Times New Roman"/>
          <w:color w:val="000000" w:themeColor="text1"/>
          <w:sz w:val="24"/>
          <w:szCs w:val="24"/>
        </w:rPr>
        <w:t>, 1-3.</w:t>
      </w:r>
    </w:p>
    <w:p w14:paraId="2E69C634" w14:textId="478F3941" w:rsidR="00C04E4A" w:rsidRPr="00DD4E8B" w:rsidRDefault="00C04E4A" w:rsidP="00881C66">
      <w:pPr>
        <w:spacing w:after="120" w:line="240" w:lineRule="auto"/>
        <w:ind w:left="540" w:hanging="529"/>
        <w:rPr>
          <w:rFonts w:cs="Times New Roman"/>
          <w:color w:val="000000" w:themeColor="text1"/>
          <w:sz w:val="24"/>
          <w:szCs w:val="24"/>
          <w:shd w:val="clear" w:color="auto" w:fill="FFFFFF"/>
        </w:rPr>
      </w:pPr>
      <w:proofErr w:type="gramStart"/>
      <w:r w:rsidRPr="00DD4E8B">
        <w:rPr>
          <w:rFonts w:cs="Times New Roman"/>
          <w:color w:val="000000" w:themeColor="text1"/>
          <w:sz w:val="24"/>
          <w:szCs w:val="24"/>
          <w:shd w:val="clear" w:color="auto" w:fill="FFFFFF"/>
        </w:rPr>
        <w:t>van</w:t>
      </w:r>
      <w:proofErr w:type="gramEnd"/>
      <w:r w:rsidRPr="00DD4E8B">
        <w:rPr>
          <w:rFonts w:cs="Times New Roman"/>
          <w:color w:val="000000" w:themeColor="text1"/>
          <w:sz w:val="24"/>
          <w:szCs w:val="24"/>
          <w:shd w:val="clear" w:color="auto" w:fill="FFFFFF"/>
        </w:rPr>
        <w:t xml:space="preserve"> Wee, B., </w:t>
      </w:r>
      <w:proofErr w:type="spellStart"/>
      <w:r w:rsidRPr="00DD4E8B">
        <w:rPr>
          <w:rFonts w:cs="Times New Roman"/>
          <w:color w:val="000000" w:themeColor="text1"/>
          <w:sz w:val="24"/>
          <w:szCs w:val="24"/>
          <w:shd w:val="clear" w:color="auto" w:fill="FFFFFF"/>
        </w:rPr>
        <w:t>Geurs</w:t>
      </w:r>
      <w:proofErr w:type="spellEnd"/>
      <w:r w:rsidRPr="00DD4E8B">
        <w:rPr>
          <w:rFonts w:cs="Times New Roman"/>
          <w:color w:val="000000" w:themeColor="text1"/>
          <w:sz w:val="24"/>
          <w:szCs w:val="24"/>
          <w:shd w:val="clear" w:color="auto" w:fill="FFFFFF"/>
        </w:rPr>
        <w:t>, K. and Chorus, C., 2013. Information, communication, travel behavior and accessibility.</w:t>
      </w:r>
      <w:r w:rsidRPr="00DD4E8B">
        <w:rPr>
          <w:rStyle w:val="apple-converted-space"/>
          <w:rFonts w:cs="Times New Roman"/>
          <w:color w:val="000000" w:themeColor="text1"/>
          <w:sz w:val="24"/>
          <w:szCs w:val="24"/>
          <w:shd w:val="clear" w:color="auto" w:fill="FFFFFF"/>
        </w:rPr>
        <w:t> </w:t>
      </w:r>
      <w:r w:rsidRPr="00DD4E8B">
        <w:rPr>
          <w:rFonts w:cs="Times New Roman"/>
          <w:i/>
          <w:iCs/>
          <w:color w:val="000000" w:themeColor="text1"/>
          <w:sz w:val="24"/>
          <w:szCs w:val="24"/>
          <w:shd w:val="clear" w:color="auto" w:fill="FFFFFF"/>
        </w:rPr>
        <w:t>The Journal of Transport and Land Use</w:t>
      </w:r>
      <w:r w:rsidRPr="00DD4E8B">
        <w:rPr>
          <w:rFonts w:cs="Times New Roman"/>
          <w:color w:val="000000" w:themeColor="text1"/>
          <w:sz w:val="24"/>
          <w:szCs w:val="24"/>
          <w:shd w:val="clear" w:color="auto" w:fill="FFFFFF"/>
        </w:rPr>
        <w:t>,</w:t>
      </w:r>
      <w:r w:rsidRPr="00DD4E8B">
        <w:rPr>
          <w:rStyle w:val="apple-converted-space"/>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6</w:t>
      </w:r>
      <w:r w:rsidRPr="00DD4E8B">
        <w:rPr>
          <w:rFonts w:cs="Times New Roman"/>
          <w:color w:val="000000" w:themeColor="text1"/>
          <w:sz w:val="24"/>
          <w:szCs w:val="24"/>
          <w:shd w:val="clear" w:color="auto" w:fill="FFFFFF"/>
        </w:rPr>
        <w:t>(3), 1-16.</w:t>
      </w:r>
    </w:p>
    <w:p w14:paraId="55FB41D4" w14:textId="202CDCC3" w:rsidR="00807322" w:rsidRDefault="00C04E4A" w:rsidP="00807322">
      <w:pPr>
        <w:spacing w:after="120" w:line="240" w:lineRule="auto"/>
        <w:ind w:left="540" w:hanging="529"/>
        <w:rPr>
          <w:rFonts w:cs="Times New Roman"/>
          <w:color w:val="000000" w:themeColor="text1"/>
          <w:sz w:val="24"/>
          <w:szCs w:val="24"/>
          <w:shd w:val="clear" w:color="auto" w:fill="FFFFFF"/>
        </w:rPr>
      </w:pPr>
      <w:r w:rsidRPr="00DD4E8B">
        <w:rPr>
          <w:rFonts w:cs="Times New Roman"/>
          <w:color w:val="000000" w:themeColor="text1"/>
          <w:sz w:val="24"/>
          <w:szCs w:val="24"/>
          <w:shd w:val="clear" w:color="auto" w:fill="FFFFFF"/>
        </w:rPr>
        <w:t xml:space="preserve">Walsh, K., Scharf, T. and Keating, N., 2016. Social exclusion of older persons: </w:t>
      </w:r>
      <w:r w:rsidR="005D1C21">
        <w:rPr>
          <w:rFonts w:cs="Times New Roman"/>
          <w:color w:val="000000" w:themeColor="text1"/>
          <w:sz w:val="24"/>
          <w:szCs w:val="24"/>
          <w:shd w:val="clear" w:color="auto" w:fill="FFFFFF"/>
        </w:rPr>
        <w:t>A</w:t>
      </w:r>
      <w:r w:rsidRPr="00DD4E8B">
        <w:rPr>
          <w:rFonts w:cs="Times New Roman"/>
          <w:color w:val="000000" w:themeColor="text1"/>
          <w:sz w:val="24"/>
          <w:szCs w:val="24"/>
          <w:shd w:val="clear" w:color="auto" w:fill="FFFFFF"/>
        </w:rPr>
        <w:t xml:space="preserve"> scoping review and conceptual framework. </w:t>
      </w:r>
      <w:r w:rsidRPr="00DD4E8B">
        <w:rPr>
          <w:rFonts w:cs="Times New Roman"/>
          <w:i/>
          <w:iCs/>
          <w:color w:val="000000" w:themeColor="text1"/>
          <w:sz w:val="24"/>
          <w:szCs w:val="24"/>
          <w:shd w:val="clear" w:color="auto" w:fill="FFFFFF"/>
        </w:rPr>
        <w:t>European Journal of Ageing</w:t>
      </w:r>
      <w:r w:rsidRPr="00DD4E8B">
        <w:rPr>
          <w:rFonts w:cs="Times New Roman"/>
          <w:color w:val="000000" w:themeColor="text1"/>
          <w:sz w:val="24"/>
          <w:szCs w:val="24"/>
          <w:shd w:val="clear" w:color="auto" w:fill="FFFFFF"/>
        </w:rPr>
        <w:t xml:space="preserve">, </w:t>
      </w:r>
      <w:r w:rsidR="00D06F0A" w:rsidRPr="00DD4E8B">
        <w:rPr>
          <w:rFonts w:cs="Times New Roman"/>
          <w:color w:val="000000" w:themeColor="text1"/>
          <w:sz w:val="24"/>
          <w:szCs w:val="24"/>
          <w:shd w:val="clear" w:color="auto" w:fill="FFFFFF"/>
        </w:rPr>
        <w:t xml:space="preserve">14(1), </w:t>
      </w:r>
      <w:r w:rsidR="00D06F0A" w:rsidRPr="00DD4E8B">
        <w:rPr>
          <w:rStyle w:val="articlecitationpages"/>
          <w:color w:val="000000" w:themeColor="text1"/>
        </w:rPr>
        <w:t>81-98</w:t>
      </w:r>
      <w:r w:rsidR="00807322">
        <w:rPr>
          <w:rFonts w:cs="Times New Roman"/>
          <w:color w:val="000000" w:themeColor="text1"/>
          <w:sz w:val="24"/>
          <w:szCs w:val="24"/>
          <w:shd w:val="clear" w:color="auto" w:fill="FFFFFF"/>
        </w:rPr>
        <w:t>.</w:t>
      </w:r>
    </w:p>
    <w:p w14:paraId="5BCABC6C" w14:textId="77777777" w:rsidR="00807322" w:rsidRDefault="00807322" w:rsidP="00881C66">
      <w:pPr>
        <w:spacing w:after="120" w:line="240" w:lineRule="auto"/>
        <w:ind w:left="540" w:hanging="529"/>
        <w:rPr>
          <w:sz w:val="24"/>
          <w:szCs w:val="24"/>
        </w:rPr>
      </w:pPr>
      <w:r w:rsidRPr="00807322">
        <w:rPr>
          <w:sz w:val="24"/>
          <w:szCs w:val="24"/>
        </w:rPr>
        <w:t>Wang, D. and Law, F.Y.T., 2007. Impacts of Information and Communication Technologies (ICT) on time use and travel behavior: A structural equatio</w:t>
      </w:r>
      <w:r>
        <w:rPr>
          <w:sz w:val="24"/>
          <w:szCs w:val="24"/>
        </w:rPr>
        <w:t xml:space="preserve">ns </w:t>
      </w:r>
      <w:r w:rsidRPr="00807322">
        <w:rPr>
          <w:sz w:val="24"/>
          <w:szCs w:val="24"/>
        </w:rPr>
        <w:t>analysis. </w:t>
      </w:r>
      <w:r w:rsidRPr="00B70356">
        <w:rPr>
          <w:i/>
          <w:sz w:val="24"/>
          <w:szCs w:val="24"/>
        </w:rPr>
        <w:t>Transportation</w:t>
      </w:r>
      <w:r>
        <w:rPr>
          <w:sz w:val="24"/>
          <w:szCs w:val="24"/>
        </w:rPr>
        <w:t>, 34(4), 513-527.</w:t>
      </w:r>
    </w:p>
    <w:p w14:paraId="69EF056A" w14:textId="38C3E44E" w:rsidR="00C04E4A" w:rsidRPr="00DD4E8B" w:rsidRDefault="00C04E4A" w:rsidP="005D1C21">
      <w:pPr>
        <w:spacing w:after="120" w:line="240" w:lineRule="auto"/>
        <w:ind w:left="540" w:hanging="529"/>
        <w:rPr>
          <w:rFonts w:cs="Times New Roman"/>
          <w:color w:val="000000" w:themeColor="text1"/>
          <w:sz w:val="24"/>
          <w:szCs w:val="24"/>
        </w:rPr>
      </w:pPr>
      <w:r w:rsidRPr="00DD4E8B">
        <w:rPr>
          <w:rFonts w:cs="Times New Roman"/>
          <w:color w:val="000000" w:themeColor="text1"/>
          <w:sz w:val="24"/>
          <w:szCs w:val="24"/>
          <w:shd w:val="clear" w:color="auto" w:fill="FFFFFF"/>
        </w:rPr>
        <w:t xml:space="preserve">Yu, H. and Shaw, S.L., 2008. Exploring potential human activities in physical and virtual spaces: </w:t>
      </w:r>
      <w:r w:rsidR="005D1C21">
        <w:rPr>
          <w:rFonts w:cs="Times New Roman"/>
          <w:color w:val="000000" w:themeColor="text1"/>
          <w:sz w:val="24"/>
          <w:szCs w:val="24"/>
          <w:shd w:val="clear" w:color="auto" w:fill="FFFFFF"/>
        </w:rPr>
        <w:t>A</w:t>
      </w:r>
      <w:r w:rsidRPr="00DD4E8B">
        <w:rPr>
          <w:rFonts w:cs="Times New Roman"/>
          <w:color w:val="000000" w:themeColor="text1"/>
          <w:sz w:val="24"/>
          <w:szCs w:val="24"/>
          <w:shd w:val="clear" w:color="auto" w:fill="FFFFFF"/>
        </w:rPr>
        <w:t xml:space="preserve"> </w:t>
      </w:r>
      <w:proofErr w:type="spellStart"/>
      <w:r w:rsidRPr="00DD4E8B">
        <w:rPr>
          <w:rFonts w:cs="Times New Roman"/>
          <w:color w:val="000000" w:themeColor="text1"/>
          <w:sz w:val="24"/>
          <w:szCs w:val="24"/>
          <w:shd w:val="clear" w:color="auto" w:fill="FFFFFF"/>
        </w:rPr>
        <w:t>spatio</w:t>
      </w:r>
      <w:proofErr w:type="spellEnd"/>
      <w:r w:rsidRPr="00DD4E8B">
        <w:rPr>
          <w:rFonts w:ascii="Cambria Math" w:eastAsia="Calibri" w:hAnsi="Cambria Math" w:cs="Cambria Math"/>
          <w:color w:val="000000" w:themeColor="text1"/>
          <w:sz w:val="24"/>
          <w:szCs w:val="24"/>
          <w:shd w:val="clear" w:color="auto" w:fill="FFFFFF"/>
        </w:rPr>
        <w:t>‐</w:t>
      </w:r>
      <w:r w:rsidRPr="00DD4E8B">
        <w:rPr>
          <w:rFonts w:cs="Times New Roman"/>
          <w:color w:val="000000" w:themeColor="text1"/>
          <w:sz w:val="24"/>
          <w:szCs w:val="24"/>
          <w:shd w:val="clear" w:color="auto" w:fill="FFFFFF"/>
        </w:rPr>
        <w:t>temporal GIS approach. </w:t>
      </w:r>
      <w:r w:rsidRPr="00DD4E8B">
        <w:rPr>
          <w:rFonts w:cs="Times New Roman"/>
          <w:i/>
          <w:iCs/>
          <w:color w:val="000000" w:themeColor="text1"/>
          <w:sz w:val="24"/>
          <w:szCs w:val="24"/>
          <w:shd w:val="clear" w:color="auto" w:fill="FFFFFF"/>
        </w:rPr>
        <w:t>International Journal of Geographical Information Science</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22</w:t>
      </w:r>
      <w:r w:rsidRPr="00DD4E8B">
        <w:rPr>
          <w:rFonts w:cs="Times New Roman"/>
          <w:color w:val="000000" w:themeColor="text1"/>
          <w:sz w:val="24"/>
          <w:szCs w:val="24"/>
          <w:shd w:val="clear" w:color="auto" w:fill="FFFFFF"/>
        </w:rPr>
        <w:t>(4), 409-430.</w:t>
      </w:r>
    </w:p>
    <w:p w14:paraId="1C5A611F" w14:textId="62CFCAB6" w:rsidR="00C04E4A" w:rsidRPr="00DD4E8B" w:rsidRDefault="00C04E4A" w:rsidP="00881C66">
      <w:pPr>
        <w:spacing w:after="120" w:line="240" w:lineRule="auto"/>
        <w:ind w:left="540" w:hanging="529"/>
        <w:rPr>
          <w:rFonts w:cs="Times New Roman"/>
          <w:color w:val="000000" w:themeColor="text1"/>
          <w:sz w:val="24"/>
          <w:szCs w:val="24"/>
        </w:rPr>
      </w:pPr>
      <w:r w:rsidRPr="00DD4E8B">
        <w:rPr>
          <w:rFonts w:cs="Times New Roman"/>
          <w:color w:val="000000" w:themeColor="text1"/>
          <w:sz w:val="24"/>
          <w:szCs w:val="24"/>
        </w:rPr>
        <w:t xml:space="preserve">Zhou, Y. and Wang, X.C., 2014. Explore the relationship between online shopping and shopping trips: </w:t>
      </w:r>
      <w:r w:rsidR="005D1C21">
        <w:rPr>
          <w:rFonts w:cs="Times New Roman"/>
          <w:color w:val="000000" w:themeColor="text1"/>
          <w:sz w:val="24"/>
          <w:szCs w:val="24"/>
        </w:rPr>
        <w:t>A</w:t>
      </w:r>
      <w:r w:rsidRPr="00DD4E8B">
        <w:rPr>
          <w:rFonts w:cs="Times New Roman"/>
          <w:color w:val="000000" w:themeColor="text1"/>
          <w:sz w:val="24"/>
          <w:szCs w:val="24"/>
        </w:rPr>
        <w:t>n analysis with the 2009 NHTS data. </w:t>
      </w:r>
      <w:r w:rsidR="00881C66" w:rsidRPr="00DD4E8B">
        <w:rPr>
          <w:rFonts w:cs="Times New Roman"/>
          <w:i/>
          <w:iCs/>
          <w:color w:val="000000" w:themeColor="text1"/>
          <w:sz w:val="24"/>
          <w:szCs w:val="24"/>
        </w:rPr>
        <w:t>Transportation Research Part A</w:t>
      </w:r>
      <w:r w:rsidRPr="00DD4E8B">
        <w:rPr>
          <w:rFonts w:cs="Times New Roman"/>
          <w:color w:val="000000" w:themeColor="text1"/>
          <w:sz w:val="24"/>
          <w:szCs w:val="24"/>
        </w:rPr>
        <w:t>, </w:t>
      </w:r>
      <w:r w:rsidRPr="00DD4E8B">
        <w:rPr>
          <w:rFonts w:cs="Times New Roman"/>
          <w:iCs/>
          <w:color w:val="000000" w:themeColor="text1"/>
          <w:sz w:val="24"/>
          <w:szCs w:val="24"/>
        </w:rPr>
        <w:t>70</w:t>
      </w:r>
      <w:r w:rsidRPr="00DD4E8B">
        <w:rPr>
          <w:rFonts w:cs="Times New Roman"/>
          <w:color w:val="000000" w:themeColor="text1"/>
          <w:sz w:val="24"/>
          <w:szCs w:val="24"/>
        </w:rPr>
        <w:t>, 1-9.</w:t>
      </w:r>
    </w:p>
    <w:p w14:paraId="37D8E21D" w14:textId="6427F447" w:rsidR="00131A66" w:rsidRPr="008D3590" w:rsidRDefault="00C04E4A" w:rsidP="00881C66">
      <w:pPr>
        <w:spacing w:after="120" w:line="240" w:lineRule="auto"/>
        <w:ind w:left="540" w:hanging="529"/>
        <w:rPr>
          <w:rFonts w:cs="Times New Roman"/>
          <w:sz w:val="24"/>
          <w:szCs w:val="24"/>
          <w:shd w:val="clear" w:color="auto" w:fill="FFFFFF"/>
        </w:rPr>
      </w:pPr>
      <w:r w:rsidRPr="00DD4E8B">
        <w:rPr>
          <w:rFonts w:cs="Times New Roman"/>
          <w:color w:val="000000" w:themeColor="text1"/>
          <w:sz w:val="24"/>
          <w:szCs w:val="24"/>
          <w:shd w:val="clear" w:color="auto" w:fill="FFFFFF"/>
        </w:rPr>
        <w:t>Zhu, P., 2012. Are telecommuting and personal tra</w:t>
      </w:r>
      <w:r w:rsidR="00D06F0A" w:rsidRPr="00DD4E8B">
        <w:rPr>
          <w:rFonts w:cs="Times New Roman"/>
          <w:color w:val="000000" w:themeColor="text1"/>
          <w:sz w:val="24"/>
          <w:szCs w:val="24"/>
          <w:shd w:val="clear" w:color="auto" w:fill="FFFFFF"/>
        </w:rPr>
        <w:t>vel complements or substitutes?</w:t>
      </w:r>
      <w:r w:rsidRPr="00DD4E8B">
        <w:rPr>
          <w:rFonts w:cs="Times New Roman"/>
          <w:color w:val="000000" w:themeColor="text1"/>
          <w:sz w:val="24"/>
          <w:szCs w:val="24"/>
          <w:shd w:val="clear" w:color="auto" w:fill="FFFFFF"/>
        </w:rPr>
        <w:t> </w:t>
      </w:r>
      <w:r w:rsidRPr="00DD4E8B">
        <w:rPr>
          <w:rFonts w:cs="Times New Roman"/>
          <w:i/>
          <w:iCs/>
          <w:color w:val="000000" w:themeColor="text1"/>
          <w:sz w:val="24"/>
          <w:szCs w:val="24"/>
          <w:shd w:val="clear" w:color="auto" w:fill="FFFFFF"/>
        </w:rPr>
        <w:t>The Annals of Regional Science</w:t>
      </w:r>
      <w:r w:rsidRPr="00DD4E8B">
        <w:rPr>
          <w:rFonts w:cs="Times New Roman"/>
          <w:color w:val="000000" w:themeColor="text1"/>
          <w:sz w:val="24"/>
          <w:szCs w:val="24"/>
          <w:shd w:val="clear" w:color="auto" w:fill="FFFFFF"/>
        </w:rPr>
        <w:t>, </w:t>
      </w:r>
      <w:r w:rsidRPr="00DD4E8B">
        <w:rPr>
          <w:rFonts w:cs="Times New Roman"/>
          <w:iCs/>
          <w:color w:val="000000" w:themeColor="text1"/>
          <w:sz w:val="24"/>
          <w:szCs w:val="24"/>
          <w:shd w:val="clear" w:color="auto" w:fill="FFFFFF"/>
        </w:rPr>
        <w:t>48</w:t>
      </w:r>
      <w:r w:rsidRPr="00DD4E8B">
        <w:rPr>
          <w:rFonts w:cs="Times New Roman"/>
          <w:color w:val="000000" w:themeColor="text1"/>
          <w:sz w:val="24"/>
          <w:szCs w:val="24"/>
          <w:shd w:val="clear" w:color="auto" w:fill="FFFFFF"/>
        </w:rPr>
        <w:t>(2), 619-639.</w:t>
      </w:r>
    </w:p>
    <w:p w14:paraId="54F51F95" w14:textId="77777777" w:rsidR="009114B5" w:rsidRPr="008D3590" w:rsidRDefault="009114B5" w:rsidP="00C04E4A">
      <w:pPr>
        <w:ind w:left="720" w:hanging="720"/>
        <w:rPr>
          <w:rFonts w:cs="Times New Roman"/>
          <w:sz w:val="24"/>
          <w:szCs w:val="24"/>
          <w:shd w:val="clear" w:color="auto" w:fill="FFFFFF"/>
        </w:rPr>
        <w:sectPr w:rsidR="009114B5" w:rsidRPr="008D3590" w:rsidSect="00D63A20">
          <w:footerReference w:type="default" r:id="rId21"/>
          <w:pgSz w:w="12240" w:h="15840"/>
          <w:pgMar w:top="1440" w:right="1440" w:bottom="1440" w:left="1440" w:header="720" w:footer="720" w:gutter="0"/>
          <w:pgNumType w:start="1"/>
          <w:cols w:space="720"/>
          <w:docGrid w:linePitch="400"/>
        </w:sectPr>
      </w:pPr>
    </w:p>
    <w:p w14:paraId="754C0DE1" w14:textId="77777777" w:rsidR="004A5D46" w:rsidRDefault="004A5D46" w:rsidP="006E23D4">
      <w:pPr>
        <w:rPr>
          <w:noProof/>
        </w:rPr>
      </w:pPr>
    </w:p>
    <w:p w14:paraId="3BE2D280" w14:textId="2A92A51D" w:rsidR="00FB7BD9" w:rsidRDefault="00413664" w:rsidP="00B842CA">
      <w:pPr>
        <w:jc w:val="center"/>
        <w:rPr>
          <w:b/>
          <w:shd w:val="clear" w:color="auto" w:fill="FFFFFF"/>
          <w:lang w:eastAsia="zh-CN"/>
        </w:rPr>
      </w:pPr>
      <w:r w:rsidRPr="00413664">
        <w:rPr>
          <w:noProof/>
        </w:rPr>
        <w:t xml:space="preserve"> </w:t>
      </w:r>
      <w:r w:rsidR="00F54199" w:rsidRPr="00F54199">
        <w:rPr>
          <w:noProof/>
          <w:lang w:eastAsia="zh-CN"/>
        </w:rPr>
        <w:t xml:space="preserve"> </w:t>
      </w:r>
      <w:r w:rsidR="005446CC" w:rsidRPr="005446CC">
        <w:rPr>
          <w:noProof/>
          <w:lang w:eastAsia="zh-CN"/>
        </w:rPr>
        <w:t xml:space="preserve"> </w:t>
      </w:r>
      <w:r w:rsidR="005446CC" w:rsidRPr="005446CC">
        <w:rPr>
          <w:noProof/>
        </w:rPr>
        <w:drawing>
          <wp:inline distT="0" distB="0" distL="0" distR="0" wp14:anchorId="299265C5" wp14:editId="3B3A5B4A">
            <wp:extent cx="7831999" cy="3800105"/>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2"/>
                    <a:stretch>
                      <a:fillRect/>
                    </a:stretch>
                  </pic:blipFill>
                  <pic:spPr>
                    <a:xfrm>
                      <a:off x="0" y="0"/>
                      <a:ext cx="7837958" cy="3802996"/>
                    </a:xfrm>
                    <a:prstGeom prst="rect">
                      <a:avLst/>
                    </a:prstGeom>
                  </pic:spPr>
                </pic:pic>
              </a:graphicData>
            </a:graphic>
          </wp:inline>
        </w:drawing>
      </w:r>
      <w:r w:rsidRPr="0018096F">
        <w:rPr>
          <w:b/>
          <w:shd w:val="clear" w:color="auto" w:fill="FFFFFF"/>
          <w:lang w:eastAsia="zh-CN"/>
        </w:rPr>
        <w:t xml:space="preserve"> </w:t>
      </w:r>
    </w:p>
    <w:p w14:paraId="49517873" w14:textId="42BAFFDA" w:rsidR="00131A66" w:rsidRDefault="00131A66" w:rsidP="009570A3">
      <w:pPr>
        <w:spacing w:line="240" w:lineRule="auto"/>
        <w:jc w:val="center"/>
        <w:rPr>
          <w:b/>
          <w:shd w:val="clear" w:color="auto" w:fill="FFFFFF"/>
        </w:rPr>
      </w:pPr>
      <w:r w:rsidRPr="009570A3">
        <w:rPr>
          <w:b/>
          <w:sz w:val="24"/>
          <w:shd w:val="clear" w:color="auto" w:fill="FFFFFF"/>
          <w:lang w:eastAsia="zh-CN"/>
        </w:rPr>
        <w:t>F</w:t>
      </w:r>
      <w:r w:rsidRPr="009570A3">
        <w:rPr>
          <w:b/>
          <w:sz w:val="24"/>
          <w:shd w:val="clear" w:color="auto" w:fill="FFFFFF"/>
        </w:rPr>
        <w:t>IGURE 1</w:t>
      </w:r>
      <w:r w:rsidR="00173D33" w:rsidRPr="009570A3">
        <w:rPr>
          <w:b/>
          <w:sz w:val="24"/>
          <w:shd w:val="clear" w:color="auto" w:fill="FFFFFF"/>
        </w:rPr>
        <w:t xml:space="preserve"> Conceptual and Analytic Framework</w:t>
      </w:r>
    </w:p>
    <w:p w14:paraId="14AC0E8D" w14:textId="77777777" w:rsidR="00413664" w:rsidRDefault="00413664" w:rsidP="00712E4A">
      <w:pPr>
        <w:rPr>
          <w:b/>
          <w:shd w:val="clear" w:color="auto" w:fill="FFFFFF"/>
        </w:rPr>
      </w:pPr>
    </w:p>
    <w:p w14:paraId="76096ECB" w14:textId="4ADCB8B1" w:rsidR="00413664" w:rsidRPr="0082145B" w:rsidRDefault="00732B9D" w:rsidP="008D3590">
      <w:pPr>
        <w:spacing w:line="240" w:lineRule="auto"/>
        <w:rPr>
          <w:shd w:val="clear" w:color="auto" w:fill="FFFFFF"/>
        </w:rPr>
      </w:pPr>
      <w:r>
        <w:rPr>
          <w:shd w:val="clear" w:color="auto" w:fill="FFFFFF"/>
          <w:vertAlign w:val="superscript"/>
        </w:rPr>
        <w:t>1</w:t>
      </w:r>
      <w:r>
        <w:rPr>
          <w:shd w:val="clear" w:color="auto" w:fill="FFFFFF"/>
        </w:rPr>
        <w:t>The V</w:t>
      </w:r>
      <w:r w:rsidR="00413664" w:rsidRPr="0082145B">
        <w:rPr>
          <w:shd w:val="clear" w:color="auto" w:fill="FFFFFF"/>
        </w:rPr>
        <w:t>irtual accessibility measures include</w:t>
      </w:r>
      <w:r w:rsidR="00A547ED" w:rsidRPr="0082145B">
        <w:rPr>
          <w:rFonts w:hint="eastAsia"/>
          <w:shd w:val="clear" w:color="auto" w:fill="FFFFFF"/>
          <w:lang w:eastAsia="zh-CN"/>
        </w:rPr>
        <w:t xml:space="preserve"> </w:t>
      </w:r>
      <w:r w:rsidR="00173D33" w:rsidRPr="0082145B">
        <w:rPr>
          <w:shd w:val="clear" w:color="auto" w:fill="FFFFFF"/>
          <w:lang w:eastAsia="zh-CN"/>
        </w:rPr>
        <w:t>o</w:t>
      </w:r>
      <w:r w:rsidR="00A547ED" w:rsidRPr="0082145B">
        <w:rPr>
          <w:rFonts w:hint="eastAsia"/>
          <w:shd w:val="clear" w:color="auto" w:fill="FFFFFF"/>
          <w:lang w:eastAsia="zh-CN"/>
        </w:rPr>
        <w:t>ccupation type</w:t>
      </w:r>
      <w:r w:rsidR="00173D33" w:rsidRPr="0082145B">
        <w:rPr>
          <w:shd w:val="clear" w:color="auto" w:fill="FFFFFF"/>
          <w:lang w:eastAsia="zh-CN"/>
        </w:rPr>
        <w:t>,</w:t>
      </w:r>
      <w:r w:rsidR="008B1970" w:rsidRPr="0082145B">
        <w:rPr>
          <w:rFonts w:hint="eastAsia"/>
          <w:shd w:val="clear" w:color="auto" w:fill="FFFFFF"/>
          <w:lang w:eastAsia="zh-CN"/>
        </w:rPr>
        <w:t xml:space="preserve"> and</w:t>
      </w:r>
      <w:r w:rsidR="00413664" w:rsidRPr="0082145B">
        <w:rPr>
          <w:shd w:val="clear" w:color="auto" w:fill="FFFFFF"/>
        </w:rPr>
        <w:t xml:space="preserve"> </w:t>
      </w:r>
      <w:r w:rsidR="00173D33" w:rsidRPr="0082145B">
        <w:rPr>
          <w:shd w:val="clear" w:color="auto" w:fill="FFFFFF"/>
        </w:rPr>
        <w:t>i</w:t>
      </w:r>
      <w:r w:rsidR="00413664" w:rsidRPr="0082145B">
        <w:rPr>
          <w:shd w:val="clear" w:color="auto" w:fill="FFFFFF"/>
        </w:rPr>
        <w:t>nternet availability.</w:t>
      </w:r>
    </w:p>
    <w:p w14:paraId="5D35413D" w14:textId="4E31835F" w:rsidR="0082145B" w:rsidRDefault="0082145B" w:rsidP="008D3590">
      <w:pPr>
        <w:spacing w:line="240" w:lineRule="auto"/>
        <w:rPr>
          <w:rFonts w:eastAsia="Times New Roman" w:cs="Times New Roman"/>
          <w:color w:val="000000"/>
        </w:rPr>
      </w:pPr>
      <w:r>
        <w:rPr>
          <w:shd w:val="clear" w:color="auto" w:fill="FFFFFF"/>
          <w:vertAlign w:val="superscript"/>
          <w:lang w:eastAsia="zh-CN"/>
        </w:rPr>
        <w:t>2</w:t>
      </w:r>
      <w:r w:rsidR="00732B9D">
        <w:rPr>
          <w:shd w:val="clear" w:color="auto" w:fill="FFFFFF"/>
          <w:lang w:eastAsia="zh-CN"/>
        </w:rPr>
        <w:t>The P</w:t>
      </w:r>
      <w:r w:rsidR="00413664" w:rsidRPr="0082145B">
        <w:rPr>
          <w:shd w:val="clear" w:color="auto" w:fill="FFFFFF"/>
          <w:lang w:eastAsia="zh-CN"/>
        </w:rPr>
        <w:t xml:space="preserve">hysical accessibility measures include </w:t>
      </w:r>
      <w:r w:rsidR="00173D33" w:rsidRPr="00712E4A">
        <w:rPr>
          <w:rFonts w:eastAsia="Times New Roman" w:cs="Times New Roman"/>
          <w:color w:val="000000"/>
        </w:rPr>
        <w:t>t</w:t>
      </w:r>
      <w:r w:rsidR="00413664" w:rsidRPr="00712E4A">
        <w:rPr>
          <w:rFonts w:eastAsia="Times New Roman" w:cs="Times New Roman"/>
          <w:color w:val="000000"/>
        </w:rPr>
        <w:t>ravel time to the nearest hospital</w:t>
      </w:r>
      <w:r w:rsidR="00CE0571" w:rsidRPr="00712E4A">
        <w:rPr>
          <w:rFonts w:eastAsia="Times New Roman" w:cs="Times New Roman"/>
          <w:color w:val="000000"/>
        </w:rPr>
        <w:t xml:space="preserve">, </w:t>
      </w:r>
      <w:r w:rsidR="00173D33" w:rsidRPr="00712E4A">
        <w:rPr>
          <w:rFonts w:eastAsia="Times New Roman" w:cs="Times New Roman"/>
          <w:color w:val="000000"/>
        </w:rPr>
        <w:t>t</w:t>
      </w:r>
      <w:r w:rsidR="00CE0571" w:rsidRPr="00712E4A">
        <w:rPr>
          <w:rFonts w:eastAsia="Times New Roman" w:cs="Times New Roman"/>
          <w:color w:val="000000"/>
        </w:rPr>
        <w:t>ravel time to the nearest shopping center</w:t>
      </w:r>
      <w:r w:rsidR="00173D33" w:rsidRPr="00712E4A">
        <w:rPr>
          <w:rFonts w:eastAsia="Times New Roman" w:cs="Times New Roman"/>
          <w:color w:val="000000"/>
        </w:rPr>
        <w:t>,</w:t>
      </w:r>
      <w:r w:rsidR="00CE0571" w:rsidRPr="00712E4A">
        <w:rPr>
          <w:rFonts w:eastAsia="Times New Roman" w:cs="Times New Roman"/>
          <w:color w:val="000000"/>
        </w:rPr>
        <w:t xml:space="preserve"> and </w:t>
      </w:r>
      <w:r w:rsidR="00173D33" w:rsidRPr="00712E4A">
        <w:rPr>
          <w:rFonts w:eastAsia="Times New Roman" w:cs="Times New Roman"/>
          <w:color w:val="000000"/>
        </w:rPr>
        <w:t>t</w:t>
      </w:r>
      <w:r w:rsidR="00CE0571" w:rsidRPr="00712E4A">
        <w:rPr>
          <w:rFonts w:eastAsia="Times New Roman" w:cs="Times New Roman"/>
          <w:color w:val="000000"/>
        </w:rPr>
        <w:t>ravel time to the nearest rail station.</w:t>
      </w:r>
    </w:p>
    <w:p w14:paraId="3F6FA50E" w14:textId="0FF91EA1" w:rsidR="00732B9D" w:rsidRDefault="00732B9D" w:rsidP="008D3590">
      <w:pPr>
        <w:spacing w:line="240" w:lineRule="auto"/>
        <w:rPr>
          <w:rFonts w:eastAsia="Times New Roman" w:cs="Times New Roman"/>
          <w:color w:val="000000"/>
        </w:rPr>
      </w:pPr>
      <w:r>
        <w:rPr>
          <w:rFonts w:eastAsia="Times New Roman" w:cs="Times New Roman"/>
          <w:color w:val="000000"/>
          <w:vertAlign w:val="superscript"/>
        </w:rPr>
        <w:t>3</w:t>
      </w:r>
      <w:r>
        <w:rPr>
          <w:rFonts w:eastAsia="Times New Roman" w:cs="Times New Roman"/>
          <w:color w:val="000000"/>
        </w:rPr>
        <w:t>The PALSC indicators include</w:t>
      </w:r>
      <w:r w:rsidR="005446CC">
        <w:rPr>
          <w:rFonts w:eastAsia="Times New Roman" w:cs="Times New Roman"/>
          <w:color w:val="000000"/>
        </w:rPr>
        <w:t xml:space="preserve"> </w:t>
      </w:r>
      <w:r w:rsidR="00FB7BD9">
        <w:rPr>
          <w:rFonts w:eastAsia="SimSun" w:cs="Times New Roman"/>
        </w:rPr>
        <w:t>ease of commute without a car, ease of shopping without car, quality of bicycle lanes in the vicinity of the respondent’s residence, and quality of roadway pavement in the vicinity of the respondent’s residence.</w:t>
      </w:r>
    </w:p>
    <w:p w14:paraId="65244A09" w14:textId="4145682A" w:rsidR="00732B9D" w:rsidRDefault="00732B9D" w:rsidP="008D3590">
      <w:pPr>
        <w:spacing w:line="240" w:lineRule="auto"/>
        <w:rPr>
          <w:rFonts w:eastAsia="Times New Roman" w:cs="Times New Roman"/>
          <w:color w:val="000000"/>
        </w:rPr>
      </w:pPr>
      <w:r>
        <w:rPr>
          <w:rFonts w:eastAsia="Times New Roman" w:cs="Times New Roman"/>
          <w:color w:val="000000"/>
          <w:vertAlign w:val="superscript"/>
        </w:rPr>
        <w:t>4</w:t>
      </w:r>
      <w:r>
        <w:rPr>
          <w:rFonts w:eastAsia="Times New Roman" w:cs="Times New Roman"/>
          <w:color w:val="000000"/>
        </w:rPr>
        <w:t>The VAG outcomes include</w:t>
      </w:r>
      <w:r w:rsidR="00FB7BD9">
        <w:rPr>
          <w:rFonts w:eastAsia="Times New Roman" w:cs="Times New Roman"/>
          <w:color w:val="000000"/>
        </w:rPr>
        <w:t xml:space="preserve"> </w:t>
      </w:r>
      <w:r w:rsidR="00FB7BD9">
        <w:t>frequency of work from home, whether main food shopping method is online or not, frequency of food delivery, and frequency of goods delivery.</w:t>
      </w:r>
    </w:p>
    <w:p w14:paraId="59A44F08" w14:textId="442CF955" w:rsidR="00173D33" w:rsidRPr="0018096F" w:rsidRDefault="00732B9D" w:rsidP="008D3590">
      <w:pPr>
        <w:spacing w:line="240" w:lineRule="auto"/>
        <w:jc w:val="left"/>
        <w:rPr>
          <w:shd w:val="clear" w:color="auto" w:fill="FFFFFF"/>
          <w:lang w:eastAsia="zh-CN"/>
        </w:rPr>
        <w:sectPr w:rsidR="00173D33" w:rsidRPr="0018096F" w:rsidSect="006E23D4">
          <w:pgSz w:w="15840" w:h="12240" w:orient="landscape" w:code="1"/>
          <w:pgMar w:top="1296" w:right="1440" w:bottom="1152" w:left="1440" w:header="720" w:footer="720" w:gutter="0"/>
          <w:cols w:space="720"/>
          <w:docGrid w:linePitch="400"/>
        </w:sectPr>
      </w:pPr>
      <w:r>
        <w:rPr>
          <w:rFonts w:eastAsia="Times New Roman" w:cs="Times New Roman"/>
          <w:color w:val="000000"/>
          <w:vertAlign w:val="superscript"/>
        </w:rPr>
        <w:t>5</w:t>
      </w:r>
      <w:r>
        <w:rPr>
          <w:rFonts w:eastAsia="Times New Roman" w:cs="Times New Roman"/>
          <w:color w:val="000000"/>
        </w:rPr>
        <w:t>The PAG outcomes include</w:t>
      </w:r>
      <w:r w:rsidR="00FB7BD9">
        <w:rPr>
          <w:rFonts w:eastAsia="Times New Roman" w:cs="Times New Roman"/>
          <w:color w:val="000000"/>
        </w:rPr>
        <w:t xml:space="preserve"> the number </w:t>
      </w:r>
      <w:r w:rsidR="004A5D46">
        <w:rPr>
          <w:rFonts w:eastAsia="Times New Roman" w:cs="Times New Roman"/>
          <w:color w:val="000000"/>
        </w:rPr>
        <w:t xml:space="preserve">and average duration </w:t>
      </w:r>
      <w:r w:rsidR="00FB7BD9">
        <w:rPr>
          <w:rFonts w:eastAsia="Times New Roman" w:cs="Times New Roman"/>
          <w:color w:val="000000"/>
        </w:rPr>
        <w:t xml:space="preserve">of mandatory activity episodes, maintenance activity episodes, </w:t>
      </w:r>
      <w:r w:rsidR="004A5D46">
        <w:rPr>
          <w:rFonts w:eastAsia="Times New Roman" w:cs="Times New Roman"/>
          <w:color w:val="000000"/>
        </w:rPr>
        <w:t xml:space="preserve">and </w:t>
      </w:r>
      <w:r w:rsidR="00FB7BD9">
        <w:rPr>
          <w:rFonts w:eastAsia="Times New Roman" w:cs="Times New Roman"/>
          <w:color w:val="000000"/>
        </w:rPr>
        <w:t xml:space="preserve">discretionary </w:t>
      </w:r>
      <w:r w:rsidR="00124C84">
        <w:rPr>
          <w:rFonts w:eastAsia="Times New Roman" w:cs="Times New Roman"/>
          <w:color w:val="000000"/>
        </w:rPr>
        <w:t xml:space="preserve">activity </w:t>
      </w:r>
      <w:r w:rsidR="00FB7BD9">
        <w:rPr>
          <w:rFonts w:eastAsia="Times New Roman" w:cs="Times New Roman"/>
          <w:color w:val="000000"/>
        </w:rPr>
        <w:t>episodes, vehicle</w:t>
      </w:r>
      <w:r w:rsidR="00D716A8">
        <w:rPr>
          <w:rFonts w:eastAsia="Times New Roman" w:cs="Times New Roman"/>
          <w:color w:val="000000"/>
        </w:rPr>
        <w:t xml:space="preserve"> availability</w:t>
      </w:r>
      <w:r w:rsidR="00FB7BD9">
        <w:rPr>
          <w:rFonts w:eastAsia="Times New Roman" w:cs="Times New Roman"/>
          <w:color w:val="000000"/>
        </w:rPr>
        <w:t xml:space="preserve"> in the household, </w:t>
      </w:r>
      <w:r w:rsidR="004A5D46">
        <w:rPr>
          <w:rFonts w:eastAsia="Times New Roman" w:cs="Times New Roman"/>
          <w:color w:val="000000"/>
        </w:rPr>
        <w:t xml:space="preserve">the </w:t>
      </w:r>
      <w:r w:rsidR="00FB7BD9">
        <w:rPr>
          <w:rFonts w:eastAsia="Times New Roman" w:cs="Times New Roman"/>
          <w:color w:val="000000"/>
        </w:rPr>
        <w:t xml:space="preserve">average number of </w:t>
      </w:r>
      <w:r w:rsidR="00D716A8">
        <w:rPr>
          <w:rFonts w:eastAsia="Times New Roman" w:cs="Times New Roman"/>
          <w:color w:val="000000"/>
        </w:rPr>
        <w:t>trips</w:t>
      </w:r>
      <w:r w:rsidR="00FB7BD9">
        <w:rPr>
          <w:rFonts w:eastAsia="Times New Roman" w:cs="Times New Roman"/>
          <w:color w:val="000000"/>
        </w:rPr>
        <w:t xml:space="preserve"> per tour</w:t>
      </w:r>
      <w:r w:rsidR="004A5D46">
        <w:rPr>
          <w:rFonts w:eastAsia="Times New Roman" w:cs="Times New Roman"/>
          <w:color w:val="000000"/>
        </w:rPr>
        <w:t>,</w:t>
      </w:r>
      <w:r w:rsidR="00FB7BD9">
        <w:rPr>
          <w:rFonts w:eastAsia="Times New Roman" w:cs="Times New Roman"/>
          <w:color w:val="000000"/>
        </w:rPr>
        <w:t xml:space="preserve"> and average trip distance</w:t>
      </w:r>
      <w:r w:rsidR="004A5D46">
        <w:rPr>
          <w:rFonts w:eastAsia="Times New Roman" w:cs="Times New Roman"/>
          <w:color w:val="000000"/>
        </w:rPr>
        <w:t xml:space="preserve"> per tour</w:t>
      </w:r>
      <w:r w:rsidR="00FB7BD9">
        <w:rPr>
          <w:rFonts w:eastAsia="Times New Roman" w:cs="Times New Roman"/>
          <w:color w:val="000000"/>
        </w:rPr>
        <w:t>.</w:t>
      </w:r>
    </w:p>
    <w:p w14:paraId="5C732B50" w14:textId="77777777" w:rsidR="00131A66" w:rsidRPr="000B67C3" w:rsidRDefault="00131A66" w:rsidP="00131A66">
      <w:pPr>
        <w:rPr>
          <w:lang w:eastAsia="zh-CN"/>
        </w:rPr>
      </w:pPr>
    </w:p>
    <w:p w14:paraId="0452ACA0" w14:textId="21BC9742" w:rsidR="00174657" w:rsidRPr="009570A3" w:rsidRDefault="008B54C9" w:rsidP="009570A3">
      <w:pPr>
        <w:spacing w:after="120" w:line="240" w:lineRule="auto"/>
        <w:jc w:val="left"/>
        <w:outlineLvl w:val="0"/>
        <w:rPr>
          <w:b/>
          <w:sz w:val="24"/>
        </w:rPr>
      </w:pPr>
      <w:r w:rsidRPr="009570A3">
        <w:rPr>
          <w:b/>
          <w:sz w:val="24"/>
        </w:rPr>
        <w:t xml:space="preserve">TABLE 1 </w:t>
      </w:r>
      <w:r w:rsidR="00CE0571" w:rsidRPr="009570A3">
        <w:rPr>
          <w:b/>
          <w:sz w:val="24"/>
        </w:rPr>
        <w:t xml:space="preserve">Virtual </w:t>
      </w:r>
      <w:r w:rsidR="00860EFB" w:rsidRPr="009570A3">
        <w:rPr>
          <w:b/>
          <w:sz w:val="24"/>
        </w:rPr>
        <w:t>A</w:t>
      </w:r>
      <w:r w:rsidR="00CE0571" w:rsidRPr="009570A3">
        <w:rPr>
          <w:b/>
          <w:sz w:val="24"/>
        </w:rPr>
        <w:t xml:space="preserve">ctivity </w:t>
      </w:r>
      <w:r w:rsidR="00860EFB" w:rsidRPr="009570A3">
        <w:rPr>
          <w:b/>
          <w:sz w:val="24"/>
        </w:rPr>
        <w:t>E</w:t>
      </w:r>
      <w:r w:rsidR="00CE0571" w:rsidRPr="009570A3">
        <w:rPr>
          <w:b/>
          <w:sz w:val="24"/>
        </w:rPr>
        <w:t xml:space="preserve">ngagement (VAG) and </w:t>
      </w:r>
      <w:r w:rsidR="00860EFB" w:rsidRPr="009570A3">
        <w:rPr>
          <w:b/>
          <w:sz w:val="24"/>
        </w:rPr>
        <w:t>P</w:t>
      </w:r>
      <w:r w:rsidR="00CE0571" w:rsidRPr="009570A3">
        <w:rPr>
          <w:b/>
          <w:sz w:val="24"/>
        </w:rPr>
        <w:t xml:space="preserve">hysical </w:t>
      </w:r>
      <w:r w:rsidR="00860EFB" w:rsidRPr="009570A3">
        <w:rPr>
          <w:b/>
          <w:sz w:val="24"/>
        </w:rPr>
        <w:t>A</w:t>
      </w:r>
      <w:r w:rsidR="00CE0571" w:rsidRPr="009570A3">
        <w:rPr>
          <w:b/>
          <w:sz w:val="24"/>
        </w:rPr>
        <w:t xml:space="preserve">ctivity </w:t>
      </w:r>
      <w:r w:rsidR="00860EFB" w:rsidRPr="009570A3">
        <w:rPr>
          <w:b/>
          <w:sz w:val="24"/>
        </w:rPr>
        <w:t>E</w:t>
      </w:r>
      <w:r w:rsidR="00CE0571" w:rsidRPr="009570A3">
        <w:rPr>
          <w:b/>
          <w:sz w:val="24"/>
        </w:rPr>
        <w:t xml:space="preserve">ngagement (PAG) </w:t>
      </w:r>
      <w:r w:rsidR="00860EFB" w:rsidRPr="009570A3">
        <w:rPr>
          <w:b/>
          <w:sz w:val="24"/>
        </w:rPr>
        <w:t>O</w:t>
      </w:r>
      <w:r w:rsidR="00CE0571" w:rsidRPr="009570A3">
        <w:rPr>
          <w:b/>
          <w:sz w:val="24"/>
        </w:rPr>
        <w:t xml:space="preserve">utcome </w:t>
      </w:r>
      <w:r w:rsidR="00860EFB" w:rsidRPr="009570A3">
        <w:rPr>
          <w:b/>
          <w:sz w:val="24"/>
        </w:rPr>
        <w:t>V</w:t>
      </w:r>
      <w:r w:rsidR="00CE0571" w:rsidRPr="009570A3">
        <w:rPr>
          <w:b/>
          <w:sz w:val="24"/>
        </w:rPr>
        <w:t>ariables</w:t>
      </w:r>
    </w:p>
    <w:tbl>
      <w:tblPr>
        <w:tblStyle w:val="TableGrid"/>
        <w:tblW w:w="0" w:type="auto"/>
        <w:jc w:val="center"/>
        <w:tblBorders>
          <w:top w:val="thinThickLargeGap" w:sz="24" w:space="0" w:color="auto"/>
          <w:left w:val="thinThickLargeGap" w:sz="24" w:space="0" w:color="auto"/>
          <w:bottom w:val="thickThinLargeGap" w:sz="24" w:space="0" w:color="auto"/>
          <w:right w:val="thickThinLargeGap" w:sz="24" w:space="0" w:color="auto"/>
          <w:insideH w:val="none" w:sz="0" w:space="0" w:color="auto"/>
          <w:insideV w:val="none" w:sz="0" w:space="0" w:color="auto"/>
        </w:tblBorders>
        <w:tblLayout w:type="fixed"/>
        <w:tblLook w:val="04A0" w:firstRow="1" w:lastRow="0" w:firstColumn="1" w:lastColumn="0" w:noHBand="0" w:noVBand="1"/>
      </w:tblPr>
      <w:tblGrid>
        <w:gridCol w:w="2879"/>
        <w:gridCol w:w="90"/>
        <w:gridCol w:w="697"/>
        <w:gridCol w:w="923"/>
        <w:gridCol w:w="1217"/>
        <w:gridCol w:w="1260"/>
        <w:gridCol w:w="483"/>
        <w:gridCol w:w="59"/>
        <w:gridCol w:w="572"/>
        <w:gridCol w:w="290"/>
        <w:gridCol w:w="38"/>
        <w:gridCol w:w="898"/>
      </w:tblGrid>
      <w:tr w:rsidR="00CE0571" w:rsidRPr="000467D5" w14:paraId="39AF02F0" w14:textId="77777777" w:rsidTr="009570A3">
        <w:trPr>
          <w:trHeight w:val="432"/>
          <w:jc w:val="center"/>
        </w:trPr>
        <w:tc>
          <w:tcPr>
            <w:tcW w:w="9406" w:type="dxa"/>
            <w:gridSpan w:val="12"/>
            <w:tcBorders>
              <w:top w:val="double" w:sz="4" w:space="0" w:color="auto"/>
              <w:left w:val="double" w:sz="4" w:space="0" w:color="auto"/>
              <w:bottom w:val="double" w:sz="4" w:space="0" w:color="auto"/>
              <w:right w:val="double" w:sz="4" w:space="0" w:color="auto"/>
            </w:tcBorders>
            <w:noWrap/>
            <w:vAlign w:val="center"/>
          </w:tcPr>
          <w:p w14:paraId="05C0349C" w14:textId="34A5B124" w:rsidR="00CE0571" w:rsidRPr="000467D5" w:rsidRDefault="00CE0571" w:rsidP="009570A3">
            <w:pPr>
              <w:pStyle w:val="NoSpacing"/>
              <w:jc w:val="center"/>
              <w:rPr>
                <w:rFonts w:cs="Times New Roman"/>
                <w:b/>
                <w:sz w:val="22"/>
                <w:szCs w:val="22"/>
              </w:rPr>
            </w:pPr>
            <w:r w:rsidRPr="000467D5">
              <w:rPr>
                <w:rFonts w:cs="Times New Roman"/>
                <w:b/>
                <w:sz w:val="22"/>
                <w:szCs w:val="22"/>
              </w:rPr>
              <w:t>VAG outcome variables</w:t>
            </w:r>
          </w:p>
        </w:tc>
      </w:tr>
      <w:tr w:rsidR="003F1173" w:rsidRPr="000467D5" w14:paraId="105A72B8" w14:textId="77777777" w:rsidTr="009570A3">
        <w:trPr>
          <w:trHeight w:val="20"/>
          <w:jc w:val="center"/>
        </w:trPr>
        <w:tc>
          <w:tcPr>
            <w:tcW w:w="2879" w:type="dxa"/>
            <w:tcBorders>
              <w:top w:val="double" w:sz="4" w:space="0" w:color="auto"/>
              <w:left w:val="double" w:sz="4" w:space="0" w:color="auto"/>
              <w:bottom w:val="single" w:sz="4" w:space="0" w:color="auto"/>
            </w:tcBorders>
            <w:noWrap/>
            <w:hideMark/>
          </w:tcPr>
          <w:p w14:paraId="72B53A9B" w14:textId="77777777" w:rsidR="00174657" w:rsidRPr="000467D5" w:rsidRDefault="00174657" w:rsidP="00174657">
            <w:pPr>
              <w:pStyle w:val="NoSpacing"/>
              <w:rPr>
                <w:rFonts w:cs="Times New Roman"/>
                <w:sz w:val="22"/>
                <w:szCs w:val="22"/>
              </w:rPr>
            </w:pPr>
            <w:r w:rsidRPr="000467D5">
              <w:rPr>
                <w:rFonts w:cs="Times New Roman"/>
                <w:sz w:val="22"/>
                <w:szCs w:val="22"/>
              </w:rPr>
              <w:t>Variable</w:t>
            </w:r>
          </w:p>
        </w:tc>
        <w:tc>
          <w:tcPr>
            <w:tcW w:w="787" w:type="dxa"/>
            <w:gridSpan w:val="2"/>
            <w:tcBorders>
              <w:top w:val="double" w:sz="4" w:space="0" w:color="auto"/>
              <w:bottom w:val="single" w:sz="4" w:space="0" w:color="auto"/>
            </w:tcBorders>
            <w:noWrap/>
            <w:vAlign w:val="center"/>
            <w:hideMark/>
          </w:tcPr>
          <w:p w14:paraId="2D964D43" w14:textId="77777777" w:rsidR="00174657" w:rsidRPr="000467D5" w:rsidRDefault="00174657" w:rsidP="00174657">
            <w:pPr>
              <w:pStyle w:val="NoSpacing"/>
              <w:jc w:val="right"/>
              <w:rPr>
                <w:rFonts w:cs="Times New Roman"/>
                <w:sz w:val="22"/>
                <w:szCs w:val="22"/>
              </w:rPr>
            </w:pPr>
            <w:r w:rsidRPr="000467D5">
              <w:rPr>
                <w:rFonts w:cs="Times New Roman"/>
                <w:sz w:val="22"/>
                <w:szCs w:val="22"/>
              </w:rPr>
              <w:t>Count</w:t>
            </w:r>
          </w:p>
        </w:tc>
        <w:tc>
          <w:tcPr>
            <w:tcW w:w="923" w:type="dxa"/>
            <w:tcBorders>
              <w:top w:val="double" w:sz="4" w:space="0" w:color="auto"/>
              <w:bottom w:val="single" w:sz="4" w:space="0" w:color="auto"/>
              <w:right w:val="double" w:sz="4" w:space="0" w:color="auto"/>
            </w:tcBorders>
            <w:noWrap/>
            <w:vAlign w:val="center"/>
            <w:hideMark/>
          </w:tcPr>
          <w:p w14:paraId="7A1ECE0A" w14:textId="77777777" w:rsidR="00174657" w:rsidRPr="000467D5" w:rsidRDefault="00174657" w:rsidP="00174657">
            <w:pPr>
              <w:pStyle w:val="NoSpacing"/>
              <w:jc w:val="right"/>
              <w:rPr>
                <w:rFonts w:cs="Times New Roman"/>
                <w:sz w:val="22"/>
                <w:szCs w:val="22"/>
              </w:rPr>
            </w:pPr>
            <w:r w:rsidRPr="000467D5">
              <w:rPr>
                <w:rFonts w:cs="Times New Roman"/>
                <w:sz w:val="22"/>
                <w:szCs w:val="22"/>
              </w:rPr>
              <w:t>%</w:t>
            </w:r>
          </w:p>
        </w:tc>
        <w:tc>
          <w:tcPr>
            <w:tcW w:w="2960" w:type="dxa"/>
            <w:gridSpan w:val="3"/>
            <w:tcBorders>
              <w:top w:val="double" w:sz="4" w:space="0" w:color="auto"/>
              <w:left w:val="double" w:sz="4" w:space="0" w:color="auto"/>
              <w:bottom w:val="single" w:sz="4" w:space="0" w:color="auto"/>
            </w:tcBorders>
            <w:noWrap/>
            <w:hideMark/>
          </w:tcPr>
          <w:p w14:paraId="0AD35983" w14:textId="77777777" w:rsidR="00174657" w:rsidRPr="000467D5" w:rsidRDefault="00174657" w:rsidP="00174657">
            <w:pPr>
              <w:pStyle w:val="NoSpacing"/>
              <w:rPr>
                <w:rFonts w:cs="Times New Roman"/>
                <w:sz w:val="22"/>
                <w:szCs w:val="22"/>
              </w:rPr>
            </w:pPr>
            <w:r w:rsidRPr="000467D5">
              <w:rPr>
                <w:rFonts w:cs="Times New Roman"/>
                <w:sz w:val="22"/>
                <w:szCs w:val="22"/>
              </w:rPr>
              <w:t>Variable</w:t>
            </w:r>
          </w:p>
        </w:tc>
        <w:tc>
          <w:tcPr>
            <w:tcW w:w="921" w:type="dxa"/>
            <w:gridSpan w:val="3"/>
            <w:tcBorders>
              <w:top w:val="double" w:sz="4" w:space="0" w:color="auto"/>
              <w:bottom w:val="single" w:sz="4" w:space="0" w:color="auto"/>
            </w:tcBorders>
            <w:noWrap/>
            <w:vAlign w:val="center"/>
            <w:hideMark/>
          </w:tcPr>
          <w:p w14:paraId="691D9E13" w14:textId="77777777" w:rsidR="00174657" w:rsidRPr="000467D5" w:rsidRDefault="00174657" w:rsidP="00174657">
            <w:pPr>
              <w:pStyle w:val="NoSpacing"/>
              <w:jc w:val="right"/>
              <w:rPr>
                <w:rFonts w:cs="Times New Roman"/>
                <w:sz w:val="22"/>
                <w:szCs w:val="22"/>
              </w:rPr>
            </w:pPr>
            <w:r w:rsidRPr="000467D5">
              <w:rPr>
                <w:rFonts w:cs="Times New Roman"/>
                <w:sz w:val="22"/>
                <w:szCs w:val="22"/>
              </w:rPr>
              <w:t>Count</w:t>
            </w:r>
          </w:p>
        </w:tc>
        <w:tc>
          <w:tcPr>
            <w:tcW w:w="936" w:type="dxa"/>
            <w:gridSpan w:val="2"/>
            <w:tcBorders>
              <w:top w:val="double" w:sz="4" w:space="0" w:color="auto"/>
              <w:bottom w:val="single" w:sz="4" w:space="0" w:color="auto"/>
              <w:right w:val="double" w:sz="4" w:space="0" w:color="auto"/>
            </w:tcBorders>
            <w:noWrap/>
            <w:vAlign w:val="center"/>
            <w:hideMark/>
          </w:tcPr>
          <w:p w14:paraId="3046348B" w14:textId="77777777" w:rsidR="00174657" w:rsidRPr="000467D5" w:rsidRDefault="00174657" w:rsidP="00174657">
            <w:pPr>
              <w:pStyle w:val="NoSpacing"/>
              <w:jc w:val="right"/>
              <w:rPr>
                <w:rFonts w:cs="Times New Roman"/>
                <w:sz w:val="22"/>
                <w:szCs w:val="22"/>
              </w:rPr>
            </w:pPr>
            <w:r w:rsidRPr="000467D5">
              <w:rPr>
                <w:rFonts w:cs="Times New Roman"/>
                <w:sz w:val="22"/>
                <w:szCs w:val="22"/>
              </w:rPr>
              <w:t>%</w:t>
            </w:r>
          </w:p>
        </w:tc>
      </w:tr>
      <w:tr w:rsidR="003F1173" w:rsidRPr="000467D5" w14:paraId="60508247" w14:textId="77777777" w:rsidTr="009570A3">
        <w:trPr>
          <w:trHeight w:val="20"/>
          <w:jc w:val="center"/>
        </w:trPr>
        <w:tc>
          <w:tcPr>
            <w:tcW w:w="4589" w:type="dxa"/>
            <w:gridSpan w:val="4"/>
            <w:tcBorders>
              <w:top w:val="single" w:sz="4" w:space="0" w:color="auto"/>
              <w:left w:val="double" w:sz="4" w:space="0" w:color="auto"/>
              <w:bottom w:val="single" w:sz="4" w:space="0" w:color="auto"/>
              <w:right w:val="double" w:sz="4" w:space="0" w:color="auto"/>
            </w:tcBorders>
            <w:noWrap/>
            <w:vAlign w:val="center"/>
            <w:hideMark/>
          </w:tcPr>
          <w:p w14:paraId="1F5B11CA" w14:textId="79DB7D7C" w:rsidR="00CE0571" w:rsidRPr="000467D5" w:rsidRDefault="00CE0571" w:rsidP="00B842CA">
            <w:pPr>
              <w:pStyle w:val="NoSpacing"/>
              <w:jc w:val="left"/>
              <w:rPr>
                <w:rFonts w:cs="Times New Roman"/>
                <w:sz w:val="22"/>
                <w:szCs w:val="22"/>
              </w:rPr>
            </w:pPr>
            <w:r w:rsidRPr="000467D5">
              <w:rPr>
                <w:rFonts w:cs="Times New Roman"/>
                <w:b/>
                <w:bCs/>
                <w:sz w:val="22"/>
                <w:szCs w:val="22"/>
              </w:rPr>
              <w:t>Freq. of working at home</w:t>
            </w:r>
            <w:r w:rsidRPr="000467D5" w:rsidDel="00CE0571">
              <w:rPr>
                <w:rFonts w:cs="Times New Roman"/>
                <w:b/>
                <w:bCs/>
                <w:sz w:val="22"/>
                <w:szCs w:val="22"/>
              </w:rPr>
              <w:t xml:space="preserve"> </w:t>
            </w:r>
          </w:p>
        </w:tc>
        <w:tc>
          <w:tcPr>
            <w:tcW w:w="4817" w:type="dxa"/>
            <w:gridSpan w:val="8"/>
            <w:tcBorders>
              <w:top w:val="single" w:sz="4" w:space="0" w:color="auto"/>
              <w:left w:val="double" w:sz="4" w:space="0" w:color="auto"/>
              <w:bottom w:val="single" w:sz="4" w:space="0" w:color="auto"/>
              <w:right w:val="double" w:sz="4" w:space="0" w:color="auto"/>
            </w:tcBorders>
            <w:noWrap/>
            <w:hideMark/>
          </w:tcPr>
          <w:p w14:paraId="0956C1AB" w14:textId="7469F9FA" w:rsidR="00CE0571" w:rsidRPr="000467D5" w:rsidRDefault="00CE0571" w:rsidP="00B842CA">
            <w:pPr>
              <w:pStyle w:val="NoSpacing"/>
              <w:jc w:val="left"/>
              <w:rPr>
                <w:rFonts w:cs="Times New Roman"/>
                <w:sz w:val="22"/>
                <w:szCs w:val="22"/>
              </w:rPr>
            </w:pPr>
            <w:r w:rsidRPr="000467D5">
              <w:rPr>
                <w:rFonts w:cs="Times New Roman"/>
                <w:b/>
                <w:bCs/>
                <w:sz w:val="22"/>
                <w:szCs w:val="22"/>
              </w:rPr>
              <w:t>Frequency of food delivery</w:t>
            </w:r>
          </w:p>
        </w:tc>
      </w:tr>
      <w:tr w:rsidR="006003B5" w:rsidRPr="000467D5" w14:paraId="2C7D732F" w14:textId="77777777" w:rsidTr="009570A3">
        <w:trPr>
          <w:trHeight w:val="20"/>
          <w:jc w:val="center"/>
        </w:trPr>
        <w:tc>
          <w:tcPr>
            <w:tcW w:w="2879" w:type="dxa"/>
            <w:tcBorders>
              <w:top w:val="single" w:sz="4" w:space="0" w:color="auto"/>
              <w:left w:val="double" w:sz="4" w:space="0" w:color="auto"/>
            </w:tcBorders>
            <w:noWrap/>
            <w:hideMark/>
          </w:tcPr>
          <w:p w14:paraId="0BA2D0BD" w14:textId="3B212897" w:rsidR="006003B5" w:rsidRPr="000467D5" w:rsidRDefault="006003B5" w:rsidP="006003B5">
            <w:pPr>
              <w:pStyle w:val="NoSpacing"/>
              <w:rPr>
                <w:rFonts w:cs="Times New Roman"/>
                <w:sz w:val="22"/>
                <w:szCs w:val="22"/>
              </w:rPr>
            </w:pPr>
            <w:r w:rsidRPr="000467D5">
              <w:rPr>
                <w:rFonts w:cs="Times New Roman"/>
                <w:sz w:val="22"/>
                <w:szCs w:val="22"/>
              </w:rPr>
              <w:t>Twice a year or less</w:t>
            </w:r>
          </w:p>
        </w:tc>
        <w:tc>
          <w:tcPr>
            <w:tcW w:w="787" w:type="dxa"/>
            <w:gridSpan w:val="2"/>
            <w:tcBorders>
              <w:top w:val="single" w:sz="4" w:space="0" w:color="auto"/>
            </w:tcBorders>
            <w:noWrap/>
            <w:vAlign w:val="center"/>
            <w:hideMark/>
          </w:tcPr>
          <w:p w14:paraId="002E8834" w14:textId="0705893F" w:rsidR="006003B5" w:rsidRPr="000467D5" w:rsidRDefault="006003B5" w:rsidP="00CF3034">
            <w:pPr>
              <w:pStyle w:val="NoSpacing"/>
              <w:jc w:val="right"/>
              <w:rPr>
                <w:rFonts w:cs="Times New Roman"/>
                <w:sz w:val="22"/>
                <w:szCs w:val="22"/>
              </w:rPr>
            </w:pPr>
            <w:r w:rsidRPr="000467D5">
              <w:rPr>
                <w:rFonts w:eastAsia="Times New Roman" w:cs="Times New Roman"/>
                <w:color w:val="000000"/>
                <w:sz w:val="22"/>
                <w:szCs w:val="22"/>
              </w:rPr>
              <w:t xml:space="preserve"> 2,7</w:t>
            </w:r>
            <w:r>
              <w:rPr>
                <w:rFonts w:eastAsia="Times New Roman" w:cs="Times New Roman"/>
                <w:color w:val="000000"/>
                <w:sz w:val="22"/>
                <w:szCs w:val="22"/>
              </w:rPr>
              <w:t>04</w:t>
            </w:r>
            <w:r w:rsidRPr="000467D5">
              <w:rPr>
                <w:rFonts w:eastAsia="Times New Roman" w:cs="Times New Roman"/>
                <w:color w:val="000000"/>
                <w:sz w:val="22"/>
                <w:szCs w:val="22"/>
              </w:rPr>
              <w:t xml:space="preserve"> </w:t>
            </w:r>
          </w:p>
        </w:tc>
        <w:tc>
          <w:tcPr>
            <w:tcW w:w="923" w:type="dxa"/>
            <w:tcBorders>
              <w:top w:val="single" w:sz="4" w:space="0" w:color="auto"/>
              <w:bottom w:val="nil"/>
              <w:right w:val="double" w:sz="4" w:space="0" w:color="auto"/>
            </w:tcBorders>
            <w:noWrap/>
            <w:vAlign w:val="center"/>
            <w:hideMark/>
          </w:tcPr>
          <w:p w14:paraId="142BE672" w14:textId="365D249D" w:rsidR="006003B5" w:rsidRPr="000467D5" w:rsidRDefault="006003B5" w:rsidP="00CF3034">
            <w:pPr>
              <w:pStyle w:val="NoSpacing"/>
              <w:jc w:val="right"/>
              <w:rPr>
                <w:rFonts w:cs="Times New Roman"/>
                <w:sz w:val="22"/>
                <w:szCs w:val="22"/>
              </w:rPr>
            </w:pPr>
            <w:r>
              <w:rPr>
                <w:rFonts w:eastAsia="Times New Roman" w:cs="Times New Roman"/>
                <w:color w:val="000000"/>
                <w:sz w:val="22"/>
                <w:szCs w:val="22"/>
              </w:rPr>
              <w:t>81.5</w:t>
            </w:r>
          </w:p>
        </w:tc>
        <w:tc>
          <w:tcPr>
            <w:tcW w:w="2960" w:type="dxa"/>
            <w:gridSpan w:val="3"/>
            <w:tcBorders>
              <w:top w:val="single" w:sz="4" w:space="0" w:color="auto"/>
              <w:left w:val="double" w:sz="4" w:space="0" w:color="auto"/>
              <w:bottom w:val="nil"/>
            </w:tcBorders>
            <w:noWrap/>
            <w:hideMark/>
          </w:tcPr>
          <w:p w14:paraId="733455B1" w14:textId="322B7C62" w:rsidR="006003B5" w:rsidRPr="000467D5" w:rsidRDefault="006003B5" w:rsidP="006003B5">
            <w:pPr>
              <w:pStyle w:val="NoSpacing"/>
              <w:rPr>
                <w:rFonts w:cs="Times New Roman"/>
                <w:sz w:val="22"/>
                <w:szCs w:val="22"/>
              </w:rPr>
            </w:pPr>
            <w:r w:rsidRPr="000467D5">
              <w:rPr>
                <w:rFonts w:cs="Times New Roman"/>
                <w:sz w:val="22"/>
                <w:szCs w:val="22"/>
              </w:rPr>
              <w:t>Twice a year or less</w:t>
            </w:r>
          </w:p>
        </w:tc>
        <w:tc>
          <w:tcPr>
            <w:tcW w:w="921" w:type="dxa"/>
            <w:gridSpan w:val="3"/>
            <w:tcBorders>
              <w:top w:val="single" w:sz="4" w:space="0" w:color="auto"/>
            </w:tcBorders>
            <w:noWrap/>
            <w:vAlign w:val="center"/>
            <w:hideMark/>
          </w:tcPr>
          <w:p w14:paraId="39C84AF0" w14:textId="1242DE92" w:rsidR="006003B5" w:rsidRPr="000467D5" w:rsidRDefault="006003B5" w:rsidP="006003B5">
            <w:pPr>
              <w:pStyle w:val="NoSpacing"/>
              <w:jc w:val="right"/>
              <w:rPr>
                <w:rFonts w:cs="Times New Roman"/>
                <w:sz w:val="22"/>
                <w:szCs w:val="22"/>
              </w:rPr>
            </w:pPr>
            <w:r w:rsidRPr="000467D5">
              <w:rPr>
                <w:rFonts w:eastAsia="Times New Roman" w:cs="Times New Roman"/>
                <w:color w:val="000000"/>
                <w:sz w:val="22"/>
                <w:szCs w:val="22"/>
              </w:rPr>
              <w:t xml:space="preserve"> 2,2</w:t>
            </w:r>
            <w:r>
              <w:rPr>
                <w:rFonts w:eastAsia="Times New Roman" w:cs="Times New Roman"/>
                <w:color w:val="000000"/>
                <w:sz w:val="22"/>
                <w:szCs w:val="22"/>
              </w:rPr>
              <w:t>07</w:t>
            </w:r>
            <w:r w:rsidRPr="000467D5">
              <w:rPr>
                <w:rFonts w:eastAsia="Times New Roman" w:cs="Times New Roman"/>
                <w:color w:val="000000"/>
                <w:sz w:val="22"/>
                <w:szCs w:val="22"/>
              </w:rPr>
              <w:t xml:space="preserve"> </w:t>
            </w:r>
          </w:p>
        </w:tc>
        <w:tc>
          <w:tcPr>
            <w:tcW w:w="936" w:type="dxa"/>
            <w:gridSpan w:val="2"/>
            <w:tcBorders>
              <w:top w:val="single" w:sz="4" w:space="0" w:color="auto"/>
              <w:right w:val="double" w:sz="4" w:space="0" w:color="auto"/>
            </w:tcBorders>
            <w:noWrap/>
            <w:vAlign w:val="center"/>
            <w:hideMark/>
          </w:tcPr>
          <w:p w14:paraId="53EFAAEF" w14:textId="3E2CBF74" w:rsidR="006003B5" w:rsidRPr="000467D5" w:rsidRDefault="006003B5" w:rsidP="006003B5">
            <w:pPr>
              <w:pStyle w:val="NoSpacing"/>
              <w:jc w:val="right"/>
              <w:rPr>
                <w:rFonts w:cs="Times New Roman"/>
                <w:sz w:val="22"/>
                <w:szCs w:val="22"/>
              </w:rPr>
            </w:pPr>
            <w:r w:rsidRPr="000467D5">
              <w:rPr>
                <w:rFonts w:eastAsia="Times New Roman" w:cs="Times New Roman"/>
                <w:color w:val="000000"/>
                <w:sz w:val="22"/>
                <w:szCs w:val="22"/>
              </w:rPr>
              <w:t>66.</w:t>
            </w:r>
            <w:r>
              <w:rPr>
                <w:rFonts w:eastAsia="Times New Roman" w:cs="Times New Roman"/>
                <w:color w:val="000000"/>
                <w:sz w:val="22"/>
                <w:szCs w:val="22"/>
              </w:rPr>
              <w:t>5</w:t>
            </w:r>
          </w:p>
        </w:tc>
      </w:tr>
      <w:tr w:rsidR="006003B5" w:rsidRPr="000467D5" w14:paraId="461651A9" w14:textId="77777777" w:rsidTr="009570A3">
        <w:trPr>
          <w:trHeight w:val="20"/>
          <w:jc w:val="center"/>
        </w:trPr>
        <w:tc>
          <w:tcPr>
            <w:tcW w:w="2879" w:type="dxa"/>
            <w:tcBorders>
              <w:left w:val="double" w:sz="4" w:space="0" w:color="auto"/>
            </w:tcBorders>
            <w:noWrap/>
            <w:hideMark/>
          </w:tcPr>
          <w:p w14:paraId="63B89C2D" w14:textId="7B389283" w:rsidR="006003B5" w:rsidRPr="000467D5" w:rsidRDefault="006003B5" w:rsidP="006003B5">
            <w:pPr>
              <w:pStyle w:val="NoSpacing"/>
              <w:rPr>
                <w:rFonts w:cs="Times New Roman"/>
                <w:sz w:val="22"/>
                <w:szCs w:val="22"/>
              </w:rPr>
            </w:pPr>
            <w:r w:rsidRPr="000467D5">
              <w:rPr>
                <w:rFonts w:cs="Times New Roman"/>
                <w:sz w:val="22"/>
                <w:szCs w:val="22"/>
              </w:rPr>
              <w:t>Less than once per month</w:t>
            </w:r>
          </w:p>
        </w:tc>
        <w:tc>
          <w:tcPr>
            <w:tcW w:w="787" w:type="dxa"/>
            <w:gridSpan w:val="2"/>
            <w:noWrap/>
            <w:vAlign w:val="center"/>
            <w:hideMark/>
          </w:tcPr>
          <w:p w14:paraId="3C4C5CD7" w14:textId="6CC3C58E" w:rsidR="006003B5" w:rsidRPr="000467D5" w:rsidRDefault="006003B5" w:rsidP="00CF3034">
            <w:pPr>
              <w:pStyle w:val="NoSpacing"/>
              <w:jc w:val="right"/>
              <w:rPr>
                <w:rFonts w:cs="Times New Roman"/>
                <w:sz w:val="22"/>
                <w:szCs w:val="22"/>
              </w:rPr>
            </w:pPr>
            <w:r>
              <w:rPr>
                <w:rFonts w:eastAsia="Times New Roman" w:cs="Times New Roman"/>
                <w:color w:val="000000"/>
                <w:sz w:val="22"/>
                <w:szCs w:val="22"/>
              </w:rPr>
              <w:t xml:space="preserve"> 215</w:t>
            </w:r>
            <w:r w:rsidRPr="000467D5">
              <w:rPr>
                <w:rFonts w:eastAsia="Times New Roman" w:cs="Times New Roman"/>
                <w:color w:val="000000"/>
                <w:sz w:val="22"/>
                <w:szCs w:val="22"/>
              </w:rPr>
              <w:t xml:space="preserve"> </w:t>
            </w:r>
          </w:p>
        </w:tc>
        <w:tc>
          <w:tcPr>
            <w:tcW w:w="923" w:type="dxa"/>
            <w:tcBorders>
              <w:top w:val="nil"/>
              <w:bottom w:val="nil"/>
              <w:right w:val="double" w:sz="4" w:space="0" w:color="auto"/>
            </w:tcBorders>
            <w:noWrap/>
            <w:vAlign w:val="center"/>
            <w:hideMark/>
          </w:tcPr>
          <w:p w14:paraId="58926C8F" w14:textId="129149F5" w:rsidR="006003B5" w:rsidRPr="000467D5" w:rsidRDefault="006003B5" w:rsidP="00CF3034">
            <w:pPr>
              <w:pStyle w:val="NoSpacing"/>
              <w:jc w:val="right"/>
              <w:rPr>
                <w:rFonts w:cs="Times New Roman"/>
                <w:sz w:val="22"/>
                <w:szCs w:val="22"/>
              </w:rPr>
            </w:pPr>
            <w:r w:rsidRPr="000467D5">
              <w:rPr>
                <w:rFonts w:eastAsia="Times New Roman" w:cs="Times New Roman"/>
                <w:color w:val="000000"/>
                <w:sz w:val="22"/>
                <w:szCs w:val="22"/>
              </w:rPr>
              <w:t>6.5</w:t>
            </w:r>
          </w:p>
        </w:tc>
        <w:tc>
          <w:tcPr>
            <w:tcW w:w="2960" w:type="dxa"/>
            <w:gridSpan w:val="3"/>
            <w:tcBorders>
              <w:top w:val="nil"/>
              <w:left w:val="double" w:sz="4" w:space="0" w:color="auto"/>
              <w:bottom w:val="nil"/>
            </w:tcBorders>
            <w:noWrap/>
            <w:hideMark/>
          </w:tcPr>
          <w:p w14:paraId="045B9C98" w14:textId="6C63EE5F" w:rsidR="006003B5" w:rsidRPr="000467D5" w:rsidRDefault="006003B5" w:rsidP="006003B5">
            <w:pPr>
              <w:pStyle w:val="NoSpacing"/>
              <w:rPr>
                <w:rFonts w:cs="Times New Roman"/>
                <w:sz w:val="22"/>
                <w:szCs w:val="22"/>
              </w:rPr>
            </w:pPr>
            <w:r w:rsidRPr="000467D5">
              <w:rPr>
                <w:rFonts w:cs="Times New Roman"/>
                <w:sz w:val="22"/>
                <w:szCs w:val="22"/>
              </w:rPr>
              <w:t>Less than once per month</w:t>
            </w:r>
          </w:p>
        </w:tc>
        <w:tc>
          <w:tcPr>
            <w:tcW w:w="921" w:type="dxa"/>
            <w:gridSpan w:val="3"/>
            <w:noWrap/>
            <w:vAlign w:val="center"/>
            <w:hideMark/>
          </w:tcPr>
          <w:p w14:paraId="4993233F" w14:textId="2B1E99EF" w:rsidR="006003B5" w:rsidRPr="000467D5" w:rsidRDefault="006003B5" w:rsidP="006003B5">
            <w:pPr>
              <w:pStyle w:val="NoSpacing"/>
              <w:jc w:val="right"/>
              <w:rPr>
                <w:rFonts w:cs="Times New Roman"/>
                <w:sz w:val="22"/>
                <w:szCs w:val="22"/>
              </w:rPr>
            </w:pPr>
            <w:r w:rsidRPr="000467D5">
              <w:rPr>
                <w:rFonts w:eastAsia="Times New Roman" w:cs="Times New Roman"/>
                <w:color w:val="000000"/>
                <w:sz w:val="22"/>
                <w:szCs w:val="22"/>
              </w:rPr>
              <w:t xml:space="preserve"> 4</w:t>
            </w:r>
            <w:r>
              <w:rPr>
                <w:rFonts w:eastAsia="Times New Roman" w:cs="Times New Roman"/>
                <w:color w:val="000000"/>
                <w:sz w:val="22"/>
                <w:szCs w:val="22"/>
              </w:rPr>
              <w:t>86</w:t>
            </w:r>
            <w:r w:rsidRPr="000467D5">
              <w:rPr>
                <w:rFonts w:eastAsia="Times New Roman" w:cs="Times New Roman"/>
                <w:color w:val="000000"/>
                <w:sz w:val="22"/>
                <w:szCs w:val="22"/>
              </w:rPr>
              <w:t xml:space="preserve"> </w:t>
            </w:r>
          </w:p>
        </w:tc>
        <w:tc>
          <w:tcPr>
            <w:tcW w:w="936" w:type="dxa"/>
            <w:gridSpan w:val="2"/>
            <w:tcBorders>
              <w:right w:val="double" w:sz="4" w:space="0" w:color="auto"/>
            </w:tcBorders>
            <w:noWrap/>
            <w:vAlign w:val="center"/>
            <w:hideMark/>
          </w:tcPr>
          <w:p w14:paraId="2CBC1249" w14:textId="1911519E" w:rsidR="006003B5" w:rsidRPr="000467D5" w:rsidRDefault="006003B5" w:rsidP="006003B5">
            <w:pPr>
              <w:pStyle w:val="NoSpacing"/>
              <w:jc w:val="right"/>
              <w:rPr>
                <w:rFonts w:cs="Times New Roman"/>
                <w:sz w:val="22"/>
                <w:szCs w:val="22"/>
              </w:rPr>
            </w:pPr>
            <w:r w:rsidRPr="000467D5">
              <w:rPr>
                <w:rFonts w:eastAsia="Times New Roman" w:cs="Times New Roman"/>
                <w:color w:val="000000"/>
                <w:sz w:val="22"/>
                <w:szCs w:val="22"/>
              </w:rPr>
              <w:t>14.</w:t>
            </w:r>
            <w:r>
              <w:rPr>
                <w:rFonts w:eastAsia="Times New Roman" w:cs="Times New Roman"/>
                <w:color w:val="000000"/>
                <w:sz w:val="22"/>
                <w:szCs w:val="22"/>
              </w:rPr>
              <w:t>6</w:t>
            </w:r>
          </w:p>
        </w:tc>
      </w:tr>
      <w:tr w:rsidR="006003B5" w:rsidRPr="000467D5" w14:paraId="59992BB8" w14:textId="77777777" w:rsidTr="009570A3">
        <w:trPr>
          <w:trHeight w:val="20"/>
          <w:jc w:val="center"/>
        </w:trPr>
        <w:tc>
          <w:tcPr>
            <w:tcW w:w="2879" w:type="dxa"/>
            <w:tcBorders>
              <w:left w:val="double" w:sz="4" w:space="0" w:color="auto"/>
            </w:tcBorders>
            <w:noWrap/>
            <w:hideMark/>
          </w:tcPr>
          <w:p w14:paraId="6147A3BF" w14:textId="40038948" w:rsidR="006003B5" w:rsidRPr="000467D5" w:rsidRDefault="006003B5" w:rsidP="006003B5">
            <w:pPr>
              <w:pStyle w:val="NoSpacing"/>
              <w:rPr>
                <w:rFonts w:cs="Times New Roman"/>
                <w:sz w:val="22"/>
                <w:szCs w:val="22"/>
              </w:rPr>
            </w:pPr>
            <w:r w:rsidRPr="000467D5">
              <w:rPr>
                <w:rFonts w:cs="Times New Roman"/>
                <w:sz w:val="22"/>
                <w:szCs w:val="22"/>
              </w:rPr>
              <w:t>Less than once per week</w:t>
            </w:r>
          </w:p>
        </w:tc>
        <w:tc>
          <w:tcPr>
            <w:tcW w:w="787" w:type="dxa"/>
            <w:gridSpan w:val="2"/>
            <w:noWrap/>
            <w:vAlign w:val="center"/>
            <w:hideMark/>
          </w:tcPr>
          <w:p w14:paraId="1461D10C" w14:textId="4DD67F21" w:rsidR="006003B5" w:rsidRPr="000467D5" w:rsidRDefault="006003B5" w:rsidP="00CF3034">
            <w:pPr>
              <w:pStyle w:val="NoSpacing"/>
              <w:jc w:val="right"/>
              <w:rPr>
                <w:rFonts w:cs="Times New Roman"/>
                <w:sz w:val="22"/>
                <w:szCs w:val="22"/>
              </w:rPr>
            </w:pPr>
            <w:r>
              <w:rPr>
                <w:rFonts w:eastAsia="Times New Roman" w:cs="Times New Roman"/>
                <w:color w:val="000000"/>
                <w:sz w:val="22"/>
                <w:szCs w:val="22"/>
              </w:rPr>
              <w:t>157</w:t>
            </w:r>
            <w:r w:rsidRPr="000467D5">
              <w:rPr>
                <w:rFonts w:eastAsia="Times New Roman" w:cs="Times New Roman"/>
                <w:color w:val="000000"/>
                <w:sz w:val="22"/>
                <w:szCs w:val="22"/>
              </w:rPr>
              <w:t xml:space="preserve"> </w:t>
            </w:r>
          </w:p>
        </w:tc>
        <w:tc>
          <w:tcPr>
            <w:tcW w:w="923" w:type="dxa"/>
            <w:tcBorders>
              <w:top w:val="nil"/>
              <w:bottom w:val="nil"/>
              <w:right w:val="double" w:sz="4" w:space="0" w:color="auto"/>
            </w:tcBorders>
            <w:noWrap/>
            <w:vAlign w:val="center"/>
            <w:hideMark/>
          </w:tcPr>
          <w:p w14:paraId="079D7A1A" w14:textId="1F2DBA36" w:rsidR="006003B5" w:rsidRPr="000467D5" w:rsidRDefault="006003B5" w:rsidP="00CF3034">
            <w:pPr>
              <w:pStyle w:val="NoSpacing"/>
              <w:jc w:val="right"/>
              <w:rPr>
                <w:rFonts w:cs="Times New Roman"/>
                <w:sz w:val="22"/>
                <w:szCs w:val="22"/>
              </w:rPr>
            </w:pPr>
            <w:r w:rsidRPr="000467D5">
              <w:rPr>
                <w:rFonts w:eastAsia="Times New Roman" w:cs="Times New Roman"/>
                <w:color w:val="000000"/>
                <w:sz w:val="22"/>
                <w:szCs w:val="22"/>
              </w:rPr>
              <w:t>4.7</w:t>
            </w:r>
          </w:p>
        </w:tc>
        <w:tc>
          <w:tcPr>
            <w:tcW w:w="2960" w:type="dxa"/>
            <w:gridSpan w:val="3"/>
            <w:tcBorders>
              <w:top w:val="nil"/>
              <w:left w:val="double" w:sz="4" w:space="0" w:color="auto"/>
              <w:bottom w:val="nil"/>
            </w:tcBorders>
            <w:noWrap/>
            <w:hideMark/>
          </w:tcPr>
          <w:p w14:paraId="3F61E886" w14:textId="0EE74621" w:rsidR="006003B5" w:rsidRPr="000467D5" w:rsidRDefault="006003B5" w:rsidP="006003B5">
            <w:pPr>
              <w:pStyle w:val="NoSpacing"/>
              <w:rPr>
                <w:rFonts w:cs="Times New Roman"/>
                <w:sz w:val="22"/>
                <w:szCs w:val="22"/>
              </w:rPr>
            </w:pPr>
            <w:r w:rsidRPr="000467D5">
              <w:rPr>
                <w:rFonts w:cs="Times New Roman"/>
                <w:sz w:val="22"/>
                <w:szCs w:val="22"/>
              </w:rPr>
              <w:t>Less than once per week</w:t>
            </w:r>
          </w:p>
        </w:tc>
        <w:tc>
          <w:tcPr>
            <w:tcW w:w="921" w:type="dxa"/>
            <w:gridSpan w:val="3"/>
            <w:noWrap/>
            <w:vAlign w:val="center"/>
            <w:hideMark/>
          </w:tcPr>
          <w:p w14:paraId="2A22358C" w14:textId="3D0E23FE" w:rsidR="006003B5" w:rsidRPr="000467D5" w:rsidRDefault="006003B5" w:rsidP="006003B5">
            <w:pPr>
              <w:pStyle w:val="NoSpacing"/>
              <w:jc w:val="right"/>
              <w:rPr>
                <w:rFonts w:cs="Times New Roman"/>
                <w:sz w:val="22"/>
                <w:szCs w:val="22"/>
              </w:rPr>
            </w:pPr>
            <w:r w:rsidRPr="000467D5">
              <w:rPr>
                <w:rFonts w:eastAsia="Times New Roman" w:cs="Times New Roman"/>
                <w:color w:val="000000"/>
                <w:sz w:val="22"/>
                <w:szCs w:val="22"/>
              </w:rPr>
              <w:t xml:space="preserve"> 3</w:t>
            </w:r>
            <w:r>
              <w:rPr>
                <w:rFonts w:eastAsia="Times New Roman" w:cs="Times New Roman"/>
                <w:color w:val="000000"/>
                <w:sz w:val="22"/>
                <w:szCs w:val="22"/>
              </w:rPr>
              <w:t>35</w:t>
            </w:r>
            <w:r w:rsidRPr="000467D5">
              <w:rPr>
                <w:rFonts w:eastAsia="Times New Roman" w:cs="Times New Roman"/>
                <w:color w:val="000000"/>
                <w:sz w:val="22"/>
                <w:szCs w:val="22"/>
              </w:rPr>
              <w:t xml:space="preserve"> </w:t>
            </w:r>
          </w:p>
        </w:tc>
        <w:tc>
          <w:tcPr>
            <w:tcW w:w="936" w:type="dxa"/>
            <w:gridSpan w:val="2"/>
            <w:tcBorders>
              <w:right w:val="double" w:sz="4" w:space="0" w:color="auto"/>
            </w:tcBorders>
            <w:noWrap/>
            <w:vAlign w:val="center"/>
            <w:hideMark/>
          </w:tcPr>
          <w:p w14:paraId="7D6CFFAB" w14:textId="31BB53D9" w:rsidR="006003B5" w:rsidRPr="000467D5" w:rsidRDefault="006003B5" w:rsidP="006003B5">
            <w:pPr>
              <w:pStyle w:val="NoSpacing"/>
              <w:jc w:val="right"/>
              <w:rPr>
                <w:rFonts w:cs="Times New Roman"/>
                <w:sz w:val="22"/>
                <w:szCs w:val="22"/>
              </w:rPr>
            </w:pPr>
            <w:r w:rsidRPr="000467D5">
              <w:rPr>
                <w:rFonts w:eastAsia="Times New Roman" w:cs="Times New Roman"/>
                <w:color w:val="000000"/>
                <w:sz w:val="22"/>
                <w:szCs w:val="22"/>
              </w:rPr>
              <w:t>10.</w:t>
            </w:r>
            <w:r>
              <w:rPr>
                <w:rFonts w:eastAsia="Times New Roman" w:cs="Times New Roman"/>
                <w:color w:val="000000"/>
                <w:sz w:val="22"/>
                <w:szCs w:val="22"/>
              </w:rPr>
              <w:t>1</w:t>
            </w:r>
          </w:p>
        </w:tc>
      </w:tr>
      <w:tr w:rsidR="006003B5" w:rsidRPr="000467D5" w14:paraId="1ACBD9A4" w14:textId="77777777" w:rsidTr="009570A3">
        <w:trPr>
          <w:trHeight w:val="20"/>
          <w:jc w:val="center"/>
        </w:trPr>
        <w:tc>
          <w:tcPr>
            <w:tcW w:w="2879" w:type="dxa"/>
            <w:tcBorders>
              <w:left w:val="double" w:sz="4" w:space="0" w:color="auto"/>
            </w:tcBorders>
            <w:noWrap/>
            <w:hideMark/>
          </w:tcPr>
          <w:p w14:paraId="642F218F" w14:textId="07B954E9" w:rsidR="006003B5" w:rsidRPr="000467D5" w:rsidRDefault="006003B5" w:rsidP="006003B5">
            <w:pPr>
              <w:pStyle w:val="NoSpacing"/>
              <w:rPr>
                <w:rFonts w:cs="Times New Roman"/>
                <w:sz w:val="22"/>
                <w:szCs w:val="22"/>
              </w:rPr>
            </w:pPr>
            <w:r w:rsidRPr="000467D5">
              <w:rPr>
                <w:rFonts w:cs="Times New Roman"/>
                <w:sz w:val="22"/>
                <w:szCs w:val="22"/>
              </w:rPr>
              <w:t>One or more times per week</w:t>
            </w:r>
          </w:p>
        </w:tc>
        <w:tc>
          <w:tcPr>
            <w:tcW w:w="787" w:type="dxa"/>
            <w:gridSpan w:val="2"/>
            <w:noWrap/>
            <w:vAlign w:val="center"/>
            <w:hideMark/>
          </w:tcPr>
          <w:p w14:paraId="7F27647B" w14:textId="4B8EB784" w:rsidR="006003B5" w:rsidRPr="000467D5" w:rsidRDefault="006003B5" w:rsidP="00CF3034">
            <w:pPr>
              <w:pStyle w:val="NoSpacing"/>
              <w:jc w:val="right"/>
              <w:rPr>
                <w:rFonts w:cs="Times New Roman"/>
                <w:sz w:val="22"/>
                <w:szCs w:val="22"/>
              </w:rPr>
            </w:pPr>
            <w:r w:rsidRPr="000467D5">
              <w:rPr>
                <w:rFonts w:eastAsia="Times New Roman" w:cs="Times New Roman"/>
                <w:color w:val="000000"/>
                <w:sz w:val="22"/>
                <w:szCs w:val="22"/>
              </w:rPr>
              <w:t xml:space="preserve"> </w:t>
            </w:r>
            <w:r>
              <w:rPr>
                <w:rFonts w:eastAsia="Times New Roman" w:cs="Times New Roman"/>
                <w:color w:val="000000"/>
                <w:sz w:val="22"/>
                <w:szCs w:val="22"/>
              </w:rPr>
              <w:t>243</w:t>
            </w:r>
            <w:r w:rsidRPr="000467D5">
              <w:rPr>
                <w:rFonts w:eastAsia="Times New Roman" w:cs="Times New Roman"/>
                <w:color w:val="000000"/>
                <w:sz w:val="22"/>
                <w:szCs w:val="22"/>
              </w:rPr>
              <w:t xml:space="preserve"> </w:t>
            </w:r>
          </w:p>
        </w:tc>
        <w:tc>
          <w:tcPr>
            <w:tcW w:w="923" w:type="dxa"/>
            <w:tcBorders>
              <w:top w:val="nil"/>
              <w:bottom w:val="nil"/>
              <w:right w:val="double" w:sz="4" w:space="0" w:color="auto"/>
            </w:tcBorders>
            <w:noWrap/>
            <w:vAlign w:val="center"/>
            <w:hideMark/>
          </w:tcPr>
          <w:p w14:paraId="2546B45A" w14:textId="43F354ED" w:rsidR="006003B5" w:rsidRPr="000467D5" w:rsidRDefault="006003B5" w:rsidP="00CF3034">
            <w:pPr>
              <w:pStyle w:val="NoSpacing"/>
              <w:jc w:val="right"/>
              <w:rPr>
                <w:rFonts w:cs="Times New Roman"/>
                <w:sz w:val="22"/>
                <w:szCs w:val="22"/>
              </w:rPr>
            </w:pPr>
            <w:r>
              <w:rPr>
                <w:rFonts w:eastAsia="Times New Roman" w:cs="Times New Roman"/>
                <w:color w:val="000000"/>
                <w:sz w:val="22"/>
                <w:szCs w:val="22"/>
              </w:rPr>
              <w:t>7.3</w:t>
            </w:r>
          </w:p>
        </w:tc>
        <w:tc>
          <w:tcPr>
            <w:tcW w:w="2960" w:type="dxa"/>
            <w:gridSpan w:val="3"/>
            <w:tcBorders>
              <w:top w:val="nil"/>
              <w:left w:val="double" w:sz="4" w:space="0" w:color="auto"/>
              <w:bottom w:val="single" w:sz="4" w:space="0" w:color="auto"/>
            </w:tcBorders>
            <w:noWrap/>
            <w:hideMark/>
          </w:tcPr>
          <w:p w14:paraId="2481A94E" w14:textId="36D86A71" w:rsidR="006003B5" w:rsidRPr="000467D5" w:rsidRDefault="006003B5" w:rsidP="006003B5">
            <w:pPr>
              <w:pStyle w:val="NoSpacing"/>
              <w:rPr>
                <w:rFonts w:cs="Times New Roman"/>
                <w:sz w:val="22"/>
                <w:szCs w:val="22"/>
              </w:rPr>
            </w:pPr>
            <w:r w:rsidRPr="000467D5">
              <w:rPr>
                <w:rFonts w:cs="Times New Roman"/>
                <w:sz w:val="22"/>
                <w:szCs w:val="22"/>
              </w:rPr>
              <w:t>One or more times per week</w:t>
            </w:r>
          </w:p>
        </w:tc>
        <w:tc>
          <w:tcPr>
            <w:tcW w:w="921" w:type="dxa"/>
            <w:gridSpan w:val="3"/>
            <w:tcBorders>
              <w:bottom w:val="single" w:sz="4" w:space="0" w:color="auto"/>
            </w:tcBorders>
            <w:noWrap/>
            <w:vAlign w:val="center"/>
            <w:hideMark/>
          </w:tcPr>
          <w:p w14:paraId="1D48C930" w14:textId="12FAB42A" w:rsidR="006003B5" w:rsidRPr="000467D5" w:rsidRDefault="006003B5" w:rsidP="006003B5">
            <w:pPr>
              <w:pStyle w:val="NoSpacing"/>
              <w:jc w:val="right"/>
              <w:rPr>
                <w:rFonts w:cs="Times New Roman"/>
                <w:sz w:val="22"/>
                <w:szCs w:val="22"/>
              </w:rPr>
            </w:pPr>
            <w:r w:rsidRPr="000467D5">
              <w:rPr>
                <w:rFonts w:eastAsia="Times New Roman" w:cs="Times New Roman"/>
                <w:color w:val="000000"/>
                <w:sz w:val="22"/>
                <w:szCs w:val="22"/>
              </w:rPr>
              <w:t xml:space="preserve"> 29</w:t>
            </w:r>
            <w:r>
              <w:rPr>
                <w:rFonts w:eastAsia="Times New Roman" w:cs="Times New Roman"/>
                <w:color w:val="000000"/>
                <w:sz w:val="22"/>
                <w:szCs w:val="22"/>
              </w:rPr>
              <w:t>1</w:t>
            </w:r>
            <w:r w:rsidRPr="000467D5">
              <w:rPr>
                <w:rFonts w:eastAsia="Times New Roman" w:cs="Times New Roman"/>
                <w:color w:val="000000"/>
                <w:sz w:val="22"/>
                <w:szCs w:val="22"/>
              </w:rPr>
              <w:t xml:space="preserve"> </w:t>
            </w:r>
          </w:p>
        </w:tc>
        <w:tc>
          <w:tcPr>
            <w:tcW w:w="936" w:type="dxa"/>
            <w:gridSpan w:val="2"/>
            <w:tcBorders>
              <w:bottom w:val="single" w:sz="4" w:space="0" w:color="auto"/>
              <w:right w:val="double" w:sz="4" w:space="0" w:color="auto"/>
            </w:tcBorders>
            <w:noWrap/>
            <w:vAlign w:val="center"/>
            <w:hideMark/>
          </w:tcPr>
          <w:p w14:paraId="0C5B0497" w14:textId="46925B8B" w:rsidR="006003B5" w:rsidRPr="000467D5" w:rsidRDefault="006003B5" w:rsidP="006003B5">
            <w:pPr>
              <w:pStyle w:val="NoSpacing"/>
              <w:jc w:val="right"/>
              <w:rPr>
                <w:rFonts w:cs="Times New Roman"/>
                <w:sz w:val="22"/>
                <w:szCs w:val="22"/>
              </w:rPr>
            </w:pPr>
            <w:r w:rsidRPr="000467D5">
              <w:rPr>
                <w:rFonts w:eastAsia="Times New Roman" w:cs="Times New Roman"/>
                <w:color w:val="000000"/>
                <w:sz w:val="22"/>
                <w:szCs w:val="22"/>
              </w:rPr>
              <w:t>8.</w:t>
            </w:r>
            <w:r>
              <w:rPr>
                <w:rFonts w:eastAsia="Times New Roman" w:cs="Times New Roman"/>
                <w:color w:val="000000"/>
                <w:sz w:val="22"/>
                <w:szCs w:val="22"/>
              </w:rPr>
              <w:t>8</w:t>
            </w:r>
          </w:p>
        </w:tc>
      </w:tr>
      <w:tr w:rsidR="006E4DEA" w:rsidRPr="000467D5" w14:paraId="756B30D1" w14:textId="77777777" w:rsidTr="009570A3">
        <w:trPr>
          <w:trHeight w:val="20"/>
          <w:jc w:val="center"/>
        </w:trPr>
        <w:tc>
          <w:tcPr>
            <w:tcW w:w="2879" w:type="dxa"/>
            <w:tcBorders>
              <w:left w:val="double" w:sz="4" w:space="0" w:color="auto"/>
              <w:bottom w:val="single" w:sz="4" w:space="0" w:color="auto"/>
            </w:tcBorders>
            <w:noWrap/>
          </w:tcPr>
          <w:p w14:paraId="196938AE" w14:textId="5AE7B931" w:rsidR="006E4DEA" w:rsidRPr="000467D5" w:rsidRDefault="006E4DEA" w:rsidP="00190E9A">
            <w:pPr>
              <w:pStyle w:val="NoSpacing"/>
              <w:rPr>
                <w:rFonts w:cs="Times New Roman"/>
                <w:sz w:val="22"/>
                <w:szCs w:val="22"/>
              </w:rPr>
            </w:pPr>
          </w:p>
        </w:tc>
        <w:tc>
          <w:tcPr>
            <w:tcW w:w="787" w:type="dxa"/>
            <w:gridSpan w:val="2"/>
            <w:tcBorders>
              <w:bottom w:val="single" w:sz="4" w:space="0" w:color="auto"/>
            </w:tcBorders>
            <w:noWrap/>
            <w:vAlign w:val="center"/>
          </w:tcPr>
          <w:p w14:paraId="74B0255A" w14:textId="5894AE18" w:rsidR="006E4DEA" w:rsidRPr="000467D5" w:rsidRDefault="006E4DEA" w:rsidP="007A78D0">
            <w:pPr>
              <w:pStyle w:val="NoSpacing"/>
              <w:jc w:val="right"/>
              <w:rPr>
                <w:rFonts w:cs="Times New Roman"/>
                <w:sz w:val="22"/>
                <w:szCs w:val="22"/>
              </w:rPr>
            </w:pPr>
          </w:p>
        </w:tc>
        <w:tc>
          <w:tcPr>
            <w:tcW w:w="923" w:type="dxa"/>
            <w:tcBorders>
              <w:top w:val="nil"/>
              <w:bottom w:val="single" w:sz="4" w:space="0" w:color="auto"/>
              <w:right w:val="double" w:sz="4" w:space="0" w:color="auto"/>
            </w:tcBorders>
            <w:noWrap/>
            <w:vAlign w:val="center"/>
          </w:tcPr>
          <w:p w14:paraId="2495EC1A" w14:textId="3C95C433" w:rsidR="006E4DEA" w:rsidRPr="000467D5" w:rsidRDefault="006E4DEA" w:rsidP="007A78D0">
            <w:pPr>
              <w:pStyle w:val="NoSpacing"/>
              <w:jc w:val="right"/>
              <w:rPr>
                <w:rFonts w:cs="Times New Roman"/>
                <w:sz w:val="22"/>
                <w:szCs w:val="22"/>
              </w:rPr>
            </w:pPr>
          </w:p>
        </w:tc>
        <w:tc>
          <w:tcPr>
            <w:tcW w:w="4817" w:type="dxa"/>
            <w:gridSpan w:val="8"/>
            <w:tcBorders>
              <w:top w:val="single" w:sz="4" w:space="0" w:color="auto"/>
              <w:left w:val="double" w:sz="4" w:space="0" w:color="auto"/>
              <w:bottom w:val="single" w:sz="4" w:space="0" w:color="auto"/>
              <w:right w:val="double" w:sz="4" w:space="0" w:color="auto"/>
            </w:tcBorders>
            <w:noWrap/>
            <w:hideMark/>
          </w:tcPr>
          <w:p w14:paraId="2AA7761E" w14:textId="70BD9819" w:rsidR="006E4DEA" w:rsidRPr="000467D5" w:rsidRDefault="006E4DEA" w:rsidP="00B842CA">
            <w:pPr>
              <w:pStyle w:val="NoSpacing"/>
              <w:jc w:val="left"/>
              <w:rPr>
                <w:rFonts w:cs="Times New Roman"/>
                <w:sz w:val="22"/>
                <w:szCs w:val="22"/>
              </w:rPr>
            </w:pPr>
            <w:r w:rsidRPr="000467D5">
              <w:rPr>
                <w:rFonts w:cs="Times New Roman"/>
                <w:b/>
                <w:bCs/>
                <w:sz w:val="22"/>
                <w:szCs w:val="22"/>
              </w:rPr>
              <w:t>Frequency of goods delivery</w:t>
            </w:r>
            <w:r w:rsidRPr="000467D5" w:rsidDel="00654174">
              <w:rPr>
                <w:rFonts w:cs="Times New Roman"/>
                <w:sz w:val="22"/>
                <w:szCs w:val="22"/>
              </w:rPr>
              <w:t xml:space="preserve"> </w:t>
            </w:r>
          </w:p>
        </w:tc>
      </w:tr>
      <w:tr w:rsidR="003F1173" w:rsidRPr="000467D5" w14:paraId="572F7BDE" w14:textId="77777777" w:rsidTr="009570A3">
        <w:trPr>
          <w:trHeight w:val="20"/>
          <w:jc w:val="center"/>
        </w:trPr>
        <w:tc>
          <w:tcPr>
            <w:tcW w:w="4589" w:type="dxa"/>
            <w:gridSpan w:val="4"/>
            <w:tcBorders>
              <w:top w:val="single" w:sz="4" w:space="0" w:color="auto"/>
              <w:left w:val="double" w:sz="4" w:space="0" w:color="auto"/>
              <w:bottom w:val="single" w:sz="4" w:space="0" w:color="auto"/>
              <w:right w:val="double" w:sz="4" w:space="0" w:color="auto"/>
            </w:tcBorders>
            <w:noWrap/>
            <w:vAlign w:val="center"/>
            <w:hideMark/>
          </w:tcPr>
          <w:p w14:paraId="59461524" w14:textId="3480FC3B" w:rsidR="00190E9A" w:rsidRPr="000467D5" w:rsidRDefault="00190E9A" w:rsidP="00B842CA">
            <w:pPr>
              <w:pStyle w:val="NoSpacing"/>
              <w:jc w:val="left"/>
              <w:rPr>
                <w:rFonts w:cs="Times New Roman"/>
                <w:sz w:val="22"/>
                <w:szCs w:val="22"/>
              </w:rPr>
            </w:pPr>
            <w:r w:rsidRPr="000467D5">
              <w:rPr>
                <w:rFonts w:cs="Times New Roman"/>
                <w:b/>
                <w:bCs/>
                <w:sz w:val="22"/>
                <w:szCs w:val="22"/>
              </w:rPr>
              <w:t>Main food purchase method is online</w:t>
            </w:r>
          </w:p>
        </w:tc>
        <w:tc>
          <w:tcPr>
            <w:tcW w:w="2960" w:type="dxa"/>
            <w:gridSpan w:val="3"/>
            <w:tcBorders>
              <w:top w:val="single" w:sz="4" w:space="0" w:color="auto"/>
              <w:left w:val="double" w:sz="4" w:space="0" w:color="auto"/>
              <w:bottom w:val="nil"/>
              <w:right w:val="nil"/>
            </w:tcBorders>
            <w:noWrap/>
            <w:hideMark/>
          </w:tcPr>
          <w:p w14:paraId="752E47F4" w14:textId="535934BB" w:rsidR="00190E9A" w:rsidRPr="000467D5" w:rsidRDefault="00190E9A" w:rsidP="00B842CA">
            <w:pPr>
              <w:pStyle w:val="NoSpacing"/>
              <w:jc w:val="left"/>
              <w:rPr>
                <w:rFonts w:cs="Times New Roman"/>
                <w:b/>
                <w:bCs/>
                <w:sz w:val="22"/>
                <w:szCs w:val="22"/>
              </w:rPr>
            </w:pPr>
            <w:r w:rsidRPr="000467D5">
              <w:rPr>
                <w:rFonts w:cs="Times New Roman"/>
                <w:sz w:val="22"/>
                <w:szCs w:val="22"/>
              </w:rPr>
              <w:t>Twice a year or less</w:t>
            </w:r>
          </w:p>
        </w:tc>
        <w:tc>
          <w:tcPr>
            <w:tcW w:w="921" w:type="dxa"/>
            <w:gridSpan w:val="3"/>
            <w:tcBorders>
              <w:top w:val="single" w:sz="4" w:space="0" w:color="auto"/>
              <w:left w:val="nil"/>
              <w:bottom w:val="nil"/>
              <w:right w:val="nil"/>
            </w:tcBorders>
            <w:vAlign w:val="center"/>
          </w:tcPr>
          <w:p w14:paraId="0B8B4A3D" w14:textId="3A3EB722" w:rsidR="00190E9A" w:rsidRPr="000467D5" w:rsidRDefault="00190E9A" w:rsidP="00016B43">
            <w:pPr>
              <w:pStyle w:val="NoSpacing"/>
              <w:jc w:val="right"/>
              <w:rPr>
                <w:rFonts w:cs="Times New Roman"/>
                <w:b/>
                <w:bCs/>
                <w:sz w:val="22"/>
                <w:szCs w:val="22"/>
              </w:rPr>
            </w:pPr>
            <w:r w:rsidRPr="000467D5">
              <w:rPr>
                <w:rFonts w:eastAsia="Times New Roman" w:cs="Times New Roman"/>
                <w:color w:val="000000"/>
                <w:sz w:val="22"/>
                <w:szCs w:val="22"/>
              </w:rPr>
              <w:t xml:space="preserve"> 32</w:t>
            </w:r>
            <w:r w:rsidR="00016B43">
              <w:rPr>
                <w:rFonts w:eastAsia="Times New Roman" w:cs="Times New Roman"/>
                <w:color w:val="000000"/>
                <w:sz w:val="22"/>
                <w:szCs w:val="22"/>
              </w:rPr>
              <w:t>3</w:t>
            </w:r>
            <w:r w:rsidRPr="000467D5">
              <w:rPr>
                <w:rFonts w:eastAsia="Times New Roman" w:cs="Times New Roman"/>
                <w:color w:val="000000"/>
                <w:sz w:val="22"/>
                <w:szCs w:val="22"/>
              </w:rPr>
              <w:t xml:space="preserve"> </w:t>
            </w:r>
          </w:p>
        </w:tc>
        <w:tc>
          <w:tcPr>
            <w:tcW w:w="936" w:type="dxa"/>
            <w:gridSpan w:val="2"/>
            <w:tcBorders>
              <w:top w:val="single" w:sz="4" w:space="0" w:color="auto"/>
              <w:left w:val="nil"/>
              <w:bottom w:val="nil"/>
              <w:right w:val="double" w:sz="4" w:space="0" w:color="auto"/>
            </w:tcBorders>
            <w:vAlign w:val="center"/>
          </w:tcPr>
          <w:p w14:paraId="2B041893" w14:textId="0F909723" w:rsidR="00190E9A" w:rsidRPr="000467D5" w:rsidRDefault="00190E9A" w:rsidP="00190E9A">
            <w:pPr>
              <w:pStyle w:val="NoSpacing"/>
              <w:jc w:val="right"/>
              <w:rPr>
                <w:rFonts w:cs="Times New Roman"/>
                <w:b/>
                <w:bCs/>
                <w:sz w:val="22"/>
                <w:szCs w:val="22"/>
              </w:rPr>
            </w:pPr>
            <w:r w:rsidRPr="000467D5">
              <w:rPr>
                <w:rFonts w:eastAsia="Times New Roman" w:cs="Times New Roman"/>
                <w:color w:val="000000"/>
                <w:sz w:val="22"/>
                <w:szCs w:val="22"/>
              </w:rPr>
              <w:t>9.7</w:t>
            </w:r>
          </w:p>
        </w:tc>
      </w:tr>
      <w:tr w:rsidR="00016B43" w:rsidRPr="000467D5" w14:paraId="4E2117A2" w14:textId="77777777" w:rsidTr="009570A3">
        <w:trPr>
          <w:trHeight w:val="20"/>
          <w:jc w:val="center"/>
        </w:trPr>
        <w:tc>
          <w:tcPr>
            <w:tcW w:w="2879" w:type="dxa"/>
            <w:tcBorders>
              <w:top w:val="single" w:sz="4" w:space="0" w:color="auto"/>
              <w:left w:val="double" w:sz="4" w:space="0" w:color="auto"/>
              <w:bottom w:val="nil"/>
            </w:tcBorders>
            <w:noWrap/>
            <w:hideMark/>
          </w:tcPr>
          <w:p w14:paraId="53AFE3E4" w14:textId="2048C6D9" w:rsidR="00016B43" w:rsidRPr="000467D5" w:rsidRDefault="00016B43" w:rsidP="00016B43">
            <w:pPr>
              <w:pStyle w:val="NoSpacing"/>
              <w:rPr>
                <w:rFonts w:cs="Times New Roman"/>
                <w:sz w:val="22"/>
                <w:szCs w:val="22"/>
              </w:rPr>
            </w:pPr>
            <w:r w:rsidRPr="000467D5">
              <w:rPr>
                <w:rFonts w:cs="Times New Roman"/>
                <w:sz w:val="22"/>
                <w:szCs w:val="22"/>
              </w:rPr>
              <w:t>No</w:t>
            </w:r>
          </w:p>
        </w:tc>
        <w:tc>
          <w:tcPr>
            <w:tcW w:w="787" w:type="dxa"/>
            <w:gridSpan w:val="2"/>
            <w:tcBorders>
              <w:top w:val="single" w:sz="4" w:space="0" w:color="auto"/>
              <w:bottom w:val="nil"/>
            </w:tcBorders>
            <w:noWrap/>
            <w:vAlign w:val="center"/>
            <w:hideMark/>
          </w:tcPr>
          <w:p w14:paraId="1DC67F6A" w14:textId="323A2681" w:rsidR="00016B43" w:rsidRPr="000467D5" w:rsidRDefault="00016B43" w:rsidP="006003B5">
            <w:pPr>
              <w:pStyle w:val="NoSpacing"/>
              <w:jc w:val="right"/>
              <w:rPr>
                <w:rFonts w:cs="Times New Roman"/>
                <w:sz w:val="22"/>
                <w:szCs w:val="22"/>
              </w:rPr>
            </w:pPr>
            <w:r w:rsidRPr="000467D5">
              <w:rPr>
                <w:rFonts w:eastAsia="Times New Roman" w:cs="Times New Roman"/>
                <w:color w:val="000000"/>
                <w:sz w:val="22"/>
                <w:szCs w:val="22"/>
              </w:rPr>
              <w:t xml:space="preserve"> 3,</w:t>
            </w:r>
            <w:r w:rsidR="006003B5">
              <w:rPr>
                <w:rFonts w:eastAsia="Times New Roman" w:cs="Times New Roman"/>
                <w:color w:val="000000"/>
                <w:sz w:val="22"/>
                <w:szCs w:val="22"/>
              </w:rPr>
              <w:t>090</w:t>
            </w:r>
            <w:r w:rsidRPr="000467D5">
              <w:rPr>
                <w:rFonts w:eastAsia="Times New Roman" w:cs="Times New Roman"/>
                <w:color w:val="000000"/>
                <w:sz w:val="22"/>
                <w:szCs w:val="22"/>
              </w:rPr>
              <w:t xml:space="preserve"> </w:t>
            </w:r>
          </w:p>
        </w:tc>
        <w:tc>
          <w:tcPr>
            <w:tcW w:w="923" w:type="dxa"/>
            <w:tcBorders>
              <w:top w:val="single" w:sz="4" w:space="0" w:color="auto"/>
              <w:bottom w:val="nil"/>
              <w:right w:val="double" w:sz="4" w:space="0" w:color="auto"/>
            </w:tcBorders>
            <w:noWrap/>
            <w:vAlign w:val="center"/>
            <w:hideMark/>
          </w:tcPr>
          <w:p w14:paraId="6312DA53" w14:textId="3E034B8D" w:rsidR="00016B43" w:rsidRPr="000467D5" w:rsidRDefault="00016B43" w:rsidP="00016B43">
            <w:pPr>
              <w:pStyle w:val="NoSpacing"/>
              <w:jc w:val="right"/>
              <w:rPr>
                <w:rFonts w:cs="Times New Roman"/>
                <w:sz w:val="22"/>
                <w:szCs w:val="22"/>
              </w:rPr>
            </w:pPr>
            <w:r w:rsidRPr="000467D5">
              <w:rPr>
                <w:rFonts w:eastAsia="Times New Roman" w:cs="Times New Roman"/>
                <w:color w:val="000000"/>
                <w:sz w:val="22"/>
                <w:szCs w:val="22"/>
              </w:rPr>
              <w:t>93.1</w:t>
            </w:r>
          </w:p>
        </w:tc>
        <w:tc>
          <w:tcPr>
            <w:tcW w:w="2960" w:type="dxa"/>
            <w:gridSpan w:val="3"/>
            <w:tcBorders>
              <w:top w:val="nil"/>
              <w:left w:val="double" w:sz="4" w:space="0" w:color="auto"/>
              <w:bottom w:val="nil"/>
            </w:tcBorders>
            <w:noWrap/>
            <w:hideMark/>
          </w:tcPr>
          <w:p w14:paraId="654E93AB" w14:textId="6E1F5F44" w:rsidR="00016B43" w:rsidRPr="000467D5" w:rsidRDefault="00016B43" w:rsidP="00016B43">
            <w:pPr>
              <w:pStyle w:val="NoSpacing"/>
              <w:jc w:val="left"/>
              <w:rPr>
                <w:rFonts w:cs="Times New Roman"/>
                <w:sz w:val="22"/>
                <w:szCs w:val="22"/>
              </w:rPr>
            </w:pPr>
            <w:r w:rsidRPr="000467D5">
              <w:rPr>
                <w:rFonts w:cs="Times New Roman"/>
                <w:sz w:val="22"/>
                <w:szCs w:val="22"/>
              </w:rPr>
              <w:t>Less than once per month</w:t>
            </w:r>
          </w:p>
        </w:tc>
        <w:tc>
          <w:tcPr>
            <w:tcW w:w="921" w:type="dxa"/>
            <w:gridSpan w:val="3"/>
            <w:tcBorders>
              <w:top w:val="nil"/>
              <w:bottom w:val="nil"/>
            </w:tcBorders>
            <w:noWrap/>
            <w:vAlign w:val="center"/>
            <w:hideMark/>
          </w:tcPr>
          <w:p w14:paraId="1283E815" w14:textId="246C150C" w:rsidR="00016B43" w:rsidRPr="000467D5" w:rsidRDefault="00016B43" w:rsidP="00016B43">
            <w:pPr>
              <w:pStyle w:val="NoSpacing"/>
              <w:jc w:val="right"/>
              <w:rPr>
                <w:rFonts w:cs="Times New Roman"/>
                <w:sz w:val="22"/>
                <w:szCs w:val="22"/>
              </w:rPr>
            </w:pPr>
            <w:r w:rsidRPr="000467D5">
              <w:rPr>
                <w:rFonts w:eastAsia="Times New Roman" w:cs="Times New Roman"/>
                <w:color w:val="000000"/>
                <w:sz w:val="22"/>
                <w:szCs w:val="22"/>
              </w:rPr>
              <w:t xml:space="preserve"> 6</w:t>
            </w:r>
            <w:r>
              <w:rPr>
                <w:rFonts w:eastAsia="Times New Roman" w:cs="Times New Roman"/>
                <w:color w:val="000000"/>
                <w:sz w:val="22"/>
                <w:szCs w:val="22"/>
              </w:rPr>
              <w:t>32</w:t>
            </w:r>
          </w:p>
        </w:tc>
        <w:tc>
          <w:tcPr>
            <w:tcW w:w="936" w:type="dxa"/>
            <w:gridSpan w:val="2"/>
            <w:tcBorders>
              <w:top w:val="nil"/>
              <w:bottom w:val="nil"/>
              <w:right w:val="double" w:sz="4" w:space="0" w:color="auto"/>
            </w:tcBorders>
            <w:noWrap/>
            <w:vAlign w:val="center"/>
            <w:hideMark/>
          </w:tcPr>
          <w:p w14:paraId="696B22C0" w14:textId="0467C298" w:rsidR="00016B43" w:rsidRPr="000467D5" w:rsidRDefault="00016B43" w:rsidP="00016B43">
            <w:pPr>
              <w:pStyle w:val="NoSpacing"/>
              <w:jc w:val="right"/>
              <w:rPr>
                <w:rFonts w:cs="Times New Roman"/>
                <w:sz w:val="22"/>
                <w:szCs w:val="22"/>
              </w:rPr>
            </w:pPr>
            <w:r w:rsidRPr="000467D5">
              <w:rPr>
                <w:rFonts w:eastAsia="Times New Roman" w:cs="Times New Roman"/>
                <w:color w:val="000000"/>
                <w:sz w:val="22"/>
                <w:szCs w:val="22"/>
              </w:rPr>
              <w:t>19.0</w:t>
            </w:r>
          </w:p>
        </w:tc>
      </w:tr>
      <w:tr w:rsidR="00016B43" w:rsidRPr="000467D5" w14:paraId="01046E2A" w14:textId="77777777" w:rsidTr="009570A3">
        <w:trPr>
          <w:trHeight w:val="20"/>
          <w:jc w:val="center"/>
        </w:trPr>
        <w:tc>
          <w:tcPr>
            <w:tcW w:w="2879" w:type="dxa"/>
            <w:tcBorders>
              <w:top w:val="nil"/>
              <w:left w:val="double" w:sz="4" w:space="0" w:color="auto"/>
              <w:bottom w:val="nil"/>
            </w:tcBorders>
            <w:noWrap/>
            <w:hideMark/>
          </w:tcPr>
          <w:p w14:paraId="669493AA" w14:textId="1BA0E93C" w:rsidR="00016B43" w:rsidRPr="000467D5" w:rsidRDefault="00016B43" w:rsidP="00016B43">
            <w:pPr>
              <w:pStyle w:val="NoSpacing"/>
              <w:rPr>
                <w:rFonts w:cs="Times New Roman"/>
                <w:sz w:val="22"/>
                <w:szCs w:val="22"/>
              </w:rPr>
            </w:pPr>
            <w:r w:rsidRPr="000467D5">
              <w:rPr>
                <w:rFonts w:cs="Times New Roman"/>
                <w:sz w:val="22"/>
                <w:szCs w:val="22"/>
              </w:rPr>
              <w:t>Yes</w:t>
            </w:r>
          </w:p>
        </w:tc>
        <w:tc>
          <w:tcPr>
            <w:tcW w:w="787" w:type="dxa"/>
            <w:gridSpan w:val="2"/>
            <w:tcBorders>
              <w:top w:val="nil"/>
              <w:bottom w:val="nil"/>
            </w:tcBorders>
            <w:noWrap/>
            <w:vAlign w:val="center"/>
            <w:hideMark/>
          </w:tcPr>
          <w:p w14:paraId="6CF1DD96" w14:textId="348D944E" w:rsidR="00016B43" w:rsidRPr="000467D5" w:rsidRDefault="00016B43" w:rsidP="006003B5">
            <w:pPr>
              <w:pStyle w:val="NoSpacing"/>
              <w:jc w:val="right"/>
              <w:rPr>
                <w:rFonts w:cs="Times New Roman"/>
                <w:sz w:val="22"/>
                <w:szCs w:val="22"/>
              </w:rPr>
            </w:pPr>
            <w:r w:rsidRPr="000467D5">
              <w:rPr>
                <w:rFonts w:eastAsia="Times New Roman" w:cs="Times New Roman"/>
                <w:color w:val="000000"/>
                <w:sz w:val="22"/>
                <w:szCs w:val="22"/>
              </w:rPr>
              <w:t xml:space="preserve"> 2</w:t>
            </w:r>
            <w:r w:rsidR="006003B5">
              <w:rPr>
                <w:rFonts w:eastAsia="Times New Roman" w:cs="Times New Roman"/>
                <w:color w:val="000000"/>
                <w:sz w:val="22"/>
                <w:szCs w:val="22"/>
              </w:rPr>
              <w:t>29</w:t>
            </w:r>
            <w:r w:rsidRPr="000467D5">
              <w:rPr>
                <w:rFonts w:eastAsia="Times New Roman" w:cs="Times New Roman"/>
                <w:color w:val="000000"/>
                <w:sz w:val="22"/>
                <w:szCs w:val="22"/>
              </w:rPr>
              <w:t xml:space="preserve"> </w:t>
            </w:r>
          </w:p>
        </w:tc>
        <w:tc>
          <w:tcPr>
            <w:tcW w:w="923" w:type="dxa"/>
            <w:tcBorders>
              <w:top w:val="nil"/>
              <w:bottom w:val="nil"/>
              <w:right w:val="double" w:sz="4" w:space="0" w:color="auto"/>
            </w:tcBorders>
            <w:noWrap/>
            <w:vAlign w:val="center"/>
            <w:hideMark/>
          </w:tcPr>
          <w:p w14:paraId="15CEB4DD" w14:textId="1A4EFAA4" w:rsidR="00016B43" w:rsidRPr="000467D5" w:rsidRDefault="00016B43" w:rsidP="00016B43">
            <w:pPr>
              <w:pStyle w:val="NoSpacing"/>
              <w:jc w:val="right"/>
              <w:rPr>
                <w:rFonts w:cs="Times New Roman"/>
                <w:sz w:val="22"/>
                <w:szCs w:val="22"/>
              </w:rPr>
            </w:pPr>
            <w:r w:rsidRPr="000467D5">
              <w:rPr>
                <w:rFonts w:eastAsia="Times New Roman" w:cs="Times New Roman"/>
                <w:color w:val="000000"/>
                <w:sz w:val="22"/>
                <w:szCs w:val="22"/>
              </w:rPr>
              <w:t>6.9</w:t>
            </w:r>
          </w:p>
        </w:tc>
        <w:tc>
          <w:tcPr>
            <w:tcW w:w="2960" w:type="dxa"/>
            <w:gridSpan w:val="3"/>
            <w:tcBorders>
              <w:top w:val="nil"/>
              <w:left w:val="double" w:sz="4" w:space="0" w:color="auto"/>
              <w:bottom w:val="nil"/>
            </w:tcBorders>
            <w:noWrap/>
            <w:hideMark/>
          </w:tcPr>
          <w:p w14:paraId="35FD2F05" w14:textId="59368369" w:rsidR="00016B43" w:rsidRPr="000467D5" w:rsidRDefault="00016B43" w:rsidP="00016B43">
            <w:pPr>
              <w:pStyle w:val="NoSpacing"/>
              <w:jc w:val="left"/>
              <w:rPr>
                <w:rFonts w:cs="Times New Roman"/>
                <w:sz w:val="22"/>
                <w:szCs w:val="22"/>
              </w:rPr>
            </w:pPr>
            <w:r w:rsidRPr="000467D5">
              <w:rPr>
                <w:rFonts w:cs="Times New Roman"/>
                <w:sz w:val="22"/>
                <w:szCs w:val="22"/>
              </w:rPr>
              <w:t>Less than once per week</w:t>
            </w:r>
          </w:p>
        </w:tc>
        <w:tc>
          <w:tcPr>
            <w:tcW w:w="921" w:type="dxa"/>
            <w:gridSpan w:val="3"/>
            <w:tcBorders>
              <w:top w:val="nil"/>
              <w:bottom w:val="nil"/>
            </w:tcBorders>
            <w:noWrap/>
            <w:vAlign w:val="center"/>
            <w:hideMark/>
          </w:tcPr>
          <w:p w14:paraId="4D019727" w14:textId="5DF44D2E" w:rsidR="00016B43" w:rsidRPr="000467D5" w:rsidRDefault="00016B43" w:rsidP="00016B43">
            <w:pPr>
              <w:pStyle w:val="NoSpacing"/>
              <w:jc w:val="right"/>
              <w:rPr>
                <w:rFonts w:cs="Times New Roman"/>
                <w:sz w:val="22"/>
                <w:szCs w:val="22"/>
              </w:rPr>
            </w:pPr>
            <w:r>
              <w:rPr>
                <w:rFonts w:cs="Times New Roman"/>
                <w:sz w:val="22"/>
                <w:szCs w:val="22"/>
              </w:rPr>
              <w:t>1445</w:t>
            </w:r>
            <w:r w:rsidRPr="000467D5">
              <w:rPr>
                <w:rFonts w:cs="Times New Roman"/>
                <w:sz w:val="22"/>
                <w:szCs w:val="22"/>
              </w:rPr>
              <w:t xml:space="preserve"> </w:t>
            </w:r>
          </w:p>
        </w:tc>
        <w:tc>
          <w:tcPr>
            <w:tcW w:w="936" w:type="dxa"/>
            <w:gridSpan w:val="2"/>
            <w:tcBorders>
              <w:top w:val="nil"/>
              <w:bottom w:val="nil"/>
              <w:right w:val="double" w:sz="4" w:space="0" w:color="auto"/>
            </w:tcBorders>
            <w:noWrap/>
            <w:vAlign w:val="center"/>
            <w:hideMark/>
          </w:tcPr>
          <w:p w14:paraId="51107FD2" w14:textId="3C01C04D" w:rsidR="00016B43" w:rsidRPr="000467D5" w:rsidRDefault="00016B43" w:rsidP="00016B43">
            <w:pPr>
              <w:pStyle w:val="NoSpacing"/>
              <w:jc w:val="right"/>
              <w:rPr>
                <w:rFonts w:cs="Times New Roman"/>
                <w:sz w:val="22"/>
                <w:szCs w:val="22"/>
              </w:rPr>
            </w:pPr>
            <w:r>
              <w:rPr>
                <w:rFonts w:cs="Times New Roman"/>
                <w:sz w:val="22"/>
                <w:szCs w:val="22"/>
              </w:rPr>
              <w:t>43</w:t>
            </w:r>
            <w:r w:rsidRPr="000467D5">
              <w:rPr>
                <w:rFonts w:cs="Times New Roman"/>
                <w:sz w:val="22"/>
                <w:szCs w:val="22"/>
              </w:rPr>
              <w:t>.5</w:t>
            </w:r>
          </w:p>
        </w:tc>
      </w:tr>
      <w:tr w:rsidR="00016B43" w:rsidRPr="000467D5" w14:paraId="6D5A1F20" w14:textId="77777777" w:rsidTr="009570A3">
        <w:trPr>
          <w:trHeight w:val="20"/>
          <w:jc w:val="center"/>
        </w:trPr>
        <w:tc>
          <w:tcPr>
            <w:tcW w:w="2879" w:type="dxa"/>
            <w:tcBorders>
              <w:top w:val="nil"/>
              <w:left w:val="double" w:sz="4" w:space="0" w:color="auto"/>
              <w:bottom w:val="double" w:sz="4" w:space="0" w:color="auto"/>
            </w:tcBorders>
            <w:noWrap/>
          </w:tcPr>
          <w:p w14:paraId="402BE4D9" w14:textId="77777777" w:rsidR="00016B43" w:rsidRPr="000467D5" w:rsidRDefault="00016B43" w:rsidP="00016B43">
            <w:pPr>
              <w:pStyle w:val="NoSpacing"/>
              <w:rPr>
                <w:rFonts w:cs="Times New Roman"/>
                <w:b/>
                <w:bCs/>
                <w:sz w:val="22"/>
                <w:szCs w:val="22"/>
              </w:rPr>
            </w:pPr>
          </w:p>
        </w:tc>
        <w:tc>
          <w:tcPr>
            <w:tcW w:w="787" w:type="dxa"/>
            <w:gridSpan w:val="2"/>
            <w:tcBorders>
              <w:top w:val="nil"/>
              <w:bottom w:val="double" w:sz="4" w:space="0" w:color="auto"/>
            </w:tcBorders>
            <w:noWrap/>
            <w:vAlign w:val="center"/>
          </w:tcPr>
          <w:p w14:paraId="6EF7215C" w14:textId="77777777" w:rsidR="00016B43" w:rsidRPr="000467D5" w:rsidRDefault="00016B43" w:rsidP="00016B43">
            <w:pPr>
              <w:pStyle w:val="NoSpacing"/>
              <w:jc w:val="right"/>
              <w:rPr>
                <w:rFonts w:cs="Times New Roman"/>
                <w:b/>
                <w:bCs/>
                <w:sz w:val="22"/>
                <w:szCs w:val="22"/>
              </w:rPr>
            </w:pPr>
          </w:p>
        </w:tc>
        <w:tc>
          <w:tcPr>
            <w:tcW w:w="923" w:type="dxa"/>
            <w:tcBorders>
              <w:top w:val="nil"/>
              <w:bottom w:val="double" w:sz="4" w:space="0" w:color="auto"/>
              <w:right w:val="double" w:sz="4" w:space="0" w:color="auto"/>
            </w:tcBorders>
            <w:noWrap/>
            <w:vAlign w:val="center"/>
          </w:tcPr>
          <w:p w14:paraId="19C7C008" w14:textId="77777777" w:rsidR="00016B43" w:rsidRPr="000467D5" w:rsidRDefault="00016B43" w:rsidP="00016B43">
            <w:pPr>
              <w:pStyle w:val="NoSpacing"/>
              <w:jc w:val="right"/>
              <w:rPr>
                <w:rFonts w:cs="Times New Roman"/>
                <w:sz w:val="22"/>
                <w:szCs w:val="22"/>
              </w:rPr>
            </w:pPr>
          </w:p>
        </w:tc>
        <w:tc>
          <w:tcPr>
            <w:tcW w:w="2960" w:type="dxa"/>
            <w:gridSpan w:val="3"/>
            <w:tcBorders>
              <w:top w:val="nil"/>
              <w:left w:val="double" w:sz="4" w:space="0" w:color="auto"/>
              <w:bottom w:val="double" w:sz="4" w:space="0" w:color="auto"/>
            </w:tcBorders>
            <w:noWrap/>
          </w:tcPr>
          <w:p w14:paraId="1F1EC541" w14:textId="5B71A376" w:rsidR="00016B43" w:rsidRPr="000467D5" w:rsidRDefault="00016B43" w:rsidP="00016B43">
            <w:pPr>
              <w:pStyle w:val="NoSpacing"/>
              <w:jc w:val="left"/>
              <w:rPr>
                <w:rFonts w:cs="Times New Roman"/>
                <w:sz w:val="22"/>
                <w:szCs w:val="22"/>
              </w:rPr>
            </w:pPr>
            <w:r w:rsidRPr="000467D5">
              <w:rPr>
                <w:rFonts w:cs="Times New Roman"/>
                <w:sz w:val="22"/>
                <w:szCs w:val="22"/>
              </w:rPr>
              <w:t>One or more times per week</w:t>
            </w:r>
          </w:p>
        </w:tc>
        <w:tc>
          <w:tcPr>
            <w:tcW w:w="921" w:type="dxa"/>
            <w:gridSpan w:val="3"/>
            <w:tcBorders>
              <w:top w:val="nil"/>
              <w:bottom w:val="double" w:sz="4" w:space="0" w:color="auto"/>
            </w:tcBorders>
            <w:noWrap/>
            <w:vAlign w:val="center"/>
          </w:tcPr>
          <w:p w14:paraId="7A8219FD" w14:textId="36F4A48C" w:rsidR="00016B43" w:rsidRPr="000467D5" w:rsidRDefault="00016B43" w:rsidP="00016B43">
            <w:pPr>
              <w:pStyle w:val="NoSpacing"/>
              <w:jc w:val="right"/>
              <w:rPr>
                <w:rFonts w:eastAsia="Times New Roman" w:cs="Times New Roman"/>
                <w:color w:val="000000"/>
                <w:sz w:val="22"/>
                <w:szCs w:val="22"/>
              </w:rPr>
            </w:pPr>
            <w:r w:rsidRPr="000467D5">
              <w:rPr>
                <w:rFonts w:eastAsia="Times New Roman" w:cs="Times New Roman"/>
                <w:color w:val="000000"/>
                <w:sz w:val="22"/>
                <w:szCs w:val="22"/>
              </w:rPr>
              <w:t xml:space="preserve"> 9</w:t>
            </w:r>
            <w:r>
              <w:rPr>
                <w:rFonts w:eastAsia="Times New Roman" w:cs="Times New Roman"/>
                <w:color w:val="000000"/>
                <w:sz w:val="22"/>
                <w:szCs w:val="22"/>
              </w:rPr>
              <w:t>19</w:t>
            </w:r>
            <w:r w:rsidRPr="000467D5">
              <w:rPr>
                <w:rFonts w:eastAsia="Times New Roman" w:cs="Times New Roman"/>
                <w:color w:val="000000"/>
                <w:sz w:val="22"/>
                <w:szCs w:val="22"/>
              </w:rPr>
              <w:t xml:space="preserve"> </w:t>
            </w:r>
          </w:p>
        </w:tc>
        <w:tc>
          <w:tcPr>
            <w:tcW w:w="936" w:type="dxa"/>
            <w:gridSpan w:val="2"/>
            <w:tcBorders>
              <w:top w:val="nil"/>
              <w:bottom w:val="double" w:sz="4" w:space="0" w:color="auto"/>
              <w:right w:val="double" w:sz="4" w:space="0" w:color="auto"/>
            </w:tcBorders>
            <w:noWrap/>
            <w:vAlign w:val="center"/>
          </w:tcPr>
          <w:p w14:paraId="6C2BF4C5" w14:textId="51BA8436" w:rsidR="00016B43" w:rsidRPr="000467D5" w:rsidRDefault="00016B43" w:rsidP="00016B43">
            <w:pPr>
              <w:pStyle w:val="NoSpacing"/>
              <w:jc w:val="right"/>
              <w:rPr>
                <w:rFonts w:eastAsia="Times New Roman" w:cs="Times New Roman"/>
                <w:color w:val="000000"/>
                <w:sz w:val="22"/>
                <w:szCs w:val="22"/>
              </w:rPr>
            </w:pPr>
            <w:r w:rsidRPr="000467D5">
              <w:rPr>
                <w:rFonts w:eastAsia="Times New Roman" w:cs="Times New Roman"/>
                <w:color w:val="000000"/>
                <w:sz w:val="22"/>
                <w:szCs w:val="22"/>
              </w:rPr>
              <w:t>27.8</w:t>
            </w:r>
          </w:p>
        </w:tc>
      </w:tr>
      <w:tr w:rsidR="00016B43" w:rsidRPr="000467D5" w14:paraId="5E289145" w14:textId="77777777" w:rsidTr="009570A3">
        <w:trPr>
          <w:trHeight w:val="432"/>
          <w:jc w:val="center"/>
        </w:trPr>
        <w:tc>
          <w:tcPr>
            <w:tcW w:w="9406" w:type="dxa"/>
            <w:gridSpan w:val="12"/>
            <w:tcBorders>
              <w:top w:val="double" w:sz="4" w:space="0" w:color="auto"/>
              <w:left w:val="double" w:sz="4" w:space="0" w:color="auto"/>
              <w:bottom w:val="nil"/>
              <w:right w:val="double" w:sz="4" w:space="0" w:color="auto"/>
            </w:tcBorders>
            <w:noWrap/>
            <w:vAlign w:val="center"/>
          </w:tcPr>
          <w:p w14:paraId="691823F6" w14:textId="399367BB" w:rsidR="00016B43" w:rsidRPr="000467D5" w:rsidRDefault="00016B43" w:rsidP="009570A3">
            <w:pPr>
              <w:pStyle w:val="NoSpacing"/>
              <w:jc w:val="center"/>
              <w:rPr>
                <w:rFonts w:eastAsia="Times New Roman" w:cs="Times New Roman"/>
                <w:b/>
                <w:color w:val="000000"/>
                <w:sz w:val="22"/>
                <w:szCs w:val="22"/>
              </w:rPr>
            </w:pPr>
            <w:r w:rsidRPr="000467D5">
              <w:rPr>
                <w:rFonts w:eastAsia="Times New Roman" w:cs="Times New Roman"/>
                <w:b/>
                <w:color w:val="000000"/>
                <w:sz w:val="22"/>
                <w:szCs w:val="22"/>
              </w:rPr>
              <w:t>PAG outcome variables</w:t>
            </w:r>
          </w:p>
        </w:tc>
      </w:tr>
      <w:tr w:rsidR="00016B43" w:rsidRPr="000467D5" w14:paraId="0CF2C5C2" w14:textId="77777777" w:rsidTr="009570A3">
        <w:trPr>
          <w:trHeight w:val="20"/>
          <w:jc w:val="center"/>
        </w:trPr>
        <w:tc>
          <w:tcPr>
            <w:tcW w:w="4589" w:type="dxa"/>
            <w:gridSpan w:val="4"/>
            <w:tcBorders>
              <w:top w:val="double" w:sz="4" w:space="0" w:color="auto"/>
              <w:left w:val="double" w:sz="4" w:space="0" w:color="auto"/>
              <w:bottom w:val="single" w:sz="4" w:space="0" w:color="auto"/>
              <w:right w:val="double" w:sz="4" w:space="0" w:color="auto"/>
            </w:tcBorders>
            <w:noWrap/>
            <w:vAlign w:val="center"/>
            <w:hideMark/>
          </w:tcPr>
          <w:p w14:paraId="0CABF90E" w14:textId="77777777" w:rsidR="00016B43" w:rsidRPr="000467D5" w:rsidRDefault="00016B43" w:rsidP="00016B43">
            <w:pPr>
              <w:pStyle w:val="NoSpacing"/>
              <w:rPr>
                <w:rFonts w:cs="Times New Roman"/>
                <w:b/>
                <w:sz w:val="22"/>
                <w:szCs w:val="22"/>
              </w:rPr>
            </w:pPr>
            <w:r w:rsidRPr="000467D5">
              <w:rPr>
                <w:rFonts w:cs="Times New Roman"/>
                <w:b/>
                <w:sz w:val="22"/>
                <w:szCs w:val="22"/>
              </w:rPr>
              <w:t>Variables</w:t>
            </w:r>
          </w:p>
        </w:tc>
        <w:tc>
          <w:tcPr>
            <w:tcW w:w="1217" w:type="dxa"/>
            <w:tcBorders>
              <w:top w:val="double" w:sz="4" w:space="0" w:color="auto"/>
              <w:left w:val="double" w:sz="4" w:space="0" w:color="auto"/>
              <w:bottom w:val="single" w:sz="4" w:space="0" w:color="auto"/>
              <w:right w:val="single" w:sz="4" w:space="0" w:color="auto"/>
            </w:tcBorders>
            <w:noWrap/>
            <w:vAlign w:val="center"/>
            <w:hideMark/>
          </w:tcPr>
          <w:p w14:paraId="3C7E4B01" w14:textId="77777777" w:rsidR="00016B43" w:rsidRPr="000467D5" w:rsidRDefault="00016B43" w:rsidP="00016B43">
            <w:pPr>
              <w:pStyle w:val="NoSpacing"/>
              <w:jc w:val="right"/>
              <w:rPr>
                <w:rFonts w:cs="Times New Roman"/>
                <w:b/>
                <w:sz w:val="22"/>
                <w:szCs w:val="22"/>
              </w:rPr>
            </w:pPr>
            <w:r w:rsidRPr="000467D5">
              <w:rPr>
                <w:rFonts w:cs="Times New Roman"/>
                <w:b/>
                <w:sz w:val="22"/>
                <w:szCs w:val="22"/>
              </w:rPr>
              <w:t>Minimum</w:t>
            </w:r>
          </w:p>
        </w:tc>
        <w:tc>
          <w:tcPr>
            <w:tcW w:w="1260" w:type="dxa"/>
            <w:tcBorders>
              <w:top w:val="double" w:sz="4" w:space="0" w:color="auto"/>
              <w:left w:val="single" w:sz="4" w:space="0" w:color="auto"/>
              <w:bottom w:val="single" w:sz="4" w:space="0" w:color="auto"/>
              <w:right w:val="single" w:sz="4" w:space="0" w:color="auto"/>
            </w:tcBorders>
            <w:noWrap/>
            <w:vAlign w:val="center"/>
            <w:hideMark/>
          </w:tcPr>
          <w:p w14:paraId="541032B0" w14:textId="77777777" w:rsidR="00016B43" w:rsidRPr="000467D5" w:rsidRDefault="00016B43" w:rsidP="00016B43">
            <w:pPr>
              <w:pStyle w:val="NoSpacing"/>
              <w:jc w:val="right"/>
              <w:rPr>
                <w:rFonts w:cs="Times New Roman"/>
                <w:b/>
                <w:sz w:val="22"/>
                <w:szCs w:val="22"/>
              </w:rPr>
            </w:pPr>
            <w:r w:rsidRPr="000467D5">
              <w:rPr>
                <w:rFonts w:cs="Times New Roman"/>
                <w:b/>
                <w:sz w:val="22"/>
                <w:szCs w:val="22"/>
              </w:rPr>
              <w:t>Maximum</w:t>
            </w:r>
          </w:p>
        </w:tc>
        <w:tc>
          <w:tcPr>
            <w:tcW w:w="1114" w:type="dxa"/>
            <w:gridSpan w:val="3"/>
            <w:tcBorders>
              <w:top w:val="double" w:sz="4" w:space="0" w:color="auto"/>
              <w:left w:val="single" w:sz="4" w:space="0" w:color="auto"/>
              <w:bottom w:val="single" w:sz="4" w:space="0" w:color="auto"/>
              <w:right w:val="single" w:sz="4" w:space="0" w:color="auto"/>
            </w:tcBorders>
            <w:noWrap/>
            <w:vAlign w:val="center"/>
            <w:hideMark/>
          </w:tcPr>
          <w:p w14:paraId="0C75752A" w14:textId="77777777" w:rsidR="00016B43" w:rsidRPr="000467D5" w:rsidRDefault="00016B43" w:rsidP="00016B43">
            <w:pPr>
              <w:pStyle w:val="NoSpacing"/>
              <w:jc w:val="right"/>
              <w:rPr>
                <w:rFonts w:cs="Times New Roman"/>
                <w:b/>
                <w:sz w:val="22"/>
                <w:szCs w:val="22"/>
              </w:rPr>
            </w:pPr>
            <w:r w:rsidRPr="000467D5">
              <w:rPr>
                <w:rFonts w:cs="Times New Roman"/>
                <w:b/>
                <w:sz w:val="22"/>
                <w:szCs w:val="22"/>
              </w:rPr>
              <w:t>Mean</w:t>
            </w:r>
          </w:p>
        </w:tc>
        <w:tc>
          <w:tcPr>
            <w:tcW w:w="1226" w:type="dxa"/>
            <w:gridSpan w:val="3"/>
            <w:tcBorders>
              <w:top w:val="double" w:sz="4" w:space="0" w:color="auto"/>
              <w:left w:val="single" w:sz="4" w:space="0" w:color="auto"/>
              <w:bottom w:val="single" w:sz="4" w:space="0" w:color="auto"/>
              <w:right w:val="double" w:sz="4" w:space="0" w:color="auto"/>
            </w:tcBorders>
            <w:noWrap/>
            <w:hideMark/>
          </w:tcPr>
          <w:p w14:paraId="111C7CF7" w14:textId="77777777" w:rsidR="00016B43" w:rsidRPr="000467D5" w:rsidRDefault="00016B43" w:rsidP="00016B43">
            <w:pPr>
              <w:pStyle w:val="NoSpacing"/>
              <w:jc w:val="right"/>
              <w:rPr>
                <w:rFonts w:cs="Times New Roman"/>
                <w:b/>
                <w:sz w:val="22"/>
                <w:szCs w:val="22"/>
              </w:rPr>
            </w:pPr>
            <w:r w:rsidRPr="000467D5">
              <w:rPr>
                <w:rFonts w:cs="Times New Roman"/>
                <w:b/>
                <w:sz w:val="22"/>
                <w:szCs w:val="22"/>
              </w:rPr>
              <w:t>Std. Deviation</w:t>
            </w:r>
          </w:p>
        </w:tc>
      </w:tr>
      <w:tr w:rsidR="00016B43" w:rsidRPr="000467D5" w14:paraId="2D6DADAD" w14:textId="77777777" w:rsidTr="009570A3">
        <w:trPr>
          <w:trHeight w:val="20"/>
          <w:jc w:val="center"/>
        </w:trPr>
        <w:tc>
          <w:tcPr>
            <w:tcW w:w="4589" w:type="dxa"/>
            <w:gridSpan w:val="4"/>
            <w:tcBorders>
              <w:left w:val="double" w:sz="4" w:space="0" w:color="auto"/>
              <w:right w:val="double" w:sz="4" w:space="0" w:color="auto"/>
            </w:tcBorders>
            <w:noWrap/>
            <w:hideMark/>
          </w:tcPr>
          <w:p w14:paraId="58995587" w14:textId="2271E69D" w:rsidR="00016B43" w:rsidRPr="000467D5" w:rsidRDefault="00016B43" w:rsidP="00016B43">
            <w:pPr>
              <w:pStyle w:val="NoSpacing"/>
              <w:ind w:left="180" w:hanging="180"/>
              <w:jc w:val="left"/>
              <w:rPr>
                <w:rFonts w:cs="Times New Roman"/>
                <w:sz w:val="22"/>
                <w:szCs w:val="22"/>
              </w:rPr>
            </w:pPr>
            <w:r w:rsidRPr="000467D5">
              <w:rPr>
                <w:rFonts w:cs="Times New Roman"/>
                <w:sz w:val="22"/>
                <w:szCs w:val="22"/>
              </w:rPr>
              <w:t>Number of mandatory episodes</w:t>
            </w:r>
            <w:r w:rsidR="00C274A9">
              <w:rPr>
                <w:rFonts w:cs="Times New Roman"/>
                <w:sz w:val="22"/>
                <w:szCs w:val="22"/>
              </w:rPr>
              <w:t xml:space="preserve"> per week</w:t>
            </w:r>
          </w:p>
        </w:tc>
        <w:tc>
          <w:tcPr>
            <w:tcW w:w="1217" w:type="dxa"/>
            <w:tcBorders>
              <w:left w:val="double" w:sz="4" w:space="0" w:color="auto"/>
              <w:right w:val="single" w:sz="4" w:space="0" w:color="auto"/>
            </w:tcBorders>
            <w:noWrap/>
            <w:vAlign w:val="center"/>
            <w:hideMark/>
          </w:tcPr>
          <w:p w14:paraId="0D7302C6" w14:textId="610C6ABC" w:rsidR="00016B43" w:rsidRPr="000467D5" w:rsidRDefault="00016B43" w:rsidP="00016B43">
            <w:pPr>
              <w:pStyle w:val="NoSpacing"/>
              <w:jc w:val="right"/>
              <w:rPr>
                <w:rFonts w:cs="Times New Roman"/>
                <w:sz w:val="22"/>
                <w:szCs w:val="22"/>
              </w:rPr>
            </w:pPr>
            <w:r w:rsidRPr="000467D5">
              <w:rPr>
                <w:rFonts w:eastAsia="Times New Roman" w:cs="Times New Roman"/>
                <w:color w:val="000000"/>
                <w:sz w:val="22"/>
                <w:szCs w:val="22"/>
              </w:rPr>
              <w:t>0</w:t>
            </w:r>
          </w:p>
        </w:tc>
        <w:tc>
          <w:tcPr>
            <w:tcW w:w="1260" w:type="dxa"/>
            <w:tcBorders>
              <w:left w:val="single" w:sz="4" w:space="0" w:color="auto"/>
              <w:right w:val="single" w:sz="4" w:space="0" w:color="auto"/>
            </w:tcBorders>
            <w:noWrap/>
            <w:vAlign w:val="center"/>
            <w:hideMark/>
          </w:tcPr>
          <w:p w14:paraId="103E1A88" w14:textId="5AD8062B" w:rsidR="00016B43" w:rsidRPr="000467D5" w:rsidRDefault="00016B43" w:rsidP="00016B43">
            <w:pPr>
              <w:pStyle w:val="NoSpacing"/>
              <w:jc w:val="right"/>
              <w:rPr>
                <w:rFonts w:cs="Times New Roman"/>
                <w:sz w:val="22"/>
                <w:szCs w:val="22"/>
              </w:rPr>
            </w:pPr>
            <w:r w:rsidRPr="000467D5">
              <w:rPr>
                <w:rFonts w:eastAsia="Times New Roman" w:cs="Times New Roman"/>
                <w:color w:val="000000"/>
                <w:sz w:val="22"/>
                <w:szCs w:val="22"/>
              </w:rPr>
              <w:t xml:space="preserve"> 39 </w:t>
            </w:r>
          </w:p>
        </w:tc>
        <w:tc>
          <w:tcPr>
            <w:tcW w:w="1114" w:type="dxa"/>
            <w:gridSpan w:val="3"/>
            <w:tcBorders>
              <w:left w:val="single" w:sz="4" w:space="0" w:color="auto"/>
              <w:right w:val="single" w:sz="4" w:space="0" w:color="auto"/>
            </w:tcBorders>
            <w:noWrap/>
            <w:vAlign w:val="center"/>
            <w:hideMark/>
          </w:tcPr>
          <w:p w14:paraId="398C9A84" w14:textId="20A22F09" w:rsidR="00016B43" w:rsidRPr="000467D5" w:rsidRDefault="00016B43" w:rsidP="00FF4425">
            <w:pPr>
              <w:pStyle w:val="NoSpacing"/>
              <w:jc w:val="right"/>
              <w:rPr>
                <w:rFonts w:cs="Times New Roman"/>
                <w:sz w:val="22"/>
                <w:szCs w:val="22"/>
              </w:rPr>
            </w:pPr>
            <w:r w:rsidRPr="000467D5">
              <w:rPr>
                <w:rFonts w:eastAsia="Times New Roman" w:cs="Times New Roman"/>
                <w:color w:val="000000"/>
                <w:sz w:val="22"/>
                <w:szCs w:val="22"/>
              </w:rPr>
              <w:t>3.</w:t>
            </w:r>
            <w:r w:rsidR="00FF4425">
              <w:rPr>
                <w:rFonts w:eastAsia="Times New Roman" w:cs="Times New Roman"/>
                <w:color w:val="000000"/>
                <w:sz w:val="22"/>
                <w:szCs w:val="22"/>
              </w:rPr>
              <w:t>9</w:t>
            </w:r>
          </w:p>
        </w:tc>
        <w:tc>
          <w:tcPr>
            <w:tcW w:w="1226" w:type="dxa"/>
            <w:gridSpan w:val="3"/>
            <w:tcBorders>
              <w:left w:val="single" w:sz="4" w:space="0" w:color="auto"/>
              <w:right w:val="double" w:sz="4" w:space="0" w:color="auto"/>
            </w:tcBorders>
            <w:noWrap/>
            <w:vAlign w:val="center"/>
            <w:hideMark/>
          </w:tcPr>
          <w:p w14:paraId="62107BE3" w14:textId="5D3812BD" w:rsidR="00016B43" w:rsidRPr="000467D5" w:rsidRDefault="00016B43" w:rsidP="00FF4425">
            <w:pPr>
              <w:pStyle w:val="NoSpacing"/>
              <w:jc w:val="right"/>
              <w:rPr>
                <w:rFonts w:cs="Times New Roman"/>
                <w:sz w:val="22"/>
                <w:szCs w:val="22"/>
              </w:rPr>
            </w:pPr>
            <w:r w:rsidRPr="000467D5">
              <w:rPr>
                <w:rFonts w:eastAsia="Times New Roman" w:cs="Times New Roman"/>
                <w:color w:val="000000"/>
                <w:sz w:val="22"/>
                <w:szCs w:val="22"/>
              </w:rPr>
              <w:t>3.</w:t>
            </w:r>
            <w:r w:rsidR="00FF4425">
              <w:rPr>
                <w:rFonts w:eastAsia="Times New Roman" w:cs="Times New Roman"/>
                <w:color w:val="000000"/>
                <w:sz w:val="22"/>
                <w:szCs w:val="22"/>
              </w:rPr>
              <w:t>2</w:t>
            </w:r>
          </w:p>
        </w:tc>
      </w:tr>
      <w:tr w:rsidR="00016B43" w:rsidRPr="000467D5" w14:paraId="1173FEDD" w14:textId="77777777" w:rsidTr="009570A3">
        <w:trPr>
          <w:trHeight w:val="20"/>
          <w:jc w:val="center"/>
        </w:trPr>
        <w:tc>
          <w:tcPr>
            <w:tcW w:w="4589" w:type="dxa"/>
            <w:gridSpan w:val="4"/>
            <w:tcBorders>
              <w:left w:val="double" w:sz="4" w:space="0" w:color="auto"/>
              <w:right w:val="double" w:sz="4" w:space="0" w:color="auto"/>
            </w:tcBorders>
            <w:noWrap/>
          </w:tcPr>
          <w:p w14:paraId="1F1063EC" w14:textId="614C018C" w:rsidR="00016B43" w:rsidRPr="000467D5" w:rsidRDefault="00016B43" w:rsidP="00016B43">
            <w:pPr>
              <w:pStyle w:val="NoSpacing"/>
              <w:ind w:left="180" w:hanging="180"/>
              <w:jc w:val="left"/>
              <w:rPr>
                <w:rFonts w:cs="Times New Roman"/>
                <w:sz w:val="22"/>
                <w:szCs w:val="22"/>
              </w:rPr>
            </w:pPr>
            <w:r w:rsidRPr="000467D5">
              <w:rPr>
                <w:rFonts w:cs="Times New Roman"/>
                <w:sz w:val="22"/>
                <w:szCs w:val="22"/>
              </w:rPr>
              <w:t xml:space="preserve">Number of maintenance episodes </w:t>
            </w:r>
            <w:r w:rsidR="00C274A9">
              <w:rPr>
                <w:rFonts w:cs="Times New Roman"/>
                <w:sz w:val="22"/>
                <w:szCs w:val="22"/>
              </w:rPr>
              <w:t>per week</w:t>
            </w:r>
          </w:p>
        </w:tc>
        <w:tc>
          <w:tcPr>
            <w:tcW w:w="1217" w:type="dxa"/>
            <w:tcBorders>
              <w:left w:val="double" w:sz="4" w:space="0" w:color="auto"/>
              <w:right w:val="single" w:sz="4" w:space="0" w:color="auto"/>
            </w:tcBorders>
            <w:noWrap/>
            <w:vAlign w:val="center"/>
          </w:tcPr>
          <w:p w14:paraId="52D6153F" w14:textId="7B42E6F2" w:rsidR="00016B43" w:rsidRPr="000467D5" w:rsidRDefault="00016B43" w:rsidP="00016B43">
            <w:pPr>
              <w:pStyle w:val="NoSpacing"/>
              <w:jc w:val="right"/>
              <w:rPr>
                <w:rFonts w:eastAsia="Times New Roman" w:cs="Times New Roman"/>
                <w:color w:val="000000"/>
                <w:sz w:val="22"/>
                <w:szCs w:val="22"/>
              </w:rPr>
            </w:pPr>
            <w:r w:rsidRPr="000467D5">
              <w:rPr>
                <w:rFonts w:eastAsia="Times New Roman" w:cs="Times New Roman"/>
                <w:color w:val="000000"/>
                <w:sz w:val="22"/>
                <w:szCs w:val="22"/>
              </w:rPr>
              <w:t>0</w:t>
            </w:r>
          </w:p>
        </w:tc>
        <w:tc>
          <w:tcPr>
            <w:tcW w:w="1260" w:type="dxa"/>
            <w:tcBorders>
              <w:left w:val="single" w:sz="4" w:space="0" w:color="auto"/>
              <w:right w:val="single" w:sz="4" w:space="0" w:color="auto"/>
            </w:tcBorders>
            <w:noWrap/>
            <w:vAlign w:val="center"/>
          </w:tcPr>
          <w:p w14:paraId="79F9FAC8" w14:textId="50A2BABD" w:rsidR="00016B43" w:rsidRPr="000467D5" w:rsidRDefault="00016B43" w:rsidP="00016B43">
            <w:pPr>
              <w:pStyle w:val="NoSpacing"/>
              <w:jc w:val="right"/>
              <w:rPr>
                <w:rFonts w:eastAsia="Times New Roman" w:cs="Times New Roman"/>
                <w:color w:val="000000"/>
                <w:sz w:val="22"/>
                <w:szCs w:val="22"/>
              </w:rPr>
            </w:pPr>
            <w:r w:rsidRPr="000467D5">
              <w:rPr>
                <w:rFonts w:eastAsia="Times New Roman" w:cs="Times New Roman"/>
                <w:color w:val="000000"/>
                <w:sz w:val="22"/>
                <w:szCs w:val="22"/>
              </w:rPr>
              <w:t xml:space="preserve"> 14 </w:t>
            </w:r>
          </w:p>
        </w:tc>
        <w:tc>
          <w:tcPr>
            <w:tcW w:w="1114" w:type="dxa"/>
            <w:gridSpan w:val="3"/>
            <w:tcBorders>
              <w:left w:val="single" w:sz="4" w:space="0" w:color="auto"/>
              <w:right w:val="single" w:sz="4" w:space="0" w:color="auto"/>
            </w:tcBorders>
            <w:noWrap/>
            <w:vAlign w:val="center"/>
          </w:tcPr>
          <w:p w14:paraId="0616D640" w14:textId="769F7226" w:rsidR="00016B43" w:rsidRPr="000467D5" w:rsidRDefault="00016B43" w:rsidP="00FF4425">
            <w:pPr>
              <w:pStyle w:val="NoSpacing"/>
              <w:jc w:val="right"/>
              <w:rPr>
                <w:rFonts w:eastAsia="Times New Roman" w:cs="Times New Roman"/>
                <w:color w:val="000000"/>
                <w:sz w:val="22"/>
                <w:szCs w:val="22"/>
              </w:rPr>
            </w:pPr>
            <w:r w:rsidRPr="000467D5">
              <w:rPr>
                <w:rFonts w:eastAsia="Times New Roman" w:cs="Times New Roman"/>
                <w:color w:val="000000"/>
                <w:sz w:val="22"/>
                <w:szCs w:val="22"/>
              </w:rPr>
              <w:t>2.</w:t>
            </w:r>
            <w:r w:rsidR="00FF4425">
              <w:rPr>
                <w:rFonts w:eastAsia="Times New Roman" w:cs="Times New Roman"/>
                <w:color w:val="000000"/>
                <w:sz w:val="22"/>
                <w:szCs w:val="22"/>
              </w:rPr>
              <w:t>1</w:t>
            </w:r>
          </w:p>
        </w:tc>
        <w:tc>
          <w:tcPr>
            <w:tcW w:w="1226" w:type="dxa"/>
            <w:gridSpan w:val="3"/>
            <w:tcBorders>
              <w:left w:val="single" w:sz="4" w:space="0" w:color="auto"/>
              <w:right w:val="double" w:sz="4" w:space="0" w:color="auto"/>
            </w:tcBorders>
            <w:noWrap/>
            <w:vAlign w:val="center"/>
          </w:tcPr>
          <w:p w14:paraId="35261803" w14:textId="6A6B0F0D" w:rsidR="00016B43" w:rsidRPr="000467D5" w:rsidRDefault="00016B43" w:rsidP="00FF4425">
            <w:pPr>
              <w:pStyle w:val="NoSpacing"/>
              <w:jc w:val="right"/>
              <w:rPr>
                <w:rFonts w:eastAsia="Times New Roman" w:cs="Times New Roman"/>
                <w:color w:val="000000"/>
                <w:sz w:val="22"/>
                <w:szCs w:val="22"/>
              </w:rPr>
            </w:pPr>
            <w:r w:rsidRPr="000467D5">
              <w:rPr>
                <w:rFonts w:eastAsia="Times New Roman" w:cs="Times New Roman"/>
                <w:color w:val="000000"/>
                <w:sz w:val="22"/>
                <w:szCs w:val="22"/>
              </w:rPr>
              <w:t>1.8</w:t>
            </w:r>
          </w:p>
        </w:tc>
      </w:tr>
      <w:tr w:rsidR="00016B43" w:rsidRPr="000467D5" w14:paraId="36D8D95C" w14:textId="77777777" w:rsidTr="009570A3">
        <w:trPr>
          <w:trHeight w:val="20"/>
          <w:jc w:val="center"/>
        </w:trPr>
        <w:tc>
          <w:tcPr>
            <w:tcW w:w="4589" w:type="dxa"/>
            <w:gridSpan w:val="4"/>
            <w:tcBorders>
              <w:left w:val="double" w:sz="4" w:space="0" w:color="auto"/>
              <w:right w:val="double" w:sz="4" w:space="0" w:color="auto"/>
            </w:tcBorders>
            <w:noWrap/>
          </w:tcPr>
          <w:p w14:paraId="6A43D6B7" w14:textId="02AE09C8" w:rsidR="00016B43" w:rsidRPr="000467D5" w:rsidRDefault="00016B43" w:rsidP="00016B43">
            <w:pPr>
              <w:pStyle w:val="NoSpacing"/>
              <w:ind w:left="180" w:hanging="180"/>
              <w:jc w:val="left"/>
              <w:rPr>
                <w:rFonts w:cs="Times New Roman"/>
                <w:sz w:val="22"/>
                <w:szCs w:val="22"/>
              </w:rPr>
            </w:pPr>
            <w:r w:rsidRPr="000467D5">
              <w:rPr>
                <w:rFonts w:cs="Times New Roman"/>
                <w:sz w:val="22"/>
                <w:szCs w:val="22"/>
              </w:rPr>
              <w:t>Number of discretionary episodes</w:t>
            </w:r>
            <w:r w:rsidR="00C274A9">
              <w:rPr>
                <w:rFonts w:cs="Times New Roman"/>
                <w:sz w:val="22"/>
                <w:szCs w:val="22"/>
              </w:rPr>
              <w:t xml:space="preserve"> per week</w:t>
            </w:r>
          </w:p>
        </w:tc>
        <w:tc>
          <w:tcPr>
            <w:tcW w:w="1217" w:type="dxa"/>
            <w:tcBorders>
              <w:left w:val="double" w:sz="4" w:space="0" w:color="auto"/>
              <w:right w:val="single" w:sz="4" w:space="0" w:color="auto"/>
            </w:tcBorders>
            <w:noWrap/>
            <w:vAlign w:val="center"/>
          </w:tcPr>
          <w:p w14:paraId="479123F0" w14:textId="5E5B4EB8" w:rsidR="00016B43" w:rsidRPr="000467D5" w:rsidRDefault="00016B43" w:rsidP="00016B43">
            <w:pPr>
              <w:pStyle w:val="NoSpacing"/>
              <w:jc w:val="right"/>
              <w:rPr>
                <w:rFonts w:eastAsia="Times New Roman" w:cs="Times New Roman"/>
                <w:color w:val="000000"/>
                <w:sz w:val="22"/>
                <w:szCs w:val="22"/>
              </w:rPr>
            </w:pPr>
            <w:r w:rsidRPr="000467D5">
              <w:rPr>
                <w:rFonts w:eastAsia="Times New Roman" w:cs="Times New Roman"/>
                <w:color w:val="000000"/>
                <w:sz w:val="22"/>
                <w:szCs w:val="22"/>
              </w:rPr>
              <w:t>0</w:t>
            </w:r>
          </w:p>
        </w:tc>
        <w:tc>
          <w:tcPr>
            <w:tcW w:w="1260" w:type="dxa"/>
            <w:tcBorders>
              <w:left w:val="single" w:sz="4" w:space="0" w:color="auto"/>
              <w:right w:val="single" w:sz="4" w:space="0" w:color="auto"/>
            </w:tcBorders>
            <w:noWrap/>
            <w:vAlign w:val="center"/>
          </w:tcPr>
          <w:p w14:paraId="261C98E3" w14:textId="6FE7C9CC" w:rsidR="00016B43" w:rsidRPr="000467D5" w:rsidRDefault="00016B43" w:rsidP="00016B43">
            <w:pPr>
              <w:pStyle w:val="NoSpacing"/>
              <w:jc w:val="right"/>
              <w:rPr>
                <w:rFonts w:eastAsia="Times New Roman" w:cs="Times New Roman"/>
                <w:color w:val="000000"/>
                <w:sz w:val="22"/>
                <w:szCs w:val="22"/>
              </w:rPr>
            </w:pPr>
            <w:r w:rsidRPr="000467D5">
              <w:rPr>
                <w:rFonts w:eastAsia="Times New Roman" w:cs="Times New Roman"/>
                <w:color w:val="000000"/>
                <w:sz w:val="22"/>
                <w:szCs w:val="22"/>
              </w:rPr>
              <w:t xml:space="preserve"> 35</w:t>
            </w:r>
          </w:p>
        </w:tc>
        <w:tc>
          <w:tcPr>
            <w:tcW w:w="1114" w:type="dxa"/>
            <w:gridSpan w:val="3"/>
            <w:tcBorders>
              <w:left w:val="single" w:sz="4" w:space="0" w:color="auto"/>
              <w:right w:val="single" w:sz="4" w:space="0" w:color="auto"/>
            </w:tcBorders>
            <w:noWrap/>
            <w:vAlign w:val="center"/>
          </w:tcPr>
          <w:p w14:paraId="3222091E" w14:textId="56773D17" w:rsidR="00016B43" w:rsidRPr="000467D5" w:rsidRDefault="00016B43" w:rsidP="00FF4425">
            <w:pPr>
              <w:pStyle w:val="NoSpacing"/>
              <w:jc w:val="right"/>
              <w:rPr>
                <w:rFonts w:eastAsia="Times New Roman" w:cs="Times New Roman"/>
                <w:color w:val="000000"/>
                <w:sz w:val="22"/>
                <w:szCs w:val="22"/>
              </w:rPr>
            </w:pPr>
            <w:r w:rsidRPr="000467D5">
              <w:rPr>
                <w:rFonts w:eastAsia="Times New Roman" w:cs="Times New Roman"/>
                <w:color w:val="000000"/>
                <w:sz w:val="22"/>
                <w:szCs w:val="22"/>
              </w:rPr>
              <w:t>3.0</w:t>
            </w:r>
          </w:p>
        </w:tc>
        <w:tc>
          <w:tcPr>
            <w:tcW w:w="1226" w:type="dxa"/>
            <w:gridSpan w:val="3"/>
            <w:tcBorders>
              <w:left w:val="single" w:sz="4" w:space="0" w:color="auto"/>
              <w:right w:val="double" w:sz="4" w:space="0" w:color="auto"/>
            </w:tcBorders>
            <w:noWrap/>
            <w:vAlign w:val="center"/>
          </w:tcPr>
          <w:p w14:paraId="5EC496C4" w14:textId="28CAA8A9" w:rsidR="00016B43" w:rsidRPr="000467D5" w:rsidRDefault="00016B43" w:rsidP="00FF4425">
            <w:pPr>
              <w:pStyle w:val="NoSpacing"/>
              <w:jc w:val="right"/>
              <w:rPr>
                <w:rFonts w:eastAsia="Times New Roman" w:cs="Times New Roman"/>
                <w:color w:val="000000"/>
                <w:sz w:val="22"/>
                <w:szCs w:val="22"/>
              </w:rPr>
            </w:pPr>
            <w:r w:rsidRPr="000467D5">
              <w:rPr>
                <w:rFonts w:eastAsia="Times New Roman" w:cs="Times New Roman"/>
                <w:color w:val="000000"/>
                <w:sz w:val="22"/>
                <w:szCs w:val="22"/>
              </w:rPr>
              <w:t>3.</w:t>
            </w:r>
            <w:r w:rsidR="00FF4425">
              <w:rPr>
                <w:rFonts w:eastAsia="Times New Roman" w:cs="Times New Roman"/>
                <w:color w:val="000000"/>
                <w:sz w:val="22"/>
                <w:szCs w:val="22"/>
              </w:rPr>
              <w:t>2</w:t>
            </w:r>
          </w:p>
        </w:tc>
      </w:tr>
      <w:tr w:rsidR="00FF4425" w:rsidRPr="000467D5" w14:paraId="07812485" w14:textId="77777777" w:rsidTr="009570A3">
        <w:trPr>
          <w:trHeight w:val="20"/>
          <w:jc w:val="center"/>
        </w:trPr>
        <w:tc>
          <w:tcPr>
            <w:tcW w:w="4589" w:type="dxa"/>
            <w:gridSpan w:val="4"/>
            <w:tcBorders>
              <w:left w:val="double" w:sz="4" w:space="0" w:color="auto"/>
              <w:right w:val="double" w:sz="4" w:space="0" w:color="auto"/>
            </w:tcBorders>
            <w:noWrap/>
          </w:tcPr>
          <w:p w14:paraId="7CC73F23" w14:textId="328A147A" w:rsidR="00FF4425" w:rsidRPr="000467D5" w:rsidRDefault="00FF4425" w:rsidP="00016B43">
            <w:pPr>
              <w:pStyle w:val="NoSpacing"/>
              <w:ind w:left="180" w:hanging="180"/>
              <w:jc w:val="left"/>
              <w:rPr>
                <w:rFonts w:cs="Times New Roman"/>
                <w:sz w:val="22"/>
                <w:szCs w:val="22"/>
              </w:rPr>
            </w:pPr>
            <w:r>
              <w:rPr>
                <w:rFonts w:cs="Times New Roman"/>
                <w:sz w:val="22"/>
                <w:szCs w:val="22"/>
              </w:rPr>
              <w:t>Average trip distance (km)</w:t>
            </w:r>
          </w:p>
        </w:tc>
        <w:tc>
          <w:tcPr>
            <w:tcW w:w="1217" w:type="dxa"/>
            <w:tcBorders>
              <w:left w:val="double" w:sz="4" w:space="0" w:color="auto"/>
              <w:right w:val="single" w:sz="4" w:space="0" w:color="auto"/>
            </w:tcBorders>
            <w:noWrap/>
            <w:vAlign w:val="center"/>
          </w:tcPr>
          <w:p w14:paraId="02CE11D0" w14:textId="12657DC1" w:rsidR="00FF4425" w:rsidRPr="000467D5" w:rsidRDefault="00FF4425" w:rsidP="00016B43">
            <w:pPr>
              <w:pStyle w:val="NoSpacing"/>
              <w:jc w:val="right"/>
              <w:rPr>
                <w:rFonts w:eastAsia="Times New Roman" w:cs="Times New Roman"/>
                <w:color w:val="000000"/>
                <w:sz w:val="22"/>
                <w:szCs w:val="22"/>
              </w:rPr>
            </w:pPr>
            <w:r>
              <w:rPr>
                <w:rFonts w:eastAsia="Times New Roman" w:cs="Times New Roman"/>
                <w:color w:val="000000"/>
                <w:sz w:val="22"/>
                <w:szCs w:val="22"/>
              </w:rPr>
              <w:t>0.3</w:t>
            </w:r>
          </w:p>
        </w:tc>
        <w:tc>
          <w:tcPr>
            <w:tcW w:w="1260" w:type="dxa"/>
            <w:tcBorders>
              <w:left w:val="single" w:sz="4" w:space="0" w:color="auto"/>
              <w:right w:val="single" w:sz="4" w:space="0" w:color="auto"/>
            </w:tcBorders>
            <w:noWrap/>
            <w:vAlign w:val="center"/>
          </w:tcPr>
          <w:p w14:paraId="368E01D9" w14:textId="4C6C0775" w:rsidR="00FF4425" w:rsidRPr="000467D5" w:rsidRDefault="00FF4425" w:rsidP="00016B43">
            <w:pPr>
              <w:pStyle w:val="NoSpacing"/>
              <w:jc w:val="right"/>
              <w:rPr>
                <w:rFonts w:eastAsia="Times New Roman" w:cs="Times New Roman"/>
                <w:color w:val="000000"/>
                <w:sz w:val="22"/>
                <w:szCs w:val="22"/>
              </w:rPr>
            </w:pPr>
            <w:r>
              <w:rPr>
                <w:rFonts w:eastAsia="Times New Roman" w:cs="Times New Roman"/>
                <w:color w:val="000000"/>
                <w:sz w:val="22"/>
                <w:szCs w:val="22"/>
              </w:rPr>
              <w:t>138.5</w:t>
            </w:r>
          </w:p>
        </w:tc>
        <w:tc>
          <w:tcPr>
            <w:tcW w:w="1114" w:type="dxa"/>
            <w:gridSpan w:val="3"/>
            <w:tcBorders>
              <w:left w:val="single" w:sz="4" w:space="0" w:color="auto"/>
              <w:right w:val="single" w:sz="4" w:space="0" w:color="auto"/>
            </w:tcBorders>
            <w:noWrap/>
            <w:vAlign w:val="center"/>
          </w:tcPr>
          <w:p w14:paraId="00E9BEE6" w14:textId="1BB13765" w:rsidR="00FF4425" w:rsidRPr="000467D5" w:rsidRDefault="00FF4425" w:rsidP="00016B43">
            <w:pPr>
              <w:pStyle w:val="NoSpacing"/>
              <w:jc w:val="right"/>
              <w:rPr>
                <w:rFonts w:eastAsia="Times New Roman" w:cs="Times New Roman"/>
                <w:color w:val="000000"/>
                <w:sz w:val="22"/>
                <w:szCs w:val="22"/>
              </w:rPr>
            </w:pPr>
            <w:r>
              <w:rPr>
                <w:rFonts w:eastAsia="Times New Roman" w:cs="Times New Roman"/>
                <w:color w:val="000000"/>
                <w:sz w:val="22"/>
                <w:szCs w:val="22"/>
              </w:rPr>
              <w:t>9.3</w:t>
            </w:r>
          </w:p>
        </w:tc>
        <w:tc>
          <w:tcPr>
            <w:tcW w:w="1226" w:type="dxa"/>
            <w:gridSpan w:val="3"/>
            <w:tcBorders>
              <w:left w:val="single" w:sz="4" w:space="0" w:color="auto"/>
              <w:right w:val="double" w:sz="4" w:space="0" w:color="auto"/>
            </w:tcBorders>
            <w:noWrap/>
            <w:vAlign w:val="center"/>
          </w:tcPr>
          <w:p w14:paraId="224D389A" w14:textId="07CAB5AF" w:rsidR="00FF4425" w:rsidRPr="000467D5" w:rsidRDefault="00FF4425" w:rsidP="00016B43">
            <w:pPr>
              <w:pStyle w:val="NoSpacing"/>
              <w:jc w:val="right"/>
              <w:rPr>
                <w:rFonts w:eastAsia="Times New Roman" w:cs="Times New Roman"/>
                <w:color w:val="000000"/>
                <w:sz w:val="22"/>
                <w:szCs w:val="22"/>
              </w:rPr>
            </w:pPr>
            <w:r>
              <w:rPr>
                <w:rFonts w:eastAsia="Times New Roman" w:cs="Times New Roman"/>
                <w:color w:val="000000"/>
                <w:sz w:val="22"/>
                <w:szCs w:val="22"/>
              </w:rPr>
              <w:t>10.0</w:t>
            </w:r>
          </w:p>
        </w:tc>
      </w:tr>
      <w:tr w:rsidR="006003B5" w:rsidRPr="000467D5" w14:paraId="225CA0EF" w14:textId="77777777" w:rsidTr="009570A3">
        <w:trPr>
          <w:trHeight w:val="20"/>
          <w:jc w:val="center"/>
        </w:trPr>
        <w:tc>
          <w:tcPr>
            <w:tcW w:w="2879" w:type="dxa"/>
            <w:tcBorders>
              <w:top w:val="double" w:sz="4" w:space="0" w:color="auto"/>
              <w:left w:val="double" w:sz="4" w:space="0" w:color="auto"/>
              <w:bottom w:val="single" w:sz="4" w:space="0" w:color="auto"/>
            </w:tcBorders>
            <w:noWrap/>
            <w:hideMark/>
          </w:tcPr>
          <w:p w14:paraId="14B4E855" w14:textId="6DF79FE3" w:rsidR="006003B5" w:rsidRPr="000467D5" w:rsidRDefault="00EF5759" w:rsidP="00335680">
            <w:pPr>
              <w:pStyle w:val="NoSpacing"/>
              <w:rPr>
                <w:rFonts w:cs="Times New Roman"/>
                <w:sz w:val="22"/>
                <w:szCs w:val="22"/>
              </w:rPr>
            </w:pPr>
            <w:r>
              <w:rPr>
                <w:b/>
              </w:rPr>
              <w:br w:type="page"/>
            </w:r>
            <w:r w:rsidR="006003B5" w:rsidRPr="000467D5">
              <w:rPr>
                <w:rFonts w:cs="Times New Roman"/>
                <w:sz w:val="22"/>
                <w:szCs w:val="22"/>
              </w:rPr>
              <w:t>Variable</w:t>
            </w:r>
          </w:p>
        </w:tc>
        <w:tc>
          <w:tcPr>
            <w:tcW w:w="787" w:type="dxa"/>
            <w:gridSpan w:val="2"/>
            <w:tcBorders>
              <w:top w:val="double" w:sz="4" w:space="0" w:color="auto"/>
              <w:bottom w:val="single" w:sz="4" w:space="0" w:color="auto"/>
            </w:tcBorders>
            <w:noWrap/>
            <w:vAlign w:val="center"/>
            <w:hideMark/>
          </w:tcPr>
          <w:p w14:paraId="7B41C28B" w14:textId="77777777" w:rsidR="006003B5" w:rsidRPr="000467D5" w:rsidRDefault="006003B5" w:rsidP="00335680">
            <w:pPr>
              <w:pStyle w:val="NoSpacing"/>
              <w:jc w:val="right"/>
              <w:rPr>
                <w:rFonts w:cs="Times New Roman"/>
                <w:sz w:val="22"/>
                <w:szCs w:val="22"/>
              </w:rPr>
            </w:pPr>
            <w:r w:rsidRPr="000467D5">
              <w:rPr>
                <w:rFonts w:cs="Times New Roman"/>
                <w:sz w:val="22"/>
                <w:szCs w:val="22"/>
              </w:rPr>
              <w:t>Count</w:t>
            </w:r>
          </w:p>
        </w:tc>
        <w:tc>
          <w:tcPr>
            <w:tcW w:w="923" w:type="dxa"/>
            <w:tcBorders>
              <w:top w:val="double" w:sz="4" w:space="0" w:color="auto"/>
              <w:bottom w:val="single" w:sz="4" w:space="0" w:color="auto"/>
              <w:right w:val="double" w:sz="4" w:space="0" w:color="auto"/>
            </w:tcBorders>
            <w:noWrap/>
            <w:vAlign w:val="center"/>
            <w:hideMark/>
          </w:tcPr>
          <w:p w14:paraId="24D13B25" w14:textId="77777777" w:rsidR="006003B5" w:rsidRPr="000467D5" w:rsidRDefault="006003B5" w:rsidP="00335680">
            <w:pPr>
              <w:pStyle w:val="NoSpacing"/>
              <w:jc w:val="right"/>
              <w:rPr>
                <w:rFonts w:cs="Times New Roman"/>
                <w:sz w:val="22"/>
                <w:szCs w:val="22"/>
              </w:rPr>
            </w:pPr>
            <w:r w:rsidRPr="000467D5">
              <w:rPr>
                <w:rFonts w:cs="Times New Roman"/>
                <w:sz w:val="22"/>
                <w:szCs w:val="22"/>
              </w:rPr>
              <w:t>%</w:t>
            </w:r>
          </w:p>
        </w:tc>
        <w:tc>
          <w:tcPr>
            <w:tcW w:w="2960" w:type="dxa"/>
            <w:gridSpan w:val="3"/>
            <w:tcBorders>
              <w:top w:val="double" w:sz="4" w:space="0" w:color="auto"/>
              <w:left w:val="double" w:sz="4" w:space="0" w:color="auto"/>
              <w:bottom w:val="single" w:sz="4" w:space="0" w:color="auto"/>
            </w:tcBorders>
            <w:noWrap/>
            <w:hideMark/>
          </w:tcPr>
          <w:p w14:paraId="09D6BC9B" w14:textId="77777777" w:rsidR="006003B5" w:rsidRPr="000467D5" w:rsidRDefault="006003B5" w:rsidP="00335680">
            <w:pPr>
              <w:pStyle w:val="NoSpacing"/>
              <w:rPr>
                <w:rFonts w:cs="Times New Roman"/>
                <w:sz w:val="22"/>
                <w:szCs w:val="22"/>
              </w:rPr>
            </w:pPr>
            <w:r w:rsidRPr="000467D5">
              <w:rPr>
                <w:rFonts w:cs="Times New Roman"/>
                <w:sz w:val="22"/>
                <w:szCs w:val="22"/>
              </w:rPr>
              <w:t>Variable</w:t>
            </w:r>
          </w:p>
        </w:tc>
        <w:tc>
          <w:tcPr>
            <w:tcW w:w="921" w:type="dxa"/>
            <w:gridSpan w:val="3"/>
            <w:tcBorders>
              <w:top w:val="double" w:sz="4" w:space="0" w:color="auto"/>
              <w:bottom w:val="single" w:sz="4" w:space="0" w:color="auto"/>
            </w:tcBorders>
            <w:noWrap/>
            <w:vAlign w:val="center"/>
            <w:hideMark/>
          </w:tcPr>
          <w:p w14:paraId="0E0E48B3" w14:textId="77777777" w:rsidR="006003B5" w:rsidRPr="000467D5" w:rsidRDefault="006003B5" w:rsidP="00335680">
            <w:pPr>
              <w:pStyle w:val="NoSpacing"/>
              <w:jc w:val="right"/>
              <w:rPr>
                <w:rFonts w:cs="Times New Roman"/>
                <w:sz w:val="22"/>
                <w:szCs w:val="22"/>
              </w:rPr>
            </w:pPr>
            <w:r w:rsidRPr="000467D5">
              <w:rPr>
                <w:rFonts w:cs="Times New Roman"/>
                <w:sz w:val="22"/>
                <w:szCs w:val="22"/>
              </w:rPr>
              <w:t>Count</w:t>
            </w:r>
          </w:p>
        </w:tc>
        <w:tc>
          <w:tcPr>
            <w:tcW w:w="936" w:type="dxa"/>
            <w:gridSpan w:val="2"/>
            <w:tcBorders>
              <w:top w:val="double" w:sz="4" w:space="0" w:color="auto"/>
              <w:bottom w:val="single" w:sz="4" w:space="0" w:color="auto"/>
              <w:right w:val="double" w:sz="4" w:space="0" w:color="auto"/>
            </w:tcBorders>
            <w:noWrap/>
            <w:vAlign w:val="center"/>
            <w:hideMark/>
          </w:tcPr>
          <w:p w14:paraId="5507ABF4" w14:textId="77777777" w:rsidR="006003B5" w:rsidRPr="000467D5" w:rsidRDefault="006003B5" w:rsidP="00335680">
            <w:pPr>
              <w:pStyle w:val="NoSpacing"/>
              <w:jc w:val="right"/>
              <w:rPr>
                <w:rFonts w:cs="Times New Roman"/>
                <w:sz w:val="22"/>
                <w:szCs w:val="22"/>
              </w:rPr>
            </w:pPr>
            <w:r w:rsidRPr="000467D5">
              <w:rPr>
                <w:rFonts w:cs="Times New Roman"/>
                <w:sz w:val="22"/>
                <w:szCs w:val="22"/>
              </w:rPr>
              <w:t>%</w:t>
            </w:r>
          </w:p>
        </w:tc>
      </w:tr>
      <w:tr w:rsidR="00E610E1" w:rsidRPr="000467D5" w14:paraId="6A131277" w14:textId="77777777" w:rsidTr="009570A3">
        <w:trPr>
          <w:trHeight w:val="20"/>
          <w:jc w:val="center"/>
        </w:trPr>
        <w:tc>
          <w:tcPr>
            <w:tcW w:w="4589" w:type="dxa"/>
            <w:gridSpan w:val="4"/>
            <w:tcBorders>
              <w:top w:val="single" w:sz="4" w:space="0" w:color="auto"/>
              <w:left w:val="double" w:sz="4" w:space="0" w:color="auto"/>
              <w:bottom w:val="single" w:sz="4" w:space="0" w:color="auto"/>
              <w:right w:val="double" w:sz="4" w:space="0" w:color="auto"/>
            </w:tcBorders>
            <w:noWrap/>
            <w:vAlign w:val="center"/>
            <w:hideMark/>
          </w:tcPr>
          <w:p w14:paraId="5696BCE0" w14:textId="3FDCFABF" w:rsidR="00E610E1" w:rsidRPr="000467D5" w:rsidRDefault="00E610E1" w:rsidP="00E610E1">
            <w:pPr>
              <w:pStyle w:val="NoSpacing"/>
              <w:jc w:val="left"/>
              <w:rPr>
                <w:rFonts w:cs="Times New Roman"/>
                <w:sz w:val="22"/>
                <w:szCs w:val="22"/>
              </w:rPr>
            </w:pPr>
            <w:r>
              <w:rPr>
                <w:rFonts w:cs="Times New Roman"/>
                <w:b/>
                <w:bCs/>
                <w:sz w:val="22"/>
                <w:szCs w:val="22"/>
              </w:rPr>
              <w:t>Average duration of mandatory episode</w:t>
            </w:r>
          </w:p>
        </w:tc>
        <w:tc>
          <w:tcPr>
            <w:tcW w:w="4817" w:type="dxa"/>
            <w:gridSpan w:val="8"/>
            <w:tcBorders>
              <w:top w:val="single" w:sz="4" w:space="0" w:color="auto"/>
              <w:left w:val="double" w:sz="4" w:space="0" w:color="auto"/>
              <w:bottom w:val="single" w:sz="4" w:space="0" w:color="auto"/>
              <w:right w:val="double" w:sz="4" w:space="0" w:color="auto"/>
            </w:tcBorders>
            <w:noWrap/>
            <w:vAlign w:val="center"/>
            <w:hideMark/>
          </w:tcPr>
          <w:p w14:paraId="6FD8C539" w14:textId="5C75F60B" w:rsidR="00E610E1" w:rsidRPr="000467D5" w:rsidRDefault="00AA04C5" w:rsidP="00E610E1">
            <w:pPr>
              <w:pStyle w:val="NoSpacing"/>
              <w:jc w:val="left"/>
              <w:rPr>
                <w:rFonts w:cs="Times New Roman"/>
                <w:sz w:val="22"/>
                <w:szCs w:val="22"/>
              </w:rPr>
            </w:pPr>
            <w:r>
              <w:rPr>
                <w:rFonts w:cs="Times New Roman"/>
                <w:b/>
                <w:bCs/>
                <w:sz w:val="22"/>
                <w:szCs w:val="22"/>
              </w:rPr>
              <w:t>Average duration of discretionary episode</w:t>
            </w:r>
          </w:p>
        </w:tc>
      </w:tr>
      <w:tr w:rsidR="00E610E1" w:rsidRPr="000467D5" w14:paraId="41FEE23C" w14:textId="77777777" w:rsidTr="009570A3">
        <w:trPr>
          <w:trHeight w:val="20"/>
          <w:jc w:val="center"/>
        </w:trPr>
        <w:tc>
          <w:tcPr>
            <w:tcW w:w="2969" w:type="dxa"/>
            <w:gridSpan w:val="2"/>
            <w:tcBorders>
              <w:top w:val="single" w:sz="4" w:space="0" w:color="auto"/>
              <w:left w:val="double" w:sz="4" w:space="0" w:color="auto"/>
            </w:tcBorders>
            <w:noWrap/>
            <w:vAlign w:val="bottom"/>
          </w:tcPr>
          <w:p w14:paraId="78B85BAF" w14:textId="412BB04A" w:rsidR="00E610E1" w:rsidRPr="006003B5" w:rsidRDefault="00E610E1" w:rsidP="00E610E1">
            <w:pPr>
              <w:pStyle w:val="NoSpacing"/>
              <w:rPr>
                <w:rFonts w:cs="Times New Roman"/>
                <w:sz w:val="22"/>
                <w:szCs w:val="22"/>
              </w:rPr>
            </w:pPr>
            <w:r>
              <w:rPr>
                <w:rFonts w:cs="Times New Roman"/>
                <w:color w:val="000000"/>
                <w:sz w:val="22"/>
                <w:szCs w:val="22"/>
              </w:rPr>
              <w:t>N</w:t>
            </w:r>
            <w:r w:rsidRPr="006003B5">
              <w:rPr>
                <w:rFonts w:cs="Times New Roman"/>
                <w:color w:val="000000"/>
                <w:sz w:val="22"/>
                <w:szCs w:val="22"/>
              </w:rPr>
              <w:t xml:space="preserve">o </w:t>
            </w:r>
            <w:r>
              <w:rPr>
                <w:rFonts w:cs="Times New Roman"/>
                <w:color w:val="000000"/>
                <w:sz w:val="22"/>
                <w:szCs w:val="22"/>
              </w:rPr>
              <w:t>episode</w:t>
            </w:r>
            <w:r w:rsidRPr="006003B5">
              <w:rPr>
                <w:rFonts w:cs="Times New Roman"/>
                <w:color w:val="000000"/>
                <w:sz w:val="22"/>
                <w:szCs w:val="22"/>
              </w:rPr>
              <w:t xml:space="preserve"> in the survey week</w:t>
            </w:r>
          </w:p>
        </w:tc>
        <w:tc>
          <w:tcPr>
            <w:tcW w:w="697" w:type="dxa"/>
            <w:tcBorders>
              <w:top w:val="single" w:sz="4" w:space="0" w:color="auto"/>
            </w:tcBorders>
            <w:noWrap/>
            <w:vAlign w:val="bottom"/>
          </w:tcPr>
          <w:p w14:paraId="53A23D76" w14:textId="0BFF635A" w:rsidR="00E610E1" w:rsidRPr="006003B5" w:rsidRDefault="00E610E1" w:rsidP="00E610E1">
            <w:pPr>
              <w:pStyle w:val="NoSpacing"/>
              <w:jc w:val="right"/>
              <w:rPr>
                <w:rFonts w:cs="Times New Roman"/>
                <w:sz w:val="22"/>
                <w:szCs w:val="22"/>
              </w:rPr>
            </w:pPr>
            <w:r w:rsidRPr="006003B5">
              <w:rPr>
                <w:rFonts w:cs="Times New Roman"/>
                <w:color w:val="000000"/>
                <w:sz w:val="22"/>
                <w:szCs w:val="22"/>
              </w:rPr>
              <w:t>606</w:t>
            </w:r>
          </w:p>
        </w:tc>
        <w:tc>
          <w:tcPr>
            <w:tcW w:w="923" w:type="dxa"/>
            <w:tcBorders>
              <w:top w:val="single" w:sz="4" w:space="0" w:color="auto"/>
              <w:bottom w:val="nil"/>
              <w:right w:val="double" w:sz="4" w:space="0" w:color="auto"/>
            </w:tcBorders>
            <w:noWrap/>
            <w:vAlign w:val="center"/>
          </w:tcPr>
          <w:p w14:paraId="121CBF7F" w14:textId="3302C114" w:rsidR="00E610E1" w:rsidRPr="000467D5" w:rsidRDefault="00E610E1" w:rsidP="00E610E1">
            <w:pPr>
              <w:pStyle w:val="NoSpacing"/>
              <w:jc w:val="right"/>
              <w:rPr>
                <w:rFonts w:cs="Times New Roman"/>
                <w:sz w:val="22"/>
                <w:szCs w:val="22"/>
              </w:rPr>
            </w:pPr>
            <w:r>
              <w:rPr>
                <w:rFonts w:cs="Times New Roman"/>
                <w:sz w:val="22"/>
                <w:szCs w:val="22"/>
              </w:rPr>
              <w:t>18.3</w:t>
            </w:r>
          </w:p>
        </w:tc>
        <w:tc>
          <w:tcPr>
            <w:tcW w:w="2960" w:type="dxa"/>
            <w:gridSpan w:val="3"/>
            <w:tcBorders>
              <w:top w:val="single" w:sz="4" w:space="0" w:color="auto"/>
              <w:left w:val="double" w:sz="4" w:space="0" w:color="auto"/>
              <w:bottom w:val="nil"/>
            </w:tcBorders>
            <w:noWrap/>
            <w:vAlign w:val="bottom"/>
          </w:tcPr>
          <w:p w14:paraId="73EB26A0" w14:textId="7794D73A" w:rsidR="00E610E1" w:rsidRPr="000467D5" w:rsidRDefault="00E610E1" w:rsidP="00E610E1">
            <w:pPr>
              <w:pStyle w:val="NoSpacing"/>
              <w:rPr>
                <w:rFonts w:cs="Times New Roman"/>
                <w:sz w:val="22"/>
                <w:szCs w:val="22"/>
              </w:rPr>
            </w:pPr>
            <w:r>
              <w:rPr>
                <w:rFonts w:cs="Times New Roman"/>
                <w:color w:val="000000"/>
                <w:sz w:val="22"/>
                <w:szCs w:val="22"/>
              </w:rPr>
              <w:t>N</w:t>
            </w:r>
            <w:r w:rsidRPr="006003B5">
              <w:rPr>
                <w:rFonts w:cs="Times New Roman"/>
                <w:color w:val="000000"/>
                <w:sz w:val="22"/>
                <w:szCs w:val="22"/>
              </w:rPr>
              <w:t xml:space="preserve">o </w:t>
            </w:r>
            <w:r>
              <w:rPr>
                <w:rFonts w:cs="Times New Roman"/>
                <w:color w:val="000000"/>
                <w:sz w:val="22"/>
                <w:szCs w:val="22"/>
              </w:rPr>
              <w:t>episode</w:t>
            </w:r>
            <w:r w:rsidRPr="006003B5">
              <w:rPr>
                <w:rFonts w:cs="Times New Roman"/>
                <w:color w:val="000000"/>
                <w:sz w:val="22"/>
                <w:szCs w:val="22"/>
              </w:rPr>
              <w:t xml:space="preserve"> in the survey week</w:t>
            </w:r>
          </w:p>
        </w:tc>
        <w:tc>
          <w:tcPr>
            <w:tcW w:w="921" w:type="dxa"/>
            <w:gridSpan w:val="3"/>
            <w:tcBorders>
              <w:top w:val="single" w:sz="4" w:space="0" w:color="auto"/>
            </w:tcBorders>
            <w:noWrap/>
            <w:vAlign w:val="center"/>
          </w:tcPr>
          <w:p w14:paraId="1F35D0DF" w14:textId="2411BCD7" w:rsidR="00E610E1" w:rsidRPr="000467D5" w:rsidRDefault="00E610E1" w:rsidP="00E610E1">
            <w:pPr>
              <w:pStyle w:val="NoSpacing"/>
              <w:jc w:val="right"/>
              <w:rPr>
                <w:rFonts w:cs="Times New Roman"/>
                <w:sz w:val="22"/>
                <w:szCs w:val="22"/>
              </w:rPr>
            </w:pPr>
            <w:r>
              <w:rPr>
                <w:rFonts w:cs="Times New Roman"/>
                <w:sz w:val="22"/>
                <w:szCs w:val="22"/>
              </w:rPr>
              <w:t>846</w:t>
            </w:r>
          </w:p>
        </w:tc>
        <w:tc>
          <w:tcPr>
            <w:tcW w:w="936" w:type="dxa"/>
            <w:gridSpan w:val="2"/>
            <w:tcBorders>
              <w:top w:val="single" w:sz="4" w:space="0" w:color="auto"/>
              <w:right w:val="double" w:sz="4" w:space="0" w:color="auto"/>
            </w:tcBorders>
            <w:noWrap/>
            <w:vAlign w:val="center"/>
          </w:tcPr>
          <w:p w14:paraId="6E9AC184" w14:textId="578645D1" w:rsidR="00E610E1" w:rsidRPr="000467D5" w:rsidRDefault="00E610E1" w:rsidP="00E610E1">
            <w:pPr>
              <w:pStyle w:val="NoSpacing"/>
              <w:jc w:val="right"/>
              <w:rPr>
                <w:rFonts w:cs="Times New Roman"/>
                <w:sz w:val="22"/>
                <w:szCs w:val="22"/>
              </w:rPr>
            </w:pPr>
            <w:r>
              <w:rPr>
                <w:rFonts w:cs="Times New Roman"/>
                <w:sz w:val="22"/>
                <w:szCs w:val="22"/>
              </w:rPr>
              <w:t>25.5</w:t>
            </w:r>
          </w:p>
        </w:tc>
      </w:tr>
      <w:tr w:rsidR="00E610E1" w:rsidRPr="000467D5" w14:paraId="7C9F15FF" w14:textId="77777777" w:rsidTr="009570A3">
        <w:trPr>
          <w:trHeight w:val="20"/>
          <w:jc w:val="center"/>
        </w:trPr>
        <w:tc>
          <w:tcPr>
            <w:tcW w:w="2969" w:type="dxa"/>
            <w:gridSpan w:val="2"/>
            <w:tcBorders>
              <w:left w:val="double" w:sz="4" w:space="0" w:color="auto"/>
            </w:tcBorders>
            <w:noWrap/>
            <w:vAlign w:val="bottom"/>
          </w:tcPr>
          <w:p w14:paraId="6A39E63F" w14:textId="193A3074" w:rsidR="00E610E1" w:rsidRPr="006003B5" w:rsidRDefault="00E610E1" w:rsidP="00E610E1">
            <w:pPr>
              <w:pStyle w:val="NoSpacing"/>
              <w:rPr>
                <w:rFonts w:cs="Times New Roman"/>
                <w:sz w:val="22"/>
                <w:szCs w:val="22"/>
              </w:rPr>
            </w:pPr>
            <w:r>
              <w:rPr>
                <w:rFonts w:cs="Times New Roman"/>
                <w:color w:val="000000"/>
                <w:sz w:val="22"/>
                <w:szCs w:val="22"/>
              </w:rPr>
              <w:t>L</w:t>
            </w:r>
            <w:r w:rsidRPr="006003B5">
              <w:rPr>
                <w:rFonts w:cs="Times New Roman"/>
                <w:color w:val="000000"/>
                <w:sz w:val="22"/>
                <w:szCs w:val="22"/>
              </w:rPr>
              <w:t>ess than 2 hours</w:t>
            </w:r>
          </w:p>
        </w:tc>
        <w:tc>
          <w:tcPr>
            <w:tcW w:w="697" w:type="dxa"/>
            <w:noWrap/>
            <w:vAlign w:val="bottom"/>
          </w:tcPr>
          <w:p w14:paraId="4A42DF8B" w14:textId="2CD98312" w:rsidR="00E610E1" w:rsidRPr="006003B5" w:rsidRDefault="00E610E1" w:rsidP="00E610E1">
            <w:pPr>
              <w:pStyle w:val="NoSpacing"/>
              <w:jc w:val="right"/>
              <w:rPr>
                <w:rFonts w:cs="Times New Roman"/>
                <w:sz w:val="22"/>
                <w:szCs w:val="22"/>
              </w:rPr>
            </w:pPr>
            <w:r w:rsidRPr="006003B5">
              <w:rPr>
                <w:rFonts w:cs="Times New Roman"/>
                <w:color w:val="000000"/>
                <w:sz w:val="22"/>
                <w:szCs w:val="22"/>
              </w:rPr>
              <w:t>188</w:t>
            </w:r>
          </w:p>
        </w:tc>
        <w:tc>
          <w:tcPr>
            <w:tcW w:w="923" w:type="dxa"/>
            <w:tcBorders>
              <w:top w:val="nil"/>
              <w:bottom w:val="nil"/>
              <w:right w:val="double" w:sz="4" w:space="0" w:color="auto"/>
            </w:tcBorders>
            <w:noWrap/>
            <w:vAlign w:val="center"/>
          </w:tcPr>
          <w:p w14:paraId="0286BD7A" w14:textId="732DB8A6" w:rsidR="00E610E1" w:rsidRPr="000467D5" w:rsidRDefault="00E610E1" w:rsidP="00E610E1">
            <w:pPr>
              <w:pStyle w:val="NoSpacing"/>
              <w:jc w:val="right"/>
              <w:rPr>
                <w:rFonts w:cs="Times New Roman"/>
                <w:sz w:val="22"/>
                <w:szCs w:val="22"/>
              </w:rPr>
            </w:pPr>
            <w:r>
              <w:rPr>
                <w:rFonts w:cs="Times New Roman"/>
                <w:sz w:val="22"/>
                <w:szCs w:val="22"/>
              </w:rPr>
              <w:t>5.7</w:t>
            </w:r>
          </w:p>
        </w:tc>
        <w:tc>
          <w:tcPr>
            <w:tcW w:w="2960" w:type="dxa"/>
            <w:gridSpan w:val="3"/>
            <w:tcBorders>
              <w:top w:val="nil"/>
              <w:left w:val="double" w:sz="4" w:space="0" w:color="auto"/>
              <w:bottom w:val="nil"/>
            </w:tcBorders>
            <w:noWrap/>
            <w:vAlign w:val="bottom"/>
          </w:tcPr>
          <w:p w14:paraId="061FACF8" w14:textId="5531483A" w:rsidR="00E610E1" w:rsidRPr="000467D5" w:rsidRDefault="00E610E1" w:rsidP="00E610E1">
            <w:pPr>
              <w:pStyle w:val="NoSpacing"/>
              <w:rPr>
                <w:rFonts w:cs="Times New Roman"/>
                <w:sz w:val="22"/>
                <w:szCs w:val="22"/>
              </w:rPr>
            </w:pPr>
            <w:r w:rsidRPr="007925AD">
              <w:rPr>
                <w:rFonts w:cs="Times New Roman"/>
                <w:color w:val="000000"/>
                <w:sz w:val="22"/>
                <w:szCs w:val="22"/>
              </w:rPr>
              <w:t>Less than 1 hour</w:t>
            </w:r>
          </w:p>
        </w:tc>
        <w:tc>
          <w:tcPr>
            <w:tcW w:w="921" w:type="dxa"/>
            <w:gridSpan w:val="3"/>
            <w:noWrap/>
            <w:vAlign w:val="center"/>
          </w:tcPr>
          <w:p w14:paraId="083B49B1" w14:textId="5EACC916" w:rsidR="00E610E1" w:rsidRPr="000467D5" w:rsidRDefault="00E610E1" w:rsidP="00E610E1">
            <w:pPr>
              <w:pStyle w:val="NoSpacing"/>
              <w:jc w:val="right"/>
              <w:rPr>
                <w:rFonts w:cs="Times New Roman"/>
                <w:sz w:val="22"/>
                <w:szCs w:val="22"/>
              </w:rPr>
            </w:pPr>
            <w:r>
              <w:rPr>
                <w:rFonts w:cs="Times New Roman"/>
                <w:sz w:val="22"/>
                <w:szCs w:val="22"/>
              </w:rPr>
              <w:t>471</w:t>
            </w:r>
          </w:p>
        </w:tc>
        <w:tc>
          <w:tcPr>
            <w:tcW w:w="936" w:type="dxa"/>
            <w:gridSpan w:val="2"/>
            <w:tcBorders>
              <w:right w:val="double" w:sz="4" w:space="0" w:color="auto"/>
            </w:tcBorders>
            <w:noWrap/>
            <w:vAlign w:val="center"/>
          </w:tcPr>
          <w:p w14:paraId="6586BA1F" w14:textId="25AB400A" w:rsidR="00E610E1" w:rsidRPr="000467D5" w:rsidRDefault="00E610E1" w:rsidP="00E610E1">
            <w:pPr>
              <w:pStyle w:val="NoSpacing"/>
              <w:jc w:val="right"/>
              <w:rPr>
                <w:rFonts w:cs="Times New Roman"/>
                <w:sz w:val="22"/>
                <w:szCs w:val="22"/>
              </w:rPr>
            </w:pPr>
            <w:r>
              <w:rPr>
                <w:rFonts w:cs="Times New Roman"/>
                <w:sz w:val="22"/>
                <w:szCs w:val="22"/>
              </w:rPr>
              <w:t>14.2</w:t>
            </w:r>
          </w:p>
        </w:tc>
      </w:tr>
      <w:tr w:rsidR="00E610E1" w:rsidRPr="000467D5" w14:paraId="42373889" w14:textId="77777777" w:rsidTr="009570A3">
        <w:trPr>
          <w:trHeight w:val="20"/>
          <w:jc w:val="center"/>
        </w:trPr>
        <w:tc>
          <w:tcPr>
            <w:tcW w:w="2969" w:type="dxa"/>
            <w:gridSpan w:val="2"/>
            <w:tcBorders>
              <w:left w:val="double" w:sz="4" w:space="0" w:color="auto"/>
            </w:tcBorders>
            <w:noWrap/>
            <w:vAlign w:val="bottom"/>
          </w:tcPr>
          <w:p w14:paraId="7E1BCFAB" w14:textId="2F860B8D" w:rsidR="00E610E1" w:rsidRPr="006003B5" w:rsidRDefault="00E610E1" w:rsidP="00E610E1">
            <w:pPr>
              <w:pStyle w:val="NoSpacing"/>
              <w:rPr>
                <w:rFonts w:cs="Times New Roman"/>
                <w:sz w:val="22"/>
                <w:szCs w:val="22"/>
              </w:rPr>
            </w:pPr>
            <w:r w:rsidRPr="006003B5">
              <w:rPr>
                <w:rFonts w:cs="Times New Roman"/>
                <w:color w:val="000000"/>
                <w:sz w:val="22"/>
                <w:szCs w:val="22"/>
              </w:rPr>
              <w:t>2-4 hours</w:t>
            </w:r>
          </w:p>
        </w:tc>
        <w:tc>
          <w:tcPr>
            <w:tcW w:w="697" w:type="dxa"/>
            <w:noWrap/>
            <w:vAlign w:val="bottom"/>
          </w:tcPr>
          <w:p w14:paraId="0BFAD307" w14:textId="4475FB09" w:rsidR="00E610E1" w:rsidRPr="006003B5" w:rsidRDefault="00E610E1" w:rsidP="00E610E1">
            <w:pPr>
              <w:pStyle w:val="NoSpacing"/>
              <w:jc w:val="right"/>
              <w:rPr>
                <w:rFonts w:cs="Times New Roman"/>
                <w:sz w:val="22"/>
                <w:szCs w:val="22"/>
              </w:rPr>
            </w:pPr>
            <w:r w:rsidRPr="006003B5">
              <w:rPr>
                <w:rFonts w:cs="Times New Roman"/>
                <w:color w:val="000000"/>
                <w:sz w:val="22"/>
                <w:szCs w:val="22"/>
              </w:rPr>
              <w:t>399</w:t>
            </w:r>
          </w:p>
        </w:tc>
        <w:tc>
          <w:tcPr>
            <w:tcW w:w="923" w:type="dxa"/>
            <w:tcBorders>
              <w:top w:val="nil"/>
              <w:bottom w:val="nil"/>
              <w:right w:val="double" w:sz="4" w:space="0" w:color="auto"/>
            </w:tcBorders>
            <w:noWrap/>
            <w:vAlign w:val="center"/>
          </w:tcPr>
          <w:p w14:paraId="307E696B" w14:textId="56530003" w:rsidR="00E610E1" w:rsidRPr="000467D5" w:rsidRDefault="00E610E1" w:rsidP="00E610E1">
            <w:pPr>
              <w:pStyle w:val="NoSpacing"/>
              <w:jc w:val="right"/>
              <w:rPr>
                <w:rFonts w:cs="Times New Roman"/>
                <w:sz w:val="22"/>
                <w:szCs w:val="22"/>
              </w:rPr>
            </w:pPr>
            <w:r>
              <w:rPr>
                <w:rFonts w:cs="Times New Roman"/>
                <w:sz w:val="22"/>
                <w:szCs w:val="22"/>
              </w:rPr>
              <w:t>12.0</w:t>
            </w:r>
          </w:p>
        </w:tc>
        <w:tc>
          <w:tcPr>
            <w:tcW w:w="2960" w:type="dxa"/>
            <w:gridSpan w:val="3"/>
            <w:tcBorders>
              <w:top w:val="nil"/>
              <w:left w:val="double" w:sz="4" w:space="0" w:color="auto"/>
              <w:bottom w:val="nil"/>
            </w:tcBorders>
            <w:noWrap/>
            <w:vAlign w:val="bottom"/>
          </w:tcPr>
          <w:p w14:paraId="7C9EF859" w14:textId="35C47A74" w:rsidR="00E610E1" w:rsidRPr="000467D5" w:rsidRDefault="00E610E1" w:rsidP="00E610E1">
            <w:pPr>
              <w:pStyle w:val="NoSpacing"/>
              <w:rPr>
                <w:rFonts w:cs="Times New Roman"/>
                <w:sz w:val="22"/>
                <w:szCs w:val="22"/>
              </w:rPr>
            </w:pPr>
            <w:r w:rsidRPr="007925AD">
              <w:rPr>
                <w:rFonts w:cs="Times New Roman"/>
                <w:color w:val="000000"/>
                <w:sz w:val="22"/>
                <w:szCs w:val="22"/>
              </w:rPr>
              <w:t>1-2 hours</w:t>
            </w:r>
          </w:p>
        </w:tc>
        <w:tc>
          <w:tcPr>
            <w:tcW w:w="921" w:type="dxa"/>
            <w:gridSpan w:val="3"/>
            <w:tcBorders>
              <w:bottom w:val="nil"/>
            </w:tcBorders>
            <w:noWrap/>
            <w:vAlign w:val="center"/>
          </w:tcPr>
          <w:p w14:paraId="79AA5D4C" w14:textId="4D9A7E2B" w:rsidR="00E610E1" w:rsidRPr="000467D5" w:rsidRDefault="00E610E1" w:rsidP="00E610E1">
            <w:pPr>
              <w:pStyle w:val="NoSpacing"/>
              <w:jc w:val="right"/>
              <w:rPr>
                <w:rFonts w:cs="Times New Roman"/>
                <w:sz w:val="22"/>
                <w:szCs w:val="22"/>
              </w:rPr>
            </w:pPr>
            <w:r w:rsidRPr="007925AD">
              <w:rPr>
                <w:rFonts w:cs="Times New Roman"/>
                <w:bCs/>
                <w:sz w:val="22"/>
                <w:szCs w:val="22"/>
              </w:rPr>
              <w:t>916</w:t>
            </w:r>
          </w:p>
        </w:tc>
        <w:tc>
          <w:tcPr>
            <w:tcW w:w="936" w:type="dxa"/>
            <w:gridSpan w:val="2"/>
            <w:tcBorders>
              <w:bottom w:val="nil"/>
              <w:right w:val="double" w:sz="4" w:space="0" w:color="auto"/>
            </w:tcBorders>
            <w:noWrap/>
            <w:vAlign w:val="center"/>
          </w:tcPr>
          <w:p w14:paraId="17CA2D44" w14:textId="3AE72325" w:rsidR="00E610E1" w:rsidRPr="000467D5" w:rsidRDefault="00E610E1" w:rsidP="00E610E1">
            <w:pPr>
              <w:pStyle w:val="NoSpacing"/>
              <w:jc w:val="right"/>
              <w:rPr>
                <w:rFonts w:cs="Times New Roman"/>
                <w:sz w:val="22"/>
                <w:szCs w:val="22"/>
              </w:rPr>
            </w:pPr>
            <w:r>
              <w:rPr>
                <w:rFonts w:cs="Times New Roman"/>
                <w:sz w:val="22"/>
                <w:szCs w:val="22"/>
              </w:rPr>
              <w:t>27.6</w:t>
            </w:r>
          </w:p>
        </w:tc>
      </w:tr>
      <w:tr w:rsidR="00E610E1" w:rsidRPr="000467D5" w14:paraId="2226236E" w14:textId="77777777" w:rsidTr="009570A3">
        <w:trPr>
          <w:trHeight w:val="20"/>
          <w:jc w:val="center"/>
        </w:trPr>
        <w:tc>
          <w:tcPr>
            <w:tcW w:w="2969" w:type="dxa"/>
            <w:gridSpan w:val="2"/>
            <w:tcBorders>
              <w:left w:val="double" w:sz="4" w:space="0" w:color="auto"/>
            </w:tcBorders>
            <w:noWrap/>
            <w:vAlign w:val="bottom"/>
          </w:tcPr>
          <w:p w14:paraId="5B80A766" w14:textId="7D2C67CD" w:rsidR="00E610E1" w:rsidRPr="006003B5" w:rsidRDefault="00E610E1" w:rsidP="00E610E1">
            <w:pPr>
              <w:pStyle w:val="NoSpacing"/>
              <w:rPr>
                <w:rFonts w:cs="Times New Roman"/>
                <w:sz w:val="22"/>
                <w:szCs w:val="22"/>
              </w:rPr>
            </w:pPr>
            <w:r w:rsidRPr="006003B5">
              <w:rPr>
                <w:rFonts w:cs="Times New Roman"/>
                <w:color w:val="000000"/>
                <w:sz w:val="22"/>
                <w:szCs w:val="22"/>
              </w:rPr>
              <w:t>4-6 hours</w:t>
            </w:r>
          </w:p>
        </w:tc>
        <w:tc>
          <w:tcPr>
            <w:tcW w:w="697" w:type="dxa"/>
            <w:noWrap/>
            <w:vAlign w:val="bottom"/>
          </w:tcPr>
          <w:p w14:paraId="71A2E6C4" w14:textId="2B971404" w:rsidR="00E610E1" w:rsidRPr="006003B5" w:rsidRDefault="00E610E1" w:rsidP="00E610E1">
            <w:pPr>
              <w:pStyle w:val="NoSpacing"/>
              <w:jc w:val="right"/>
              <w:rPr>
                <w:rFonts w:cs="Times New Roman"/>
                <w:sz w:val="22"/>
                <w:szCs w:val="22"/>
              </w:rPr>
            </w:pPr>
            <w:r w:rsidRPr="006003B5">
              <w:rPr>
                <w:rFonts w:cs="Times New Roman"/>
                <w:color w:val="000000"/>
                <w:sz w:val="22"/>
                <w:szCs w:val="22"/>
              </w:rPr>
              <w:t>547</w:t>
            </w:r>
          </w:p>
        </w:tc>
        <w:tc>
          <w:tcPr>
            <w:tcW w:w="923" w:type="dxa"/>
            <w:tcBorders>
              <w:top w:val="nil"/>
              <w:bottom w:val="nil"/>
              <w:right w:val="double" w:sz="4" w:space="0" w:color="auto"/>
            </w:tcBorders>
            <w:noWrap/>
            <w:vAlign w:val="center"/>
          </w:tcPr>
          <w:p w14:paraId="117BF0EE" w14:textId="1CD63C7E" w:rsidR="00E610E1" w:rsidRPr="000467D5" w:rsidRDefault="00E610E1" w:rsidP="00E610E1">
            <w:pPr>
              <w:pStyle w:val="NoSpacing"/>
              <w:jc w:val="right"/>
              <w:rPr>
                <w:rFonts w:cs="Times New Roman"/>
                <w:sz w:val="22"/>
                <w:szCs w:val="22"/>
              </w:rPr>
            </w:pPr>
            <w:r>
              <w:rPr>
                <w:rFonts w:cs="Times New Roman"/>
                <w:sz w:val="22"/>
                <w:szCs w:val="22"/>
              </w:rPr>
              <w:t>16.5</w:t>
            </w:r>
          </w:p>
        </w:tc>
        <w:tc>
          <w:tcPr>
            <w:tcW w:w="2960" w:type="dxa"/>
            <w:gridSpan w:val="3"/>
            <w:tcBorders>
              <w:top w:val="nil"/>
              <w:left w:val="double" w:sz="4" w:space="0" w:color="auto"/>
              <w:bottom w:val="nil"/>
            </w:tcBorders>
            <w:noWrap/>
            <w:vAlign w:val="bottom"/>
          </w:tcPr>
          <w:p w14:paraId="5AD69A86" w14:textId="503C0F04" w:rsidR="00E610E1" w:rsidRPr="000467D5" w:rsidRDefault="00E610E1" w:rsidP="00E610E1">
            <w:pPr>
              <w:pStyle w:val="NoSpacing"/>
              <w:rPr>
                <w:rFonts w:cs="Times New Roman"/>
                <w:sz w:val="22"/>
                <w:szCs w:val="22"/>
              </w:rPr>
            </w:pPr>
            <w:r w:rsidRPr="007925AD">
              <w:rPr>
                <w:rFonts w:cs="Times New Roman"/>
                <w:color w:val="000000"/>
                <w:sz w:val="22"/>
                <w:szCs w:val="22"/>
              </w:rPr>
              <w:t>2-3 hours</w:t>
            </w:r>
          </w:p>
        </w:tc>
        <w:tc>
          <w:tcPr>
            <w:tcW w:w="921" w:type="dxa"/>
            <w:gridSpan w:val="3"/>
            <w:tcBorders>
              <w:top w:val="nil"/>
              <w:bottom w:val="nil"/>
            </w:tcBorders>
            <w:noWrap/>
            <w:vAlign w:val="center"/>
          </w:tcPr>
          <w:p w14:paraId="75F2EC21" w14:textId="2B18FEB8" w:rsidR="00E610E1" w:rsidRPr="000467D5" w:rsidRDefault="00E610E1" w:rsidP="00E610E1">
            <w:pPr>
              <w:pStyle w:val="NoSpacing"/>
              <w:jc w:val="right"/>
              <w:rPr>
                <w:rFonts w:cs="Times New Roman"/>
                <w:sz w:val="22"/>
                <w:szCs w:val="22"/>
              </w:rPr>
            </w:pPr>
            <w:r w:rsidRPr="007925AD">
              <w:rPr>
                <w:rFonts w:cs="Times New Roman"/>
                <w:bCs/>
                <w:sz w:val="22"/>
                <w:szCs w:val="22"/>
              </w:rPr>
              <w:t>587</w:t>
            </w:r>
          </w:p>
        </w:tc>
        <w:tc>
          <w:tcPr>
            <w:tcW w:w="936" w:type="dxa"/>
            <w:gridSpan w:val="2"/>
            <w:tcBorders>
              <w:top w:val="nil"/>
              <w:bottom w:val="nil"/>
              <w:right w:val="double" w:sz="4" w:space="0" w:color="auto"/>
            </w:tcBorders>
            <w:noWrap/>
            <w:vAlign w:val="center"/>
          </w:tcPr>
          <w:p w14:paraId="0359ABF2" w14:textId="78F0B2C1" w:rsidR="00E610E1" w:rsidRPr="000467D5" w:rsidRDefault="00E610E1" w:rsidP="00E610E1">
            <w:pPr>
              <w:pStyle w:val="NoSpacing"/>
              <w:jc w:val="right"/>
              <w:rPr>
                <w:rFonts w:cs="Times New Roman"/>
                <w:sz w:val="22"/>
                <w:szCs w:val="22"/>
              </w:rPr>
            </w:pPr>
            <w:r>
              <w:rPr>
                <w:rFonts w:cs="Times New Roman"/>
                <w:sz w:val="22"/>
                <w:szCs w:val="22"/>
              </w:rPr>
              <w:t>17.7</w:t>
            </w:r>
          </w:p>
        </w:tc>
      </w:tr>
      <w:tr w:rsidR="00E610E1" w:rsidRPr="000467D5" w14:paraId="4489994E" w14:textId="77777777" w:rsidTr="009570A3">
        <w:trPr>
          <w:trHeight w:val="20"/>
          <w:jc w:val="center"/>
        </w:trPr>
        <w:tc>
          <w:tcPr>
            <w:tcW w:w="2969" w:type="dxa"/>
            <w:gridSpan w:val="2"/>
            <w:tcBorders>
              <w:left w:val="double" w:sz="4" w:space="0" w:color="auto"/>
              <w:bottom w:val="nil"/>
            </w:tcBorders>
            <w:noWrap/>
            <w:vAlign w:val="bottom"/>
          </w:tcPr>
          <w:p w14:paraId="2C29F580" w14:textId="5DE7B0B2" w:rsidR="00E610E1" w:rsidRPr="006003B5" w:rsidRDefault="00E610E1" w:rsidP="00E610E1">
            <w:pPr>
              <w:pStyle w:val="NoSpacing"/>
              <w:rPr>
                <w:rFonts w:cs="Times New Roman"/>
                <w:sz w:val="22"/>
                <w:szCs w:val="22"/>
              </w:rPr>
            </w:pPr>
            <w:r w:rsidRPr="006003B5">
              <w:rPr>
                <w:rFonts w:cs="Times New Roman"/>
                <w:color w:val="000000"/>
                <w:sz w:val="22"/>
                <w:szCs w:val="22"/>
              </w:rPr>
              <w:t>6-8 hours</w:t>
            </w:r>
          </w:p>
        </w:tc>
        <w:tc>
          <w:tcPr>
            <w:tcW w:w="697" w:type="dxa"/>
            <w:tcBorders>
              <w:bottom w:val="nil"/>
            </w:tcBorders>
            <w:noWrap/>
            <w:vAlign w:val="bottom"/>
          </w:tcPr>
          <w:p w14:paraId="60BBEE5D" w14:textId="1C72954D" w:rsidR="00E610E1" w:rsidRPr="006003B5" w:rsidRDefault="00E610E1" w:rsidP="00E610E1">
            <w:pPr>
              <w:pStyle w:val="NoSpacing"/>
              <w:jc w:val="right"/>
              <w:rPr>
                <w:rFonts w:cs="Times New Roman"/>
                <w:sz w:val="22"/>
                <w:szCs w:val="22"/>
              </w:rPr>
            </w:pPr>
            <w:r w:rsidRPr="006003B5">
              <w:rPr>
                <w:rFonts w:cs="Times New Roman"/>
                <w:color w:val="000000"/>
                <w:sz w:val="22"/>
                <w:szCs w:val="22"/>
              </w:rPr>
              <w:t>678</w:t>
            </w:r>
          </w:p>
        </w:tc>
        <w:tc>
          <w:tcPr>
            <w:tcW w:w="923" w:type="dxa"/>
            <w:tcBorders>
              <w:top w:val="nil"/>
              <w:bottom w:val="nil"/>
              <w:right w:val="double" w:sz="4" w:space="0" w:color="auto"/>
            </w:tcBorders>
            <w:noWrap/>
            <w:vAlign w:val="center"/>
          </w:tcPr>
          <w:p w14:paraId="24B44ED6" w14:textId="0B1D769F" w:rsidR="00E610E1" w:rsidRPr="000467D5" w:rsidRDefault="00E610E1" w:rsidP="00E610E1">
            <w:pPr>
              <w:pStyle w:val="NoSpacing"/>
              <w:jc w:val="right"/>
              <w:rPr>
                <w:rFonts w:cs="Times New Roman"/>
                <w:sz w:val="22"/>
                <w:szCs w:val="22"/>
              </w:rPr>
            </w:pPr>
            <w:r>
              <w:rPr>
                <w:rFonts w:cs="Times New Roman"/>
                <w:sz w:val="22"/>
                <w:szCs w:val="22"/>
              </w:rPr>
              <w:t>20.4</w:t>
            </w:r>
          </w:p>
        </w:tc>
        <w:tc>
          <w:tcPr>
            <w:tcW w:w="3019" w:type="dxa"/>
            <w:gridSpan w:val="4"/>
            <w:tcBorders>
              <w:top w:val="nil"/>
              <w:left w:val="double" w:sz="4" w:space="0" w:color="auto"/>
              <w:bottom w:val="single" w:sz="4" w:space="0" w:color="auto"/>
              <w:right w:val="nil"/>
            </w:tcBorders>
            <w:noWrap/>
            <w:vAlign w:val="bottom"/>
          </w:tcPr>
          <w:p w14:paraId="75270DB7" w14:textId="4506951E" w:rsidR="00E610E1" w:rsidRPr="000467D5" w:rsidRDefault="00E610E1" w:rsidP="00E610E1">
            <w:pPr>
              <w:pStyle w:val="NoSpacing"/>
              <w:jc w:val="left"/>
              <w:rPr>
                <w:rFonts w:cs="Times New Roman"/>
                <w:sz w:val="22"/>
                <w:szCs w:val="22"/>
              </w:rPr>
            </w:pPr>
            <w:r w:rsidRPr="007925AD">
              <w:rPr>
                <w:rFonts w:cs="Times New Roman"/>
                <w:color w:val="000000"/>
                <w:sz w:val="22"/>
                <w:szCs w:val="22"/>
              </w:rPr>
              <w:t xml:space="preserve">More than 3 hours </w:t>
            </w:r>
          </w:p>
        </w:tc>
        <w:tc>
          <w:tcPr>
            <w:tcW w:w="900" w:type="dxa"/>
            <w:gridSpan w:val="3"/>
            <w:tcBorders>
              <w:top w:val="nil"/>
              <w:left w:val="nil"/>
              <w:bottom w:val="single" w:sz="4" w:space="0" w:color="auto"/>
              <w:right w:val="nil"/>
            </w:tcBorders>
            <w:vAlign w:val="center"/>
          </w:tcPr>
          <w:p w14:paraId="7646242E" w14:textId="2893753E" w:rsidR="00E610E1" w:rsidRPr="000467D5" w:rsidRDefault="00E610E1" w:rsidP="00E610E1">
            <w:pPr>
              <w:pStyle w:val="NoSpacing"/>
              <w:jc w:val="right"/>
              <w:rPr>
                <w:rFonts w:cs="Times New Roman"/>
                <w:sz w:val="22"/>
                <w:szCs w:val="22"/>
              </w:rPr>
            </w:pPr>
            <w:r w:rsidRPr="007925AD">
              <w:rPr>
                <w:rFonts w:cs="Times New Roman"/>
                <w:bCs/>
                <w:sz w:val="22"/>
                <w:szCs w:val="22"/>
              </w:rPr>
              <w:t>499</w:t>
            </w:r>
          </w:p>
        </w:tc>
        <w:tc>
          <w:tcPr>
            <w:tcW w:w="898" w:type="dxa"/>
            <w:tcBorders>
              <w:top w:val="nil"/>
              <w:left w:val="nil"/>
              <w:bottom w:val="single" w:sz="4" w:space="0" w:color="auto"/>
              <w:right w:val="double" w:sz="4" w:space="0" w:color="auto"/>
            </w:tcBorders>
            <w:vAlign w:val="center"/>
          </w:tcPr>
          <w:p w14:paraId="3441348B" w14:textId="3C05A118" w:rsidR="00E610E1" w:rsidRPr="000467D5" w:rsidRDefault="00E610E1" w:rsidP="00E610E1">
            <w:pPr>
              <w:pStyle w:val="NoSpacing"/>
              <w:jc w:val="right"/>
              <w:rPr>
                <w:rFonts w:cs="Times New Roman"/>
                <w:sz w:val="22"/>
                <w:szCs w:val="22"/>
              </w:rPr>
            </w:pPr>
            <w:r>
              <w:rPr>
                <w:rFonts w:cs="Times New Roman"/>
                <w:sz w:val="22"/>
                <w:szCs w:val="22"/>
              </w:rPr>
              <w:t>15.0</w:t>
            </w:r>
          </w:p>
        </w:tc>
      </w:tr>
      <w:tr w:rsidR="00EB5A35" w:rsidRPr="000467D5" w14:paraId="60A272F6" w14:textId="77777777" w:rsidTr="009570A3">
        <w:trPr>
          <w:trHeight w:val="20"/>
          <w:jc w:val="center"/>
        </w:trPr>
        <w:tc>
          <w:tcPr>
            <w:tcW w:w="2969" w:type="dxa"/>
            <w:gridSpan w:val="2"/>
            <w:tcBorders>
              <w:top w:val="nil"/>
              <w:left w:val="double" w:sz="4" w:space="0" w:color="auto"/>
              <w:bottom w:val="single" w:sz="4" w:space="0" w:color="auto"/>
            </w:tcBorders>
            <w:noWrap/>
            <w:vAlign w:val="bottom"/>
          </w:tcPr>
          <w:p w14:paraId="388546DD" w14:textId="72D66F61" w:rsidR="00EB5A35" w:rsidRPr="006003B5" w:rsidRDefault="00EB5A35" w:rsidP="00EB5A35">
            <w:pPr>
              <w:pStyle w:val="NoSpacing"/>
              <w:rPr>
                <w:rFonts w:cs="Times New Roman"/>
                <w:sz w:val="22"/>
                <w:szCs w:val="22"/>
              </w:rPr>
            </w:pPr>
            <w:r w:rsidRPr="006003B5">
              <w:rPr>
                <w:rFonts w:cs="Times New Roman"/>
                <w:color w:val="000000"/>
                <w:sz w:val="22"/>
                <w:szCs w:val="22"/>
              </w:rPr>
              <w:t>8 or more</w:t>
            </w:r>
          </w:p>
        </w:tc>
        <w:tc>
          <w:tcPr>
            <w:tcW w:w="697" w:type="dxa"/>
            <w:tcBorders>
              <w:top w:val="nil"/>
              <w:bottom w:val="single" w:sz="4" w:space="0" w:color="auto"/>
            </w:tcBorders>
            <w:noWrap/>
            <w:vAlign w:val="bottom"/>
          </w:tcPr>
          <w:p w14:paraId="6BFC6F43" w14:textId="277BD639" w:rsidR="00EB5A35" w:rsidRPr="006003B5" w:rsidRDefault="00EB5A35" w:rsidP="00EB5A35">
            <w:pPr>
              <w:pStyle w:val="NoSpacing"/>
              <w:jc w:val="right"/>
              <w:rPr>
                <w:rFonts w:cs="Times New Roman"/>
                <w:sz w:val="22"/>
                <w:szCs w:val="22"/>
              </w:rPr>
            </w:pPr>
            <w:r w:rsidRPr="006003B5">
              <w:rPr>
                <w:rFonts w:cs="Times New Roman"/>
                <w:color w:val="000000"/>
                <w:sz w:val="22"/>
                <w:szCs w:val="22"/>
              </w:rPr>
              <w:t>901</w:t>
            </w:r>
          </w:p>
        </w:tc>
        <w:tc>
          <w:tcPr>
            <w:tcW w:w="923" w:type="dxa"/>
            <w:tcBorders>
              <w:top w:val="nil"/>
              <w:bottom w:val="single" w:sz="4" w:space="0" w:color="auto"/>
              <w:right w:val="double" w:sz="4" w:space="0" w:color="auto"/>
            </w:tcBorders>
            <w:noWrap/>
            <w:vAlign w:val="center"/>
          </w:tcPr>
          <w:p w14:paraId="4E455B85" w14:textId="73E70AE7" w:rsidR="00EB5A35" w:rsidRPr="000467D5" w:rsidRDefault="00EB5A35" w:rsidP="00EB5A35">
            <w:pPr>
              <w:pStyle w:val="NoSpacing"/>
              <w:jc w:val="right"/>
              <w:rPr>
                <w:rFonts w:cs="Times New Roman"/>
                <w:sz w:val="22"/>
                <w:szCs w:val="22"/>
              </w:rPr>
            </w:pPr>
            <w:r>
              <w:rPr>
                <w:rFonts w:cs="Times New Roman"/>
                <w:sz w:val="22"/>
                <w:szCs w:val="22"/>
              </w:rPr>
              <w:t>27.1</w:t>
            </w:r>
          </w:p>
        </w:tc>
        <w:tc>
          <w:tcPr>
            <w:tcW w:w="4817" w:type="dxa"/>
            <w:gridSpan w:val="8"/>
            <w:tcBorders>
              <w:top w:val="single" w:sz="4" w:space="0" w:color="auto"/>
              <w:left w:val="double" w:sz="4" w:space="0" w:color="auto"/>
              <w:bottom w:val="single" w:sz="4" w:space="0" w:color="auto"/>
              <w:right w:val="double" w:sz="4" w:space="0" w:color="auto"/>
            </w:tcBorders>
            <w:noWrap/>
            <w:vAlign w:val="center"/>
          </w:tcPr>
          <w:p w14:paraId="55D4D2A9" w14:textId="39DBB9ED" w:rsidR="00EB5A35" w:rsidRPr="000467D5" w:rsidRDefault="00AA04C5" w:rsidP="00EB5A35">
            <w:pPr>
              <w:pStyle w:val="NoSpacing"/>
              <w:jc w:val="left"/>
              <w:rPr>
                <w:rFonts w:cs="Times New Roman"/>
                <w:b/>
                <w:bCs/>
                <w:sz w:val="22"/>
                <w:szCs w:val="22"/>
              </w:rPr>
            </w:pPr>
            <w:r>
              <w:rPr>
                <w:rFonts w:cs="Times New Roman"/>
                <w:b/>
                <w:bCs/>
                <w:sz w:val="22"/>
                <w:szCs w:val="22"/>
              </w:rPr>
              <w:t>Average number of trips per tour</w:t>
            </w:r>
          </w:p>
        </w:tc>
      </w:tr>
      <w:tr w:rsidR="00AA04C5" w:rsidRPr="000467D5" w14:paraId="4E56B8DA" w14:textId="77777777" w:rsidTr="009570A3">
        <w:trPr>
          <w:trHeight w:val="20"/>
          <w:jc w:val="center"/>
        </w:trPr>
        <w:tc>
          <w:tcPr>
            <w:tcW w:w="4589" w:type="dxa"/>
            <w:gridSpan w:val="4"/>
            <w:tcBorders>
              <w:top w:val="single" w:sz="4" w:space="0" w:color="auto"/>
              <w:left w:val="double" w:sz="4" w:space="0" w:color="auto"/>
              <w:bottom w:val="single" w:sz="4" w:space="0" w:color="auto"/>
              <w:right w:val="double" w:sz="4" w:space="0" w:color="auto"/>
            </w:tcBorders>
            <w:noWrap/>
            <w:vAlign w:val="center"/>
            <w:hideMark/>
          </w:tcPr>
          <w:p w14:paraId="6DCB12E2" w14:textId="3A2B0791" w:rsidR="00AA04C5" w:rsidRPr="000467D5" w:rsidRDefault="00AA04C5" w:rsidP="00AA04C5">
            <w:pPr>
              <w:pStyle w:val="NoSpacing"/>
              <w:jc w:val="left"/>
              <w:rPr>
                <w:rFonts w:cs="Times New Roman"/>
                <w:sz w:val="22"/>
                <w:szCs w:val="22"/>
              </w:rPr>
            </w:pPr>
            <w:r>
              <w:rPr>
                <w:rFonts w:cs="Times New Roman"/>
                <w:b/>
                <w:bCs/>
                <w:sz w:val="22"/>
                <w:szCs w:val="22"/>
              </w:rPr>
              <w:t>Average duration of maintenance episode</w:t>
            </w:r>
          </w:p>
        </w:tc>
        <w:tc>
          <w:tcPr>
            <w:tcW w:w="2960" w:type="dxa"/>
            <w:gridSpan w:val="3"/>
            <w:tcBorders>
              <w:top w:val="single" w:sz="4" w:space="0" w:color="auto"/>
              <w:left w:val="double" w:sz="4" w:space="0" w:color="auto"/>
              <w:bottom w:val="nil"/>
              <w:right w:val="nil"/>
            </w:tcBorders>
            <w:noWrap/>
          </w:tcPr>
          <w:p w14:paraId="22A0683B" w14:textId="5F93FD85" w:rsidR="00AA04C5" w:rsidRPr="00EB5A35" w:rsidRDefault="00AA04C5" w:rsidP="00AA04C5">
            <w:pPr>
              <w:pStyle w:val="NoSpacing"/>
              <w:jc w:val="left"/>
              <w:rPr>
                <w:rFonts w:cs="Times New Roman"/>
                <w:bCs/>
                <w:sz w:val="22"/>
                <w:szCs w:val="22"/>
              </w:rPr>
            </w:pPr>
            <w:r w:rsidRPr="00EB5A35">
              <w:rPr>
                <w:rFonts w:cs="Times New Roman"/>
                <w:bCs/>
                <w:sz w:val="22"/>
                <w:szCs w:val="22"/>
              </w:rPr>
              <w:t>2 trips</w:t>
            </w:r>
          </w:p>
        </w:tc>
        <w:tc>
          <w:tcPr>
            <w:tcW w:w="921" w:type="dxa"/>
            <w:gridSpan w:val="3"/>
            <w:tcBorders>
              <w:top w:val="single" w:sz="4" w:space="0" w:color="auto"/>
              <w:left w:val="nil"/>
              <w:bottom w:val="nil"/>
              <w:right w:val="nil"/>
            </w:tcBorders>
            <w:vAlign w:val="center"/>
          </w:tcPr>
          <w:p w14:paraId="7ECB6A49" w14:textId="57E378A7" w:rsidR="00AA04C5" w:rsidRPr="00AA04C5" w:rsidRDefault="00AA04C5" w:rsidP="00AA04C5">
            <w:pPr>
              <w:pStyle w:val="NoSpacing"/>
              <w:jc w:val="right"/>
              <w:rPr>
                <w:rFonts w:cs="Times New Roman"/>
                <w:bCs/>
                <w:sz w:val="22"/>
                <w:szCs w:val="22"/>
              </w:rPr>
            </w:pPr>
            <w:r w:rsidRPr="00AA04C5">
              <w:rPr>
                <w:rFonts w:cs="Times New Roman"/>
                <w:bCs/>
                <w:sz w:val="22"/>
                <w:szCs w:val="22"/>
              </w:rPr>
              <w:t>1061</w:t>
            </w:r>
          </w:p>
        </w:tc>
        <w:tc>
          <w:tcPr>
            <w:tcW w:w="936" w:type="dxa"/>
            <w:gridSpan w:val="2"/>
            <w:tcBorders>
              <w:top w:val="single" w:sz="4" w:space="0" w:color="auto"/>
              <w:left w:val="nil"/>
              <w:bottom w:val="nil"/>
              <w:right w:val="double" w:sz="4" w:space="0" w:color="auto"/>
            </w:tcBorders>
            <w:vAlign w:val="center"/>
          </w:tcPr>
          <w:p w14:paraId="5CB95DF7" w14:textId="6B4E0CF8" w:rsidR="00AA04C5" w:rsidRPr="00AA04C5" w:rsidRDefault="00AA04C5" w:rsidP="00AA04C5">
            <w:pPr>
              <w:pStyle w:val="NoSpacing"/>
              <w:jc w:val="right"/>
              <w:rPr>
                <w:rFonts w:cs="Times New Roman"/>
                <w:bCs/>
                <w:sz w:val="22"/>
                <w:szCs w:val="22"/>
              </w:rPr>
            </w:pPr>
            <w:r w:rsidRPr="00AA04C5">
              <w:rPr>
                <w:rFonts w:cs="Times New Roman"/>
                <w:bCs/>
                <w:sz w:val="22"/>
                <w:szCs w:val="22"/>
              </w:rPr>
              <w:t>32.0</w:t>
            </w:r>
          </w:p>
        </w:tc>
      </w:tr>
      <w:tr w:rsidR="00AA04C5" w:rsidRPr="000467D5" w14:paraId="41048DFD" w14:textId="77777777" w:rsidTr="009570A3">
        <w:trPr>
          <w:trHeight w:val="20"/>
          <w:jc w:val="center"/>
        </w:trPr>
        <w:tc>
          <w:tcPr>
            <w:tcW w:w="2969" w:type="dxa"/>
            <w:gridSpan w:val="2"/>
            <w:tcBorders>
              <w:top w:val="single" w:sz="4" w:space="0" w:color="auto"/>
              <w:left w:val="double" w:sz="4" w:space="0" w:color="auto"/>
              <w:bottom w:val="nil"/>
            </w:tcBorders>
            <w:noWrap/>
            <w:vAlign w:val="center"/>
          </w:tcPr>
          <w:p w14:paraId="6FFE6127" w14:textId="1D7F080A" w:rsidR="00AA04C5" w:rsidRPr="000467D5" w:rsidRDefault="00AA04C5" w:rsidP="00AA04C5">
            <w:pPr>
              <w:pStyle w:val="NoSpacing"/>
              <w:jc w:val="left"/>
              <w:rPr>
                <w:rFonts w:cs="Times New Roman"/>
                <w:sz w:val="22"/>
                <w:szCs w:val="22"/>
              </w:rPr>
            </w:pPr>
            <w:r>
              <w:rPr>
                <w:rFonts w:cs="Times New Roman"/>
                <w:color w:val="000000"/>
                <w:sz w:val="22"/>
                <w:szCs w:val="22"/>
              </w:rPr>
              <w:t>N</w:t>
            </w:r>
            <w:r w:rsidRPr="006003B5">
              <w:rPr>
                <w:rFonts w:cs="Times New Roman"/>
                <w:color w:val="000000"/>
                <w:sz w:val="22"/>
                <w:szCs w:val="22"/>
              </w:rPr>
              <w:t xml:space="preserve">o </w:t>
            </w:r>
            <w:r>
              <w:rPr>
                <w:rFonts w:cs="Times New Roman"/>
                <w:color w:val="000000"/>
                <w:sz w:val="22"/>
                <w:szCs w:val="22"/>
              </w:rPr>
              <w:t>episode</w:t>
            </w:r>
            <w:r w:rsidRPr="006003B5">
              <w:rPr>
                <w:rFonts w:cs="Times New Roman"/>
                <w:color w:val="000000"/>
                <w:sz w:val="22"/>
                <w:szCs w:val="22"/>
              </w:rPr>
              <w:t xml:space="preserve"> in the survey week</w:t>
            </w:r>
          </w:p>
        </w:tc>
        <w:tc>
          <w:tcPr>
            <w:tcW w:w="697" w:type="dxa"/>
            <w:tcBorders>
              <w:top w:val="single" w:sz="4" w:space="0" w:color="auto"/>
              <w:bottom w:val="nil"/>
            </w:tcBorders>
            <w:noWrap/>
            <w:vAlign w:val="center"/>
          </w:tcPr>
          <w:p w14:paraId="0CE20CD5" w14:textId="497922C0" w:rsidR="00AA04C5" w:rsidRPr="000467D5" w:rsidRDefault="00AA04C5" w:rsidP="00AA04C5">
            <w:pPr>
              <w:pStyle w:val="NoSpacing"/>
              <w:jc w:val="right"/>
              <w:rPr>
                <w:rFonts w:cs="Times New Roman"/>
                <w:sz w:val="22"/>
                <w:szCs w:val="22"/>
              </w:rPr>
            </w:pPr>
            <w:r w:rsidRPr="00291001">
              <w:t>678</w:t>
            </w:r>
          </w:p>
        </w:tc>
        <w:tc>
          <w:tcPr>
            <w:tcW w:w="923" w:type="dxa"/>
            <w:tcBorders>
              <w:top w:val="single" w:sz="4" w:space="0" w:color="auto"/>
              <w:bottom w:val="nil"/>
              <w:right w:val="double" w:sz="4" w:space="0" w:color="auto"/>
            </w:tcBorders>
            <w:noWrap/>
            <w:vAlign w:val="center"/>
          </w:tcPr>
          <w:p w14:paraId="5712FE00" w14:textId="7E63A465" w:rsidR="00AA04C5" w:rsidRPr="000467D5" w:rsidRDefault="00AA04C5" w:rsidP="00AA04C5">
            <w:pPr>
              <w:pStyle w:val="NoSpacing"/>
              <w:jc w:val="right"/>
              <w:rPr>
                <w:rFonts w:cs="Times New Roman"/>
                <w:sz w:val="22"/>
                <w:szCs w:val="22"/>
              </w:rPr>
            </w:pPr>
            <w:r>
              <w:rPr>
                <w:rFonts w:cs="Times New Roman"/>
                <w:sz w:val="22"/>
                <w:szCs w:val="22"/>
              </w:rPr>
              <w:t>20.4</w:t>
            </w:r>
          </w:p>
        </w:tc>
        <w:tc>
          <w:tcPr>
            <w:tcW w:w="2960" w:type="dxa"/>
            <w:gridSpan w:val="3"/>
            <w:tcBorders>
              <w:top w:val="nil"/>
              <w:left w:val="double" w:sz="4" w:space="0" w:color="auto"/>
              <w:bottom w:val="nil"/>
            </w:tcBorders>
            <w:noWrap/>
          </w:tcPr>
          <w:p w14:paraId="0EA72FCD" w14:textId="0755CD49" w:rsidR="00AA04C5" w:rsidRPr="00EB5A35" w:rsidRDefault="00AA04C5" w:rsidP="00AA04C5">
            <w:pPr>
              <w:pStyle w:val="NoSpacing"/>
              <w:jc w:val="left"/>
              <w:rPr>
                <w:rFonts w:cs="Times New Roman"/>
                <w:sz w:val="22"/>
                <w:szCs w:val="22"/>
              </w:rPr>
            </w:pPr>
            <w:r w:rsidRPr="00EB5A35">
              <w:rPr>
                <w:rFonts w:cs="Times New Roman"/>
                <w:sz w:val="22"/>
                <w:szCs w:val="22"/>
              </w:rPr>
              <w:t>2-2.5 trips</w:t>
            </w:r>
          </w:p>
        </w:tc>
        <w:tc>
          <w:tcPr>
            <w:tcW w:w="921" w:type="dxa"/>
            <w:gridSpan w:val="3"/>
            <w:tcBorders>
              <w:top w:val="nil"/>
              <w:bottom w:val="nil"/>
            </w:tcBorders>
            <w:noWrap/>
            <w:vAlign w:val="center"/>
          </w:tcPr>
          <w:p w14:paraId="3EE1913B" w14:textId="3B2208A0" w:rsidR="00AA04C5" w:rsidRPr="00AA04C5" w:rsidRDefault="00AA04C5" w:rsidP="00AA04C5">
            <w:pPr>
              <w:pStyle w:val="NoSpacing"/>
              <w:jc w:val="right"/>
              <w:rPr>
                <w:rFonts w:cs="Times New Roman"/>
                <w:sz w:val="22"/>
                <w:szCs w:val="22"/>
              </w:rPr>
            </w:pPr>
            <w:r w:rsidRPr="00AA04C5">
              <w:rPr>
                <w:rFonts w:cs="Times New Roman"/>
                <w:sz w:val="22"/>
                <w:szCs w:val="22"/>
              </w:rPr>
              <w:t>1274</w:t>
            </w:r>
          </w:p>
        </w:tc>
        <w:tc>
          <w:tcPr>
            <w:tcW w:w="936" w:type="dxa"/>
            <w:gridSpan w:val="2"/>
            <w:tcBorders>
              <w:top w:val="nil"/>
              <w:bottom w:val="nil"/>
              <w:right w:val="double" w:sz="4" w:space="0" w:color="auto"/>
            </w:tcBorders>
            <w:noWrap/>
            <w:vAlign w:val="center"/>
          </w:tcPr>
          <w:p w14:paraId="6E8D6264" w14:textId="47DD3BC2" w:rsidR="00AA04C5" w:rsidRPr="00AA04C5" w:rsidRDefault="00AA04C5" w:rsidP="00AA04C5">
            <w:pPr>
              <w:pStyle w:val="NoSpacing"/>
              <w:jc w:val="right"/>
              <w:rPr>
                <w:rFonts w:cs="Times New Roman"/>
                <w:sz w:val="22"/>
                <w:szCs w:val="22"/>
              </w:rPr>
            </w:pPr>
            <w:r>
              <w:rPr>
                <w:rFonts w:cs="Times New Roman"/>
                <w:sz w:val="22"/>
                <w:szCs w:val="22"/>
              </w:rPr>
              <w:t>38.4</w:t>
            </w:r>
          </w:p>
        </w:tc>
      </w:tr>
      <w:tr w:rsidR="00AA04C5" w:rsidRPr="000467D5" w14:paraId="33E11D5B" w14:textId="77777777" w:rsidTr="009570A3">
        <w:trPr>
          <w:trHeight w:val="20"/>
          <w:jc w:val="center"/>
        </w:trPr>
        <w:tc>
          <w:tcPr>
            <w:tcW w:w="2879" w:type="dxa"/>
            <w:tcBorders>
              <w:top w:val="nil"/>
              <w:left w:val="double" w:sz="4" w:space="0" w:color="auto"/>
              <w:bottom w:val="nil"/>
            </w:tcBorders>
            <w:noWrap/>
            <w:vAlign w:val="bottom"/>
          </w:tcPr>
          <w:p w14:paraId="66C7FFE5" w14:textId="1218555C" w:rsidR="00AA04C5" w:rsidRPr="007925AD" w:rsidRDefault="00AA04C5" w:rsidP="00AA04C5">
            <w:pPr>
              <w:pStyle w:val="NoSpacing"/>
              <w:rPr>
                <w:rFonts w:cs="Times New Roman"/>
                <w:sz w:val="22"/>
                <w:szCs w:val="22"/>
              </w:rPr>
            </w:pPr>
            <w:r w:rsidRPr="007925AD">
              <w:rPr>
                <w:rFonts w:cs="Times New Roman"/>
                <w:color w:val="000000"/>
                <w:sz w:val="22"/>
                <w:szCs w:val="22"/>
              </w:rPr>
              <w:t xml:space="preserve">Less than </w:t>
            </w:r>
            <w:r>
              <w:rPr>
                <w:rFonts w:cs="Times New Roman"/>
                <w:color w:val="000000"/>
                <w:sz w:val="22"/>
                <w:szCs w:val="22"/>
              </w:rPr>
              <w:t>0.5</w:t>
            </w:r>
            <w:r w:rsidRPr="007925AD">
              <w:rPr>
                <w:rFonts w:cs="Times New Roman"/>
                <w:color w:val="000000"/>
                <w:sz w:val="22"/>
                <w:szCs w:val="22"/>
              </w:rPr>
              <w:t xml:space="preserve"> hour</w:t>
            </w:r>
          </w:p>
        </w:tc>
        <w:tc>
          <w:tcPr>
            <w:tcW w:w="787" w:type="dxa"/>
            <w:gridSpan w:val="2"/>
            <w:tcBorders>
              <w:top w:val="nil"/>
              <w:bottom w:val="nil"/>
            </w:tcBorders>
            <w:noWrap/>
            <w:vAlign w:val="center"/>
          </w:tcPr>
          <w:p w14:paraId="21B0DDFE" w14:textId="24A4556C" w:rsidR="00AA04C5" w:rsidRPr="000467D5" w:rsidRDefault="00AA04C5" w:rsidP="00AA04C5">
            <w:pPr>
              <w:pStyle w:val="NoSpacing"/>
              <w:jc w:val="right"/>
              <w:rPr>
                <w:rFonts w:cs="Times New Roman"/>
                <w:sz w:val="22"/>
                <w:szCs w:val="22"/>
              </w:rPr>
            </w:pPr>
            <w:r w:rsidRPr="00291001">
              <w:t>615</w:t>
            </w:r>
          </w:p>
        </w:tc>
        <w:tc>
          <w:tcPr>
            <w:tcW w:w="923" w:type="dxa"/>
            <w:tcBorders>
              <w:top w:val="nil"/>
              <w:bottom w:val="nil"/>
              <w:right w:val="double" w:sz="4" w:space="0" w:color="auto"/>
            </w:tcBorders>
            <w:noWrap/>
            <w:vAlign w:val="center"/>
          </w:tcPr>
          <w:p w14:paraId="19411F09" w14:textId="2CDDFB23" w:rsidR="00AA04C5" w:rsidRPr="000467D5" w:rsidRDefault="00AA04C5" w:rsidP="00AA04C5">
            <w:pPr>
              <w:pStyle w:val="NoSpacing"/>
              <w:jc w:val="right"/>
              <w:rPr>
                <w:rFonts w:cs="Times New Roman"/>
                <w:sz w:val="22"/>
                <w:szCs w:val="22"/>
              </w:rPr>
            </w:pPr>
            <w:r>
              <w:rPr>
                <w:rFonts w:cs="Times New Roman"/>
                <w:sz w:val="22"/>
                <w:szCs w:val="22"/>
              </w:rPr>
              <w:t>18.5</w:t>
            </w:r>
          </w:p>
        </w:tc>
        <w:tc>
          <w:tcPr>
            <w:tcW w:w="2960" w:type="dxa"/>
            <w:gridSpan w:val="3"/>
            <w:tcBorders>
              <w:top w:val="nil"/>
              <w:left w:val="double" w:sz="4" w:space="0" w:color="auto"/>
              <w:bottom w:val="nil"/>
            </w:tcBorders>
            <w:noWrap/>
          </w:tcPr>
          <w:p w14:paraId="725053DD" w14:textId="3A1257C9" w:rsidR="00AA04C5" w:rsidRPr="00EB5A35" w:rsidRDefault="00AA04C5" w:rsidP="00AA04C5">
            <w:pPr>
              <w:pStyle w:val="NoSpacing"/>
              <w:jc w:val="left"/>
              <w:rPr>
                <w:rFonts w:cs="Times New Roman"/>
                <w:sz w:val="22"/>
                <w:szCs w:val="22"/>
              </w:rPr>
            </w:pPr>
            <w:r w:rsidRPr="00EB5A35">
              <w:rPr>
                <w:rFonts w:cs="Times New Roman"/>
                <w:sz w:val="22"/>
                <w:szCs w:val="22"/>
              </w:rPr>
              <w:t>2.5-3 trips</w:t>
            </w:r>
          </w:p>
        </w:tc>
        <w:tc>
          <w:tcPr>
            <w:tcW w:w="921" w:type="dxa"/>
            <w:gridSpan w:val="3"/>
            <w:tcBorders>
              <w:top w:val="nil"/>
              <w:bottom w:val="nil"/>
            </w:tcBorders>
            <w:noWrap/>
            <w:vAlign w:val="center"/>
          </w:tcPr>
          <w:p w14:paraId="0EAE3CF3" w14:textId="1B5A3AC7" w:rsidR="00AA04C5" w:rsidRPr="00AA04C5" w:rsidRDefault="00AA04C5" w:rsidP="00AA04C5">
            <w:pPr>
              <w:pStyle w:val="NoSpacing"/>
              <w:jc w:val="right"/>
              <w:rPr>
                <w:rFonts w:cs="Times New Roman"/>
                <w:sz w:val="22"/>
                <w:szCs w:val="22"/>
              </w:rPr>
            </w:pPr>
            <w:r w:rsidRPr="00AA04C5">
              <w:rPr>
                <w:rFonts w:cs="Times New Roman"/>
                <w:sz w:val="22"/>
                <w:szCs w:val="22"/>
              </w:rPr>
              <w:t>581</w:t>
            </w:r>
          </w:p>
        </w:tc>
        <w:tc>
          <w:tcPr>
            <w:tcW w:w="936" w:type="dxa"/>
            <w:gridSpan w:val="2"/>
            <w:tcBorders>
              <w:top w:val="nil"/>
              <w:bottom w:val="nil"/>
              <w:right w:val="double" w:sz="4" w:space="0" w:color="auto"/>
            </w:tcBorders>
            <w:noWrap/>
            <w:vAlign w:val="center"/>
          </w:tcPr>
          <w:p w14:paraId="4D64ECE6" w14:textId="67078C3A" w:rsidR="00AA04C5" w:rsidRPr="00AA04C5" w:rsidRDefault="00AA04C5" w:rsidP="00AA04C5">
            <w:pPr>
              <w:pStyle w:val="NoSpacing"/>
              <w:jc w:val="right"/>
              <w:rPr>
                <w:rFonts w:cs="Times New Roman"/>
                <w:sz w:val="22"/>
                <w:szCs w:val="22"/>
              </w:rPr>
            </w:pPr>
            <w:r>
              <w:rPr>
                <w:rFonts w:cs="Times New Roman"/>
                <w:sz w:val="22"/>
                <w:szCs w:val="22"/>
              </w:rPr>
              <w:t>17.5</w:t>
            </w:r>
          </w:p>
        </w:tc>
      </w:tr>
      <w:tr w:rsidR="00AA04C5" w:rsidRPr="000467D5" w14:paraId="655FA283" w14:textId="77777777" w:rsidTr="009570A3">
        <w:trPr>
          <w:trHeight w:val="20"/>
          <w:jc w:val="center"/>
        </w:trPr>
        <w:tc>
          <w:tcPr>
            <w:tcW w:w="2879" w:type="dxa"/>
            <w:tcBorders>
              <w:top w:val="nil"/>
              <w:left w:val="double" w:sz="4" w:space="0" w:color="auto"/>
              <w:bottom w:val="nil"/>
            </w:tcBorders>
            <w:noWrap/>
            <w:vAlign w:val="bottom"/>
          </w:tcPr>
          <w:p w14:paraId="5E2FF1D1" w14:textId="423CC408" w:rsidR="00AA04C5" w:rsidRPr="007925AD" w:rsidRDefault="00AA04C5" w:rsidP="00AA04C5">
            <w:pPr>
              <w:pStyle w:val="NoSpacing"/>
              <w:rPr>
                <w:rFonts w:cs="Times New Roman"/>
                <w:b/>
                <w:bCs/>
                <w:sz w:val="22"/>
                <w:szCs w:val="22"/>
              </w:rPr>
            </w:pPr>
            <w:r>
              <w:rPr>
                <w:rFonts w:cs="Times New Roman"/>
                <w:color w:val="000000"/>
                <w:sz w:val="22"/>
                <w:szCs w:val="22"/>
              </w:rPr>
              <w:t>0.5</w:t>
            </w:r>
            <w:r w:rsidRPr="007925AD">
              <w:rPr>
                <w:rFonts w:cs="Times New Roman"/>
                <w:color w:val="000000"/>
                <w:sz w:val="22"/>
                <w:szCs w:val="22"/>
              </w:rPr>
              <w:t>-</w:t>
            </w:r>
            <w:r>
              <w:rPr>
                <w:rFonts w:cs="Times New Roman"/>
                <w:color w:val="000000"/>
                <w:sz w:val="22"/>
                <w:szCs w:val="22"/>
              </w:rPr>
              <w:t>1 hour</w:t>
            </w:r>
          </w:p>
        </w:tc>
        <w:tc>
          <w:tcPr>
            <w:tcW w:w="787" w:type="dxa"/>
            <w:gridSpan w:val="2"/>
            <w:tcBorders>
              <w:top w:val="nil"/>
              <w:bottom w:val="nil"/>
            </w:tcBorders>
            <w:noWrap/>
            <w:vAlign w:val="center"/>
          </w:tcPr>
          <w:p w14:paraId="705CBCE2" w14:textId="466EEFF0" w:rsidR="00AA04C5" w:rsidRPr="007925AD" w:rsidRDefault="00AA04C5" w:rsidP="00AA04C5">
            <w:pPr>
              <w:pStyle w:val="NoSpacing"/>
              <w:jc w:val="right"/>
              <w:rPr>
                <w:rFonts w:cs="Times New Roman"/>
                <w:bCs/>
                <w:sz w:val="22"/>
                <w:szCs w:val="22"/>
              </w:rPr>
            </w:pPr>
            <w:r w:rsidRPr="00291001">
              <w:t>846</w:t>
            </w:r>
          </w:p>
        </w:tc>
        <w:tc>
          <w:tcPr>
            <w:tcW w:w="923" w:type="dxa"/>
            <w:tcBorders>
              <w:top w:val="nil"/>
              <w:bottom w:val="nil"/>
              <w:right w:val="double" w:sz="4" w:space="0" w:color="auto"/>
            </w:tcBorders>
            <w:noWrap/>
            <w:vAlign w:val="center"/>
          </w:tcPr>
          <w:p w14:paraId="30C721C3" w14:textId="1228E0CC" w:rsidR="00AA04C5" w:rsidRPr="000467D5" w:rsidRDefault="00AA04C5" w:rsidP="00AA04C5">
            <w:pPr>
              <w:pStyle w:val="NoSpacing"/>
              <w:jc w:val="right"/>
              <w:rPr>
                <w:rFonts w:cs="Times New Roman"/>
                <w:sz w:val="22"/>
                <w:szCs w:val="22"/>
              </w:rPr>
            </w:pPr>
            <w:r>
              <w:rPr>
                <w:rFonts w:cs="Times New Roman"/>
                <w:sz w:val="22"/>
                <w:szCs w:val="22"/>
              </w:rPr>
              <w:t>25.5</w:t>
            </w:r>
          </w:p>
        </w:tc>
        <w:tc>
          <w:tcPr>
            <w:tcW w:w="2960" w:type="dxa"/>
            <w:gridSpan w:val="3"/>
            <w:tcBorders>
              <w:top w:val="nil"/>
              <w:left w:val="double" w:sz="4" w:space="0" w:color="auto"/>
              <w:bottom w:val="single" w:sz="4" w:space="0" w:color="auto"/>
            </w:tcBorders>
            <w:noWrap/>
          </w:tcPr>
          <w:p w14:paraId="626712D3" w14:textId="460B1E7C" w:rsidR="00AA04C5" w:rsidRPr="00EB5A35" w:rsidRDefault="00AA04C5" w:rsidP="00AA04C5">
            <w:pPr>
              <w:pStyle w:val="NoSpacing"/>
              <w:jc w:val="left"/>
              <w:rPr>
                <w:rFonts w:cs="Times New Roman"/>
                <w:sz w:val="22"/>
                <w:szCs w:val="22"/>
              </w:rPr>
            </w:pPr>
            <w:r w:rsidRPr="00EB5A35">
              <w:rPr>
                <w:rFonts w:cs="Times New Roman"/>
                <w:sz w:val="22"/>
                <w:szCs w:val="22"/>
              </w:rPr>
              <w:t>More than 3 trips</w:t>
            </w:r>
          </w:p>
        </w:tc>
        <w:tc>
          <w:tcPr>
            <w:tcW w:w="921" w:type="dxa"/>
            <w:gridSpan w:val="3"/>
            <w:tcBorders>
              <w:top w:val="nil"/>
              <w:bottom w:val="single" w:sz="4" w:space="0" w:color="auto"/>
            </w:tcBorders>
            <w:noWrap/>
            <w:vAlign w:val="center"/>
          </w:tcPr>
          <w:p w14:paraId="274A1274" w14:textId="38D8A0D2" w:rsidR="00AA04C5" w:rsidRPr="00AA04C5" w:rsidRDefault="00AA04C5" w:rsidP="00AA04C5">
            <w:pPr>
              <w:pStyle w:val="NoSpacing"/>
              <w:jc w:val="right"/>
              <w:rPr>
                <w:rFonts w:eastAsia="Times New Roman" w:cs="Times New Roman"/>
                <w:color w:val="000000"/>
                <w:sz w:val="22"/>
                <w:szCs w:val="22"/>
              </w:rPr>
            </w:pPr>
            <w:r w:rsidRPr="00AA04C5">
              <w:rPr>
                <w:rFonts w:eastAsia="Times New Roman" w:cs="Times New Roman"/>
                <w:color w:val="000000"/>
                <w:sz w:val="22"/>
                <w:szCs w:val="22"/>
              </w:rPr>
              <w:t>403</w:t>
            </w:r>
          </w:p>
        </w:tc>
        <w:tc>
          <w:tcPr>
            <w:tcW w:w="936" w:type="dxa"/>
            <w:gridSpan w:val="2"/>
            <w:tcBorders>
              <w:top w:val="nil"/>
              <w:bottom w:val="single" w:sz="4" w:space="0" w:color="auto"/>
              <w:right w:val="double" w:sz="4" w:space="0" w:color="auto"/>
            </w:tcBorders>
            <w:noWrap/>
            <w:vAlign w:val="center"/>
          </w:tcPr>
          <w:p w14:paraId="5FB2B1E6" w14:textId="5DCCE1C1" w:rsidR="00AA04C5" w:rsidRPr="00AA04C5" w:rsidRDefault="00AA04C5" w:rsidP="00AA04C5">
            <w:pPr>
              <w:pStyle w:val="NoSpacing"/>
              <w:jc w:val="right"/>
              <w:rPr>
                <w:rFonts w:eastAsia="Times New Roman" w:cs="Times New Roman"/>
                <w:color w:val="000000"/>
                <w:sz w:val="22"/>
                <w:szCs w:val="22"/>
              </w:rPr>
            </w:pPr>
            <w:r>
              <w:rPr>
                <w:rFonts w:eastAsia="Times New Roman" w:cs="Times New Roman"/>
                <w:color w:val="000000"/>
                <w:sz w:val="22"/>
                <w:szCs w:val="22"/>
              </w:rPr>
              <w:t>12.1</w:t>
            </w:r>
          </w:p>
        </w:tc>
      </w:tr>
      <w:tr w:rsidR="00E81516" w:rsidRPr="000467D5" w14:paraId="44047C71" w14:textId="77777777" w:rsidTr="009570A3">
        <w:trPr>
          <w:trHeight w:val="20"/>
          <w:jc w:val="center"/>
        </w:trPr>
        <w:tc>
          <w:tcPr>
            <w:tcW w:w="2879" w:type="dxa"/>
            <w:tcBorders>
              <w:top w:val="nil"/>
              <w:left w:val="double" w:sz="4" w:space="0" w:color="auto"/>
              <w:bottom w:val="nil"/>
            </w:tcBorders>
            <w:noWrap/>
            <w:vAlign w:val="bottom"/>
          </w:tcPr>
          <w:p w14:paraId="2B31C957" w14:textId="5AB274A8" w:rsidR="00E81516" w:rsidRPr="007925AD" w:rsidRDefault="00E81516" w:rsidP="00AA04C5">
            <w:pPr>
              <w:pStyle w:val="NoSpacing"/>
              <w:rPr>
                <w:rFonts w:cs="Times New Roman"/>
                <w:b/>
                <w:bCs/>
                <w:sz w:val="22"/>
                <w:szCs w:val="22"/>
              </w:rPr>
            </w:pPr>
            <w:r>
              <w:rPr>
                <w:rFonts w:cs="Times New Roman"/>
                <w:color w:val="000000"/>
                <w:sz w:val="22"/>
                <w:szCs w:val="22"/>
              </w:rPr>
              <w:t>1</w:t>
            </w:r>
            <w:r w:rsidRPr="007925AD">
              <w:rPr>
                <w:rFonts w:cs="Times New Roman"/>
                <w:color w:val="000000"/>
                <w:sz w:val="22"/>
                <w:szCs w:val="22"/>
              </w:rPr>
              <w:t>-</w:t>
            </w:r>
            <w:r>
              <w:rPr>
                <w:rFonts w:cs="Times New Roman"/>
                <w:color w:val="000000"/>
                <w:sz w:val="22"/>
                <w:szCs w:val="22"/>
              </w:rPr>
              <w:t>2</w:t>
            </w:r>
            <w:r w:rsidRPr="007925AD">
              <w:rPr>
                <w:rFonts w:cs="Times New Roman"/>
                <w:color w:val="000000"/>
                <w:sz w:val="22"/>
                <w:szCs w:val="22"/>
              </w:rPr>
              <w:t xml:space="preserve"> hours</w:t>
            </w:r>
          </w:p>
        </w:tc>
        <w:tc>
          <w:tcPr>
            <w:tcW w:w="787" w:type="dxa"/>
            <w:gridSpan w:val="2"/>
            <w:tcBorders>
              <w:top w:val="nil"/>
              <w:bottom w:val="nil"/>
            </w:tcBorders>
            <w:noWrap/>
            <w:vAlign w:val="center"/>
          </w:tcPr>
          <w:p w14:paraId="3005CDFF" w14:textId="3E1A80B3" w:rsidR="00E81516" w:rsidRPr="007925AD" w:rsidRDefault="00E81516" w:rsidP="00AA04C5">
            <w:pPr>
              <w:pStyle w:val="NoSpacing"/>
              <w:jc w:val="right"/>
              <w:rPr>
                <w:rFonts w:cs="Times New Roman"/>
                <w:bCs/>
                <w:sz w:val="22"/>
                <w:szCs w:val="22"/>
              </w:rPr>
            </w:pPr>
            <w:r w:rsidRPr="00291001">
              <w:t>780</w:t>
            </w:r>
          </w:p>
        </w:tc>
        <w:tc>
          <w:tcPr>
            <w:tcW w:w="923" w:type="dxa"/>
            <w:tcBorders>
              <w:top w:val="nil"/>
              <w:bottom w:val="nil"/>
              <w:right w:val="double" w:sz="4" w:space="0" w:color="auto"/>
            </w:tcBorders>
            <w:noWrap/>
            <w:vAlign w:val="center"/>
          </w:tcPr>
          <w:p w14:paraId="69BC7CBC" w14:textId="1B093C71" w:rsidR="00E81516" w:rsidRPr="000467D5" w:rsidRDefault="00E81516" w:rsidP="00AA04C5">
            <w:pPr>
              <w:pStyle w:val="NoSpacing"/>
              <w:jc w:val="right"/>
              <w:rPr>
                <w:rFonts w:cs="Times New Roman"/>
                <w:sz w:val="22"/>
                <w:szCs w:val="22"/>
              </w:rPr>
            </w:pPr>
            <w:r>
              <w:rPr>
                <w:rFonts w:cs="Times New Roman"/>
                <w:sz w:val="22"/>
                <w:szCs w:val="22"/>
              </w:rPr>
              <w:t>23.5</w:t>
            </w:r>
          </w:p>
        </w:tc>
        <w:tc>
          <w:tcPr>
            <w:tcW w:w="4817" w:type="dxa"/>
            <w:gridSpan w:val="8"/>
            <w:tcBorders>
              <w:top w:val="single" w:sz="4" w:space="0" w:color="auto"/>
              <w:left w:val="double" w:sz="4" w:space="0" w:color="auto"/>
              <w:bottom w:val="single" w:sz="4" w:space="0" w:color="auto"/>
              <w:right w:val="double" w:sz="4" w:space="0" w:color="auto"/>
            </w:tcBorders>
            <w:noWrap/>
            <w:vAlign w:val="center"/>
          </w:tcPr>
          <w:p w14:paraId="0923F897" w14:textId="4E088E53" w:rsidR="00E81516" w:rsidRPr="00E81516" w:rsidRDefault="003E0B73" w:rsidP="00E81516">
            <w:pPr>
              <w:pStyle w:val="NoSpacing"/>
              <w:jc w:val="left"/>
              <w:rPr>
                <w:rFonts w:eastAsia="Times New Roman" w:cs="Times New Roman"/>
                <w:b/>
                <w:color w:val="000000"/>
                <w:sz w:val="22"/>
                <w:szCs w:val="22"/>
              </w:rPr>
            </w:pPr>
            <w:r>
              <w:rPr>
                <w:rFonts w:cs="Times New Roman"/>
                <w:b/>
                <w:sz w:val="22"/>
                <w:szCs w:val="22"/>
              </w:rPr>
              <w:t>Motorized v</w:t>
            </w:r>
            <w:r w:rsidR="00E81516" w:rsidRPr="00E81516">
              <w:rPr>
                <w:rFonts w:cs="Times New Roman"/>
                <w:b/>
                <w:sz w:val="22"/>
                <w:szCs w:val="22"/>
              </w:rPr>
              <w:t>ehicle availability</w:t>
            </w:r>
          </w:p>
        </w:tc>
      </w:tr>
      <w:tr w:rsidR="00AA04C5" w:rsidRPr="000467D5" w14:paraId="433DA8D9" w14:textId="77777777" w:rsidTr="009570A3">
        <w:trPr>
          <w:trHeight w:val="20"/>
          <w:jc w:val="center"/>
        </w:trPr>
        <w:tc>
          <w:tcPr>
            <w:tcW w:w="2879" w:type="dxa"/>
            <w:tcBorders>
              <w:top w:val="nil"/>
              <w:left w:val="double" w:sz="4" w:space="0" w:color="auto"/>
              <w:bottom w:val="nil"/>
            </w:tcBorders>
            <w:noWrap/>
            <w:vAlign w:val="bottom"/>
          </w:tcPr>
          <w:p w14:paraId="55756A0A" w14:textId="72237B23" w:rsidR="00AA04C5" w:rsidRPr="007925AD" w:rsidRDefault="00AA04C5" w:rsidP="00AA04C5">
            <w:pPr>
              <w:pStyle w:val="NoSpacing"/>
              <w:rPr>
                <w:rFonts w:cs="Times New Roman"/>
                <w:b/>
                <w:bCs/>
                <w:sz w:val="22"/>
                <w:szCs w:val="22"/>
              </w:rPr>
            </w:pPr>
            <w:r w:rsidRPr="007925AD">
              <w:rPr>
                <w:rFonts w:cs="Times New Roman"/>
                <w:color w:val="000000"/>
                <w:sz w:val="22"/>
                <w:szCs w:val="22"/>
              </w:rPr>
              <w:t xml:space="preserve">More than </w:t>
            </w:r>
            <w:r>
              <w:rPr>
                <w:rFonts w:cs="Times New Roman"/>
                <w:color w:val="000000"/>
                <w:sz w:val="22"/>
                <w:szCs w:val="22"/>
              </w:rPr>
              <w:t>2</w:t>
            </w:r>
            <w:r w:rsidRPr="007925AD">
              <w:rPr>
                <w:rFonts w:cs="Times New Roman"/>
                <w:color w:val="000000"/>
                <w:sz w:val="22"/>
                <w:szCs w:val="22"/>
              </w:rPr>
              <w:t xml:space="preserve"> hours </w:t>
            </w:r>
          </w:p>
        </w:tc>
        <w:tc>
          <w:tcPr>
            <w:tcW w:w="787" w:type="dxa"/>
            <w:gridSpan w:val="2"/>
            <w:tcBorders>
              <w:top w:val="nil"/>
              <w:bottom w:val="nil"/>
            </w:tcBorders>
            <w:noWrap/>
            <w:vAlign w:val="center"/>
          </w:tcPr>
          <w:p w14:paraId="1471D51B" w14:textId="2F8AD107" w:rsidR="00AA04C5" w:rsidRPr="007925AD" w:rsidRDefault="00AA04C5" w:rsidP="00AA04C5">
            <w:pPr>
              <w:pStyle w:val="NoSpacing"/>
              <w:jc w:val="right"/>
              <w:rPr>
                <w:rFonts w:cs="Times New Roman"/>
                <w:bCs/>
                <w:sz w:val="22"/>
                <w:szCs w:val="22"/>
              </w:rPr>
            </w:pPr>
            <w:r w:rsidRPr="00291001">
              <w:t>400</w:t>
            </w:r>
          </w:p>
        </w:tc>
        <w:tc>
          <w:tcPr>
            <w:tcW w:w="923" w:type="dxa"/>
            <w:tcBorders>
              <w:top w:val="nil"/>
              <w:bottom w:val="nil"/>
              <w:right w:val="double" w:sz="4" w:space="0" w:color="auto"/>
            </w:tcBorders>
            <w:noWrap/>
            <w:vAlign w:val="center"/>
          </w:tcPr>
          <w:p w14:paraId="6E092D9E" w14:textId="1C8016A5" w:rsidR="00AA04C5" w:rsidRPr="000467D5" w:rsidRDefault="00AA04C5" w:rsidP="00AA04C5">
            <w:pPr>
              <w:pStyle w:val="NoSpacing"/>
              <w:jc w:val="right"/>
              <w:rPr>
                <w:rFonts w:cs="Times New Roman"/>
                <w:sz w:val="22"/>
                <w:szCs w:val="22"/>
              </w:rPr>
            </w:pPr>
            <w:r>
              <w:rPr>
                <w:rFonts w:cs="Times New Roman"/>
                <w:sz w:val="22"/>
                <w:szCs w:val="22"/>
              </w:rPr>
              <w:t>12.1</w:t>
            </w:r>
          </w:p>
        </w:tc>
        <w:tc>
          <w:tcPr>
            <w:tcW w:w="2960" w:type="dxa"/>
            <w:gridSpan w:val="3"/>
            <w:tcBorders>
              <w:top w:val="single" w:sz="4" w:space="0" w:color="auto"/>
              <w:left w:val="double" w:sz="4" w:space="0" w:color="auto"/>
              <w:bottom w:val="nil"/>
            </w:tcBorders>
            <w:noWrap/>
          </w:tcPr>
          <w:p w14:paraId="71280B2B" w14:textId="3948E516" w:rsidR="00AA04C5" w:rsidRPr="000467D5" w:rsidRDefault="003E0B73" w:rsidP="00AA04C5">
            <w:pPr>
              <w:pStyle w:val="NoSpacing"/>
              <w:jc w:val="left"/>
              <w:rPr>
                <w:rFonts w:cs="Times New Roman"/>
                <w:sz w:val="22"/>
                <w:szCs w:val="22"/>
              </w:rPr>
            </w:pPr>
            <w:r>
              <w:rPr>
                <w:rFonts w:cs="Times New Roman"/>
                <w:sz w:val="22"/>
                <w:szCs w:val="22"/>
              </w:rPr>
              <w:t>Absence of a vehicle</w:t>
            </w:r>
          </w:p>
        </w:tc>
        <w:tc>
          <w:tcPr>
            <w:tcW w:w="921" w:type="dxa"/>
            <w:gridSpan w:val="3"/>
            <w:tcBorders>
              <w:top w:val="single" w:sz="4" w:space="0" w:color="auto"/>
              <w:bottom w:val="nil"/>
            </w:tcBorders>
            <w:noWrap/>
            <w:vAlign w:val="center"/>
          </w:tcPr>
          <w:p w14:paraId="28416BBB" w14:textId="5BBFD85E" w:rsidR="00AA04C5" w:rsidRPr="000467D5" w:rsidRDefault="00E81516" w:rsidP="00AA04C5">
            <w:pPr>
              <w:pStyle w:val="NoSpacing"/>
              <w:jc w:val="right"/>
              <w:rPr>
                <w:rFonts w:eastAsia="Times New Roman" w:cs="Times New Roman"/>
                <w:color w:val="000000"/>
                <w:sz w:val="22"/>
                <w:szCs w:val="22"/>
              </w:rPr>
            </w:pPr>
            <w:r>
              <w:rPr>
                <w:rFonts w:eastAsia="Times New Roman" w:cs="Times New Roman"/>
                <w:color w:val="000000"/>
                <w:sz w:val="22"/>
                <w:szCs w:val="22"/>
              </w:rPr>
              <w:t>444</w:t>
            </w:r>
          </w:p>
        </w:tc>
        <w:tc>
          <w:tcPr>
            <w:tcW w:w="936" w:type="dxa"/>
            <w:gridSpan w:val="2"/>
            <w:tcBorders>
              <w:top w:val="single" w:sz="4" w:space="0" w:color="auto"/>
              <w:bottom w:val="nil"/>
              <w:right w:val="double" w:sz="4" w:space="0" w:color="auto"/>
            </w:tcBorders>
            <w:noWrap/>
            <w:vAlign w:val="center"/>
          </w:tcPr>
          <w:p w14:paraId="70CEA931" w14:textId="721E644E" w:rsidR="00AA04C5" w:rsidRPr="000467D5" w:rsidRDefault="00E81516" w:rsidP="00AA04C5">
            <w:pPr>
              <w:pStyle w:val="NoSpacing"/>
              <w:jc w:val="right"/>
              <w:rPr>
                <w:rFonts w:eastAsia="Times New Roman" w:cs="Times New Roman"/>
                <w:color w:val="000000"/>
                <w:sz w:val="22"/>
                <w:szCs w:val="22"/>
              </w:rPr>
            </w:pPr>
            <w:r>
              <w:rPr>
                <w:rFonts w:eastAsia="Times New Roman" w:cs="Times New Roman"/>
                <w:color w:val="000000"/>
                <w:sz w:val="22"/>
                <w:szCs w:val="22"/>
              </w:rPr>
              <w:t>13.4</w:t>
            </w:r>
          </w:p>
        </w:tc>
      </w:tr>
      <w:tr w:rsidR="00AA04C5" w:rsidRPr="000467D5" w14:paraId="6592EB2D" w14:textId="77777777" w:rsidTr="009570A3">
        <w:trPr>
          <w:trHeight w:val="20"/>
          <w:jc w:val="center"/>
        </w:trPr>
        <w:tc>
          <w:tcPr>
            <w:tcW w:w="2879" w:type="dxa"/>
            <w:tcBorders>
              <w:top w:val="nil"/>
              <w:left w:val="double" w:sz="4" w:space="0" w:color="auto"/>
              <w:bottom w:val="nil"/>
            </w:tcBorders>
            <w:noWrap/>
            <w:vAlign w:val="bottom"/>
          </w:tcPr>
          <w:p w14:paraId="56E7DA0F" w14:textId="77777777" w:rsidR="00AA04C5" w:rsidRPr="007925AD" w:rsidRDefault="00AA04C5" w:rsidP="00AA04C5">
            <w:pPr>
              <w:pStyle w:val="NoSpacing"/>
              <w:rPr>
                <w:rFonts w:cs="Times New Roman"/>
                <w:color w:val="000000"/>
                <w:sz w:val="22"/>
                <w:szCs w:val="22"/>
              </w:rPr>
            </w:pPr>
          </w:p>
        </w:tc>
        <w:tc>
          <w:tcPr>
            <w:tcW w:w="787" w:type="dxa"/>
            <w:gridSpan w:val="2"/>
            <w:tcBorders>
              <w:top w:val="nil"/>
              <w:bottom w:val="nil"/>
            </w:tcBorders>
            <w:noWrap/>
            <w:vAlign w:val="center"/>
          </w:tcPr>
          <w:p w14:paraId="17A566CA" w14:textId="77777777" w:rsidR="00AA04C5" w:rsidRPr="00291001" w:rsidRDefault="00AA04C5" w:rsidP="00AA04C5">
            <w:pPr>
              <w:pStyle w:val="NoSpacing"/>
              <w:jc w:val="right"/>
            </w:pPr>
          </w:p>
        </w:tc>
        <w:tc>
          <w:tcPr>
            <w:tcW w:w="923" w:type="dxa"/>
            <w:tcBorders>
              <w:top w:val="nil"/>
              <w:bottom w:val="nil"/>
              <w:right w:val="double" w:sz="4" w:space="0" w:color="auto"/>
            </w:tcBorders>
            <w:noWrap/>
            <w:vAlign w:val="center"/>
          </w:tcPr>
          <w:p w14:paraId="3F651818" w14:textId="77777777" w:rsidR="00AA04C5" w:rsidRDefault="00AA04C5" w:rsidP="00AA04C5">
            <w:pPr>
              <w:pStyle w:val="NoSpacing"/>
              <w:jc w:val="right"/>
              <w:rPr>
                <w:rFonts w:cs="Times New Roman"/>
                <w:sz w:val="22"/>
                <w:szCs w:val="22"/>
              </w:rPr>
            </w:pPr>
          </w:p>
        </w:tc>
        <w:tc>
          <w:tcPr>
            <w:tcW w:w="2960" w:type="dxa"/>
            <w:gridSpan w:val="3"/>
            <w:tcBorders>
              <w:top w:val="nil"/>
              <w:left w:val="double" w:sz="4" w:space="0" w:color="auto"/>
              <w:bottom w:val="nil"/>
            </w:tcBorders>
            <w:noWrap/>
          </w:tcPr>
          <w:p w14:paraId="245A19DA" w14:textId="13D72D84" w:rsidR="00AA04C5" w:rsidRPr="000467D5" w:rsidRDefault="00AA04C5" w:rsidP="00AA04C5">
            <w:pPr>
              <w:pStyle w:val="NoSpacing"/>
              <w:jc w:val="left"/>
              <w:rPr>
                <w:rFonts w:cs="Times New Roman"/>
                <w:sz w:val="22"/>
                <w:szCs w:val="22"/>
              </w:rPr>
            </w:pPr>
            <w:r>
              <w:rPr>
                <w:rFonts w:cs="Times New Roman"/>
                <w:sz w:val="22"/>
                <w:szCs w:val="22"/>
              </w:rPr>
              <w:t>Less than 1 per adult</w:t>
            </w:r>
          </w:p>
        </w:tc>
        <w:tc>
          <w:tcPr>
            <w:tcW w:w="921" w:type="dxa"/>
            <w:gridSpan w:val="3"/>
            <w:tcBorders>
              <w:top w:val="nil"/>
              <w:bottom w:val="nil"/>
            </w:tcBorders>
            <w:noWrap/>
            <w:vAlign w:val="center"/>
          </w:tcPr>
          <w:p w14:paraId="2F9E7E76" w14:textId="0F1757E6" w:rsidR="00AA04C5" w:rsidRPr="000467D5" w:rsidRDefault="00E81516" w:rsidP="00AA04C5">
            <w:pPr>
              <w:pStyle w:val="NoSpacing"/>
              <w:jc w:val="right"/>
              <w:rPr>
                <w:rFonts w:eastAsia="Times New Roman" w:cs="Times New Roman"/>
                <w:color w:val="000000"/>
                <w:sz w:val="22"/>
                <w:szCs w:val="22"/>
              </w:rPr>
            </w:pPr>
            <w:r>
              <w:rPr>
                <w:rFonts w:eastAsia="Times New Roman" w:cs="Times New Roman"/>
                <w:color w:val="000000"/>
                <w:sz w:val="22"/>
                <w:szCs w:val="22"/>
              </w:rPr>
              <w:t>982</w:t>
            </w:r>
          </w:p>
        </w:tc>
        <w:tc>
          <w:tcPr>
            <w:tcW w:w="936" w:type="dxa"/>
            <w:gridSpan w:val="2"/>
            <w:tcBorders>
              <w:top w:val="nil"/>
              <w:bottom w:val="nil"/>
              <w:right w:val="double" w:sz="4" w:space="0" w:color="auto"/>
            </w:tcBorders>
            <w:noWrap/>
            <w:vAlign w:val="center"/>
          </w:tcPr>
          <w:p w14:paraId="6E664C88" w14:textId="480A11B4" w:rsidR="00AA04C5" w:rsidRPr="000467D5" w:rsidRDefault="00E81516" w:rsidP="00AA04C5">
            <w:pPr>
              <w:pStyle w:val="NoSpacing"/>
              <w:jc w:val="right"/>
              <w:rPr>
                <w:rFonts w:eastAsia="Times New Roman" w:cs="Times New Roman"/>
                <w:color w:val="000000"/>
                <w:sz w:val="22"/>
                <w:szCs w:val="22"/>
              </w:rPr>
            </w:pPr>
            <w:r>
              <w:rPr>
                <w:rFonts w:eastAsia="Times New Roman" w:cs="Times New Roman"/>
                <w:color w:val="000000"/>
                <w:sz w:val="22"/>
                <w:szCs w:val="22"/>
              </w:rPr>
              <w:t>29.6</w:t>
            </w:r>
          </w:p>
        </w:tc>
      </w:tr>
      <w:tr w:rsidR="00AA04C5" w:rsidRPr="000467D5" w14:paraId="1F7E7149" w14:textId="77777777" w:rsidTr="009570A3">
        <w:trPr>
          <w:trHeight w:val="20"/>
          <w:jc w:val="center"/>
        </w:trPr>
        <w:tc>
          <w:tcPr>
            <w:tcW w:w="2879" w:type="dxa"/>
            <w:tcBorders>
              <w:top w:val="nil"/>
              <w:left w:val="double" w:sz="4" w:space="0" w:color="auto"/>
              <w:bottom w:val="nil"/>
            </w:tcBorders>
            <w:noWrap/>
            <w:vAlign w:val="bottom"/>
          </w:tcPr>
          <w:p w14:paraId="47199EA2" w14:textId="77777777" w:rsidR="00AA04C5" w:rsidRPr="007925AD" w:rsidRDefault="00AA04C5" w:rsidP="00AA04C5">
            <w:pPr>
              <w:pStyle w:val="NoSpacing"/>
              <w:rPr>
                <w:rFonts w:cs="Times New Roman"/>
                <w:color w:val="000000"/>
                <w:sz w:val="22"/>
                <w:szCs w:val="22"/>
              </w:rPr>
            </w:pPr>
          </w:p>
        </w:tc>
        <w:tc>
          <w:tcPr>
            <w:tcW w:w="787" w:type="dxa"/>
            <w:gridSpan w:val="2"/>
            <w:tcBorders>
              <w:top w:val="nil"/>
              <w:bottom w:val="nil"/>
            </w:tcBorders>
            <w:noWrap/>
            <w:vAlign w:val="center"/>
          </w:tcPr>
          <w:p w14:paraId="3CE78A5D" w14:textId="77777777" w:rsidR="00AA04C5" w:rsidRPr="00291001" w:rsidRDefault="00AA04C5" w:rsidP="00AA04C5">
            <w:pPr>
              <w:pStyle w:val="NoSpacing"/>
              <w:jc w:val="right"/>
            </w:pPr>
          </w:p>
        </w:tc>
        <w:tc>
          <w:tcPr>
            <w:tcW w:w="923" w:type="dxa"/>
            <w:tcBorders>
              <w:top w:val="nil"/>
              <w:bottom w:val="nil"/>
              <w:right w:val="double" w:sz="4" w:space="0" w:color="auto"/>
            </w:tcBorders>
            <w:noWrap/>
            <w:vAlign w:val="center"/>
          </w:tcPr>
          <w:p w14:paraId="19B3DFA3" w14:textId="77777777" w:rsidR="00AA04C5" w:rsidRDefault="00AA04C5" w:rsidP="00AA04C5">
            <w:pPr>
              <w:pStyle w:val="NoSpacing"/>
              <w:jc w:val="right"/>
              <w:rPr>
                <w:rFonts w:cs="Times New Roman"/>
                <w:sz w:val="22"/>
                <w:szCs w:val="22"/>
              </w:rPr>
            </w:pPr>
          </w:p>
        </w:tc>
        <w:tc>
          <w:tcPr>
            <w:tcW w:w="2960" w:type="dxa"/>
            <w:gridSpan w:val="3"/>
            <w:tcBorders>
              <w:top w:val="nil"/>
              <w:left w:val="double" w:sz="4" w:space="0" w:color="auto"/>
              <w:bottom w:val="nil"/>
            </w:tcBorders>
            <w:noWrap/>
          </w:tcPr>
          <w:p w14:paraId="24973F7E" w14:textId="485DEA8B" w:rsidR="00AA04C5" w:rsidRPr="000467D5" w:rsidRDefault="00AA04C5" w:rsidP="00AA04C5">
            <w:pPr>
              <w:pStyle w:val="NoSpacing"/>
              <w:jc w:val="left"/>
              <w:rPr>
                <w:rFonts w:cs="Times New Roman"/>
                <w:sz w:val="22"/>
                <w:szCs w:val="22"/>
              </w:rPr>
            </w:pPr>
            <w:r>
              <w:rPr>
                <w:rFonts w:cs="Times New Roman"/>
                <w:sz w:val="22"/>
                <w:szCs w:val="22"/>
              </w:rPr>
              <w:t>1 per adult</w:t>
            </w:r>
          </w:p>
        </w:tc>
        <w:tc>
          <w:tcPr>
            <w:tcW w:w="921" w:type="dxa"/>
            <w:gridSpan w:val="3"/>
            <w:tcBorders>
              <w:top w:val="nil"/>
              <w:bottom w:val="nil"/>
            </w:tcBorders>
            <w:noWrap/>
            <w:vAlign w:val="center"/>
          </w:tcPr>
          <w:p w14:paraId="596B7EFE" w14:textId="2C169868" w:rsidR="00AA04C5" w:rsidRPr="000467D5" w:rsidRDefault="00E81516" w:rsidP="00AA04C5">
            <w:pPr>
              <w:pStyle w:val="NoSpacing"/>
              <w:jc w:val="right"/>
              <w:rPr>
                <w:rFonts w:eastAsia="Times New Roman" w:cs="Times New Roman"/>
                <w:color w:val="000000"/>
                <w:sz w:val="22"/>
                <w:szCs w:val="22"/>
              </w:rPr>
            </w:pPr>
            <w:r>
              <w:rPr>
                <w:rFonts w:eastAsia="Times New Roman" w:cs="Times New Roman"/>
                <w:color w:val="000000"/>
                <w:sz w:val="22"/>
                <w:szCs w:val="22"/>
              </w:rPr>
              <w:t>1678</w:t>
            </w:r>
          </w:p>
        </w:tc>
        <w:tc>
          <w:tcPr>
            <w:tcW w:w="936" w:type="dxa"/>
            <w:gridSpan w:val="2"/>
            <w:tcBorders>
              <w:top w:val="nil"/>
              <w:bottom w:val="nil"/>
              <w:right w:val="double" w:sz="4" w:space="0" w:color="auto"/>
            </w:tcBorders>
            <w:noWrap/>
            <w:vAlign w:val="center"/>
          </w:tcPr>
          <w:p w14:paraId="0BF3B549" w14:textId="4656424D" w:rsidR="00AA04C5" w:rsidRPr="000467D5" w:rsidRDefault="00E81516" w:rsidP="00E81516">
            <w:pPr>
              <w:pStyle w:val="NoSpacing"/>
              <w:jc w:val="right"/>
              <w:rPr>
                <w:rFonts w:eastAsia="Times New Roman" w:cs="Times New Roman"/>
                <w:color w:val="000000"/>
                <w:sz w:val="22"/>
                <w:szCs w:val="22"/>
              </w:rPr>
            </w:pPr>
            <w:r>
              <w:rPr>
                <w:rFonts w:eastAsia="Times New Roman" w:cs="Times New Roman"/>
                <w:color w:val="000000"/>
                <w:sz w:val="22"/>
                <w:szCs w:val="22"/>
              </w:rPr>
              <w:t>50.5</w:t>
            </w:r>
          </w:p>
        </w:tc>
      </w:tr>
      <w:tr w:rsidR="00AA04C5" w:rsidRPr="000467D5" w14:paraId="3CE03844" w14:textId="77777777" w:rsidTr="009570A3">
        <w:trPr>
          <w:trHeight w:val="20"/>
          <w:jc w:val="center"/>
        </w:trPr>
        <w:tc>
          <w:tcPr>
            <w:tcW w:w="2879" w:type="dxa"/>
            <w:tcBorders>
              <w:top w:val="nil"/>
              <w:left w:val="double" w:sz="4" w:space="0" w:color="auto"/>
              <w:bottom w:val="double" w:sz="4" w:space="0" w:color="auto"/>
            </w:tcBorders>
            <w:noWrap/>
            <w:vAlign w:val="bottom"/>
          </w:tcPr>
          <w:p w14:paraId="0D6E5B69" w14:textId="77777777" w:rsidR="00AA04C5" w:rsidRPr="007925AD" w:rsidRDefault="00AA04C5" w:rsidP="00AA04C5">
            <w:pPr>
              <w:pStyle w:val="NoSpacing"/>
              <w:rPr>
                <w:rFonts w:cs="Times New Roman"/>
                <w:color w:val="000000"/>
                <w:sz w:val="22"/>
                <w:szCs w:val="22"/>
              </w:rPr>
            </w:pPr>
          </w:p>
        </w:tc>
        <w:tc>
          <w:tcPr>
            <w:tcW w:w="787" w:type="dxa"/>
            <w:gridSpan w:val="2"/>
            <w:tcBorders>
              <w:top w:val="nil"/>
              <w:bottom w:val="double" w:sz="4" w:space="0" w:color="auto"/>
            </w:tcBorders>
            <w:noWrap/>
            <w:vAlign w:val="center"/>
          </w:tcPr>
          <w:p w14:paraId="5DB579D3" w14:textId="77777777" w:rsidR="00AA04C5" w:rsidRPr="00291001" w:rsidRDefault="00AA04C5" w:rsidP="00AA04C5">
            <w:pPr>
              <w:pStyle w:val="NoSpacing"/>
              <w:jc w:val="right"/>
            </w:pPr>
          </w:p>
        </w:tc>
        <w:tc>
          <w:tcPr>
            <w:tcW w:w="923" w:type="dxa"/>
            <w:tcBorders>
              <w:top w:val="nil"/>
              <w:bottom w:val="double" w:sz="4" w:space="0" w:color="auto"/>
              <w:right w:val="double" w:sz="4" w:space="0" w:color="auto"/>
            </w:tcBorders>
            <w:noWrap/>
            <w:vAlign w:val="center"/>
          </w:tcPr>
          <w:p w14:paraId="160F73B7" w14:textId="77777777" w:rsidR="00AA04C5" w:rsidRDefault="00AA04C5" w:rsidP="00AA04C5">
            <w:pPr>
              <w:pStyle w:val="NoSpacing"/>
              <w:jc w:val="right"/>
              <w:rPr>
                <w:rFonts w:cs="Times New Roman"/>
                <w:sz w:val="22"/>
                <w:szCs w:val="22"/>
              </w:rPr>
            </w:pPr>
          </w:p>
        </w:tc>
        <w:tc>
          <w:tcPr>
            <w:tcW w:w="2960" w:type="dxa"/>
            <w:gridSpan w:val="3"/>
            <w:tcBorders>
              <w:top w:val="nil"/>
              <w:left w:val="double" w:sz="4" w:space="0" w:color="auto"/>
              <w:bottom w:val="double" w:sz="4" w:space="0" w:color="auto"/>
            </w:tcBorders>
            <w:noWrap/>
          </w:tcPr>
          <w:p w14:paraId="69D6E1B6" w14:textId="6976A0CD" w:rsidR="00AA04C5" w:rsidRPr="000467D5" w:rsidRDefault="00AA04C5" w:rsidP="00AA04C5">
            <w:pPr>
              <w:pStyle w:val="NoSpacing"/>
              <w:jc w:val="left"/>
              <w:rPr>
                <w:rFonts w:cs="Times New Roman"/>
                <w:sz w:val="22"/>
                <w:szCs w:val="22"/>
              </w:rPr>
            </w:pPr>
            <w:r>
              <w:rPr>
                <w:rFonts w:cs="Times New Roman"/>
                <w:sz w:val="22"/>
                <w:szCs w:val="22"/>
              </w:rPr>
              <w:t>More than 1 per adult</w:t>
            </w:r>
          </w:p>
        </w:tc>
        <w:tc>
          <w:tcPr>
            <w:tcW w:w="921" w:type="dxa"/>
            <w:gridSpan w:val="3"/>
            <w:tcBorders>
              <w:top w:val="nil"/>
              <w:bottom w:val="double" w:sz="4" w:space="0" w:color="auto"/>
            </w:tcBorders>
            <w:noWrap/>
            <w:vAlign w:val="center"/>
          </w:tcPr>
          <w:p w14:paraId="739DDFBA" w14:textId="20716FFD" w:rsidR="00AA04C5" w:rsidRPr="000467D5" w:rsidRDefault="00E81516" w:rsidP="00AA04C5">
            <w:pPr>
              <w:pStyle w:val="NoSpacing"/>
              <w:jc w:val="right"/>
              <w:rPr>
                <w:rFonts w:eastAsia="Times New Roman" w:cs="Times New Roman"/>
                <w:color w:val="000000"/>
                <w:sz w:val="22"/>
                <w:szCs w:val="22"/>
              </w:rPr>
            </w:pPr>
            <w:r>
              <w:rPr>
                <w:rFonts w:eastAsia="Times New Roman" w:cs="Times New Roman"/>
                <w:color w:val="000000"/>
                <w:sz w:val="22"/>
                <w:szCs w:val="22"/>
              </w:rPr>
              <w:t>215</w:t>
            </w:r>
          </w:p>
        </w:tc>
        <w:tc>
          <w:tcPr>
            <w:tcW w:w="936" w:type="dxa"/>
            <w:gridSpan w:val="2"/>
            <w:tcBorders>
              <w:top w:val="nil"/>
              <w:bottom w:val="double" w:sz="4" w:space="0" w:color="auto"/>
              <w:right w:val="double" w:sz="4" w:space="0" w:color="auto"/>
            </w:tcBorders>
            <w:noWrap/>
            <w:vAlign w:val="center"/>
          </w:tcPr>
          <w:p w14:paraId="0A9CCFE5" w14:textId="1DD30348" w:rsidR="00AA04C5" w:rsidRPr="000467D5" w:rsidRDefault="00E81516" w:rsidP="00E81516">
            <w:pPr>
              <w:pStyle w:val="NoSpacing"/>
              <w:jc w:val="right"/>
              <w:rPr>
                <w:rFonts w:eastAsia="Times New Roman" w:cs="Times New Roman"/>
                <w:color w:val="000000"/>
                <w:sz w:val="22"/>
                <w:szCs w:val="22"/>
              </w:rPr>
            </w:pPr>
            <w:r>
              <w:rPr>
                <w:rFonts w:eastAsia="Times New Roman" w:cs="Times New Roman"/>
                <w:color w:val="000000"/>
                <w:sz w:val="22"/>
                <w:szCs w:val="22"/>
              </w:rPr>
              <w:t>6.5</w:t>
            </w:r>
          </w:p>
        </w:tc>
      </w:tr>
    </w:tbl>
    <w:p w14:paraId="2422F567" w14:textId="346153AD" w:rsidR="00335680" w:rsidRDefault="00335680">
      <w:pPr>
        <w:spacing w:after="200" w:line="276" w:lineRule="auto"/>
        <w:jc w:val="left"/>
        <w:rPr>
          <w:rFonts w:eastAsia="SimSun" w:cs="Times New Roman"/>
          <w:b/>
          <w:sz w:val="24"/>
        </w:rPr>
        <w:sectPr w:rsidR="00335680" w:rsidSect="00335680">
          <w:pgSz w:w="12240" w:h="15840" w:code="1"/>
          <w:pgMar w:top="1440" w:right="1440" w:bottom="1440" w:left="1440" w:header="720" w:footer="720" w:gutter="0"/>
          <w:cols w:space="708"/>
          <w:docGrid w:linePitch="360"/>
        </w:sectPr>
      </w:pPr>
    </w:p>
    <w:p w14:paraId="134BCC2D" w14:textId="77777777" w:rsidR="009F4E21" w:rsidRDefault="009F4E21" w:rsidP="009570A3">
      <w:pPr>
        <w:spacing w:after="120" w:line="276" w:lineRule="auto"/>
        <w:rPr>
          <w:rFonts w:eastAsia="SimSun" w:cs="Times New Roman"/>
          <w:b/>
          <w:sz w:val="24"/>
        </w:rPr>
      </w:pPr>
    </w:p>
    <w:p w14:paraId="0E88A451" w14:textId="3EA677B9" w:rsidR="00335680" w:rsidRPr="00E85FE6" w:rsidRDefault="00335680" w:rsidP="009570A3">
      <w:pPr>
        <w:spacing w:after="120" w:line="276" w:lineRule="auto"/>
        <w:jc w:val="left"/>
        <w:rPr>
          <w:rFonts w:eastAsia="SimSun" w:cs="Times New Roman"/>
          <w:b/>
          <w:sz w:val="24"/>
          <w:lang w:eastAsia="zh-CN"/>
        </w:rPr>
      </w:pPr>
      <w:r w:rsidRPr="00E85FE6">
        <w:rPr>
          <w:rFonts w:eastAsia="SimSun" w:cs="Times New Roman"/>
          <w:b/>
          <w:sz w:val="24"/>
        </w:rPr>
        <w:t xml:space="preserve">TABLE </w:t>
      </w:r>
      <w:r w:rsidRPr="00E85FE6">
        <w:rPr>
          <w:rFonts w:eastAsia="SimSun" w:cs="Times New Roman" w:hint="eastAsia"/>
          <w:b/>
          <w:sz w:val="24"/>
          <w:lang w:eastAsia="zh-CN"/>
        </w:rPr>
        <w:t>2</w:t>
      </w:r>
      <w:r w:rsidRPr="00E85FE6">
        <w:rPr>
          <w:rFonts w:eastAsia="SimSun" w:cs="Times New Roman"/>
          <w:b/>
          <w:sz w:val="24"/>
        </w:rPr>
        <w:t xml:space="preserve"> Structural Equations Model Results</w:t>
      </w:r>
    </w:p>
    <w:tbl>
      <w:tblPr>
        <w:tblW w:w="9032" w:type="dxa"/>
        <w:tblInd w:w="108" w:type="dxa"/>
        <w:tblLook w:val="04A0" w:firstRow="1" w:lastRow="0" w:firstColumn="1" w:lastColumn="0" w:noHBand="0" w:noVBand="1"/>
      </w:tblPr>
      <w:tblGrid>
        <w:gridCol w:w="6652"/>
        <w:gridCol w:w="1245"/>
        <w:gridCol w:w="1135"/>
      </w:tblGrid>
      <w:tr w:rsidR="00335680" w:rsidRPr="00E85FE6" w14:paraId="4AA92254" w14:textId="77777777" w:rsidTr="009570A3">
        <w:trPr>
          <w:trHeight w:val="288"/>
        </w:trPr>
        <w:tc>
          <w:tcPr>
            <w:tcW w:w="9032" w:type="dxa"/>
            <w:gridSpan w:val="3"/>
            <w:tcBorders>
              <w:top w:val="double" w:sz="4" w:space="0" w:color="auto"/>
              <w:left w:val="double" w:sz="4" w:space="0" w:color="auto"/>
              <w:bottom w:val="double" w:sz="6" w:space="0" w:color="auto"/>
              <w:right w:val="double" w:sz="4" w:space="0" w:color="auto"/>
            </w:tcBorders>
            <w:shd w:val="clear" w:color="auto" w:fill="D9D9D9"/>
            <w:vAlign w:val="center"/>
            <w:hideMark/>
          </w:tcPr>
          <w:p w14:paraId="2B1473BF" w14:textId="77777777" w:rsidR="00335680" w:rsidRPr="00E85FE6" w:rsidRDefault="00335680" w:rsidP="009570A3">
            <w:pPr>
              <w:spacing w:line="240" w:lineRule="auto"/>
              <w:jc w:val="left"/>
              <w:rPr>
                <w:rFonts w:eastAsia="Times New Roman" w:cs="Times New Roman"/>
                <w:b/>
                <w:bCs/>
                <w:color w:val="000000"/>
              </w:rPr>
            </w:pPr>
            <w:r w:rsidRPr="00E85FE6">
              <w:rPr>
                <w:rFonts w:eastAsia="Times New Roman" w:cs="Times New Roman"/>
                <w:b/>
                <w:bCs/>
                <w:color w:val="000000"/>
              </w:rPr>
              <w:t>Virtual Accessibility Latent Stochastic Construct (VALSC)</w:t>
            </w:r>
          </w:p>
        </w:tc>
      </w:tr>
      <w:tr w:rsidR="00335680" w:rsidRPr="00E85FE6" w14:paraId="6CE967D1" w14:textId="77777777" w:rsidTr="009570A3">
        <w:trPr>
          <w:trHeight w:val="288"/>
        </w:trPr>
        <w:tc>
          <w:tcPr>
            <w:tcW w:w="6652" w:type="dxa"/>
            <w:tcBorders>
              <w:top w:val="double" w:sz="6" w:space="0" w:color="auto"/>
              <w:left w:val="double" w:sz="4" w:space="0" w:color="auto"/>
              <w:bottom w:val="double" w:sz="6" w:space="0" w:color="auto"/>
              <w:right w:val="double" w:sz="6" w:space="0" w:color="auto"/>
            </w:tcBorders>
            <w:shd w:val="clear" w:color="auto" w:fill="auto"/>
            <w:noWrap/>
            <w:vAlign w:val="center"/>
            <w:hideMark/>
          </w:tcPr>
          <w:p w14:paraId="5596D658" w14:textId="77777777" w:rsidR="00335680" w:rsidRPr="00E85FE6" w:rsidRDefault="00335680" w:rsidP="00335680">
            <w:pPr>
              <w:spacing w:line="240" w:lineRule="auto"/>
              <w:rPr>
                <w:rFonts w:eastAsia="Times New Roman" w:cs="Times New Roman"/>
                <w:b/>
                <w:bCs/>
                <w:i/>
                <w:iCs/>
                <w:color w:val="000000"/>
              </w:rPr>
            </w:pPr>
            <w:r w:rsidRPr="00E85FE6">
              <w:rPr>
                <w:rFonts w:eastAsia="Times New Roman" w:cs="Times New Roman"/>
                <w:b/>
                <w:bCs/>
                <w:i/>
                <w:iCs/>
                <w:color w:val="000000"/>
              </w:rPr>
              <w:t>Socio-demographic variables</w:t>
            </w:r>
          </w:p>
        </w:tc>
        <w:tc>
          <w:tcPr>
            <w:tcW w:w="1245" w:type="dxa"/>
            <w:tcBorders>
              <w:top w:val="double" w:sz="6" w:space="0" w:color="auto"/>
              <w:left w:val="double" w:sz="6" w:space="0" w:color="auto"/>
              <w:bottom w:val="double" w:sz="6" w:space="0" w:color="auto"/>
              <w:right w:val="single" w:sz="4" w:space="0" w:color="auto"/>
            </w:tcBorders>
            <w:shd w:val="clear" w:color="auto" w:fill="auto"/>
            <w:vAlign w:val="center"/>
          </w:tcPr>
          <w:p w14:paraId="16A9C20B" w14:textId="77777777" w:rsidR="00335680" w:rsidRPr="00E85FE6" w:rsidRDefault="00335680" w:rsidP="00335680">
            <w:pPr>
              <w:spacing w:line="240" w:lineRule="auto"/>
              <w:jc w:val="center"/>
              <w:rPr>
                <w:rFonts w:eastAsia="Times New Roman" w:cs="Times New Roman"/>
                <w:b/>
                <w:bCs/>
                <w:color w:val="000000"/>
              </w:rPr>
            </w:pPr>
            <w:r w:rsidRPr="00E85FE6">
              <w:rPr>
                <w:rFonts w:eastAsia="Times New Roman" w:cs="Times New Roman"/>
                <w:b/>
                <w:bCs/>
                <w:color w:val="000000"/>
              </w:rPr>
              <w:t>Coefficient</w:t>
            </w:r>
          </w:p>
        </w:tc>
        <w:tc>
          <w:tcPr>
            <w:tcW w:w="1135" w:type="dxa"/>
            <w:tcBorders>
              <w:top w:val="double" w:sz="6" w:space="0" w:color="auto"/>
              <w:left w:val="single" w:sz="4" w:space="0" w:color="auto"/>
              <w:bottom w:val="double" w:sz="6" w:space="0" w:color="auto"/>
              <w:right w:val="double" w:sz="4" w:space="0" w:color="auto"/>
            </w:tcBorders>
            <w:shd w:val="clear" w:color="auto" w:fill="auto"/>
            <w:vAlign w:val="center"/>
          </w:tcPr>
          <w:p w14:paraId="0985CBD5" w14:textId="55C83C66" w:rsidR="00335680" w:rsidRPr="00E85FE6" w:rsidRDefault="000961EC" w:rsidP="00335680">
            <w:pPr>
              <w:spacing w:line="240" w:lineRule="auto"/>
              <w:jc w:val="center"/>
              <w:rPr>
                <w:rFonts w:eastAsia="Times New Roman" w:cs="Times New Roman"/>
                <w:b/>
                <w:bCs/>
                <w:color w:val="000000"/>
              </w:rPr>
            </w:pPr>
            <w:r>
              <w:rPr>
                <w:rFonts w:eastAsia="Times New Roman" w:cs="Times New Roman"/>
                <w:b/>
                <w:bCs/>
                <w:color w:val="000000"/>
              </w:rPr>
              <w:t>t</w:t>
            </w:r>
            <w:r w:rsidR="00335680" w:rsidRPr="00E85FE6">
              <w:rPr>
                <w:rFonts w:eastAsia="Times New Roman" w:cs="Times New Roman"/>
                <w:b/>
                <w:bCs/>
                <w:color w:val="000000"/>
              </w:rPr>
              <w:t>-stat</w:t>
            </w:r>
          </w:p>
        </w:tc>
      </w:tr>
      <w:tr w:rsidR="00335680" w:rsidRPr="00E85FE6" w14:paraId="00535976" w14:textId="77777777" w:rsidTr="009570A3">
        <w:trPr>
          <w:trHeight w:val="288"/>
        </w:trPr>
        <w:tc>
          <w:tcPr>
            <w:tcW w:w="6652" w:type="dxa"/>
            <w:tcBorders>
              <w:top w:val="nil"/>
              <w:left w:val="double" w:sz="4" w:space="0" w:color="auto"/>
              <w:bottom w:val="nil"/>
              <w:right w:val="double" w:sz="6" w:space="0" w:color="auto"/>
            </w:tcBorders>
            <w:shd w:val="clear" w:color="auto" w:fill="auto"/>
            <w:vAlign w:val="center"/>
          </w:tcPr>
          <w:p w14:paraId="5140BB08" w14:textId="77777777" w:rsidR="00335680" w:rsidRPr="00E85FE6" w:rsidRDefault="00335680" w:rsidP="00335680">
            <w:pPr>
              <w:spacing w:line="240" w:lineRule="auto"/>
              <w:rPr>
                <w:rFonts w:eastAsia="Times New Roman" w:cs="Times New Roman"/>
                <w:i/>
                <w:iCs/>
                <w:color w:val="000000"/>
              </w:rPr>
            </w:pPr>
            <w:r w:rsidRPr="00E85FE6">
              <w:rPr>
                <w:rFonts w:eastAsia="Times New Roman" w:cs="Times New Roman"/>
                <w:i/>
                <w:iCs/>
                <w:color w:val="000000"/>
              </w:rPr>
              <w:t>Age (base: 17 to 49 years old)</w:t>
            </w:r>
          </w:p>
        </w:tc>
        <w:tc>
          <w:tcPr>
            <w:tcW w:w="1245" w:type="dxa"/>
            <w:tcBorders>
              <w:top w:val="nil"/>
              <w:left w:val="double" w:sz="6" w:space="0" w:color="auto"/>
              <w:bottom w:val="nil"/>
              <w:right w:val="single" w:sz="4" w:space="0" w:color="auto"/>
            </w:tcBorders>
            <w:shd w:val="clear" w:color="auto" w:fill="auto"/>
            <w:vAlign w:val="bottom"/>
          </w:tcPr>
          <w:p w14:paraId="3B53F05B" w14:textId="77777777" w:rsidR="00335680" w:rsidRPr="00E85FE6" w:rsidRDefault="00335680" w:rsidP="00711E1F">
            <w:pPr>
              <w:tabs>
                <w:tab w:val="decimal" w:pos="372"/>
              </w:tabs>
              <w:spacing w:line="240" w:lineRule="auto"/>
              <w:jc w:val="left"/>
              <w:rPr>
                <w:rFonts w:eastAsia="Times New Roman" w:cs="Times New Roman"/>
                <w:color w:val="000000"/>
              </w:rPr>
            </w:pPr>
          </w:p>
        </w:tc>
        <w:tc>
          <w:tcPr>
            <w:tcW w:w="1135" w:type="dxa"/>
            <w:tcBorders>
              <w:top w:val="nil"/>
              <w:left w:val="single" w:sz="4" w:space="0" w:color="auto"/>
              <w:bottom w:val="nil"/>
              <w:right w:val="double" w:sz="4" w:space="0" w:color="auto"/>
            </w:tcBorders>
            <w:shd w:val="clear" w:color="auto" w:fill="auto"/>
            <w:vAlign w:val="bottom"/>
          </w:tcPr>
          <w:p w14:paraId="1E38B3B8" w14:textId="77777777" w:rsidR="00335680" w:rsidRPr="00E85FE6" w:rsidRDefault="00335680" w:rsidP="00711E1F">
            <w:pPr>
              <w:tabs>
                <w:tab w:val="decimal" w:pos="372"/>
              </w:tabs>
              <w:spacing w:line="240" w:lineRule="auto"/>
              <w:jc w:val="left"/>
              <w:rPr>
                <w:rFonts w:eastAsia="Times New Roman" w:cs="Times New Roman"/>
                <w:color w:val="000000"/>
              </w:rPr>
            </w:pPr>
          </w:p>
        </w:tc>
      </w:tr>
      <w:tr w:rsidR="00335680" w:rsidRPr="00E85FE6" w14:paraId="1FA1E5A5" w14:textId="77777777" w:rsidTr="009570A3">
        <w:trPr>
          <w:trHeight w:val="288"/>
        </w:trPr>
        <w:tc>
          <w:tcPr>
            <w:tcW w:w="6652" w:type="dxa"/>
            <w:tcBorders>
              <w:top w:val="nil"/>
              <w:left w:val="double" w:sz="4" w:space="0" w:color="auto"/>
              <w:bottom w:val="nil"/>
              <w:right w:val="double" w:sz="6" w:space="0" w:color="auto"/>
            </w:tcBorders>
            <w:shd w:val="clear" w:color="auto" w:fill="auto"/>
            <w:vAlign w:val="center"/>
          </w:tcPr>
          <w:p w14:paraId="189BBF83" w14:textId="77777777" w:rsidR="00335680" w:rsidRPr="00E85FE6" w:rsidRDefault="00335680" w:rsidP="00335680">
            <w:pPr>
              <w:spacing w:line="240" w:lineRule="auto"/>
              <w:ind w:firstLine="180"/>
              <w:rPr>
                <w:rFonts w:eastAsia="Times New Roman" w:cs="Times New Roman"/>
                <w:color w:val="000000"/>
              </w:rPr>
            </w:pPr>
            <w:r w:rsidRPr="00E85FE6">
              <w:rPr>
                <w:rFonts w:eastAsia="Times New Roman" w:cs="Times New Roman"/>
                <w:color w:val="000000"/>
              </w:rPr>
              <w:t>50 or more years old</w:t>
            </w:r>
          </w:p>
        </w:tc>
        <w:tc>
          <w:tcPr>
            <w:tcW w:w="1245" w:type="dxa"/>
            <w:tcBorders>
              <w:top w:val="nil"/>
              <w:left w:val="double" w:sz="6" w:space="0" w:color="auto"/>
              <w:bottom w:val="nil"/>
              <w:right w:val="single" w:sz="4" w:space="0" w:color="auto"/>
            </w:tcBorders>
            <w:shd w:val="clear" w:color="auto" w:fill="auto"/>
            <w:vAlign w:val="bottom"/>
          </w:tcPr>
          <w:p w14:paraId="2A0ECE8C" w14:textId="418AEA27"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-0.1</w:t>
            </w:r>
            <w:r w:rsidR="00DE69AB">
              <w:rPr>
                <w:rFonts w:eastAsia="Times New Roman" w:cs="Times New Roman"/>
                <w:color w:val="000000"/>
              </w:rPr>
              <w:t>63</w:t>
            </w:r>
          </w:p>
        </w:tc>
        <w:tc>
          <w:tcPr>
            <w:tcW w:w="1135" w:type="dxa"/>
            <w:tcBorders>
              <w:top w:val="nil"/>
              <w:left w:val="single" w:sz="4" w:space="0" w:color="auto"/>
              <w:bottom w:val="nil"/>
              <w:right w:val="double" w:sz="4" w:space="0" w:color="auto"/>
            </w:tcBorders>
            <w:shd w:val="clear" w:color="auto" w:fill="auto"/>
            <w:vAlign w:val="bottom"/>
          </w:tcPr>
          <w:p w14:paraId="15169D6C" w14:textId="0253B981"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w:t>
            </w:r>
            <w:r w:rsidR="00DE69AB">
              <w:rPr>
                <w:rFonts w:eastAsia="Times New Roman" w:cs="Times New Roman"/>
                <w:color w:val="000000"/>
              </w:rPr>
              <w:t>3.29</w:t>
            </w:r>
          </w:p>
        </w:tc>
      </w:tr>
      <w:tr w:rsidR="00335680" w:rsidRPr="00E85FE6" w14:paraId="6237D365"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20F3A144" w14:textId="77777777" w:rsidR="00335680" w:rsidRPr="00E85FE6" w:rsidRDefault="00335680" w:rsidP="00335680">
            <w:pPr>
              <w:spacing w:line="240" w:lineRule="auto"/>
              <w:rPr>
                <w:rFonts w:eastAsia="Times New Roman" w:cs="Times New Roman"/>
                <w:i/>
                <w:iCs/>
                <w:color w:val="000000"/>
              </w:rPr>
            </w:pPr>
            <w:r>
              <w:rPr>
                <w:rFonts w:eastAsia="Times New Roman" w:cs="Times New Roman"/>
                <w:i/>
                <w:iCs/>
                <w:color w:val="000000"/>
              </w:rPr>
              <w:t>Education (base: less than degree-level)</w:t>
            </w:r>
          </w:p>
        </w:tc>
        <w:tc>
          <w:tcPr>
            <w:tcW w:w="1245" w:type="dxa"/>
            <w:tcBorders>
              <w:top w:val="nil"/>
              <w:left w:val="double" w:sz="6" w:space="0" w:color="auto"/>
              <w:right w:val="single" w:sz="4" w:space="0" w:color="auto"/>
            </w:tcBorders>
            <w:shd w:val="clear" w:color="auto" w:fill="auto"/>
            <w:vAlign w:val="center"/>
          </w:tcPr>
          <w:p w14:paraId="3D7E7BA1" w14:textId="77777777" w:rsidR="00335680" w:rsidRPr="00E85FE6" w:rsidRDefault="00335680" w:rsidP="00711E1F">
            <w:pPr>
              <w:tabs>
                <w:tab w:val="decimal" w:pos="372"/>
              </w:tabs>
              <w:spacing w:line="240" w:lineRule="auto"/>
              <w:jc w:val="left"/>
              <w:rPr>
                <w:rFonts w:eastAsia="Times New Roman" w:cs="Times New Roman"/>
                <w:color w:val="000000"/>
              </w:rPr>
            </w:pPr>
          </w:p>
        </w:tc>
        <w:tc>
          <w:tcPr>
            <w:tcW w:w="1135" w:type="dxa"/>
            <w:tcBorders>
              <w:top w:val="nil"/>
              <w:left w:val="single" w:sz="4" w:space="0" w:color="auto"/>
              <w:right w:val="double" w:sz="4" w:space="0" w:color="auto"/>
            </w:tcBorders>
            <w:shd w:val="clear" w:color="auto" w:fill="auto"/>
            <w:vAlign w:val="center"/>
          </w:tcPr>
          <w:p w14:paraId="3859A5BB" w14:textId="77777777" w:rsidR="00335680" w:rsidRPr="00E85FE6" w:rsidRDefault="00335680" w:rsidP="00711E1F">
            <w:pPr>
              <w:tabs>
                <w:tab w:val="decimal" w:pos="372"/>
              </w:tabs>
              <w:spacing w:line="240" w:lineRule="auto"/>
              <w:jc w:val="left"/>
              <w:rPr>
                <w:rFonts w:eastAsia="Times New Roman" w:cs="Times New Roman"/>
                <w:color w:val="000000"/>
                <w:lang w:eastAsia="zh-CN"/>
              </w:rPr>
            </w:pPr>
          </w:p>
        </w:tc>
      </w:tr>
      <w:tr w:rsidR="00335680" w:rsidRPr="00E85FE6" w14:paraId="38A2DC43"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12B5A914" w14:textId="77777777" w:rsidR="00335680" w:rsidRPr="00265978" w:rsidRDefault="00335680" w:rsidP="00335680">
            <w:pPr>
              <w:spacing w:line="240" w:lineRule="auto"/>
              <w:ind w:left="204"/>
              <w:rPr>
                <w:rFonts w:eastAsia="Times New Roman" w:cs="Times New Roman"/>
                <w:iCs/>
                <w:color w:val="000000"/>
              </w:rPr>
            </w:pPr>
            <w:r w:rsidRPr="00265978">
              <w:rPr>
                <w:rFonts w:eastAsia="Times New Roman" w:cs="Times New Roman"/>
                <w:iCs/>
                <w:color w:val="000000"/>
              </w:rPr>
              <w:t>Degree-level or above</w:t>
            </w:r>
          </w:p>
        </w:tc>
        <w:tc>
          <w:tcPr>
            <w:tcW w:w="1245" w:type="dxa"/>
            <w:tcBorders>
              <w:top w:val="nil"/>
              <w:left w:val="double" w:sz="6" w:space="0" w:color="auto"/>
              <w:right w:val="single" w:sz="4" w:space="0" w:color="auto"/>
            </w:tcBorders>
            <w:shd w:val="clear" w:color="auto" w:fill="auto"/>
            <w:vAlign w:val="center"/>
          </w:tcPr>
          <w:p w14:paraId="5E242082" w14:textId="2431CB30"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0.</w:t>
            </w:r>
            <w:r w:rsidR="00DE69AB">
              <w:rPr>
                <w:rFonts w:eastAsia="Times New Roman" w:cs="Times New Roman"/>
                <w:color w:val="000000"/>
              </w:rPr>
              <w:t>150</w:t>
            </w:r>
          </w:p>
        </w:tc>
        <w:tc>
          <w:tcPr>
            <w:tcW w:w="1135" w:type="dxa"/>
            <w:tcBorders>
              <w:top w:val="nil"/>
              <w:left w:val="single" w:sz="4" w:space="0" w:color="auto"/>
              <w:right w:val="double" w:sz="4" w:space="0" w:color="auto"/>
            </w:tcBorders>
            <w:shd w:val="clear" w:color="auto" w:fill="auto"/>
            <w:vAlign w:val="center"/>
          </w:tcPr>
          <w:p w14:paraId="2AFFF691" w14:textId="298EB7A1" w:rsidR="00335680" w:rsidRPr="00E85FE6" w:rsidRDefault="00DE69AB" w:rsidP="00711E1F">
            <w:pPr>
              <w:tabs>
                <w:tab w:val="decimal" w:pos="372"/>
              </w:tabs>
              <w:spacing w:line="240" w:lineRule="auto"/>
              <w:jc w:val="left"/>
              <w:rPr>
                <w:rFonts w:eastAsia="Times New Roman" w:cs="Times New Roman"/>
                <w:color w:val="000000"/>
                <w:lang w:eastAsia="zh-CN"/>
              </w:rPr>
            </w:pPr>
            <w:r>
              <w:rPr>
                <w:rFonts w:eastAsia="Times New Roman" w:cs="Times New Roman"/>
                <w:color w:val="000000"/>
                <w:lang w:eastAsia="zh-CN"/>
              </w:rPr>
              <w:t>2.95</w:t>
            </w:r>
          </w:p>
        </w:tc>
      </w:tr>
      <w:tr w:rsidR="00335680" w:rsidRPr="00E85FE6" w14:paraId="2ED58BE0"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5AE8CA09" w14:textId="77777777" w:rsidR="00335680" w:rsidRPr="00E85FE6" w:rsidRDefault="00335680" w:rsidP="00335680">
            <w:pPr>
              <w:spacing w:line="240" w:lineRule="auto"/>
              <w:rPr>
                <w:rFonts w:eastAsia="Times New Roman" w:cs="Times New Roman"/>
                <w:i/>
                <w:iCs/>
                <w:color w:val="000000"/>
              </w:rPr>
            </w:pPr>
            <w:r w:rsidRPr="00E85FE6">
              <w:rPr>
                <w:rFonts w:eastAsia="Times New Roman" w:cs="Times New Roman"/>
                <w:i/>
                <w:iCs/>
                <w:color w:val="000000"/>
              </w:rPr>
              <w:t xml:space="preserve">Household income (base: less than £50,000) </w:t>
            </w:r>
          </w:p>
        </w:tc>
        <w:tc>
          <w:tcPr>
            <w:tcW w:w="1245" w:type="dxa"/>
            <w:tcBorders>
              <w:top w:val="nil"/>
              <w:left w:val="double" w:sz="6" w:space="0" w:color="auto"/>
              <w:right w:val="single" w:sz="4" w:space="0" w:color="auto"/>
            </w:tcBorders>
            <w:shd w:val="clear" w:color="auto" w:fill="auto"/>
            <w:vAlign w:val="center"/>
          </w:tcPr>
          <w:p w14:paraId="2F9B90FD" w14:textId="77777777" w:rsidR="00335680" w:rsidRPr="00E85FE6" w:rsidRDefault="00335680" w:rsidP="00711E1F">
            <w:pPr>
              <w:tabs>
                <w:tab w:val="decimal" w:pos="372"/>
              </w:tabs>
              <w:spacing w:line="240" w:lineRule="auto"/>
              <w:jc w:val="left"/>
              <w:rPr>
                <w:rFonts w:eastAsia="Times New Roman" w:cs="Times New Roman"/>
                <w:color w:val="000000"/>
              </w:rPr>
            </w:pPr>
          </w:p>
        </w:tc>
        <w:tc>
          <w:tcPr>
            <w:tcW w:w="1135" w:type="dxa"/>
            <w:tcBorders>
              <w:top w:val="nil"/>
              <w:left w:val="single" w:sz="4" w:space="0" w:color="auto"/>
              <w:right w:val="double" w:sz="4" w:space="0" w:color="auto"/>
            </w:tcBorders>
            <w:shd w:val="clear" w:color="auto" w:fill="auto"/>
            <w:vAlign w:val="center"/>
          </w:tcPr>
          <w:p w14:paraId="7E160BF4" w14:textId="77777777" w:rsidR="00335680" w:rsidRPr="00E85FE6" w:rsidRDefault="00335680" w:rsidP="00711E1F">
            <w:pPr>
              <w:tabs>
                <w:tab w:val="decimal" w:pos="372"/>
              </w:tabs>
              <w:spacing w:line="240" w:lineRule="auto"/>
              <w:jc w:val="left"/>
              <w:rPr>
                <w:rFonts w:eastAsia="Times New Roman" w:cs="Times New Roman"/>
                <w:color w:val="000000"/>
                <w:lang w:eastAsia="zh-CN"/>
              </w:rPr>
            </w:pPr>
          </w:p>
        </w:tc>
      </w:tr>
      <w:tr w:rsidR="00335680" w:rsidRPr="00E85FE6" w14:paraId="17DAAFF8"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5163CA25" w14:textId="77777777" w:rsidR="00335680" w:rsidRPr="00E85FE6" w:rsidDel="00DF3199" w:rsidRDefault="00335680" w:rsidP="00335680">
            <w:pPr>
              <w:spacing w:line="240" w:lineRule="auto"/>
              <w:ind w:firstLine="180"/>
              <w:rPr>
                <w:rFonts w:eastAsia="Times New Roman" w:cs="Times New Roman"/>
                <w:i/>
                <w:color w:val="000000"/>
              </w:rPr>
            </w:pPr>
            <w:r w:rsidRPr="00E85FE6">
              <w:rPr>
                <w:rFonts w:eastAsia="Times New Roman" w:cs="Times New Roman"/>
                <w:color w:val="000000"/>
              </w:rPr>
              <w:t>£50,000 and over</w:t>
            </w:r>
          </w:p>
        </w:tc>
        <w:tc>
          <w:tcPr>
            <w:tcW w:w="1245" w:type="dxa"/>
            <w:tcBorders>
              <w:top w:val="nil"/>
              <w:left w:val="double" w:sz="6" w:space="0" w:color="auto"/>
              <w:right w:val="single" w:sz="4" w:space="0" w:color="auto"/>
            </w:tcBorders>
            <w:shd w:val="clear" w:color="auto" w:fill="auto"/>
            <w:vAlign w:val="center"/>
          </w:tcPr>
          <w:p w14:paraId="7C4EC900" w14:textId="47638B72"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0.1</w:t>
            </w:r>
            <w:r w:rsidR="00DE69AB">
              <w:rPr>
                <w:rFonts w:eastAsia="Times New Roman" w:cs="Times New Roman"/>
                <w:color w:val="000000"/>
              </w:rPr>
              <w:t>24</w:t>
            </w:r>
          </w:p>
        </w:tc>
        <w:tc>
          <w:tcPr>
            <w:tcW w:w="1135" w:type="dxa"/>
            <w:tcBorders>
              <w:top w:val="nil"/>
              <w:left w:val="single" w:sz="4" w:space="0" w:color="auto"/>
              <w:right w:val="double" w:sz="4" w:space="0" w:color="auto"/>
            </w:tcBorders>
            <w:shd w:val="clear" w:color="auto" w:fill="auto"/>
            <w:vAlign w:val="center"/>
          </w:tcPr>
          <w:p w14:paraId="758203DA" w14:textId="7B916AC0" w:rsidR="00335680" w:rsidRPr="00E85FE6" w:rsidRDefault="00DE69AB" w:rsidP="00711E1F">
            <w:pPr>
              <w:tabs>
                <w:tab w:val="decimal" w:pos="372"/>
              </w:tabs>
              <w:spacing w:line="240" w:lineRule="auto"/>
              <w:jc w:val="left"/>
              <w:rPr>
                <w:rFonts w:eastAsia="Times New Roman" w:cs="Times New Roman"/>
                <w:color w:val="000000"/>
              </w:rPr>
            </w:pPr>
            <w:r>
              <w:rPr>
                <w:rFonts w:eastAsia="Times New Roman" w:cs="Times New Roman"/>
                <w:color w:val="000000"/>
              </w:rPr>
              <w:t>1.95</w:t>
            </w:r>
          </w:p>
        </w:tc>
      </w:tr>
      <w:tr w:rsidR="00335680" w:rsidRPr="00E85FE6" w14:paraId="52A16966" w14:textId="77777777" w:rsidTr="009570A3">
        <w:trPr>
          <w:trHeight w:val="288"/>
        </w:trPr>
        <w:tc>
          <w:tcPr>
            <w:tcW w:w="6652" w:type="dxa"/>
            <w:tcBorders>
              <w:top w:val="double" w:sz="6" w:space="0" w:color="auto"/>
              <w:left w:val="double" w:sz="4" w:space="0" w:color="auto"/>
              <w:bottom w:val="double" w:sz="6" w:space="0" w:color="auto"/>
              <w:right w:val="double" w:sz="6" w:space="0" w:color="auto"/>
            </w:tcBorders>
            <w:shd w:val="clear" w:color="auto" w:fill="auto"/>
            <w:noWrap/>
            <w:vAlign w:val="center"/>
            <w:hideMark/>
          </w:tcPr>
          <w:p w14:paraId="3B9D749E" w14:textId="69B9E67D" w:rsidR="00335680" w:rsidRPr="00E85FE6" w:rsidRDefault="00335680" w:rsidP="00335680">
            <w:pPr>
              <w:spacing w:line="240" w:lineRule="auto"/>
              <w:rPr>
                <w:rFonts w:eastAsia="Times New Roman" w:cs="Times New Roman"/>
                <w:b/>
                <w:bCs/>
                <w:i/>
                <w:iCs/>
                <w:color w:val="000000"/>
                <w:lang w:eastAsia="zh-CN"/>
              </w:rPr>
            </w:pPr>
            <w:r w:rsidRPr="00E85FE6">
              <w:rPr>
                <w:rFonts w:eastAsia="Times New Roman" w:cs="Times New Roman" w:hint="eastAsia"/>
                <w:b/>
                <w:bCs/>
                <w:i/>
                <w:iCs/>
                <w:color w:val="000000"/>
                <w:lang w:eastAsia="zh-CN"/>
              </w:rPr>
              <w:t xml:space="preserve">Virtual </w:t>
            </w:r>
            <w:r w:rsidRPr="00E85FE6">
              <w:rPr>
                <w:rFonts w:eastAsia="Times New Roman" w:cs="Times New Roman"/>
                <w:b/>
                <w:bCs/>
                <w:i/>
                <w:iCs/>
                <w:color w:val="000000"/>
                <w:lang w:eastAsia="zh-CN"/>
              </w:rPr>
              <w:t xml:space="preserve">accessibility </w:t>
            </w:r>
            <w:r w:rsidRPr="00E85FE6">
              <w:rPr>
                <w:rFonts w:eastAsia="Times New Roman" w:cs="Times New Roman" w:hint="eastAsia"/>
                <w:b/>
                <w:bCs/>
                <w:i/>
                <w:iCs/>
                <w:color w:val="000000"/>
                <w:lang w:eastAsia="zh-CN"/>
              </w:rPr>
              <w:t xml:space="preserve">measures </w:t>
            </w:r>
            <w:r w:rsidRPr="00E85FE6">
              <w:rPr>
                <w:rFonts w:eastAsia="Times New Roman" w:cs="Times New Roman"/>
                <w:b/>
                <w:bCs/>
                <w:i/>
                <w:iCs/>
                <w:color w:val="000000"/>
                <w:lang w:eastAsia="zh-CN"/>
              </w:rPr>
              <w:t>(</w:t>
            </w:r>
            <w:r w:rsidRPr="00E85FE6">
              <w:rPr>
                <w:rFonts w:eastAsia="Times New Roman" w:cs="Times New Roman" w:hint="eastAsia"/>
                <w:b/>
                <w:bCs/>
                <w:i/>
                <w:iCs/>
                <w:color w:val="000000"/>
                <w:lang w:eastAsia="zh-CN"/>
              </w:rPr>
              <w:t>VAM</w:t>
            </w:r>
            <w:r w:rsidR="00C274A9">
              <w:rPr>
                <w:rFonts w:eastAsia="Times New Roman" w:cs="Times New Roman"/>
                <w:b/>
                <w:bCs/>
                <w:i/>
                <w:iCs/>
                <w:color w:val="000000"/>
                <w:lang w:eastAsia="zh-CN"/>
              </w:rPr>
              <w:t>s</w:t>
            </w:r>
            <w:r w:rsidRPr="00E85FE6">
              <w:rPr>
                <w:rFonts w:eastAsia="Times New Roman" w:cs="Times New Roman"/>
                <w:b/>
                <w:bCs/>
                <w:i/>
                <w:iCs/>
                <w:color w:val="000000"/>
                <w:lang w:eastAsia="zh-CN"/>
              </w:rPr>
              <w:t>)</w:t>
            </w:r>
          </w:p>
        </w:tc>
        <w:tc>
          <w:tcPr>
            <w:tcW w:w="1245" w:type="dxa"/>
            <w:tcBorders>
              <w:top w:val="double" w:sz="6" w:space="0" w:color="auto"/>
              <w:left w:val="double" w:sz="6" w:space="0" w:color="auto"/>
              <w:bottom w:val="double" w:sz="6" w:space="0" w:color="auto"/>
              <w:right w:val="single" w:sz="4" w:space="0" w:color="auto"/>
            </w:tcBorders>
            <w:shd w:val="clear" w:color="auto" w:fill="auto"/>
            <w:vAlign w:val="center"/>
          </w:tcPr>
          <w:p w14:paraId="228F9BBB" w14:textId="77777777" w:rsidR="00335680" w:rsidRPr="00E85FE6" w:rsidRDefault="00335680" w:rsidP="00711E1F">
            <w:pPr>
              <w:tabs>
                <w:tab w:val="decimal" w:pos="372"/>
              </w:tabs>
              <w:spacing w:line="240" w:lineRule="auto"/>
              <w:jc w:val="center"/>
              <w:rPr>
                <w:rFonts w:eastAsia="Times New Roman" w:cs="Times New Roman"/>
                <w:b/>
                <w:bCs/>
                <w:color w:val="000000"/>
              </w:rPr>
            </w:pPr>
            <w:r w:rsidRPr="00E85FE6">
              <w:rPr>
                <w:rFonts w:eastAsia="Times New Roman" w:cs="Times New Roman"/>
                <w:b/>
                <w:bCs/>
                <w:color w:val="000000"/>
              </w:rPr>
              <w:t>Coefficient</w:t>
            </w:r>
          </w:p>
        </w:tc>
        <w:tc>
          <w:tcPr>
            <w:tcW w:w="1135" w:type="dxa"/>
            <w:tcBorders>
              <w:top w:val="double" w:sz="6" w:space="0" w:color="auto"/>
              <w:left w:val="single" w:sz="4" w:space="0" w:color="auto"/>
              <w:bottom w:val="double" w:sz="6" w:space="0" w:color="auto"/>
              <w:right w:val="double" w:sz="4" w:space="0" w:color="auto"/>
            </w:tcBorders>
            <w:shd w:val="clear" w:color="auto" w:fill="auto"/>
            <w:vAlign w:val="center"/>
          </w:tcPr>
          <w:p w14:paraId="7A560F99" w14:textId="1C53C701" w:rsidR="00335680" w:rsidRPr="00E85FE6" w:rsidRDefault="000961EC" w:rsidP="00711E1F">
            <w:pPr>
              <w:tabs>
                <w:tab w:val="decimal" w:pos="372"/>
              </w:tabs>
              <w:spacing w:line="240" w:lineRule="auto"/>
              <w:jc w:val="center"/>
              <w:rPr>
                <w:rFonts w:eastAsia="Times New Roman" w:cs="Times New Roman"/>
                <w:b/>
                <w:bCs/>
                <w:color w:val="000000"/>
              </w:rPr>
            </w:pPr>
            <w:r>
              <w:rPr>
                <w:rFonts w:eastAsia="Times New Roman" w:cs="Times New Roman"/>
                <w:b/>
                <w:bCs/>
                <w:color w:val="000000"/>
              </w:rPr>
              <w:t>t</w:t>
            </w:r>
            <w:r w:rsidR="00335680" w:rsidRPr="00E85FE6">
              <w:rPr>
                <w:rFonts w:eastAsia="Times New Roman" w:cs="Times New Roman"/>
                <w:b/>
                <w:bCs/>
                <w:color w:val="000000"/>
              </w:rPr>
              <w:t>-stat</w:t>
            </w:r>
          </w:p>
        </w:tc>
      </w:tr>
      <w:tr w:rsidR="00335680" w:rsidRPr="00E85FE6" w14:paraId="5A7E91A2" w14:textId="77777777" w:rsidTr="009570A3">
        <w:trPr>
          <w:trHeight w:val="288"/>
        </w:trPr>
        <w:tc>
          <w:tcPr>
            <w:tcW w:w="6652" w:type="dxa"/>
            <w:tcBorders>
              <w:top w:val="nil"/>
              <w:left w:val="double" w:sz="4" w:space="0" w:color="auto"/>
              <w:bottom w:val="nil"/>
              <w:right w:val="double" w:sz="6" w:space="0" w:color="auto"/>
            </w:tcBorders>
            <w:shd w:val="clear" w:color="auto" w:fill="auto"/>
            <w:vAlign w:val="center"/>
            <w:hideMark/>
          </w:tcPr>
          <w:p w14:paraId="155561F9" w14:textId="77777777" w:rsidR="00335680" w:rsidRPr="00E85FE6" w:rsidRDefault="00335680" w:rsidP="00335680">
            <w:pPr>
              <w:spacing w:line="240" w:lineRule="auto"/>
              <w:ind w:left="109" w:hanging="109"/>
              <w:rPr>
                <w:rFonts w:eastAsia="Times New Roman" w:cs="Times New Roman"/>
                <w:i/>
                <w:iCs/>
                <w:color w:val="000000"/>
              </w:rPr>
            </w:pPr>
            <w:r w:rsidRPr="00E85FE6">
              <w:rPr>
                <w:rFonts w:eastAsia="Times New Roman" w:cs="Times New Roman"/>
                <w:i/>
                <w:iCs/>
                <w:color w:val="000000"/>
              </w:rPr>
              <w:t>Occupation type (base: routine, manual, intermediate occupations)</w:t>
            </w:r>
          </w:p>
        </w:tc>
        <w:tc>
          <w:tcPr>
            <w:tcW w:w="1245" w:type="dxa"/>
            <w:tcBorders>
              <w:top w:val="nil"/>
              <w:left w:val="double" w:sz="6" w:space="0" w:color="auto"/>
              <w:bottom w:val="nil"/>
              <w:right w:val="single" w:sz="4" w:space="0" w:color="auto"/>
            </w:tcBorders>
            <w:shd w:val="clear" w:color="auto" w:fill="auto"/>
            <w:noWrap/>
            <w:vAlign w:val="bottom"/>
            <w:hideMark/>
          </w:tcPr>
          <w:p w14:paraId="079C40DD" w14:textId="77777777" w:rsidR="00335680" w:rsidRPr="00E85FE6" w:rsidRDefault="00335680" w:rsidP="00711E1F">
            <w:pPr>
              <w:tabs>
                <w:tab w:val="decimal" w:pos="372"/>
              </w:tabs>
              <w:spacing w:line="240" w:lineRule="auto"/>
              <w:jc w:val="left"/>
              <w:rPr>
                <w:rFonts w:eastAsia="Times New Roman" w:cs="Times New Roman"/>
                <w:color w:val="000000"/>
              </w:rPr>
            </w:pPr>
          </w:p>
        </w:tc>
        <w:tc>
          <w:tcPr>
            <w:tcW w:w="1135" w:type="dxa"/>
            <w:tcBorders>
              <w:top w:val="nil"/>
              <w:left w:val="single" w:sz="4" w:space="0" w:color="auto"/>
              <w:bottom w:val="nil"/>
              <w:right w:val="double" w:sz="4" w:space="0" w:color="auto"/>
            </w:tcBorders>
            <w:shd w:val="clear" w:color="auto" w:fill="auto"/>
            <w:noWrap/>
            <w:vAlign w:val="bottom"/>
            <w:hideMark/>
          </w:tcPr>
          <w:p w14:paraId="107102A1" w14:textId="77777777" w:rsidR="00335680" w:rsidRPr="00E85FE6" w:rsidRDefault="00335680" w:rsidP="00711E1F">
            <w:pPr>
              <w:tabs>
                <w:tab w:val="decimal" w:pos="372"/>
              </w:tabs>
              <w:spacing w:line="240" w:lineRule="auto"/>
              <w:jc w:val="left"/>
              <w:rPr>
                <w:rFonts w:eastAsia="Times New Roman" w:cs="Times New Roman"/>
                <w:color w:val="000000"/>
              </w:rPr>
            </w:pPr>
          </w:p>
        </w:tc>
      </w:tr>
      <w:tr w:rsidR="00335680" w:rsidRPr="00E85FE6" w14:paraId="13EDCF6F" w14:textId="77777777" w:rsidTr="009570A3">
        <w:trPr>
          <w:trHeight w:val="288"/>
        </w:trPr>
        <w:tc>
          <w:tcPr>
            <w:tcW w:w="6652" w:type="dxa"/>
            <w:tcBorders>
              <w:top w:val="nil"/>
              <w:left w:val="double" w:sz="4" w:space="0" w:color="auto"/>
              <w:bottom w:val="nil"/>
              <w:right w:val="double" w:sz="6" w:space="0" w:color="auto"/>
            </w:tcBorders>
            <w:shd w:val="clear" w:color="auto" w:fill="auto"/>
            <w:vAlign w:val="center"/>
          </w:tcPr>
          <w:p w14:paraId="44A5E811" w14:textId="77777777" w:rsidR="00335680" w:rsidRPr="00E85FE6" w:rsidRDefault="00335680" w:rsidP="00335680">
            <w:pPr>
              <w:spacing w:line="240" w:lineRule="auto"/>
              <w:ind w:left="204"/>
              <w:rPr>
                <w:rFonts w:eastAsia="Times New Roman" w:cs="Times New Roman"/>
                <w:i/>
                <w:iCs/>
                <w:color w:val="000000"/>
              </w:rPr>
            </w:pPr>
            <w:r w:rsidRPr="00E85FE6">
              <w:rPr>
                <w:rFonts w:eastAsia="Times New Roman" w:cs="Times New Roman"/>
                <w:color w:val="000000"/>
              </w:rPr>
              <w:t>Managerial and professional jobs</w:t>
            </w:r>
          </w:p>
        </w:tc>
        <w:tc>
          <w:tcPr>
            <w:tcW w:w="1245" w:type="dxa"/>
            <w:tcBorders>
              <w:top w:val="nil"/>
              <w:left w:val="double" w:sz="6" w:space="0" w:color="auto"/>
              <w:bottom w:val="nil"/>
              <w:right w:val="single" w:sz="4" w:space="0" w:color="auto"/>
            </w:tcBorders>
            <w:shd w:val="clear" w:color="auto" w:fill="auto"/>
            <w:noWrap/>
            <w:vAlign w:val="center"/>
          </w:tcPr>
          <w:p w14:paraId="2BC4A374" w14:textId="4F747368"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0.</w:t>
            </w:r>
            <w:r w:rsidR="00DE69AB">
              <w:rPr>
                <w:rFonts w:eastAsia="Times New Roman" w:cs="Times New Roman"/>
                <w:color w:val="000000"/>
              </w:rPr>
              <w:t>234</w:t>
            </w:r>
          </w:p>
        </w:tc>
        <w:tc>
          <w:tcPr>
            <w:tcW w:w="1135" w:type="dxa"/>
            <w:tcBorders>
              <w:top w:val="nil"/>
              <w:left w:val="single" w:sz="4" w:space="0" w:color="auto"/>
              <w:bottom w:val="nil"/>
              <w:right w:val="double" w:sz="4" w:space="0" w:color="auto"/>
            </w:tcBorders>
            <w:shd w:val="clear" w:color="auto" w:fill="auto"/>
            <w:noWrap/>
            <w:vAlign w:val="center"/>
          </w:tcPr>
          <w:p w14:paraId="31BF535C" w14:textId="4C2BAE27"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4.2</w:t>
            </w:r>
            <w:r w:rsidR="00DE69AB">
              <w:rPr>
                <w:rFonts w:eastAsia="Times New Roman" w:cs="Times New Roman"/>
                <w:color w:val="000000"/>
              </w:rPr>
              <w:t>2</w:t>
            </w:r>
          </w:p>
        </w:tc>
      </w:tr>
      <w:tr w:rsidR="00335680" w:rsidRPr="00E85FE6" w14:paraId="0D1170F0" w14:textId="77777777" w:rsidTr="009570A3">
        <w:trPr>
          <w:trHeight w:val="288"/>
        </w:trPr>
        <w:tc>
          <w:tcPr>
            <w:tcW w:w="6652" w:type="dxa"/>
            <w:tcBorders>
              <w:top w:val="nil"/>
              <w:left w:val="double" w:sz="4" w:space="0" w:color="auto"/>
              <w:bottom w:val="nil"/>
              <w:right w:val="double" w:sz="6" w:space="0" w:color="auto"/>
            </w:tcBorders>
            <w:shd w:val="clear" w:color="auto" w:fill="auto"/>
            <w:vAlign w:val="center"/>
          </w:tcPr>
          <w:p w14:paraId="253B9517" w14:textId="77777777" w:rsidR="00335680" w:rsidRPr="005D7B56" w:rsidRDefault="00335680" w:rsidP="00335680">
            <w:pPr>
              <w:spacing w:line="240" w:lineRule="auto"/>
              <w:rPr>
                <w:rFonts w:eastAsia="Times New Roman" w:cs="Times New Roman"/>
                <w:i/>
                <w:iCs/>
                <w:color w:val="000000"/>
              </w:rPr>
            </w:pPr>
            <w:r w:rsidRPr="005D7B56">
              <w:rPr>
                <w:rFonts w:eastAsia="Times New Roman" w:cs="Times New Roman"/>
                <w:i/>
                <w:iCs/>
                <w:color w:val="000000"/>
              </w:rPr>
              <w:t xml:space="preserve">Internet availability (base: </w:t>
            </w:r>
            <w:r w:rsidRPr="005D7B56">
              <w:rPr>
                <w:rFonts w:eastAsia="Times New Roman" w:cs="Times New Roman"/>
                <w:i/>
                <w:color w:val="000000"/>
              </w:rPr>
              <w:t>has Internet connection at home</w:t>
            </w:r>
            <w:r w:rsidRPr="005D7B56">
              <w:rPr>
                <w:rFonts w:eastAsia="Times New Roman" w:cs="Times New Roman"/>
                <w:i/>
                <w:iCs/>
                <w:color w:val="000000"/>
              </w:rPr>
              <w:t>)</w:t>
            </w:r>
          </w:p>
        </w:tc>
        <w:tc>
          <w:tcPr>
            <w:tcW w:w="1245" w:type="dxa"/>
            <w:tcBorders>
              <w:top w:val="nil"/>
              <w:left w:val="double" w:sz="6" w:space="0" w:color="auto"/>
              <w:bottom w:val="nil"/>
              <w:right w:val="single" w:sz="4" w:space="0" w:color="auto"/>
            </w:tcBorders>
            <w:shd w:val="clear" w:color="auto" w:fill="auto"/>
            <w:noWrap/>
            <w:vAlign w:val="center"/>
          </w:tcPr>
          <w:p w14:paraId="79D35CEF" w14:textId="77777777" w:rsidR="00335680" w:rsidRPr="00E85FE6" w:rsidRDefault="00335680" w:rsidP="00711E1F">
            <w:pPr>
              <w:tabs>
                <w:tab w:val="decimal" w:pos="372"/>
              </w:tabs>
              <w:spacing w:line="240" w:lineRule="auto"/>
              <w:jc w:val="left"/>
              <w:rPr>
                <w:rFonts w:eastAsia="Times New Roman" w:cs="Times New Roman"/>
                <w:color w:val="000000"/>
              </w:rPr>
            </w:pPr>
          </w:p>
        </w:tc>
        <w:tc>
          <w:tcPr>
            <w:tcW w:w="1135" w:type="dxa"/>
            <w:tcBorders>
              <w:top w:val="nil"/>
              <w:left w:val="single" w:sz="4" w:space="0" w:color="auto"/>
              <w:bottom w:val="nil"/>
              <w:right w:val="double" w:sz="4" w:space="0" w:color="auto"/>
            </w:tcBorders>
            <w:shd w:val="clear" w:color="auto" w:fill="auto"/>
            <w:noWrap/>
            <w:vAlign w:val="center"/>
          </w:tcPr>
          <w:p w14:paraId="3CA124E6" w14:textId="77777777" w:rsidR="00335680" w:rsidRPr="00E85FE6" w:rsidRDefault="00335680" w:rsidP="00711E1F">
            <w:pPr>
              <w:tabs>
                <w:tab w:val="decimal" w:pos="372"/>
              </w:tabs>
              <w:spacing w:line="240" w:lineRule="auto"/>
              <w:jc w:val="left"/>
              <w:rPr>
                <w:rFonts w:eastAsia="Times New Roman" w:cs="Times New Roman"/>
                <w:color w:val="000000"/>
              </w:rPr>
            </w:pPr>
          </w:p>
        </w:tc>
      </w:tr>
      <w:tr w:rsidR="00335680" w:rsidRPr="00E85FE6" w14:paraId="1F3827DA" w14:textId="77777777" w:rsidTr="009570A3">
        <w:trPr>
          <w:trHeight w:val="288"/>
        </w:trPr>
        <w:tc>
          <w:tcPr>
            <w:tcW w:w="6652" w:type="dxa"/>
            <w:tcBorders>
              <w:top w:val="nil"/>
              <w:left w:val="double" w:sz="4" w:space="0" w:color="auto"/>
              <w:bottom w:val="double" w:sz="6" w:space="0" w:color="auto"/>
              <w:right w:val="double" w:sz="6" w:space="0" w:color="auto"/>
            </w:tcBorders>
            <w:shd w:val="clear" w:color="auto" w:fill="auto"/>
            <w:vAlign w:val="center"/>
          </w:tcPr>
          <w:p w14:paraId="71265172" w14:textId="77777777" w:rsidR="00335680" w:rsidRPr="005D7B56" w:rsidRDefault="00335680" w:rsidP="00335680">
            <w:pPr>
              <w:spacing w:line="240" w:lineRule="auto"/>
              <w:ind w:firstLine="180"/>
              <w:rPr>
                <w:rFonts w:eastAsia="Times New Roman" w:cs="Times New Roman"/>
                <w:color w:val="000000"/>
              </w:rPr>
            </w:pPr>
            <w:r w:rsidRPr="005D7B56">
              <w:rPr>
                <w:rFonts w:eastAsia="Times New Roman" w:cs="Times New Roman"/>
                <w:iCs/>
                <w:color w:val="000000"/>
              </w:rPr>
              <w:t>Does not have Internet connection at home</w:t>
            </w:r>
          </w:p>
        </w:tc>
        <w:tc>
          <w:tcPr>
            <w:tcW w:w="1245" w:type="dxa"/>
            <w:tcBorders>
              <w:top w:val="nil"/>
              <w:left w:val="double" w:sz="6" w:space="0" w:color="auto"/>
              <w:bottom w:val="double" w:sz="6" w:space="0" w:color="auto"/>
              <w:right w:val="single" w:sz="4" w:space="0" w:color="auto"/>
            </w:tcBorders>
            <w:shd w:val="clear" w:color="auto" w:fill="auto"/>
            <w:noWrap/>
            <w:vAlign w:val="center"/>
          </w:tcPr>
          <w:p w14:paraId="660F6D56" w14:textId="4211624A"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-0.</w:t>
            </w:r>
            <w:r w:rsidR="00DE69AB">
              <w:rPr>
                <w:rFonts w:eastAsia="Times New Roman" w:cs="Times New Roman"/>
                <w:color w:val="000000"/>
              </w:rPr>
              <w:t>127</w:t>
            </w:r>
          </w:p>
        </w:tc>
        <w:tc>
          <w:tcPr>
            <w:tcW w:w="1135" w:type="dxa"/>
            <w:tcBorders>
              <w:top w:val="nil"/>
              <w:left w:val="single" w:sz="4" w:space="0" w:color="auto"/>
              <w:bottom w:val="double" w:sz="6" w:space="0" w:color="auto"/>
              <w:right w:val="double" w:sz="4" w:space="0" w:color="auto"/>
            </w:tcBorders>
            <w:shd w:val="clear" w:color="auto" w:fill="auto"/>
            <w:noWrap/>
            <w:vAlign w:val="center"/>
          </w:tcPr>
          <w:p w14:paraId="78E25DDF" w14:textId="319CAA99"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w:t>
            </w:r>
            <w:r w:rsidR="00DE69AB">
              <w:rPr>
                <w:rFonts w:eastAsia="Times New Roman" w:cs="Times New Roman"/>
                <w:color w:val="000000"/>
              </w:rPr>
              <w:t>1.95</w:t>
            </w:r>
          </w:p>
        </w:tc>
      </w:tr>
      <w:tr w:rsidR="00335680" w:rsidRPr="00E85FE6" w14:paraId="4C2EA6D7" w14:textId="77777777" w:rsidTr="009570A3">
        <w:trPr>
          <w:trHeight w:val="288"/>
        </w:trPr>
        <w:tc>
          <w:tcPr>
            <w:tcW w:w="9032" w:type="dxa"/>
            <w:gridSpan w:val="3"/>
            <w:tcBorders>
              <w:top w:val="double" w:sz="6" w:space="0" w:color="auto"/>
              <w:left w:val="double" w:sz="4" w:space="0" w:color="auto"/>
              <w:bottom w:val="double" w:sz="6" w:space="0" w:color="auto"/>
              <w:right w:val="double" w:sz="4" w:space="0" w:color="auto"/>
            </w:tcBorders>
            <w:shd w:val="clear" w:color="auto" w:fill="D9D9D9"/>
            <w:vAlign w:val="center"/>
            <w:hideMark/>
          </w:tcPr>
          <w:p w14:paraId="485DA924" w14:textId="77777777" w:rsidR="00335680" w:rsidRPr="00E85FE6" w:rsidRDefault="00335680" w:rsidP="00711E1F">
            <w:pPr>
              <w:tabs>
                <w:tab w:val="decimal" w:pos="372"/>
              </w:tabs>
              <w:spacing w:line="240" w:lineRule="auto"/>
              <w:jc w:val="left"/>
              <w:rPr>
                <w:rFonts w:eastAsia="Times New Roman" w:cs="Times New Roman"/>
                <w:b/>
                <w:bCs/>
                <w:color w:val="000000"/>
              </w:rPr>
            </w:pPr>
            <w:r w:rsidRPr="00E85FE6">
              <w:rPr>
                <w:rFonts w:eastAsia="Times New Roman" w:cs="Times New Roman"/>
                <w:b/>
                <w:bCs/>
                <w:color w:val="000000"/>
              </w:rPr>
              <w:t>Physical Accessibility Latent Stochastic Construct (P</w:t>
            </w:r>
            <w:r w:rsidRPr="00E85FE6">
              <w:rPr>
                <w:rFonts w:eastAsia="Times New Roman" w:cs="Times New Roman" w:hint="eastAsia"/>
                <w:b/>
                <w:bCs/>
                <w:color w:val="000000"/>
                <w:lang w:eastAsia="zh-CN"/>
              </w:rPr>
              <w:t>ALSC</w:t>
            </w:r>
            <w:r w:rsidRPr="00E85FE6">
              <w:rPr>
                <w:rFonts w:eastAsia="Times New Roman" w:cs="Times New Roman"/>
                <w:b/>
                <w:bCs/>
                <w:color w:val="000000"/>
              </w:rPr>
              <w:t>)</w:t>
            </w:r>
          </w:p>
        </w:tc>
      </w:tr>
      <w:tr w:rsidR="00335680" w:rsidRPr="00E85FE6" w14:paraId="13BC7DF2" w14:textId="77777777" w:rsidTr="009570A3">
        <w:trPr>
          <w:trHeight w:val="288"/>
        </w:trPr>
        <w:tc>
          <w:tcPr>
            <w:tcW w:w="6652" w:type="dxa"/>
            <w:tcBorders>
              <w:top w:val="double" w:sz="6" w:space="0" w:color="auto"/>
              <w:left w:val="double" w:sz="4" w:space="0" w:color="auto"/>
              <w:bottom w:val="double" w:sz="6" w:space="0" w:color="auto"/>
              <w:right w:val="double" w:sz="6" w:space="0" w:color="auto"/>
            </w:tcBorders>
            <w:shd w:val="clear" w:color="auto" w:fill="auto"/>
            <w:vAlign w:val="center"/>
          </w:tcPr>
          <w:p w14:paraId="34C35B00" w14:textId="77777777" w:rsidR="00335680" w:rsidRPr="00E85FE6" w:rsidRDefault="00335680" w:rsidP="00335680">
            <w:pPr>
              <w:spacing w:line="240" w:lineRule="auto"/>
              <w:rPr>
                <w:rFonts w:eastAsia="Times New Roman" w:cs="Times New Roman"/>
                <w:b/>
                <w:bCs/>
                <w:i/>
                <w:iCs/>
                <w:color w:val="000000"/>
              </w:rPr>
            </w:pPr>
            <w:r w:rsidRPr="00E85FE6">
              <w:rPr>
                <w:rFonts w:eastAsia="Times New Roman" w:cs="Times New Roman"/>
                <w:b/>
                <w:bCs/>
                <w:i/>
                <w:iCs/>
                <w:color w:val="000000"/>
              </w:rPr>
              <w:t>Socio-demographic variables</w:t>
            </w:r>
          </w:p>
        </w:tc>
        <w:tc>
          <w:tcPr>
            <w:tcW w:w="1245" w:type="dxa"/>
            <w:tcBorders>
              <w:top w:val="double" w:sz="6" w:space="0" w:color="auto"/>
              <w:left w:val="double" w:sz="6" w:space="0" w:color="auto"/>
              <w:bottom w:val="double" w:sz="6" w:space="0" w:color="auto"/>
              <w:right w:val="single" w:sz="4" w:space="0" w:color="auto"/>
            </w:tcBorders>
            <w:shd w:val="clear" w:color="auto" w:fill="auto"/>
            <w:vAlign w:val="center"/>
          </w:tcPr>
          <w:p w14:paraId="4586E11F" w14:textId="77777777" w:rsidR="00335680" w:rsidRPr="00E85FE6" w:rsidRDefault="00335680" w:rsidP="00711E1F">
            <w:pPr>
              <w:tabs>
                <w:tab w:val="decimal" w:pos="372"/>
              </w:tabs>
              <w:spacing w:line="240" w:lineRule="auto"/>
              <w:jc w:val="center"/>
              <w:rPr>
                <w:rFonts w:eastAsia="Times New Roman" w:cs="Times New Roman"/>
                <w:b/>
                <w:bCs/>
                <w:color w:val="000000"/>
              </w:rPr>
            </w:pPr>
            <w:r w:rsidRPr="00E85FE6">
              <w:rPr>
                <w:rFonts w:eastAsia="Times New Roman" w:cs="Times New Roman"/>
                <w:b/>
                <w:bCs/>
                <w:color w:val="000000"/>
              </w:rPr>
              <w:t>Coefficient</w:t>
            </w:r>
          </w:p>
        </w:tc>
        <w:tc>
          <w:tcPr>
            <w:tcW w:w="1135" w:type="dxa"/>
            <w:tcBorders>
              <w:top w:val="double" w:sz="6" w:space="0" w:color="auto"/>
              <w:left w:val="single" w:sz="4" w:space="0" w:color="auto"/>
              <w:bottom w:val="double" w:sz="6" w:space="0" w:color="auto"/>
              <w:right w:val="double" w:sz="4" w:space="0" w:color="auto"/>
            </w:tcBorders>
            <w:shd w:val="clear" w:color="auto" w:fill="auto"/>
            <w:vAlign w:val="center"/>
          </w:tcPr>
          <w:p w14:paraId="62773F19" w14:textId="25166B98" w:rsidR="00335680" w:rsidRPr="00E85FE6" w:rsidRDefault="000961EC" w:rsidP="00711E1F">
            <w:pPr>
              <w:tabs>
                <w:tab w:val="decimal" w:pos="372"/>
              </w:tabs>
              <w:spacing w:line="240" w:lineRule="auto"/>
              <w:jc w:val="center"/>
              <w:rPr>
                <w:rFonts w:eastAsia="Times New Roman" w:cs="Times New Roman"/>
                <w:b/>
                <w:bCs/>
                <w:color w:val="000000"/>
              </w:rPr>
            </w:pPr>
            <w:r>
              <w:rPr>
                <w:rFonts w:eastAsia="Times New Roman" w:cs="Times New Roman"/>
                <w:b/>
                <w:bCs/>
                <w:color w:val="000000"/>
              </w:rPr>
              <w:t>t</w:t>
            </w:r>
            <w:r w:rsidR="00335680" w:rsidRPr="00E85FE6">
              <w:rPr>
                <w:rFonts w:eastAsia="Times New Roman" w:cs="Times New Roman"/>
                <w:b/>
                <w:bCs/>
                <w:color w:val="000000"/>
              </w:rPr>
              <w:t>-stat</w:t>
            </w:r>
          </w:p>
        </w:tc>
      </w:tr>
      <w:tr w:rsidR="00335680" w:rsidRPr="00E85FE6" w14:paraId="59882555" w14:textId="77777777" w:rsidTr="009570A3">
        <w:trPr>
          <w:trHeight w:val="288"/>
        </w:trPr>
        <w:tc>
          <w:tcPr>
            <w:tcW w:w="6652" w:type="dxa"/>
            <w:tcBorders>
              <w:left w:val="double" w:sz="4" w:space="0" w:color="auto"/>
              <w:bottom w:val="nil"/>
              <w:right w:val="double" w:sz="6" w:space="0" w:color="auto"/>
            </w:tcBorders>
            <w:shd w:val="clear" w:color="auto" w:fill="auto"/>
            <w:vAlign w:val="center"/>
          </w:tcPr>
          <w:p w14:paraId="41387AEA" w14:textId="77777777" w:rsidR="00335680" w:rsidRPr="00E85FE6" w:rsidRDefault="00335680" w:rsidP="00335680">
            <w:pPr>
              <w:spacing w:line="240" w:lineRule="auto"/>
              <w:rPr>
                <w:rFonts w:eastAsia="Times New Roman" w:cs="Times New Roman"/>
                <w:i/>
                <w:iCs/>
                <w:color w:val="000000"/>
              </w:rPr>
            </w:pPr>
            <w:r w:rsidRPr="00E85FE6">
              <w:rPr>
                <w:rFonts w:eastAsia="Times New Roman" w:cs="Times New Roman"/>
                <w:i/>
                <w:iCs/>
                <w:color w:val="000000"/>
              </w:rPr>
              <w:t>House type (base: detached or semi-detached)</w:t>
            </w:r>
          </w:p>
        </w:tc>
        <w:tc>
          <w:tcPr>
            <w:tcW w:w="1245" w:type="dxa"/>
            <w:tcBorders>
              <w:left w:val="double" w:sz="6" w:space="0" w:color="auto"/>
              <w:bottom w:val="nil"/>
              <w:right w:val="single" w:sz="4" w:space="0" w:color="auto"/>
            </w:tcBorders>
            <w:shd w:val="clear" w:color="auto" w:fill="auto"/>
            <w:noWrap/>
            <w:vAlign w:val="center"/>
          </w:tcPr>
          <w:p w14:paraId="2ED04038" w14:textId="77777777" w:rsidR="00335680" w:rsidRPr="00E85FE6" w:rsidRDefault="00335680" w:rsidP="00711E1F">
            <w:pPr>
              <w:tabs>
                <w:tab w:val="decimal" w:pos="372"/>
              </w:tabs>
              <w:spacing w:line="240" w:lineRule="auto"/>
              <w:jc w:val="left"/>
              <w:rPr>
                <w:rFonts w:eastAsia="Times New Roman" w:cs="Times New Roman"/>
                <w:color w:val="000000"/>
              </w:rPr>
            </w:pPr>
          </w:p>
        </w:tc>
        <w:tc>
          <w:tcPr>
            <w:tcW w:w="1135" w:type="dxa"/>
            <w:tcBorders>
              <w:left w:val="single" w:sz="4" w:space="0" w:color="auto"/>
              <w:bottom w:val="nil"/>
              <w:right w:val="double" w:sz="4" w:space="0" w:color="auto"/>
            </w:tcBorders>
            <w:shd w:val="clear" w:color="auto" w:fill="auto"/>
            <w:noWrap/>
            <w:vAlign w:val="center"/>
          </w:tcPr>
          <w:p w14:paraId="063C7CB0" w14:textId="77777777" w:rsidR="00335680" w:rsidRPr="00E85FE6" w:rsidRDefault="00335680" w:rsidP="00711E1F">
            <w:pPr>
              <w:tabs>
                <w:tab w:val="decimal" w:pos="372"/>
              </w:tabs>
              <w:spacing w:line="240" w:lineRule="auto"/>
              <w:jc w:val="left"/>
              <w:rPr>
                <w:rFonts w:eastAsia="Times New Roman" w:cs="Times New Roman"/>
                <w:color w:val="000000"/>
              </w:rPr>
            </w:pPr>
          </w:p>
        </w:tc>
      </w:tr>
      <w:tr w:rsidR="00335680" w:rsidRPr="00E85FE6" w14:paraId="1AFC1064"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570D0CF6" w14:textId="77777777" w:rsidR="00335680" w:rsidRPr="00E85FE6" w:rsidRDefault="00335680" w:rsidP="00335680">
            <w:pPr>
              <w:spacing w:line="240" w:lineRule="auto"/>
              <w:ind w:firstLine="180"/>
              <w:rPr>
                <w:rFonts w:eastAsia="Times New Roman" w:cs="Times New Roman"/>
                <w:color w:val="000000"/>
              </w:rPr>
            </w:pPr>
            <w:r w:rsidRPr="00E85FE6">
              <w:rPr>
                <w:rFonts w:eastAsia="Times New Roman" w:cs="Times New Roman"/>
                <w:iCs/>
                <w:color w:val="000000"/>
              </w:rPr>
              <w:t>Townhome</w:t>
            </w:r>
          </w:p>
        </w:tc>
        <w:tc>
          <w:tcPr>
            <w:tcW w:w="1245" w:type="dxa"/>
            <w:tcBorders>
              <w:top w:val="nil"/>
              <w:left w:val="double" w:sz="6" w:space="0" w:color="auto"/>
              <w:right w:val="single" w:sz="4" w:space="0" w:color="auto"/>
            </w:tcBorders>
            <w:shd w:val="clear" w:color="auto" w:fill="auto"/>
            <w:noWrap/>
            <w:vAlign w:val="center"/>
          </w:tcPr>
          <w:p w14:paraId="2AB72677" w14:textId="50E16525" w:rsidR="00335680" w:rsidRPr="00E85FE6" w:rsidRDefault="00DE69AB" w:rsidP="00711E1F">
            <w:pPr>
              <w:tabs>
                <w:tab w:val="decimal" w:pos="372"/>
              </w:tabs>
              <w:spacing w:line="240" w:lineRule="auto"/>
              <w:jc w:val="left"/>
              <w:rPr>
                <w:rFonts w:eastAsia="Times New Roman" w:cs="Times New Roman"/>
                <w:color w:val="000000"/>
              </w:rPr>
            </w:pPr>
            <w:r>
              <w:rPr>
                <w:rFonts w:eastAsia="Times New Roman" w:cs="Times New Roman"/>
                <w:color w:val="000000"/>
              </w:rPr>
              <w:t>0.301</w:t>
            </w:r>
          </w:p>
        </w:tc>
        <w:tc>
          <w:tcPr>
            <w:tcW w:w="1135" w:type="dxa"/>
            <w:tcBorders>
              <w:top w:val="nil"/>
              <w:left w:val="single" w:sz="4" w:space="0" w:color="auto"/>
              <w:right w:val="double" w:sz="4" w:space="0" w:color="auto"/>
            </w:tcBorders>
            <w:shd w:val="clear" w:color="auto" w:fill="auto"/>
            <w:noWrap/>
            <w:vAlign w:val="center"/>
          </w:tcPr>
          <w:p w14:paraId="4F4B68B0" w14:textId="33717274"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5.</w:t>
            </w:r>
            <w:r w:rsidR="00DE69AB">
              <w:rPr>
                <w:rFonts w:eastAsia="Times New Roman" w:cs="Times New Roman"/>
                <w:color w:val="000000"/>
              </w:rPr>
              <w:t>90</w:t>
            </w:r>
          </w:p>
        </w:tc>
      </w:tr>
      <w:tr w:rsidR="00335680" w:rsidRPr="00E85FE6" w14:paraId="5DACE01E"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530D87BF" w14:textId="77777777" w:rsidR="00335680" w:rsidRPr="00E85FE6" w:rsidRDefault="00335680" w:rsidP="00335680">
            <w:pPr>
              <w:spacing w:line="240" w:lineRule="auto"/>
              <w:ind w:firstLine="180"/>
              <w:rPr>
                <w:rFonts w:eastAsia="Times New Roman" w:cs="Times New Roman"/>
                <w:color w:val="000000"/>
              </w:rPr>
            </w:pPr>
            <w:r w:rsidRPr="00E85FE6">
              <w:rPr>
                <w:rFonts w:eastAsia="Times New Roman" w:cs="Times New Roman"/>
                <w:color w:val="000000"/>
              </w:rPr>
              <w:t>Apartment/flat</w:t>
            </w:r>
          </w:p>
        </w:tc>
        <w:tc>
          <w:tcPr>
            <w:tcW w:w="1245" w:type="dxa"/>
            <w:tcBorders>
              <w:top w:val="nil"/>
              <w:left w:val="double" w:sz="6" w:space="0" w:color="auto"/>
              <w:right w:val="single" w:sz="4" w:space="0" w:color="auto"/>
            </w:tcBorders>
            <w:shd w:val="clear" w:color="auto" w:fill="auto"/>
            <w:noWrap/>
            <w:vAlign w:val="center"/>
          </w:tcPr>
          <w:p w14:paraId="491D85CD" w14:textId="0EAB53F7"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0.</w:t>
            </w:r>
            <w:r w:rsidR="00DE69AB">
              <w:rPr>
                <w:rFonts w:eastAsia="Times New Roman" w:cs="Times New Roman"/>
                <w:color w:val="000000"/>
              </w:rPr>
              <w:t>783</w:t>
            </w:r>
          </w:p>
        </w:tc>
        <w:tc>
          <w:tcPr>
            <w:tcW w:w="1135" w:type="dxa"/>
            <w:tcBorders>
              <w:top w:val="nil"/>
              <w:left w:val="single" w:sz="4" w:space="0" w:color="auto"/>
              <w:right w:val="double" w:sz="4" w:space="0" w:color="auto"/>
            </w:tcBorders>
            <w:shd w:val="clear" w:color="auto" w:fill="auto"/>
            <w:noWrap/>
            <w:vAlign w:val="center"/>
          </w:tcPr>
          <w:p w14:paraId="0CA2D408" w14:textId="22089491" w:rsidR="00335680" w:rsidRPr="00E85FE6" w:rsidRDefault="00DE69AB" w:rsidP="00711E1F">
            <w:pPr>
              <w:tabs>
                <w:tab w:val="decimal" w:pos="372"/>
              </w:tabs>
              <w:spacing w:line="240" w:lineRule="auto"/>
              <w:jc w:val="left"/>
              <w:rPr>
                <w:rFonts w:eastAsia="Times New Roman" w:cs="Times New Roman"/>
                <w:color w:val="000000"/>
              </w:rPr>
            </w:pPr>
            <w:r>
              <w:rPr>
                <w:rFonts w:eastAsia="Times New Roman" w:cs="Times New Roman"/>
                <w:color w:val="000000"/>
              </w:rPr>
              <w:t>9.29</w:t>
            </w:r>
          </w:p>
        </w:tc>
      </w:tr>
      <w:tr w:rsidR="00335680" w:rsidRPr="00E85FE6" w14:paraId="4DF9D527"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4C1EB4FE" w14:textId="77777777" w:rsidR="00335680" w:rsidRPr="00E85FE6" w:rsidRDefault="00335680" w:rsidP="00335680">
            <w:pPr>
              <w:spacing w:line="240" w:lineRule="auto"/>
              <w:rPr>
                <w:rFonts w:eastAsia="Times New Roman" w:cs="Times New Roman"/>
                <w:color w:val="000000"/>
              </w:rPr>
            </w:pPr>
            <w:r w:rsidRPr="00E85FE6">
              <w:rPr>
                <w:rFonts w:eastAsia="Times New Roman" w:cs="Times New Roman"/>
                <w:i/>
                <w:iCs/>
                <w:color w:val="000000"/>
              </w:rPr>
              <w:t>Household tenure status (base: owner/buying or other)</w:t>
            </w:r>
          </w:p>
        </w:tc>
        <w:tc>
          <w:tcPr>
            <w:tcW w:w="1245" w:type="dxa"/>
            <w:tcBorders>
              <w:top w:val="nil"/>
              <w:left w:val="double" w:sz="6" w:space="0" w:color="auto"/>
              <w:right w:val="single" w:sz="4" w:space="0" w:color="auto"/>
            </w:tcBorders>
            <w:shd w:val="clear" w:color="auto" w:fill="auto"/>
            <w:noWrap/>
            <w:vAlign w:val="center"/>
          </w:tcPr>
          <w:p w14:paraId="511242CC" w14:textId="77777777" w:rsidR="00335680" w:rsidRPr="00E85FE6" w:rsidRDefault="00335680" w:rsidP="00711E1F">
            <w:pPr>
              <w:tabs>
                <w:tab w:val="decimal" w:pos="372"/>
              </w:tabs>
              <w:spacing w:line="240" w:lineRule="auto"/>
              <w:jc w:val="left"/>
              <w:rPr>
                <w:rFonts w:eastAsia="Times New Roman" w:cs="Times New Roman"/>
                <w:color w:val="000000"/>
              </w:rPr>
            </w:pPr>
          </w:p>
        </w:tc>
        <w:tc>
          <w:tcPr>
            <w:tcW w:w="1135" w:type="dxa"/>
            <w:tcBorders>
              <w:top w:val="nil"/>
              <w:left w:val="single" w:sz="4" w:space="0" w:color="auto"/>
              <w:right w:val="double" w:sz="4" w:space="0" w:color="auto"/>
            </w:tcBorders>
            <w:shd w:val="clear" w:color="auto" w:fill="auto"/>
            <w:noWrap/>
            <w:vAlign w:val="center"/>
          </w:tcPr>
          <w:p w14:paraId="449973BC" w14:textId="77777777" w:rsidR="00335680" w:rsidRPr="00E85FE6" w:rsidRDefault="00335680" w:rsidP="00711E1F">
            <w:pPr>
              <w:tabs>
                <w:tab w:val="decimal" w:pos="372"/>
              </w:tabs>
              <w:spacing w:line="240" w:lineRule="auto"/>
              <w:jc w:val="left"/>
              <w:rPr>
                <w:rFonts w:eastAsia="Times New Roman" w:cs="Times New Roman"/>
                <w:color w:val="000000"/>
              </w:rPr>
            </w:pPr>
          </w:p>
        </w:tc>
      </w:tr>
      <w:tr w:rsidR="00335680" w:rsidRPr="00E85FE6" w14:paraId="0DE7E1C2"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04731B8E" w14:textId="77777777" w:rsidR="00335680" w:rsidRPr="00E85FE6" w:rsidRDefault="00335680" w:rsidP="00335680">
            <w:pPr>
              <w:spacing w:line="240" w:lineRule="auto"/>
              <w:ind w:firstLine="180"/>
              <w:rPr>
                <w:rFonts w:eastAsia="Times New Roman" w:cs="Times New Roman"/>
                <w:color w:val="000000"/>
              </w:rPr>
            </w:pPr>
            <w:r w:rsidRPr="00E85FE6">
              <w:rPr>
                <w:rFonts w:eastAsia="Times New Roman" w:cs="Times New Roman"/>
                <w:color w:val="000000"/>
              </w:rPr>
              <w:t>Renter</w:t>
            </w:r>
          </w:p>
        </w:tc>
        <w:tc>
          <w:tcPr>
            <w:tcW w:w="1245" w:type="dxa"/>
            <w:tcBorders>
              <w:top w:val="nil"/>
              <w:left w:val="double" w:sz="6" w:space="0" w:color="auto"/>
              <w:right w:val="single" w:sz="4" w:space="0" w:color="auto"/>
            </w:tcBorders>
            <w:shd w:val="clear" w:color="auto" w:fill="auto"/>
            <w:noWrap/>
            <w:vAlign w:val="center"/>
          </w:tcPr>
          <w:p w14:paraId="4EF4B6A8" w14:textId="27C587FF"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0.5</w:t>
            </w:r>
            <w:r w:rsidR="00DE69AB">
              <w:rPr>
                <w:rFonts w:eastAsia="Times New Roman" w:cs="Times New Roman"/>
                <w:color w:val="000000"/>
              </w:rPr>
              <w:t>85</w:t>
            </w:r>
          </w:p>
        </w:tc>
        <w:tc>
          <w:tcPr>
            <w:tcW w:w="1135" w:type="dxa"/>
            <w:tcBorders>
              <w:top w:val="nil"/>
              <w:left w:val="single" w:sz="4" w:space="0" w:color="auto"/>
              <w:right w:val="double" w:sz="4" w:space="0" w:color="auto"/>
            </w:tcBorders>
            <w:shd w:val="clear" w:color="auto" w:fill="auto"/>
            <w:noWrap/>
            <w:vAlign w:val="center"/>
          </w:tcPr>
          <w:p w14:paraId="1D101AFB" w14:textId="0A9CA5D0" w:rsidR="00335680" w:rsidRPr="00E85FE6" w:rsidRDefault="00DE69AB" w:rsidP="00711E1F">
            <w:pPr>
              <w:tabs>
                <w:tab w:val="decimal" w:pos="372"/>
              </w:tabs>
              <w:spacing w:line="240" w:lineRule="auto"/>
              <w:jc w:val="left"/>
              <w:rPr>
                <w:rFonts w:eastAsia="Times New Roman" w:cs="Times New Roman"/>
                <w:color w:val="000000"/>
              </w:rPr>
            </w:pPr>
            <w:r>
              <w:rPr>
                <w:rFonts w:eastAsia="Times New Roman" w:cs="Times New Roman"/>
                <w:color w:val="000000"/>
              </w:rPr>
              <w:t>9.79</w:t>
            </w:r>
          </w:p>
        </w:tc>
      </w:tr>
      <w:tr w:rsidR="00335680" w:rsidRPr="00E85FE6" w14:paraId="7A395BCD"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13CC8966" w14:textId="77777777" w:rsidR="00335680" w:rsidRPr="00E85FE6" w:rsidRDefault="00335680" w:rsidP="00335680">
            <w:pPr>
              <w:spacing w:line="240" w:lineRule="auto"/>
              <w:rPr>
                <w:rFonts w:eastAsia="SimSun" w:cs="Times New Roman"/>
                <w:sz w:val="21"/>
                <w:szCs w:val="21"/>
              </w:rPr>
            </w:pPr>
            <w:r w:rsidRPr="00E85FE6">
              <w:rPr>
                <w:rFonts w:eastAsia="SimSun" w:cs="Times New Roman"/>
                <w:i/>
                <w:sz w:val="21"/>
                <w:szCs w:val="21"/>
              </w:rPr>
              <w:t>Residential location (base: non-metropolitan area)</w:t>
            </w:r>
          </w:p>
        </w:tc>
        <w:tc>
          <w:tcPr>
            <w:tcW w:w="1245" w:type="dxa"/>
            <w:tcBorders>
              <w:top w:val="nil"/>
              <w:left w:val="double" w:sz="6" w:space="0" w:color="auto"/>
              <w:right w:val="single" w:sz="4" w:space="0" w:color="auto"/>
            </w:tcBorders>
            <w:shd w:val="clear" w:color="auto" w:fill="auto"/>
            <w:noWrap/>
            <w:vAlign w:val="center"/>
          </w:tcPr>
          <w:p w14:paraId="28BFD131" w14:textId="77777777" w:rsidR="00335680" w:rsidRDefault="00335680" w:rsidP="00711E1F">
            <w:pPr>
              <w:tabs>
                <w:tab w:val="decimal" w:pos="372"/>
              </w:tabs>
              <w:spacing w:line="240" w:lineRule="auto"/>
              <w:jc w:val="left"/>
              <w:rPr>
                <w:rFonts w:eastAsia="Times New Roman" w:cs="Times New Roman"/>
                <w:color w:val="000000"/>
              </w:rPr>
            </w:pPr>
          </w:p>
        </w:tc>
        <w:tc>
          <w:tcPr>
            <w:tcW w:w="1135" w:type="dxa"/>
            <w:tcBorders>
              <w:top w:val="nil"/>
              <w:left w:val="single" w:sz="4" w:space="0" w:color="auto"/>
              <w:right w:val="double" w:sz="4" w:space="0" w:color="auto"/>
            </w:tcBorders>
            <w:shd w:val="clear" w:color="auto" w:fill="auto"/>
            <w:noWrap/>
            <w:vAlign w:val="center"/>
          </w:tcPr>
          <w:p w14:paraId="61C9150C" w14:textId="77777777" w:rsidR="00335680" w:rsidRDefault="00335680" w:rsidP="00711E1F">
            <w:pPr>
              <w:tabs>
                <w:tab w:val="decimal" w:pos="372"/>
              </w:tabs>
              <w:spacing w:line="240" w:lineRule="auto"/>
              <w:jc w:val="left"/>
              <w:rPr>
                <w:rFonts w:eastAsia="Times New Roman" w:cs="Times New Roman"/>
                <w:color w:val="000000"/>
              </w:rPr>
            </w:pPr>
          </w:p>
        </w:tc>
      </w:tr>
      <w:tr w:rsidR="00335680" w:rsidRPr="00E85FE6" w14:paraId="49AAB8B3" w14:textId="77777777" w:rsidTr="009570A3">
        <w:trPr>
          <w:trHeight w:val="288"/>
        </w:trPr>
        <w:tc>
          <w:tcPr>
            <w:tcW w:w="6652" w:type="dxa"/>
            <w:tcBorders>
              <w:top w:val="nil"/>
              <w:left w:val="double" w:sz="4" w:space="0" w:color="auto"/>
              <w:right w:val="double" w:sz="6" w:space="0" w:color="auto"/>
            </w:tcBorders>
            <w:shd w:val="clear" w:color="auto" w:fill="auto"/>
            <w:vAlign w:val="center"/>
          </w:tcPr>
          <w:p w14:paraId="0583BDA3" w14:textId="77777777" w:rsidR="00335680" w:rsidRPr="00E85FE6" w:rsidRDefault="00335680" w:rsidP="00335680">
            <w:pPr>
              <w:spacing w:line="240" w:lineRule="auto"/>
              <w:ind w:firstLineChars="100" w:firstLine="210"/>
              <w:rPr>
                <w:rFonts w:eastAsia="SimSun" w:cs="Times New Roman"/>
                <w:sz w:val="21"/>
                <w:szCs w:val="21"/>
              </w:rPr>
            </w:pPr>
            <w:r w:rsidRPr="00E85FE6">
              <w:rPr>
                <w:rFonts w:eastAsia="SimSun" w:cs="Times New Roman"/>
                <w:sz w:val="21"/>
                <w:szCs w:val="21"/>
              </w:rPr>
              <w:t>Metropolitan area</w:t>
            </w:r>
          </w:p>
        </w:tc>
        <w:tc>
          <w:tcPr>
            <w:tcW w:w="1245" w:type="dxa"/>
            <w:tcBorders>
              <w:top w:val="nil"/>
              <w:left w:val="double" w:sz="6" w:space="0" w:color="auto"/>
              <w:right w:val="single" w:sz="4" w:space="0" w:color="auto"/>
            </w:tcBorders>
            <w:shd w:val="clear" w:color="auto" w:fill="auto"/>
            <w:noWrap/>
            <w:vAlign w:val="center"/>
          </w:tcPr>
          <w:p w14:paraId="2A0EDAED" w14:textId="10BD182F" w:rsidR="00335680"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0.3</w:t>
            </w:r>
            <w:r w:rsidR="00DE69AB">
              <w:rPr>
                <w:rFonts w:eastAsia="Times New Roman" w:cs="Times New Roman"/>
                <w:color w:val="000000"/>
              </w:rPr>
              <w:t>36</w:t>
            </w:r>
          </w:p>
        </w:tc>
        <w:tc>
          <w:tcPr>
            <w:tcW w:w="1135" w:type="dxa"/>
            <w:tcBorders>
              <w:top w:val="nil"/>
              <w:left w:val="single" w:sz="4" w:space="0" w:color="auto"/>
              <w:right w:val="double" w:sz="4" w:space="0" w:color="auto"/>
            </w:tcBorders>
            <w:shd w:val="clear" w:color="auto" w:fill="auto"/>
            <w:noWrap/>
            <w:vAlign w:val="center"/>
          </w:tcPr>
          <w:p w14:paraId="16F17F3B" w14:textId="1930642F" w:rsidR="00335680"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5.</w:t>
            </w:r>
            <w:r w:rsidR="00DE69AB">
              <w:rPr>
                <w:rFonts w:eastAsia="Times New Roman" w:cs="Times New Roman"/>
                <w:color w:val="000000"/>
              </w:rPr>
              <w:t>78</w:t>
            </w:r>
          </w:p>
        </w:tc>
      </w:tr>
      <w:tr w:rsidR="00335680" w:rsidRPr="00E85FE6" w14:paraId="34BE2E0F" w14:textId="77777777" w:rsidTr="009570A3">
        <w:trPr>
          <w:trHeight w:val="288"/>
        </w:trPr>
        <w:tc>
          <w:tcPr>
            <w:tcW w:w="6652" w:type="dxa"/>
            <w:tcBorders>
              <w:top w:val="double" w:sz="6" w:space="0" w:color="auto"/>
              <w:left w:val="double" w:sz="4" w:space="0" w:color="auto"/>
              <w:bottom w:val="double" w:sz="6" w:space="0" w:color="auto"/>
              <w:right w:val="double" w:sz="6" w:space="0" w:color="auto"/>
            </w:tcBorders>
            <w:shd w:val="clear" w:color="auto" w:fill="auto"/>
            <w:noWrap/>
            <w:vAlign w:val="center"/>
            <w:hideMark/>
          </w:tcPr>
          <w:p w14:paraId="357C82B2" w14:textId="1A8AC465" w:rsidR="00335680" w:rsidRPr="00E85FE6" w:rsidRDefault="00335680" w:rsidP="00335680">
            <w:pPr>
              <w:spacing w:line="240" w:lineRule="auto"/>
              <w:rPr>
                <w:rFonts w:eastAsia="Times New Roman" w:cs="Times New Roman"/>
                <w:b/>
                <w:bCs/>
                <w:i/>
                <w:iCs/>
                <w:color w:val="000000"/>
              </w:rPr>
            </w:pPr>
            <w:r w:rsidRPr="00E85FE6">
              <w:rPr>
                <w:rFonts w:eastAsia="Times New Roman" w:cs="Times New Roman"/>
                <w:b/>
                <w:bCs/>
                <w:i/>
                <w:iCs/>
                <w:color w:val="000000"/>
              </w:rPr>
              <w:t>Physical accessibility measures</w:t>
            </w:r>
            <w:r w:rsidR="00C274A9">
              <w:rPr>
                <w:rFonts w:eastAsia="Times New Roman" w:cs="Times New Roman"/>
                <w:b/>
                <w:bCs/>
                <w:i/>
                <w:iCs/>
                <w:color w:val="000000"/>
              </w:rPr>
              <w:t xml:space="preserve"> (PAMs)</w:t>
            </w:r>
          </w:p>
        </w:tc>
        <w:tc>
          <w:tcPr>
            <w:tcW w:w="1245" w:type="dxa"/>
            <w:tcBorders>
              <w:top w:val="double" w:sz="6" w:space="0" w:color="auto"/>
              <w:left w:val="double" w:sz="6" w:space="0" w:color="auto"/>
              <w:bottom w:val="double" w:sz="6" w:space="0" w:color="auto"/>
              <w:right w:val="single" w:sz="4" w:space="0" w:color="auto"/>
            </w:tcBorders>
            <w:shd w:val="clear" w:color="auto" w:fill="auto"/>
            <w:vAlign w:val="center"/>
          </w:tcPr>
          <w:p w14:paraId="04AEAE13" w14:textId="77777777" w:rsidR="00335680" w:rsidRPr="00E85FE6" w:rsidRDefault="00335680" w:rsidP="00711E1F">
            <w:pPr>
              <w:tabs>
                <w:tab w:val="decimal" w:pos="372"/>
              </w:tabs>
              <w:spacing w:line="240" w:lineRule="auto"/>
              <w:jc w:val="center"/>
              <w:rPr>
                <w:rFonts w:eastAsia="Times New Roman" w:cs="Times New Roman"/>
                <w:b/>
                <w:bCs/>
                <w:color w:val="000000"/>
              </w:rPr>
            </w:pPr>
            <w:r w:rsidRPr="00E85FE6">
              <w:rPr>
                <w:rFonts w:eastAsia="Times New Roman" w:cs="Times New Roman"/>
                <w:b/>
                <w:bCs/>
                <w:color w:val="000000"/>
              </w:rPr>
              <w:t>Coefficient</w:t>
            </w:r>
          </w:p>
        </w:tc>
        <w:tc>
          <w:tcPr>
            <w:tcW w:w="1135" w:type="dxa"/>
            <w:tcBorders>
              <w:top w:val="double" w:sz="6" w:space="0" w:color="auto"/>
              <w:left w:val="single" w:sz="4" w:space="0" w:color="auto"/>
              <w:bottom w:val="double" w:sz="6" w:space="0" w:color="auto"/>
              <w:right w:val="double" w:sz="4" w:space="0" w:color="auto"/>
            </w:tcBorders>
            <w:shd w:val="clear" w:color="auto" w:fill="auto"/>
            <w:vAlign w:val="center"/>
          </w:tcPr>
          <w:p w14:paraId="3C58C65A" w14:textId="3F36C759" w:rsidR="00335680" w:rsidRPr="00E85FE6" w:rsidRDefault="000961EC" w:rsidP="00711E1F">
            <w:pPr>
              <w:tabs>
                <w:tab w:val="decimal" w:pos="372"/>
              </w:tabs>
              <w:spacing w:line="240" w:lineRule="auto"/>
              <w:jc w:val="center"/>
              <w:rPr>
                <w:rFonts w:eastAsia="Times New Roman" w:cs="Times New Roman"/>
                <w:b/>
                <w:bCs/>
                <w:color w:val="000000"/>
              </w:rPr>
            </w:pPr>
            <w:r>
              <w:rPr>
                <w:rFonts w:eastAsia="Times New Roman" w:cs="Times New Roman"/>
                <w:b/>
                <w:bCs/>
                <w:color w:val="000000"/>
              </w:rPr>
              <w:t>t</w:t>
            </w:r>
            <w:r w:rsidR="00335680" w:rsidRPr="00E85FE6">
              <w:rPr>
                <w:rFonts w:eastAsia="Times New Roman" w:cs="Times New Roman"/>
                <w:b/>
                <w:bCs/>
                <w:color w:val="000000"/>
              </w:rPr>
              <w:t>-stat</w:t>
            </w:r>
          </w:p>
        </w:tc>
      </w:tr>
      <w:tr w:rsidR="00335680" w:rsidRPr="00E85FE6" w14:paraId="2663DEB8" w14:textId="77777777" w:rsidTr="009570A3">
        <w:trPr>
          <w:trHeight w:val="288"/>
        </w:trPr>
        <w:tc>
          <w:tcPr>
            <w:tcW w:w="6652" w:type="dxa"/>
            <w:tcBorders>
              <w:top w:val="nil"/>
              <w:left w:val="double" w:sz="4" w:space="0" w:color="auto"/>
              <w:bottom w:val="nil"/>
              <w:right w:val="double" w:sz="6" w:space="0" w:color="auto"/>
            </w:tcBorders>
            <w:shd w:val="clear" w:color="auto" w:fill="auto"/>
            <w:vAlign w:val="center"/>
          </w:tcPr>
          <w:p w14:paraId="7EF9B43C" w14:textId="77777777" w:rsidR="00335680" w:rsidRPr="00E85FE6" w:rsidRDefault="00335680" w:rsidP="00335680">
            <w:pPr>
              <w:spacing w:line="240" w:lineRule="auto"/>
              <w:rPr>
                <w:rFonts w:eastAsia="Times New Roman" w:cs="Times New Roman"/>
                <w:i/>
                <w:color w:val="000000"/>
              </w:rPr>
            </w:pPr>
            <w:r w:rsidRPr="00E85FE6">
              <w:rPr>
                <w:rFonts w:eastAsia="Times New Roman" w:cs="Times New Roman"/>
                <w:i/>
                <w:color w:val="000000"/>
              </w:rPr>
              <w:t>Travel time to the nearest hospital (hours)</w:t>
            </w:r>
          </w:p>
        </w:tc>
        <w:tc>
          <w:tcPr>
            <w:tcW w:w="1245" w:type="dxa"/>
            <w:tcBorders>
              <w:top w:val="nil"/>
              <w:left w:val="double" w:sz="6" w:space="0" w:color="auto"/>
              <w:bottom w:val="nil"/>
              <w:right w:val="single" w:sz="4" w:space="0" w:color="auto"/>
            </w:tcBorders>
            <w:shd w:val="clear" w:color="auto" w:fill="auto"/>
            <w:noWrap/>
            <w:vAlign w:val="center"/>
          </w:tcPr>
          <w:p w14:paraId="4C846A3E" w14:textId="64ECC533"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-0.</w:t>
            </w:r>
            <w:r w:rsidR="00DE69AB">
              <w:rPr>
                <w:rFonts w:eastAsia="Times New Roman" w:cs="Times New Roman"/>
                <w:color w:val="000000"/>
              </w:rPr>
              <w:t>455</w:t>
            </w:r>
          </w:p>
        </w:tc>
        <w:tc>
          <w:tcPr>
            <w:tcW w:w="1135" w:type="dxa"/>
            <w:tcBorders>
              <w:top w:val="nil"/>
              <w:left w:val="single" w:sz="4" w:space="0" w:color="auto"/>
              <w:bottom w:val="nil"/>
              <w:right w:val="double" w:sz="4" w:space="0" w:color="auto"/>
            </w:tcBorders>
            <w:shd w:val="clear" w:color="auto" w:fill="auto"/>
            <w:noWrap/>
            <w:vAlign w:val="center"/>
          </w:tcPr>
          <w:p w14:paraId="0EEC9D86" w14:textId="356049BB"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w:t>
            </w:r>
            <w:r w:rsidR="00DE69AB">
              <w:rPr>
                <w:rFonts w:eastAsia="Times New Roman" w:cs="Times New Roman"/>
                <w:color w:val="000000"/>
              </w:rPr>
              <w:t>5.64</w:t>
            </w:r>
          </w:p>
        </w:tc>
      </w:tr>
      <w:tr w:rsidR="00335680" w:rsidRPr="00E85FE6" w14:paraId="49B16E38" w14:textId="77777777" w:rsidTr="009570A3">
        <w:trPr>
          <w:trHeight w:val="288"/>
        </w:trPr>
        <w:tc>
          <w:tcPr>
            <w:tcW w:w="6652" w:type="dxa"/>
            <w:tcBorders>
              <w:top w:val="nil"/>
              <w:left w:val="double" w:sz="4" w:space="0" w:color="auto"/>
              <w:bottom w:val="nil"/>
              <w:right w:val="double" w:sz="6" w:space="0" w:color="auto"/>
            </w:tcBorders>
            <w:shd w:val="clear" w:color="auto" w:fill="auto"/>
            <w:vAlign w:val="center"/>
          </w:tcPr>
          <w:p w14:paraId="606405CB" w14:textId="77777777" w:rsidR="00335680" w:rsidRPr="00E85FE6" w:rsidRDefault="00335680" w:rsidP="00335680">
            <w:pPr>
              <w:spacing w:line="240" w:lineRule="auto"/>
              <w:rPr>
                <w:rFonts w:eastAsia="Times New Roman" w:cs="Times New Roman"/>
                <w:i/>
                <w:color w:val="000000"/>
              </w:rPr>
            </w:pPr>
            <w:r w:rsidRPr="00E85FE6">
              <w:rPr>
                <w:rFonts w:eastAsia="Times New Roman" w:cs="Times New Roman"/>
                <w:i/>
                <w:color w:val="000000"/>
              </w:rPr>
              <w:t>Travel time to the nearest shopping center (hours)</w:t>
            </w:r>
          </w:p>
        </w:tc>
        <w:tc>
          <w:tcPr>
            <w:tcW w:w="1245" w:type="dxa"/>
            <w:tcBorders>
              <w:top w:val="nil"/>
              <w:left w:val="double" w:sz="6" w:space="0" w:color="auto"/>
              <w:bottom w:val="nil"/>
              <w:right w:val="single" w:sz="4" w:space="0" w:color="auto"/>
            </w:tcBorders>
            <w:shd w:val="clear" w:color="auto" w:fill="auto"/>
            <w:noWrap/>
            <w:vAlign w:val="center"/>
          </w:tcPr>
          <w:p w14:paraId="783F2B7D" w14:textId="3ABF2351" w:rsidR="00335680" w:rsidRPr="00E85FE6" w:rsidRDefault="00DE69AB" w:rsidP="00711E1F">
            <w:pPr>
              <w:tabs>
                <w:tab w:val="decimal" w:pos="372"/>
              </w:tabs>
              <w:spacing w:line="240" w:lineRule="auto"/>
              <w:jc w:val="left"/>
              <w:rPr>
                <w:rFonts w:eastAsia="Times New Roman" w:cs="Times New Roman"/>
                <w:color w:val="000000"/>
              </w:rPr>
            </w:pPr>
            <w:r>
              <w:rPr>
                <w:rFonts w:eastAsia="Times New Roman" w:cs="Times New Roman"/>
                <w:color w:val="000000"/>
              </w:rPr>
              <w:t>-0.537</w:t>
            </w:r>
          </w:p>
        </w:tc>
        <w:tc>
          <w:tcPr>
            <w:tcW w:w="1135" w:type="dxa"/>
            <w:tcBorders>
              <w:top w:val="nil"/>
              <w:left w:val="single" w:sz="4" w:space="0" w:color="auto"/>
              <w:bottom w:val="nil"/>
              <w:right w:val="double" w:sz="4" w:space="0" w:color="auto"/>
            </w:tcBorders>
            <w:shd w:val="clear" w:color="auto" w:fill="auto"/>
            <w:noWrap/>
            <w:vAlign w:val="center"/>
          </w:tcPr>
          <w:p w14:paraId="2A744615" w14:textId="6104B04E" w:rsidR="00335680" w:rsidRPr="00E85FE6" w:rsidRDefault="00DE69AB" w:rsidP="00711E1F">
            <w:pPr>
              <w:tabs>
                <w:tab w:val="decimal" w:pos="372"/>
              </w:tabs>
              <w:spacing w:line="240" w:lineRule="auto"/>
              <w:jc w:val="left"/>
              <w:rPr>
                <w:rFonts w:eastAsia="Times New Roman" w:cs="Times New Roman"/>
                <w:color w:val="000000"/>
              </w:rPr>
            </w:pPr>
            <w:r>
              <w:rPr>
                <w:rFonts w:eastAsia="Times New Roman" w:cs="Times New Roman"/>
                <w:color w:val="000000"/>
              </w:rPr>
              <w:t>-4.95</w:t>
            </w:r>
          </w:p>
        </w:tc>
      </w:tr>
      <w:tr w:rsidR="00335680" w:rsidRPr="00E85FE6" w14:paraId="1A825F5D" w14:textId="77777777" w:rsidTr="009570A3">
        <w:trPr>
          <w:trHeight w:val="288"/>
        </w:trPr>
        <w:tc>
          <w:tcPr>
            <w:tcW w:w="6652" w:type="dxa"/>
            <w:tcBorders>
              <w:top w:val="nil"/>
              <w:left w:val="double" w:sz="4" w:space="0" w:color="auto"/>
              <w:bottom w:val="double" w:sz="6" w:space="0" w:color="auto"/>
              <w:right w:val="double" w:sz="6" w:space="0" w:color="auto"/>
            </w:tcBorders>
            <w:shd w:val="clear" w:color="auto" w:fill="auto"/>
            <w:vAlign w:val="center"/>
            <w:hideMark/>
          </w:tcPr>
          <w:p w14:paraId="36DE24F9" w14:textId="77777777" w:rsidR="00335680" w:rsidRPr="00E85FE6" w:rsidRDefault="00335680" w:rsidP="00335680">
            <w:pPr>
              <w:spacing w:line="240" w:lineRule="auto"/>
              <w:rPr>
                <w:rFonts w:eastAsia="Times New Roman" w:cs="Times New Roman"/>
                <w:i/>
                <w:color w:val="000000"/>
              </w:rPr>
            </w:pPr>
            <w:r w:rsidRPr="00E85FE6">
              <w:rPr>
                <w:rFonts w:eastAsia="Times New Roman" w:cs="Times New Roman"/>
                <w:i/>
                <w:color w:val="000000"/>
              </w:rPr>
              <w:t>Travel time to the nearest rail station (hours)</w:t>
            </w:r>
          </w:p>
        </w:tc>
        <w:tc>
          <w:tcPr>
            <w:tcW w:w="1245" w:type="dxa"/>
            <w:tcBorders>
              <w:top w:val="nil"/>
              <w:left w:val="double" w:sz="6" w:space="0" w:color="auto"/>
              <w:bottom w:val="double" w:sz="6" w:space="0" w:color="auto"/>
              <w:right w:val="single" w:sz="4" w:space="0" w:color="auto"/>
            </w:tcBorders>
            <w:shd w:val="clear" w:color="auto" w:fill="auto"/>
            <w:noWrap/>
            <w:vAlign w:val="center"/>
          </w:tcPr>
          <w:p w14:paraId="033D3B01" w14:textId="43ED67C5" w:rsidR="00335680" w:rsidRPr="00E85FE6" w:rsidRDefault="00DE69AB" w:rsidP="00711E1F">
            <w:pPr>
              <w:tabs>
                <w:tab w:val="decimal" w:pos="372"/>
              </w:tabs>
              <w:spacing w:line="240" w:lineRule="auto"/>
              <w:jc w:val="left"/>
              <w:rPr>
                <w:rFonts w:eastAsia="Times New Roman" w:cs="Times New Roman"/>
                <w:color w:val="000000"/>
              </w:rPr>
            </w:pPr>
            <w:r>
              <w:rPr>
                <w:rFonts w:eastAsia="Times New Roman" w:cs="Times New Roman"/>
                <w:color w:val="000000"/>
              </w:rPr>
              <w:t>-0.432</w:t>
            </w:r>
          </w:p>
        </w:tc>
        <w:tc>
          <w:tcPr>
            <w:tcW w:w="1135" w:type="dxa"/>
            <w:tcBorders>
              <w:top w:val="nil"/>
              <w:left w:val="single" w:sz="4" w:space="0" w:color="auto"/>
              <w:bottom w:val="double" w:sz="6" w:space="0" w:color="auto"/>
              <w:right w:val="double" w:sz="4" w:space="0" w:color="auto"/>
            </w:tcBorders>
            <w:shd w:val="clear" w:color="auto" w:fill="auto"/>
            <w:noWrap/>
            <w:vAlign w:val="center"/>
          </w:tcPr>
          <w:p w14:paraId="5F0D40F8" w14:textId="0F673AE6" w:rsidR="00335680" w:rsidRPr="00E85FE6" w:rsidRDefault="00335680" w:rsidP="00711E1F">
            <w:pPr>
              <w:tabs>
                <w:tab w:val="decimal" w:pos="372"/>
              </w:tabs>
              <w:spacing w:line="240" w:lineRule="auto"/>
              <w:jc w:val="left"/>
              <w:rPr>
                <w:rFonts w:eastAsia="Times New Roman" w:cs="Times New Roman"/>
                <w:color w:val="000000"/>
              </w:rPr>
            </w:pPr>
            <w:r>
              <w:rPr>
                <w:rFonts w:eastAsia="Times New Roman" w:cs="Times New Roman"/>
                <w:color w:val="000000"/>
              </w:rPr>
              <w:t>-</w:t>
            </w:r>
            <w:r w:rsidR="00DE69AB">
              <w:rPr>
                <w:rFonts w:eastAsia="Times New Roman" w:cs="Times New Roman"/>
                <w:color w:val="000000"/>
              </w:rPr>
              <w:t>5.72</w:t>
            </w:r>
          </w:p>
        </w:tc>
      </w:tr>
      <w:tr w:rsidR="00335680" w:rsidRPr="00E85FE6" w14:paraId="79DB051E" w14:textId="77777777" w:rsidTr="009570A3">
        <w:trPr>
          <w:trHeight w:val="288"/>
        </w:trPr>
        <w:tc>
          <w:tcPr>
            <w:tcW w:w="6652" w:type="dxa"/>
            <w:tcBorders>
              <w:top w:val="double" w:sz="6" w:space="0" w:color="auto"/>
              <w:left w:val="double" w:sz="4" w:space="0" w:color="auto"/>
              <w:bottom w:val="double" w:sz="4" w:space="0" w:color="auto"/>
              <w:right w:val="double" w:sz="6" w:space="0" w:color="auto"/>
            </w:tcBorders>
            <w:shd w:val="clear" w:color="auto" w:fill="D9D9D9"/>
            <w:vAlign w:val="center"/>
          </w:tcPr>
          <w:p w14:paraId="1691212B" w14:textId="77777777" w:rsidR="00335680" w:rsidRPr="00E85FE6" w:rsidRDefault="00335680" w:rsidP="00335680">
            <w:pPr>
              <w:spacing w:line="240" w:lineRule="auto"/>
              <w:rPr>
                <w:rFonts w:eastAsia="Times New Roman" w:cs="Times New Roman"/>
                <w:b/>
                <w:i/>
                <w:color w:val="000000"/>
                <w:lang w:eastAsia="zh-CN"/>
              </w:rPr>
            </w:pPr>
            <w:r w:rsidRPr="00E85FE6">
              <w:rPr>
                <w:rFonts w:eastAsia="Times New Roman" w:cs="Times New Roman"/>
                <w:b/>
                <w:i/>
                <w:color w:val="000000"/>
              </w:rPr>
              <w:t xml:space="preserve">Correlation between </w:t>
            </w:r>
            <w:r w:rsidRPr="00E85FE6">
              <w:rPr>
                <w:rFonts w:eastAsia="Times New Roman" w:cs="Times New Roman" w:hint="eastAsia"/>
                <w:b/>
                <w:i/>
                <w:color w:val="000000"/>
                <w:lang w:eastAsia="zh-CN"/>
              </w:rPr>
              <w:t>VALSC</w:t>
            </w:r>
            <w:r w:rsidRPr="00E85FE6">
              <w:rPr>
                <w:rFonts w:eastAsia="Times New Roman" w:cs="Times New Roman"/>
                <w:b/>
                <w:i/>
                <w:color w:val="000000"/>
              </w:rPr>
              <w:t xml:space="preserve"> and P</w:t>
            </w:r>
            <w:r w:rsidRPr="00E85FE6">
              <w:rPr>
                <w:rFonts w:eastAsia="Times New Roman" w:cs="Times New Roman" w:hint="eastAsia"/>
                <w:b/>
                <w:i/>
                <w:color w:val="000000"/>
                <w:lang w:eastAsia="zh-CN"/>
              </w:rPr>
              <w:t>ALSC</w:t>
            </w:r>
          </w:p>
        </w:tc>
        <w:tc>
          <w:tcPr>
            <w:tcW w:w="1245" w:type="dxa"/>
            <w:tcBorders>
              <w:top w:val="double" w:sz="6" w:space="0" w:color="auto"/>
              <w:left w:val="double" w:sz="6" w:space="0" w:color="auto"/>
              <w:bottom w:val="double" w:sz="4" w:space="0" w:color="auto"/>
              <w:right w:val="single" w:sz="4" w:space="0" w:color="auto"/>
            </w:tcBorders>
            <w:shd w:val="clear" w:color="auto" w:fill="D9D9D9"/>
            <w:noWrap/>
            <w:vAlign w:val="center"/>
          </w:tcPr>
          <w:p w14:paraId="58B232CE" w14:textId="0748B0F5" w:rsidR="00335680" w:rsidRPr="00E85FE6" w:rsidRDefault="00335680" w:rsidP="00711E1F">
            <w:pPr>
              <w:tabs>
                <w:tab w:val="decimal" w:pos="372"/>
              </w:tabs>
              <w:spacing w:line="240" w:lineRule="auto"/>
              <w:jc w:val="left"/>
              <w:rPr>
                <w:rFonts w:eastAsia="Times New Roman" w:cs="Times New Roman"/>
                <w:b/>
                <w:color w:val="000000"/>
              </w:rPr>
            </w:pPr>
            <w:r>
              <w:rPr>
                <w:rFonts w:eastAsia="Times New Roman" w:cs="Times New Roman"/>
                <w:b/>
                <w:color w:val="000000"/>
              </w:rPr>
              <w:t>0.</w:t>
            </w:r>
            <w:r w:rsidR="0032306F">
              <w:rPr>
                <w:rFonts w:eastAsia="Times New Roman" w:cs="Times New Roman"/>
                <w:b/>
                <w:color w:val="000000"/>
              </w:rPr>
              <w:t>267</w:t>
            </w:r>
          </w:p>
        </w:tc>
        <w:tc>
          <w:tcPr>
            <w:tcW w:w="1135" w:type="dxa"/>
            <w:tcBorders>
              <w:top w:val="double" w:sz="6" w:space="0" w:color="auto"/>
              <w:left w:val="single" w:sz="4" w:space="0" w:color="auto"/>
              <w:bottom w:val="double" w:sz="4" w:space="0" w:color="auto"/>
              <w:right w:val="double" w:sz="4" w:space="0" w:color="auto"/>
            </w:tcBorders>
            <w:shd w:val="clear" w:color="auto" w:fill="D9D9D9"/>
            <w:noWrap/>
            <w:vAlign w:val="center"/>
          </w:tcPr>
          <w:p w14:paraId="4753EDEA" w14:textId="5EEB6B08" w:rsidR="00335680" w:rsidRPr="00E85FE6" w:rsidRDefault="0032306F" w:rsidP="00711E1F">
            <w:pPr>
              <w:tabs>
                <w:tab w:val="decimal" w:pos="372"/>
              </w:tabs>
              <w:spacing w:line="240" w:lineRule="auto"/>
              <w:jc w:val="left"/>
              <w:rPr>
                <w:rFonts w:eastAsia="Times New Roman" w:cs="Times New Roman"/>
                <w:b/>
                <w:color w:val="000000"/>
              </w:rPr>
            </w:pPr>
            <w:r>
              <w:rPr>
                <w:rFonts w:eastAsia="Times New Roman" w:cs="Times New Roman"/>
                <w:b/>
                <w:color w:val="000000"/>
              </w:rPr>
              <w:t>6.11</w:t>
            </w:r>
          </w:p>
        </w:tc>
      </w:tr>
    </w:tbl>
    <w:p w14:paraId="4B6DF03B" w14:textId="77777777" w:rsidR="0013215F" w:rsidRDefault="0013215F" w:rsidP="00335680">
      <w:pPr>
        <w:spacing w:line="240" w:lineRule="auto"/>
        <w:ind w:right="-360"/>
        <w:rPr>
          <w:rFonts w:eastAsia="SimSun" w:cs="Times New Roman"/>
          <w:b/>
          <w:lang w:eastAsia="zh-CN"/>
        </w:rPr>
        <w:sectPr w:rsidR="0013215F" w:rsidSect="00335680">
          <w:pgSz w:w="12240" w:h="15840" w:code="1"/>
          <w:pgMar w:top="1440" w:right="1440" w:bottom="1440" w:left="1440" w:header="720" w:footer="720" w:gutter="0"/>
          <w:cols w:space="720"/>
          <w:docGrid w:linePitch="360"/>
        </w:sectPr>
      </w:pPr>
    </w:p>
    <w:p w14:paraId="0CE4C2BF" w14:textId="77777777" w:rsidR="00614CEB" w:rsidRPr="00E85FE6" w:rsidRDefault="00614CEB" w:rsidP="005D7939">
      <w:pPr>
        <w:spacing w:after="200" w:line="276" w:lineRule="auto"/>
        <w:outlineLvl w:val="0"/>
        <w:rPr>
          <w:rFonts w:eastAsia="SimSun" w:cs="Times New Roman"/>
          <w:b/>
          <w:lang w:eastAsia="zh-CN"/>
        </w:rPr>
      </w:pPr>
    </w:p>
    <w:p w14:paraId="610833CE" w14:textId="77777777" w:rsidR="00335680" w:rsidRPr="00E85FE6" w:rsidRDefault="00335680" w:rsidP="002813DB">
      <w:pPr>
        <w:spacing w:line="240" w:lineRule="auto"/>
        <w:ind w:left="810" w:right="-360"/>
        <w:rPr>
          <w:rFonts w:eastAsia="SimSun" w:cs="Times New Roman"/>
          <w:b/>
          <w:sz w:val="24"/>
          <w:lang w:eastAsia="zh-CN"/>
        </w:rPr>
      </w:pPr>
      <w:r w:rsidRPr="00E85FE6">
        <w:rPr>
          <w:rFonts w:eastAsia="SimSun" w:cs="Times New Roman"/>
          <w:b/>
          <w:sz w:val="24"/>
        </w:rPr>
        <w:t>TABLE 3 Virtual Accessibility Engagement (VAG) Outcome Variable Results</w:t>
      </w:r>
    </w:p>
    <w:p w14:paraId="12B84A9E" w14:textId="77777777" w:rsidR="00335680" w:rsidRPr="00E85FE6" w:rsidRDefault="00335680" w:rsidP="00335680">
      <w:pPr>
        <w:spacing w:line="240" w:lineRule="auto"/>
        <w:ind w:left="180" w:right="-360"/>
        <w:rPr>
          <w:rFonts w:eastAsia="SimSun" w:cs="Times New Roman"/>
          <w:sz w:val="16"/>
          <w:szCs w:val="16"/>
          <w:lang w:eastAsia="zh-CN"/>
        </w:rPr>
      </w:pPr>
    </w:p>
    <w:tbl>
      <w:tblPr>
        <w:tblW w:w="4424" w:type="pct"/>
        <w:jc w:val="center"/>
        <w:tblCellMar>
          <w:left w:w="29" w:type="dxa"/>
          <w:right w:w="29" w:type="dxa"/>
        </w:tblCellMar>
        <w:tblLook w:val="04A0" w:firstRow="1" w:lastRow="0" w:firstColumn="1" w:lastColumn="0" w:noHBand="0" w:noVBand="1"/>
      </w:tblPr>
      <w:tblGrid>
        <w:gridCol w:w="4665"/>
        <w:gridCol w:w="1023"/>
        <w:gridCol w:w="918"/>
        <w:gridCol w:w="1128"/>
        <w:gridCol w:w="934"/>
        <w:gridCol w:w="1110"/>
        <w:gridCol w:w="952"/>
        <w:gridCol w:w="1092"/>
        <w:gridCol w:w="970"/>
      </w:tblGrid>
      <w:tr w:rsidR="00742376" w:rsidRPr="00E85FE6" w14:paraId="564466B1" w14:textId="77777777" w:rsidTr="00711E1F">
        <w:trPr>
          <w:trHeight w:val="20"/>
          <w:jc w:val="center"/>
        </w:trPr>
        <w:tc>
          <w:tcPr>
            <w:tcW w:w="1823" w:type="pct"/>
            <w:vMerge w:val="restart"/>
            <w:tcBorders>
              <w:top w:val="double" w:sz="4" w:space="0" w:color="000000"/>
              <w:left w:val="double" w:sz="4" w:space="0" w:color="000000"/>
              <w:bottom w:val="single" w:sz="4" w:space="0" w:color="auto"/>
              <w:right w:val="double" w:sz="6" w:space="0" w:color="auto"/>
            </w:tcBorders>
            <w:vAlign w:val="center"/>
            <w:hideMark/>
          </w:tcPr>
          <w:p w14:paraId="43134EA3" w14:textId="6182F750" w:rsidR="00335680" w:rsidRPr="00E85FE6" w:rsidRDefault="00614CEB" w:rsidP="00335680">
            <w:pPr>
              <w:spacing w:line="240" w:lineRule="auto"/>
              <w:jc w:val="center"/>
              <w:rPr>
                <w:rFonts w:eastAsia="Times New Roman" w:cs="Times New Roman"/>
                <w:sz w:val="21"/>
                <w:szCs w:val="21"/>
              </w:rPr>
            </w:pPr>
            <w:bookmarkStart w:id="8" w:name="OLE_LINK1"/>
            <w:r>
              <w:rPr>
                <w:rFonts w:eastAsia="Times New Roman" w:cs="Times New Roman"/>
                <w:sz w:val="21"/>
                <w:szCs w:val="21"/>
              </w:rPr>
              <w:t>Variables</w:t>
            </w:r>
          </w:p>
        </w:tc>
        <w:tc>
          <w:tcPr>
            <w:tcW w:w="759" w:type="pct"/>
            <w:gridSpan w:val="2"/>
            <w:tcBorders>
              <w:top w:val="double" w:sz="4" w:space="0" w:color="000000"/>
              <w:left w:val="double" w:sz="6" w:space="0" w:color="auto"/>
              <w:bottom w:val="single" w:sz="4" w:space="0" w:color="auto"/>
              <w:right w:val="double" w:sz="4" w:space="0" w:color="auto"/>
            </w:tcBorders>
            <w:shd w:val="clear" w:color="auto" w:fill="auto"/>
            <w:vAlign w:val="center"/>
            <w:hideMark/>
          </w:tcPr>
          <w:p w14:paraId="56BCA8BE" w14:textId="77777777" w:rsidR="00335680" w:rsidRPr="00E85FE6" w:rsidRDefault="00335680" w:rsidP="00335680">
            <w:pPr>
              <w:spacing w:line="240" w:lineRule="auto"/>
              <w:jc w:val="center"/>
              <w:rPr>
                <w:rFonts w:eastAsia="Times New Roman" w:cs="Times New Roman"/>
                <w:sz w:val="21"/>
                <w:szCs w:val="21"/>
              </w:rPr>
            </w:pPr>
            <w:r w:rsidRPr="00E85FE6">
              <w:rPr>
                <w:rFonts w:eastAsia="Times New Roman" w:cs="Times New Roman"/>
                <w:sz w:val="21"/>
                <w:szCs w:val="21"/>
              </w:rPr>
              <w:t>Freq. work from home</w:t>
            </w:r>
            <w:r w:rsidRPr="00E85FE6" w:rsidDel="00EC2B96">
              <w:rPr>
                <w:rFonts w:eastAsia="Times New Roman" w:cs="Times New Roman"/>
                <w:sz w:val="21"/>
                <w:szCs w:val="21"/>
              </w:rPr>
              <w:t xml:space="preserve"> </w:t>
            </w:r>
          </w:p>
        </w:tc>
        <w:tc>
          <w:tcPr>
            <w:tcW w:w="806" w:type="pct"/>
            <w:gridSpan w:val="2"/>
            <w:tcBorders>
              <w:top w:val="double" w:sz="4" w:space="0" w:color="000000"/>
              <w:left w:val="double" w:sz="4" w:space="0" w:color="auto"/>
              <w:bottom w:val="single" w:sz="4" w:space="0" w:color="auto"/>
              <w:right w:val="double" w:sz="4" w:space="0" w:color="auto"/>
            </w:tcBorders>
            <w:shd w:val="clear" w:color="auto" w:fill="auto"/>
            <w:vAlign w:val="center"/>
            <w:hideMark/>
          </w:tcPr>
          <w:p w14:paraId="1EA25F96" w14:textId="77777777" w:rsidR="00335680" w:rsidRPr="00E85FE6" w:rsidRDefault="00335680" w:rsidP="00335680">
            <w:pPr>
              <w:spacing w:line="240" w:lineRule="auto"/>
              <w:jc w:val="center"/>
              <w:rPr>
                <w:rFonts w:eastAsia="Times New Roman" w:cs="Times New Roman"/>
                <w:sz w:val="21"/>
                <w:szCs w:val="21"/>
              </w:rPr>
            </w:pPr>
            <w:r w:rsidRPr="00E85FE6">
              <w:rPr>
                <w:rFonts w:eastAsia="Times New Roman" w:cs="Times New Roman"/>
                <w:sz w:val="21"/>
                <w:szCs w:val="21"/>
              </w:rPr>
              <w:t>Main food shopping method is online</w:t>
            </w:r>
            <w:r w:rsidRPr="00E85FE6" w:rsidDel="00EC2B96">
              <w:rPr>
                <w:rFonts w:eastAsia="Times New Roman" w:cs="Times New Roman"/>
                <w:sz w:val="21"/>
                <w:szCs w:val="21"/>
              </w:rPr>
              <w:t xml:space="preserve"> </w:t>
            </w:r>
          </w:p>
        </w:tc>
        <w:tc>
          <w:tcPr>
            <w:tcW w:w="806" w:type="pct"/>
            <w:gridSpan w:val="2"/>
            <w:tcBorders>
              <w:top w:val="double" w:sz="4" w:space="0" w:color="000000"/>
              <w:left w:val="double" w:sz="4" w:space="0" w:color="auto"/>
              <w:bottom w:val="single" w:sz="4" w:space="0" w:color="auto"/>
              <w:right w:val="double" w:sz="4" w:space="0" w:color="auto"/>
            </w:tcBorders>
            <w:shd w:val="clear" w:color="auto" w:fill="auto"/>
            <w:vAlign w:val="center"/>
            <w:hideMark/>
          </w:tcPr>
          <w:p w14:paraId="5639B9CF" w14:textId="77777777" w:rsidR="00335680" w:rsidRPr="00E85FE6" w:rsidRDefault="00335680" w:rsidP="00335680">
            <w:pPr>
              <w:spacing w:line="240" w:lineRule="auto"/>
              <w:jc w:val="center"/>
              <w:rPr>
                <w:rFonts w:eastAsia="Times New Roman" w:cs="Times New Roman"/>
                <w:sz w:val="21"/>
                <w:szCs w:val="21"/>
              </w:rPr>
            </w:pPr>
            <w:r w:rsidRPr="00E85FE6">
              <w:rPr>
                <w:rFonts w:eastAsia="Times New Roman" w:cs="Times New Roman"/>
                <w:sz w:val="21"/>
                <w:szCs w:val="21"/>
              </w:rPr>
              <w:t>Freq. food delivery</w:t>
            </w:r>
            <w:r w:rsidRPr="00E85FE6" w:rsidDel="00EC2B96">
              <w:rPr>
                <w:rFonts w:eastAsia="Times New Roman" w:cs="Times New Roman"/>
                <w:sz w:val="21"/>
                <w:szCs w:val="21"/>
              </w:rPr>
              <w:t xml:space="preserve"> </w:t>
            </w:r>
          </w:p>
        </w:tc>
        <w:tc>
          <w:tcPr>
            <w:tcW w:w="806" w:type="pct"/>
            <w:gridSpan w:val="2"/>
            <w:tcBorders>
              <w:top w:val="double" w:sz="4" w:space="0" w:color="000000"/>
              <w:left w:val="double" w:sz="4" w:space="0" w:color="auto"/>
              <w:bottom w:val="single" w:sz="4" w:space="0" w:color="auto"/>
              <w:right w:val="double" w:sz="4" w:space="0" w:color="000000"/>
            </w:tcBorders>
            <w:shd w:val="clear" w:color="auto" w:fill="auto"/>
            <w:vAlign w:val="center"/>
            <w:hideMark/>
          </w:tcPr>
          <w:p w14:paraId="7F9A1C80" w14:textId="77777777" w:rsidR="00335680" w:rsidRPr="00E85FE6" w:rsidRDefault="00335680" w:rsidP="00335680">
            <w:pPr>
              <w:spacing w:line="240" w:lineRule="auto"/>
              <w:jc w:val="center"/>
              <w:rPr>
                <w:rFonts w:eastAsia="Times New Roman" w:cs="Times New Roman"/>
                <w:sz w:val="21"/>
                <w:szCs w:val="21"/>
              </w:rPr>
            </w:pPr>
            <w:r w:rsidRPr="00E85FE6">
              <w:rPr>
                <w:rFonts w:eastAsia="Times New Roman" w:cs="Times New Roman"/>
                <w:sz w:val="21"/>
                <w:szCs w:val="21"/>
              </w:rPr>
              <w:t>Freq. goods delivery</w:t>
            </w:r>
            <w:r w:rsidRPr="00E85FE6" w:rsidDel="00EC2B96">
              <w:rPr>
                <w:rFonts w:eastAsia="Times New Roman" w:cs="Times New Roman"/>
                <w:sz w:val="21"/>
                <w:szCs w:val="21"/>
              </w:rPr>
              <w:t xml:space="preserve"> </w:t>
            </w:r>
          </w:p>
        </w:tc>
      </w:tr>
      <w:tr w:rsidR="00742376" w:rsidRPr="00E85FE6" w14:paraId="4B98C81F" w14:textId="77777777" w:rsidTr="00711E1F">
        <w:trPr>
          <w:trHeight w:val="20"/>
          <w:jc w:val="center"/>
        </w:trPr>
        <w:tc>
          <w:tcPr>
            <w:tcW w:w="1823" w:type="pct"/>
            <w:vMerge/>
            <w:tcBorders>
              <w:top w:val="single" w:sz="4" w:space="0" w:color="auto"/>
              <w:left w:val="double" w:sz="4" w:space="0" w:color="000000"/>
              <w:bottom w:val="double" w:sz="6" w:space="0" w:color="auto"/>
              <w:right w:val="double" w:sz="6" w:space="0" w:color="auto"/>
            </w:tcBorders>
            <w:vAlign w:val="center"/>
            <w:hideMark/>
          </w:tcPr>
          <w:p w14:paraId="19246873" w14:textId="77777777" w:rsidR="00335680" w:rsidRPr="00E85FE6" w:rsidRDefault="00335680" w:rsidP="00335680">
            <w:pPr>
              <w:spacing w:line="240" w:lineRule="auto"/>
              <w:jc w:val="center"/>
              <w:rPr>
                <w:rFonts w:eastAsia="Times New Roman" w:cs="Times New Roman"/>
                <w:sz w:val="21"/>
                <w:szCs w:val="21"/>
              </w:rPr>
            </w:pPr>
          </w:p>
        </w:tc>
        <w:tc>
          <w:tcPr>
            <w:tcW w:w="400" w:type="pct"/>
            <w:tcBorders>
              <w:top w:val="nil"/>
              <w:left w:val="double" w:sz="6" w:space="0" w:color="auto"/>
              <w:bottom w:val="double" w:sz="6" w:space="0" w:color="auto"/>
              <w:right w:val="single" w:sz="4" w:space="0" w:color="auto"/>
            </w:tcBorders>
            <w:shd w:val="clear" w:color="auto" w:fill="auto"/>
            <w:noWrap/>
            <w:vAlign w:val="center"/>
          </w:tcPr>
          <w:p w14:paraId="24C7B695" w14:textId="77777777" w:rsidR="00335680" w:rsidRPr="00E85FE6" w:rsidRDefault="00335680" w:rsidP="00335680">
            <w:pPr>
              <w:spacing w:line="240" w:lineRule="auto"/>
              <w:jc w:val="center"/>
              <w:rPr>
                <w:rFonts w:eastAsia="Times New Roman" w:cs="Times New Roman"/>
                <w:sz w:val="21"/>
                <w:szCs w:val="21"/>
              </w:rPr>
            </w:pPr>
            <w:proofErr w:type="spellStart"/>
            <w:r w:rsidRPr="00E85FE6">
              <w:rPr>
                <w:rFonts w:eastAsia="Times New Roman" w:cs="Times New Roman"/>
                <w:sz w:val="21"/>
                <w:szCs w:val="21"/>
              </w:rPr>
              <w:t>Coef</w:t>
            </w:r>
            <w:proofErr w:type="spellEnd"/>
            <w:r w:rsidRPr="00E85FE6">
              <w:rPr>
                <w:rFonts w:eastAsia="Times New Roman" w:cs="Times New Roman"/>
                <w:sz w:val="21"/>
                <w:szCs w:val="21"/>
              </w:rPr>
              <w:t>.</w:t>
            </w:r>
          </w:p>
        </w:tc>
        <w:tc>
          <w:tcPr>
            <w:tcW w:w="358" w:type="pct"/>
            <w:tcBorders>
              <w:top w:val="nil"/>
              <w:left w:val="nil"/>
              <w:bottom w:val="double" w:sz="6" w:space="0" w:color="auto"/>
              <w:right w:val="double" w:sz="4" w:space="0" w:color="auto"/>
            </w:tcBorders>
            <w:shd w:val="clear" w:color="auto" w:fill="auto"/>
            <w:noWrap/>
            <w:vAlign w:val="center"/>
          </w:tcPr>
          <w:p w14:paraId="1CB42B74" w14:textId="77777777" w:rsidR="00335680" w:rsidRPr="00E85FE6" w:rsidRDefault="00335680" w:rsidP="00335680">
            <w:pPr>
              <w:spacing w:line="240" w:lineRule="auto"/>
              <w:jc w:val="center"/>
              <w:rPr>
                <w:rFonts w:eastAsia="Times New Roman" w:cs="Times New Roman"/>
                <w:sz w:val="21"/>
                <w:szCs w:val="21"/>
              </w:rPr>
            </w:pPr>
            <w:r w:rsidRPr="00E85FE6">
              <w:rPr>
                <w:rFonts w:eastAsia="Times New Roman" w:cs="Times New Roman"/>
                <w:sz w:val="21"/>
                <w:szCs w:val="21"/>
              </w:rPr>
              <w:t>t-stat</w:t>
            </w:r>
          </w:p>
        </w:tc>
        <w:tc>
          <w:tcPr>
            <w:tcW w:w="441" w:type="pct"/>
            <w:tcBorders>
              <w:top w:val="nil"/>
              <w:left w:val="double" w:sz="4" w:space="0" w:color="auto"/>
              <w:bottom w:val="double" w:sz="6" w:space="0" w:color="auto"/>
              <w:right w:val="single" w:sz="4" w:space="0" w:color="auto"/>
            </w:tcBorders>
            <w:shd w:val="clear" w:color="auto" w:fill="auto"/>
            <w:noWrap/>
            <w:vAlign w:val="center"/>
          </w:tcPr>
          <w:p w14:paraId="46F3B2E5" w14:textId="77777777" w:rsidR="00335680" w:rsidRPr="00E85FE6" w:rsidRDefault="00335680" w:rsidP="00335680">
            <w:pPr>
              <w:spacing w:line="240" w:lineRule="auto"/>
              <w:jc w:val="center"/>
              <w:rPr>
                <w:rFonts w:eastAsia="Times New Roman" w:cs="Times New Roman"/>
                <w:sz w:val="21"/>
                <w:szCs w:val="21"/>
              </w:rPr>
            </w:pPr>
            <w:proofErr w:type="spellStart"/>
            <w:r w:rsidRPr="00E85FE6">
              <w:rPr>
                <w:rFonts w:eastAsia="Times New Roman" w:cs="Times New Roman"/>
                <w:sz w:val="21"/>
                <w:szCs w:val="21"/>
              </w:rPr>
              <w:t>Coef</w:t>
            </w:r>
            <w:proofErr w:type="spellEnd"/>
            <w:r w:rsidRPr="00E85FE6">
              <w:rPr>
                <w:rFonts w:eastAsia="Times New Roman" w:cs="Times New Roman"/>
                <w:sz w:val="21"/>
                <w:szCs w:val="21"/>
              </w:rPr>
              <w:t>.</w:t>
            </w:r>
          </w:p>
        </w:tc>
        <w:tc>
          <w:tcPr>
            <w:tcW w:w="365" w:type="pct"/>
            <w:tcBorders>
              <w:top w:val="nil"/>
              <w:left w:val="nil"/>
              <w:bottom w:val="double" w:sz="6" w:space="0" w:color="auto"/>
              <w:right w:val="double" w:sz="4" w:space="0" w:color="auto"/>
            </w:tcBorders>
            <w:shd w:val="clear" w:color="auto" w:fill="auto"/>
            <w:noWrap/>
            <w:vAlign w:val="center"/>
          </w:tcPr>
          <w:p w14:paraId="0E22C60C" w14:textId="77777777" w:rsidR="00335680" w:rsidRPr="00E85FE6" w:rsidRDefault="00335680" w:rsidP="00335680">
            <w:pPr>
              <w:spacing w:line="240" w:lineRule="auto"/>
              <w:jc w:val="center"/>
              <w:rPr>
                <w:rFonts w:eastAsia="Times New Roman" w:cs="Times New Roman"/>
                <w:sz w:val="21"/>
                <w:szCs w:val="21"/>
              </w:rPr>
            </w:pPr>
            <w:r w:rsidRPr="00E85FE6">
              <w:rPr>
                <w:rFonts w:eastAsia="Times New Roman" w:cs="Times New Roman"/>
                <w:sz w:val="21"/>
                <w:szCs w:val="21"/>
              </w:rPr>
              <w:t>t-stat</w:t>
            </w:r>
          </w:p>
        </w:tc>
        <w:tc>
          <w:tcPr>
            <w:tcW w:w="434" w:type="pct"/>
            <w:tcBorders>
              <w:top w:val="nil"/>
              <w:left w:val="double" w:sz="4" w:space="0" w:color="auto"/>
              <w:bottom w:val="double" w:sz="6" w:space="0" w:color="auto"/>
              <w:right w:val="single" w:sz="4" w:space="0" w:color="auto"/>
            </w:tcBorders>
            <w:shd w:val="clear" w:color="auto" w:fill="auto"/>
            <w:noWrap/>
            <w:vAlign w:val="center"/>
          </w:tcPr>
          <w:p w14:paraId="67147F71" w14:textId="77777777" w:rsidR="00335680" w:rsidRPr="00E85FE6" w:rsidRDefault="00335680" w:rsidP="00335680">
            <w:pPr>
              <w:spacing w:line="240" w:lineRule="auto"/>
              <w:jc w:val="center"/>
              <w:rPr>
                <w:rFonts w:eastAsia="Times New Roman" w:cs="Times New Roman"/>
                <w:sz w:val="21"/>
                <w:szCs w:val="21"/>
              </w:rPr>
            </w:pPr>
            <w:proofErr w:type="spellStart"/>
            <w:r w:rsidRPr="00E85FE6">
              <w:rPr>
                <w:rFonts w:eastAsia="Times New Roman" w:cs="Times New Roman"/>
                <w:sz w:val="21"/>
                <w:szCs w:val="21"/>
              </w:rPr>
              <w:t>Coef</w:t>
            </w:r>
            <w:proofErr w:type="spellEnd"/>
            <w:r w:rsidRPr="00E85FE6">
              <w:rPr>
                <w:rFonts w:eastAsia="Times New Roman" w:cs="Times New Roman"/>
                <w:sz w:val="21"/>
                <w:szCs w:val="21"/>
              </w:rPr>
              <w:t>.</w:t>
            </w:r>
          </w:p>
        </w:tc>
        <w:tc>
          <w:tcPr>
            <w:tcW w:w="372" w:type="pct"/>
            <w:tcBorders>
              <w:top w:val="nil"/>
              <w:left w:val="nil"/>
              <w:bottom w:val="double" w:sz="6" w:space="0" w:color="auto"/>
              <w:right w:val="double" w:sz="4" w:space="0" w:color="auto"/>
            </w:tcBorders>
            <w:shd w:val="clear" w:color="auto" w:fill="auto"/>
            <w:noWrap/>
            <w:vAlign w:val="center"/>
          </w:tcPr>
          <w:p w14:paraId="1869FE06" w14:textId="77777777" w:rsidR="00335680" w:rsidRPr="00E85FE6" w:rsidRDefault="00335680" w:rsidP="00335680">
            <w:pPr>
              <w:spacing w:line="240" w:lineRule="auto"/>
              <w:jc w:val="center"/>
              <w:rPr>
                <w:rFonts w:eastAsia="Times New Roman" w:cs="Times New Roman"/>
                <w:sz w:val="21"/>
                <w:szCs w:val="21"/>
              </w:rPr>
            </w:pPr>
            <w:r w:rsidRPr="00E85FE6">
              <w:rPr>
                <w:rFonts w:eastAsia="Times New Roman" w:cs="Times New Roman"/>
                <w:sz w:val="21"/>
                <w:szCs w:val="21"/>
              </w:rPr>
              <w:t>t-stat</w:t>
            </w:r>
          </w:p>
        </w:tc>
        <w:tc>
          <w:tcPr>
            <w:tcW w:w="427" w:type="pct"/>
            <w:tcBorders>
              <w:top w:val="nil"/>
              <w:left w:val="double" w:sz="4" w:space="0" w:color="auto"/>
              <w:bottom w:val="double" w:sz="6" w:space="0" w:color="auto"/>
              <w:right w:val="single" w:sz="4" w:space="0" w:color="auto"/>
            </w:tcBorders>
            <w:shd w:val="clear" w:color="auto" w:fill="auto"/>
            <w:noWrap/>
            <w:vAlign w:val="center"/>
          </w:tcPr>
          <w:p w14:paraId="3542FC34" w14:textId="77777777" w:rsidR="00335680" w:rsidRPr="00E85FE6" w:rsidRDefault="00335680" w:rsidP="00335680">
            <w:pPr>
              <w:spacing w:line="240" w:lineRule="auto"/>
              <w:jc w:val="center"/>
              <w:rPr>
                <w:rFonts w:eastAsia="Times New Roman" w:cs="Times New Roman"/>
                <w:sz w:val="21"/>
                <w:szCs w:val="21"/>
              </w:rPr>
            </w:pPr>
            <w:proofErr w:type="spellStart"/>
            <w:r w:rsidRPr="00E85FE6">
              <w:rPr>
                <w:rFonts w:eastAsia="Times New Roman" w:cs="Times New Roman"/>
                <w:sz w:val="21"/>
                <w:szCs w:val="21"/>
              </w:rPr>
              <w:t>Coef</w:t>
            </w:r>
            <w:proofErr w:type="spellEnd"/>
            <w:r w:rsidRPr="00E85FE6">
              <w:rPr>
                <w:rFonts w:eastAsia="Times New Roman" w:cs="Times New Roman"/>
                <w:sz w:val="21"/>
                <w:szCs w:val="21"/>
              </w:rPr>
              <w:t>.</w:t>
            </w:r>
          </w:p>
        </w:tc>
        <w:tc>
          <w:tcPr>
            <w:tcW w:w="380" w:type="pct"/>
            <w:tcBorders>
              <w:top w:val="nil"/>
              <w:left w:val="nil"/>
              <w:bottom w:val="double" w:sz="6" w:space="0" w:color="auto"/>
              <w:right w:val="double" w:sz="4" w:space="0" w:color="000000"/>
            </w:tcBorders>
            <w:shd w:val="clear" w:color="auto" w:fill="auto"/>
            <w:noWrap/>
            <w:vAlign w:val="center"/>
          </w:tcPr>
          <w:p w14:paraId="65D2306E" w14:textId="77777777" w:rsidR="00335680" w:rsidRPr="00E85FE6" w:rsidRDefault="00335680" w:rsidP="00335680">
            <w:pPr>
              <w:spacing w:line="240" w:lineRule="auto"/>
              <w:jc w:val="center"/>
              <w:rPr>
                <w:rFonts w:eastAsia="Times New Roman" w:cs="Times New Roman"/>
                <w:sz w:val="21"/>
                <w:szCs w:val="21"/>
              </w:rPr>
            </w:pPr>
            <w:r w:rsidRPr="00E85FE6">
              <w:rPr>
                <w:rFonts w:eastAsia="Times New Roman" w:cs="Times New Roman"/>
                <w:sz w:val="21"/>
                <w:szCs w:val="21"/>
              </w:rPr>
              <w:t>t-stat</w:t>
            </w:r>
          </w:p>
        </w:tc>
      </w:tr>
      <w:tr w:rsidR="00742376" w:rsidRPr="00E85FE6" w14:paraId="249EA17B" w14:textId="77777777" w:rsidTr="00711E1F">
        <w:trPr>
          <w:trHeight w:val="20"/>
          <w:jc w:val="center"/>
        </w:trPr>
        <w:tc>
          <w:tcPr>
            <w:tcW w:w="1823" w:type="pct"/>
            <w:tcBorders>
              <w:top w:val="double" w:sz="6" w:space="0" w:color="auto"/>
              <w:left w:val="double" w:sz="4" w:space="0" w:color="000000"/>
              <w:right w:val="double" w:sz="6" w:space="0" w:color="auto"/>
            </w:tcBorders>
            <w:shd w:val="clear" w:color="auto" w:fill="auto"/>
            <w:noWrap/>
            <w:vAlign w:val="center"/>
          </w:tcPr>
          <w:p w14:paraId="3F423723" w14:textId="77777777" w:rsidR="00335680" w:rsidRPr="00E85FE6" w:rsidRDefault="00335680" w:rsidP="00335680">
            <w:pPr>
              <w:spacing w:line="240" w:lineRule="auto"/>
              <w:rPr>
                <w:rFonts w:eastAsia="Times New Roman" w:cs="Times New Roman"/>
                <w:i/>
                <w:iCs/>
                <w:sz w:val="21"/>
                <w:szCs w:val="21"/>
              </w:rPr>
            </w:pPr>
            <w:r w:rsidRPr="00E85FE6">
              <w:rPr>
                <w:rFonts w:eastAsia="SimSun" w:cs="Times New Roman"/>
                <w:i/>
                <w:iCs/>
                <w:sz w:val="21"/>
                <w:szCs w:val="21"/>
              </w:rPr>
              <w:t>Constants</w:t>
            </w:r>
          </w:p>
        </w:tc>
        <w:tc>
          <w:tcPr>
            <w:tcW w:w="400" w:type="pct"/>
            <w:tcBorders>
              <w:top w:val="double" w:sz="6" w:space="0" w:color="auto"/>
              <w:left w:val="double" w:sz="6" w:space="0" w:color="auto"/>
              <w:right w:val="single" w:sz="4" w:space="0" w:color="auto"/>
            </w:tcBorders>
            <w:shd w:val="clear" w:color="auto" w:fill="auto"/>
            <w:noWrap/>
            <w:vAlign w:val="center"/>
          </w:tcPr>
          <w:p w14:paraId="6A4A0670" w14:textId="383A210A" w:rsidR="00335680" w:rsidRPr="00E85FE6" w:rsidRDefault="008C4E31"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-1.129</w:t>
            </w:r>
          </w:p>
        </w:tc>
        <w:tc>
          <w:tcPr>
            <w:tcW w:w="358" w:type="pct"/>
            <w:tcBorders>
              <w:top w:val="double" w:sz="6" w:space="0" w:color="auto"/>
              <w:left w:val="nil"/>
              <w:right w:val="double" w:sz="4" w:space="0" w:color="auto"/>
            </w:tcBorders>
            <w:shd w:val="clear" w:color="auto" w:fill="auto"/>
            <w:noWrap/>
            <w:vAlign w:val="center"/>
          </w:tcPr>
          <w:p w14:paraId="34E5F6E4" w14:textId="6E2547E6" w:rsidR="00335680" w:rsidRPr="00E85FE6" w:rsidRDefault="008C4E31"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-12.90</w:t>
            </w:r>
          </w:p>
        </w:tc>
        <w:tc>
          <w:tcPr>
            <w:tcW w:w="441" w:type="pct"/>
            <w:tcBorders>
              <w:top w:val="double" w:sz="6" w:space="0" w:color="auto"/>
              <w:left w:val="double" w:sz="4" w:space="0" w:color="auto"/>
              <w:right w:val="single" w:sz="4" w:space="0" w:color="auto"/>
            </w:tcBorders>
            <w:shd w:val="clear" w:color="auto" w:fill="auto"/>
            <w:noWrap/>
            <w:vAlign w:val="center"/>
          </w:tcPr>
          <w:p w14:paraId="753D5A7F" w14:textId="41769060" w:rsidR="00335680" w:rsidRPr="00E85FE6" w:rsidRDefault="008C4E31"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-2.383</w:t>
            </w:r>
          </w:p>
        </w:tc>
        <w:tc>
          <w:tcPr>
            <w:tcW w:w="365" w:type="pct"/>
            <w:tcBorders>
              <w:top w:val="double" w:sz="6" w:space="0" w:color="auto"/>
              <w:left w:val="nil"/>
              <w:right w:val="double" w:sz="4" w:space="0" w:color="auto"/>
            </w:tcBorders>
            <w:shd w:val="clear" w:color="auto" w:fill="auto"/>
            <w:noWrap/>
            <w:vAlign w:val="center"/>
          </w:tcPr>
          <w:p w14:paraId="4DC5B9E4" w14:textId="45FF0840" w:rsidR="00335680" w:rsidRPr="00E85FE6" w:rsidRDefault="008C4E31"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-10.24</w:t>
            </w:r>
          </w:p>
        </w:tc>
        <w:tc>
          <w:tcPr>
            <w:tcW w:w="434" w:type="pct"/>
            <w:tcBorders>
              <w:top w:val="double" w:sz="6" w:space="0" w:color="auto"/>
              <w:left w:val="double" w:sz="4" w:space="0" w:color="auto"/>
              <w:right w:val="single" w:sz="4" w:space="0" w:color="auto"/>
            </w:tcBorders>
            <w:shd w:val="clear" w:color="auto" w:fill="auto"/>
            <w:noWrap/>
            <w:vAlign w:val="center"/>
          </w:tcPr>
          <w:p w14:paraId="35792E21" w14:textId="0B0C0BAD" w:rsidR="00335680"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-0.708</w:t>
            </w:r>
          </w:p>
        </w:tc>
        <w:tc>
          <w:tcPr>
            <w:tcW w:w="372" w:type="pct"/>
            <w:tcBorders>
              <w:top w:val="double" w:sz="6" w:space="0" w:color="auto"/>
              <w:left w:val="nil"/>
              <w:right w:val="double" w:sz="4" w:space="0" w:color="auto"/>
            </w:tcBorders>
            <w:shd w:val="clear" w:color="auto" w:fill="auto"/>
            <w:noWrap/>
            <w:vAlign w:val="center"/>
          </w:tcPr>
          <w:p w14:paraId="04EB7AB7" w14:textId="3AE110D5" w:rsidR="00335680"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-8.25</w:t>
            </w:r>
          </w:p>
        </w:tc>
        <w:tc>
          <w:tcPr>
            <w:tcW w:w="427" w:type="pct"/>
            <w:tcBorders>
              <w:top w:val="double" w:sz="6" w:space="0" w:color="auto"/>
              <w:left w:val="double" w:sz="4" w:space="0" w:color="auto"/>
              <w:right w:val="single" w:sz="4" w:space="0" w:color="auto"/>
            </w:tcBorders>
            <w:shd w:val="clear" w:color="auto" w:fill="auto"/>
            <w:noWrap/>
            <w:vAlign w:val="center"/>
          </w:tcPr>
          <w:p w14:paraId="58CF5FF9" w14:textId="7AD7FDA4" w:rsidR="00335680"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2.060</w:t>
            </w:r>
          </w:p>
        </w:tc>
        <w:tc>
          <w:tcPr>
            <w:tcW w:w="380" w:type="pct"/>
            <w:tcBorders>
              <w:top w:val="double" w:sz="6" w:space="0" w:color="auto"/>
              <w:left w:val="nil"/>
              <w:right w:val="double" w:sz="4" w:space="0" w:color="000000"/>
            </w:tcBorders>
            <w:shd w:val="clear" w:color="auto" w:fill="auto"/>
            <w:noWrap/>
            <w:vAlign w:val="center"/>
          </w:tcPr>
          <w:p w14:paraId="26A1B4B7" w14:textId="08DAD018" w:rsidR="00335680"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30.87</w:t>
            </w:r>
          </w:p>
        </w:tc>
      </w:tr>
      <w:tr w:rsidR="00742376" w:rsidRPr="00E85FE6" w14:paraId="7F64CA50" w14:textId="77777777" w:rsidTr="00711E1F">
        <w:trPr>
          <w:trHeight w:val="20"/>
          <w:jc w:val="center"/>
        </w:trPr>
        <w:tc>
          <w:tcPr>
            <w:tcW w:w="1823" w:type="pct"/>
            <w:tcBorders>
              <w:top w:val="double" w:sz="6" w:space="0" w:color="auto"/>
              <w:left w:val="double" w:sz="4" w:space="0" w:color="000000"/>
              <w:right w:val="double" w:sz="6" w:space="0" w:color="auto"/>
            </w:tcBorders>
            <w:shd w:val="clear" w:color="auto" w:fill="auto"/>
            <w:noWrap/>
            <w:vAlign w:val="center"/>
            <w:hideMark/>
          </w:tcPr>
          <w:p w14:paraId="74A5ACB8" w14:textId="77777777" w:rsidR="00335680" w:rsidRPr="00E85FE6" w:rsidRDefault="00335680" w:rsidP="00335680">
            <w:pPr>
              <w:spacing w:line="240" w:lineRule="auto"/>
              <w:rPr>
                <w:rFonts w:eastAsia="Times New Roman" w:cs="Times New Roman"/>
                <w:i/>
                <w:iCs/>
                <w:sz w:val="21"/>
                <w:szCs w:val="21"/>
              </w:rPr>
            </w:pPr>
            <w:r w:rsidRPr="00E85FE6">
              <w:rPr>
                <w:rFonts w:eastAsia="Times New Roman" w:cs="Times New Roman"/>
                <w:i/>
                <w:iCs/>
                <w:sz w:val="21"/>
                <w:szCs w:val="21"/>
              </w:rPr>
              <w:t>Thresholds for frequency indicators</w:t>
            </w:r>
          </w:p>
        </w:tc>
        <w:tc>
          <w:tcPr>
            <w:tcW w:w="400" w:type="pct"/>
            <w:tcBorders>
              <w:top w:val="double" w:sz="6" w:space="0" w:color="auto"/>
              <w:left w:val="double" w:sz="6" w:space="0" w:color="auto"/>
              <w:right w:val="single" w:sz="4" w:space="0" w:color="auto"/>
            </w:tcBorders>
            <w:shd w:val="clear" w:color="auto" w:fill="auto"/>
            <w:noWrap/>
            <w:vAlign w:val="center"/>
          </w:tcPr>
          <w:p w14:paraId="12E00229" w14:textId="77777777" w:rsidR="00335680" w:rsidRPr="00E85FE6" w:rsidRDefault="00335680" w:rsidP="00742376">
            <w:pPr>
              <w:tabs>
                <w:tab w:val="decimal" w:pos="390"/>
              </w:tabs>
              <w:spacing w:line="240" w:lineRule="auto"/>
              <w:jc w:val="left"/>
              <w:rPr>
                <w:rFonts w:eastAsia="Times New Roman" w:cs="Times New Roman"/>
                <w:sz w:val="21"/>
                <w:szCs w:val="21"/>
              </w:rPr>
            </w:pPr>
          </w:p>
        </w:tc>
        <w:tc>
          <w:tcPr>
            <w:tcW w:w="358" w:type="pct"/>
            <w:tcBorders>
              <w:top w:val="double" w:sz="6" w:space="0" w:color="auto"/>
              <w:left w:val="nil"/>
              <w:right w:val="double" w:sz="4" w:space="0" w:color="auto"/>
            </w:tcBorders>
            <w:shd w:val="clear" w:color="auto" w:fill="auto"/>
            <w:noWrap/>
            <w:vAlign w:val="center"/>
          </w:tcPr>
          <w:p w14:paraId="36BFA75A" w14:textId="77777777" w:rsidR="00335680" w:rsidRPr="00E85FE6" w:rsidRDefault="00335680" w:rsidP="00742376">
            <w:pPr>
              <w:tabs>
                <w:tab w:val="decimal" w:pos="390"/>
              </w:tabs>
              <w:spacing w:line="240" w:lineRule="auto"/>
              <w:jc w:val="left"/>
              <w:rPr>
                <w:rFonts w:eastAsia="Times New Roman" w:cs="Times New Roman"/>
                <w:sz w:val="21"/>
                <w:szCs w:val="21"/>
              </w:rPr>
            </w:pPr>
          </w:p>
        </w:tc>
        <w:tc>
          <w:tcPr>
            <w:tcW w:w="441" w:type="pct"/>
            <w:tcBorders>
              <w:top w:val="double" w:sz="6" w:space="0" w:color="auto"/>
              <w:left w:val="double" w:sz="4" w:space="0" w:color="auto"/>
              <w:right w:val="single" w:sz="4" w:space="0" w:color="auto"/>
            </w:tcBorders>
            <w:shd w:val="clear" w:color="auto" w:fill="auto"/>
            <w:noWrap/>
            <w:vAlign w:val="center"/>
          </w:tcPr>
          <w:p w14:paraId="7183F3F8" w14:textId="77777777" w:rsidR="00335680" w:rsidRPr="00E85FE6" w:rsidRDefault="00335680" w:rsidP="00742376">
            <w:pPr>
              <w:tabs>
                <w:tab w:val="decimal" w:pos="390"/>
              </w:tabs>
              <w:spacing w:line="240" w:lineRule="auto"/>
              <w:jc w:val="left"/>
              <w:rPr>
                <w:rFonts w:eastAsia="Times New Roman" w:cs="Times New Roman"/>
                <w:sz w:val="21"/>
                <w:szCs w:val="21"/>
              </w:rPr>
            </w:pPr>
          </w:p>
        </w:tc>
        <w:tc>
          <w:tcPr>
            <w:tcW w:w="365" w:type="pct"/>
            <w:tcBorders>
              <w:top w:val="double" w:sz="6" w:space="0" w:color="auto"/>
              <w:left w:val="nil"/>
              <w:right w:val="double" w:sz="4" w:space="0" w:color="auto"/>
            </w:tcBorders>
            <w:shd w:val="clear" w:color="auto" w:fill="auto"/>
            <w:noWrap/>
            <w:vAlign w:val="center"/>
          </w:tcPr>
          <w:p w14:paraId="6E336DD9" w14:textId="77777777" w:rsidR="00335680" w:rsidRPr="00E85FE6" w:rsidRDefault="00335680" w:rsidP="00742376">
            <w:pPr>
              <w:tabs>
                <w:tab w:val="decimal" w:pos="390"/>
              </w:tabs>
              <w:spacing w:line="240" w:lineRule="auto"/>
              <w:jc w:val="left"/>
              <w:rPr>
                <w:rFonts w:eastAsia="Times New Roman" w:cs="Times New Roman"/>
                <w:sz w:val="21"/>
                <w:szCs w:val="21"/>
              </w:rPr>
            </w:pPr>
          </w:p>
        </w:tc>
        <w:tc>
          <w:tcPr>
            <w:tcW w:w="434" w:type="pct"/>
            <w:tcBorders>
              <w:top w:val="double" w:sz="6" w:space="0" w:color="auto"/>
              <w:left w:val="double" w:sz="4" w:space="0" w:color="auto"/>
              <w:right w:val="single" w:sz="4" w:space="0" w:color="auto"/>
            </w:tcBorders>
            <w:shd w:val="clear" w:color="auto" w:fill="auto"/>
            <w:noWrap/>
            <w:vAlign w:val="center"/>
          </w:tcPr>
          <w:p w14:paraId="460A084E" w14:textId="77777777" w:rsidR="00335680" w:rsidRPr="00E85FE6" w:rsidRDefault="00335680" w:rsidP="00742376">
            <w:pPr>
              <w:tabs>
                <w:tab w:val="decimal" w:pos="390"/>
              </w:tabs>
              <w:spacing w:line="240" w:lineRule="auto"/>
              <w:jc w:val="left"/>
              <w:rPr>
                <w:rFonts w:eastAsia="Times New Roman" w:cs="Times New Roman"/>
                <w:sz w:val="21"/>
                <w:szCs w:val="21"/>
              </w:rPr>
            </w:pPr>
          </w:p>
        </w:tc>
        <w:tc>
          <w:tcPr>
            <w:tcW w:w="372" w:type="pct"/>
            <w:tcBorders>
              <w:top w:val="double" w:sz="6" w:space="0" w:color="auto"/>
              <w:left w:val="nil"/>
              <w:right w:val="double" w:sz="4" w:space="0" w:color="auto"/>
            </w:tcBorders>
            <w:shd w:val="clear" w:color="auto" w:fill="auto"/>
            <w:noWrap/>
            <w:vAlign w:val="center"/>
          </w:tcPr>
          <w:p w14:paraId="09ED7686" w14:textId="77777777" w:rsidR="00335680" w:rsidRPr="00E85FE6" w:rsidRDefault="00335680" w:rsidP="00742376">
            <w:pPr>
              <w:tabs>
                <w:tab w:val="decimal" w:pos="390"/>
              </w:tabs>
              <w:spacing w:line="240" w:lineRule="auto"/>
              <w:jc w:val="left"/>
              <w:rPr>
                <w:rFonts w:eastAsia="Times New Roman" w:cs="Times New Roman"/>
                <w:sz w:val="21"/>
                <w:szCs w:val="21"/>
              </w:rPr>
            </w:pPr>
          </w:p>
        </w:tc>
        <w:tc>
          <w:tcPr>
            <w:tcW w:w="427" w:type="pct"/>
            <w:tcBorders>
              <w:top w:val="double" w:sz="6" w:space="0" w:color="auto"/>
              <w:left w:val="double" w:sz="4" w:space="0" w:color="auto"/>
              <w:right w:val="single" w:sz="4" w:space="0" w:color="auto"/>
            </w:tcBorders>
            <w:shd w:val="clear" w:color="auto" w:fill="auto"/>
            <w:noWrap/>
            <w:vAlign w:val="center"/>
          </w:tcPr>
          <w:p w14:paraId="75E8B284" w14:textId="77777777" w:rsidR="00335680" w:rsidRPr="00E85FE6" w:rsidRDefault="00335680" w:rsidP="00742376">
            <w:pPr>
              <w:tabs>
                <w:tab w:val="decimal" w:pos="390"/>
              </w:tabs>
              <w:spacing w:line="240" w:lineRule="auto"/>
              <w:jc w:val="left"/>
              <w:rPr>
                <w:rFonts w:eastAsia="Times New Roman" w:cs="Times New Roman"/>
                <w:sz w:val="21"/>
                <w:szCs w:val="21"/>
              </w:rPr>
            </w:pPr>
          </w:p>
        </w:tc>
        <w:tc>
          <w:tcPr>
            <w:tcW w:w="380" w:type="pct"/>
            <w:tcBorders>
              <w:top w:val="double" w:sz="6" w:space="0" w:color="auto"/>
              <w:left w:val="nil"/>
              <w:right w:val="double" w:sz="4" w:space="0" w:color="000000"/>
            </w:tcBorders>
            <w:shd w:val="clear" w:color="auto" w:fill="auto"/>
            <w:noWrap/>
            <w:vAlign w:val="center"/>
          </w:tcPr>
          <w:p w14:paraId="7B1568DC" w14:textId="77777777" w:rsidR="00335680" w:rsidRPr="00E85FE6" w:rsidRDefault="00335680" w:rsidP="00742376">
            <w:pPr>
              <w:tabs>
                <w:tab w:val="decimal" w:pos="390"/>
              </w:tabs>
              <w:spacing w:line="240" w:lineRule="auto"/>
              <w:jc w:val="left"/>
              <w:rPr>
                <w:rFonts w:eastAsia="Times New Roman" w:cs="Times New Roman"/>
                <w:sz w:val="21"/>
                <w:szCs w:val="21"/>
              </w:rPr>
            </w:pPr>
          </w:p>
        </w:tc>
      </w:tr>
      <w:tr w:rsidR="00742376" w:rsidRPr="00E85FE6" w14:paraId="18302663"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hideMark/>
          </w:tcPr>
          <w:p w14:paraId="58B24BC8" w14:textId="77777777" w:rsidR="00131BD7" w:rsidRPr="00E85FE6" w:rsidRDefault="00131BD7" w:rsidP="00131BD7">
            <w:pPr>
              <w:spacing w:line="240" w:lineRule="auto"/>
              <w:ind w:left="429" w:hanging="270"/>
              <w:rPr>
                <w:rFonts w:eastAsia="Times New Roman" w:cs="Times New Roman"/>
                <w:sz w:val="21"/>
                <w:szCs w:val="21"/>
              </w:rPr>
            </w:pPr>
            <w:r w:rsidRPr="00E85FE6">
              <w:rPr>
                <w:rFonts w:eastAsia="Times New Roman" w:cs="Times New Roman"/>
                <w:sz w:val="21"/>
                <w:szCs w:val="21"/>
              </w:rPr>
              <w:t>Less than once a month &amp; less than once a week</w:t>
            </w:r>
          </w:p>
        </w:tc>
        <w:tc>
          <w:tcPr>
            <w:tcW w:w="400" w:type="pct"/>
            <w:tcBorders>
              <w:top w:val="nil"/>
              <w:left w:val="double" w:sz="6" w:space="0" w:color="auto"/>
              <w:right w:val="single" w:sz="4" w:space="0" w:color="auto"/>
            </w:tcBorders>
            <w:shd w:val="clear" w:color="auto" w:fill="auto"/>
            <w:noWrap/>
            <w:vAlign w:val="center"/>
          </w:tcPr>
          <w:p w14:paraId="4B122713" w14:textId="201DC8E4"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0.375</w:t>
            </w:r>
          </w:p>
        </w:tc>
        <w:tc>
          <w:tcPr>
            <w:tcW w:w="358" w:type="pct"/>
            <w:tcBorders>
              <w:top w:val="nil"/>
              <w:left w:val="nil"/>
              <w:right w:val="double" w:sz="4" w:space="0" w:color="auto"/>
            </w:tcBorders>
            <w:shd w:val="clear" w:color="auto" w:fill="auto"/>
            <w:noWrap/>
            <w:vAlign w:val="center"/>
          </w:tcPr>
          <w:p w14:paraId="1271E191" w14:textId="1B33B826"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14.63</w:t>
            </w:r>
          </w:p>
        </w:tc>
        <w:tc>
          <w:tcPr>
            <w:tcW w:w="441" w:type="pct"/>
            <w:vMerge w:val="restart"/>
            <w:tcBorders>
              <w:top w:val="nil"/>
              <w:left w:val="double" w:sz="4" w:space="0" w:color="auto"/>
              <w:right w:val="single" w:sz="4" w:space="0" w:color="auto"/>
            </w:tcBorders>
            <w:shd w:val="clear" w:color="auto" w:fill="auto"/>
            <w:noWrap/>
            <w:vAlign w:val="center"/>
          </w:tcPr>
          <w:p w14:paraId="35E72D1A" w14:textId="77777777" w:rsidR="00131BD7" w:rsidRPr="00E85FE6" w:rsidRDefault="00131BD7" w:rsidP="00742376">
            <w:pPr>
              <w:tabs>
                <w:tab w:val="decimal" w:pos="390"/>
              </w:tabs>
              <w:spacing w:line="240" w:lineRule="auto"/>
              <w:jc w:val="center"/>
              <w:rPr>
                <w:rFonts w:eastAsia="Times New Roman" w:cs="Times New Roman"/>
                <w:sz w:val="21"/>
                <w:szCs w:val="21"/>
              </w:rPr>
            </w:pPr>
            <w:r>
              <w:rPr>
                <w:rFonts w:eastAsia="Times New Roman" w:cs="Times New Roman"/>
                <w:sz w:val="21"/>
                <w:szCs w:val="21"/>
              </w:rPr>
              <w:t>n/a</w:t>
            </w:r>
          </w:p>
        </w:tc>
        <w:tc>
          <w:tcPr>
            <w:tcW w:w="365" w:type="pct"/>
            <w:vMerge w:val="restart"/>
            <w:tcBorders>
              <w:top w:val="nil"/>
              <w:left w:val="nil"/>
              <w:right w:val="double" w:sz="4" w:space="0" w:color="auto"/>
            </w:tcBorders>
            <w:shd w:val="clear" w:color="auto" w:fill="auto"/>
            <w:noWrap/>
            <w:vAlign w:val="center"/>
          </w:tcPr>
          <w:p w14:paraId="00BA057B" w14:textId="77777777" w:rsidR="00131BD7" w:rsidRPr="00E85FE6" w:rsidRDefault="00131BD7" w:rsidP="00742376">
            <w:pPr>
              <w:tabs>
                <w:tab w:val="decimal" w:pos="390"/>
              </w:tabs>
              <w:spacing w:line="240" w:lineRule="auto"/>
              <w:jc w:val="center"/>
              <w:rPr>
                <w:rFonts w:eastAsia="Times New Roman" w:cs="Times New Roman"/>
                <w:sz w:val="21"/>
                <w:szCs w:val="21"/>
              </w:rPr>
            </w:pPr>
            <w:r>
              <w:rPr>
                <w:rFonts w:eastAsia="Times New Roman" w:cs="Times New Roman"/>
                <w:sz w:val="21"/>
                <w:szCs w:val="21"/>
              </w:rPr>
              <w:t>n/a</w:t>
            </w:r>
          </w:p>
        </w:tc>
        <w:tc>
          <w:tcPr>
            <w:tcW w:w="434" w:type="pct"/>
            <w:tcBorders>
              <w:top w:val="nil"/>
              <w:left w:val="double" w:sz="4" w:space="0" w:color="auto"/>
              <w:right w:val="single" w:sz="4" w:space="0" w:color="auto"/>
            </w:tcBorders>
            <w:shd w:val="clear" w:color="auto" w:fill="auto"/>
            <w:noWrap/>
            <w:vAlign w:val="center"/>
          </w:tcPr>
          <w:p w14:paraId="7B70FAA6" w14:textId="481E4392"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0.544</w:t>
            </w:r>
          </w:p>
        </w:tc>
        <w:tc>
          <w:tcPr>
            <w:tcW w:w="372" w:type="pct"/>
            <w:tcBorders>
              <w:top w:val="nil"/>
              <w:left w:val="nil"/>
              <w:right w:val="double" w:sz="4" w:space="0" w:color="auto"/>
            </w:tcBorders>
            <w:shd w:val="clear" w:color="auto" w:fill="auto"/>
            <w:noWrap/>
            <w:vAlign w:val="center"/>
          </w:tcPr>
          <w:p w14:paraId="384CB0A3" w14:textId="4C131B2B"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18.98</w:t>
            </w:r>
          </w:p>
        </w:tc>
        <w:tc>
          <w:tcPr>
            <w:tcW w:w="427" w:type="pct"/>
            <w:tcBorders>
              <w:top w:val="nil"/>
              <w:left w:val="double" w:sz="4" w:space="0" w:color="auto"/>
              <w:right w:val="single" w:sz="4" w:space="0" w:color="auto"/>
            </w:tcBorders>
            <w:shd w:val="clear" w:color="auto" w:fill="auto"/>
            <w:noWrap/>
            <w:vAlign w:val="center"/>
          </w:tcPr>
          <w:p w14:paraId="712125AB" w14:textId="4B9E97BA"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1.321</w:t>
            </w:r>
          </w:p>
        </w:tc>
        <w:tc>
          <w:tcPr>
            <w:tcW w:w="380" w:type="pct"/>
            <w:tcBorders>
              <w:top w:val="nil"/>
              <w:left w:val="single" w:sz="4" w:space="0" w:color="auto"/>
              <w:right w:val="double" w:sz="4" w:space="0" w:color="000000"/>
            </w:tcBorders>
            <w:shd w:val="clear" w:color="auto" w:fill="auto"/>
            <w:vAlign w:val="center"/>
          </w:tcPr>
          <w:p w14:paraId="1FAF03C4" w14:textId="7B27BDEB"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23.16</w:t>
            </w:r>
          </w:p>
        </w:tc>
      </w:tr>
      <w:tr w:rsidR="00742376" w:rsidRPr="00E85FE6" w14:paraId="71B2FB2A" w14:textId="77777777" w:rsidTr="00711E1F">
        <w:trPr>
          <w:trHeight w:val="20"/>
          <w:jc w:val="center"/>
        </w:trPr>
        <w:tc>
          <w:tcPr>
            <w:tcW w:w="1823" w:type="pct"/>
            <w:tcBorders>
              <w:top w:val="nil"/>
              <w:left w:val="double" w:sz="4" w:space="0" w:color="000000"/>
              <w:bottom w:val="double" w:sz="6" w:space="0" w:color="auto"/>
              <w:right w:val="double" w:sz="6" w:space="0" w:color="auto"/>
            </w:tcBorders>
            <w:shd w:val="clear" w:color="auto" w:fill="auto"/>
            <w:noWrap/>
            <w:vAlign w:val="center"/>
            <w:hideMark/>
          </w:tcPr>
          <w:p w14:paraId="0A3D4F94" w14:textId="77777777" w:rsidR="00131BD7" w:rsidRPr="00E85FE6" w:rsidRDefault="00131BD7" w:rsidP="00131BD7">
            <w:pPr>
              <w:spacing w:line="240" w:lineRule="auto"/>
              <w:ind w:firstLine="159"/>
              <w:rPr>
                <w:rFonts w:eastAsia="Times New Roman" w:cs="Times New Roman"/>
                <w:sz w:val="21"/>
                <w:szCs w:val="21"/>
              </w:rPr>
            </w:pPr>
            <w:r w:rsidRPr="00E85FE6">
              <w:rPr>
                <w:rFonts w:eastAsia="Times New Roman" w:cs="Times New Roman"/>
                <w:sz w:val="21"/>
                <w:szCs w:val="21"/>
              </w:rPr>
              <w:t>Less than once a week &amp; weekly</w:t>
            </w:r>
          </w:p>
        </w:tc>
        <w:tc>
          <w:tcPr>
            <w:tcW w:w="400" w:type="pct"/>
            <w:tcBorders>
              <w:top w:val="nil"/>
              <w:left w:val="double" w:sz="6" w:space="0" w:color="auto"/>
              <w:bottom w:val="double" w:sz="6" w:space="0" w:color="auto"/>
              <w:right w:val="single" w:sz="4" w:space="0" w:color="auto"/>
            </w:tcBorders>
            <w:shd w:val="clear" w:color="auto" w:fill="auto"/>
            <w:noWrap/>
            <w:vAlign w:val="center"/>
          </w:tcPr>
          <w:p w14:paraId="6D22894D" w14:textId="7B4701EA"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0.741</w:t>
            </w:r>
          </w:p>
        </w:tc>
        <w:tc>
          <w:tcPr>
            <w:tcW w:w="358" w:type="pct"/>
            <w:tcBorders>
              <w:top w:val="nil"/>
              <w:left w:val="nil"/>
              <w:bottom w:val="double" w:sz="6" w:space="0" w:color="auto"/>
              <w:right w:val="double" w:sz="4" w:space="0" w:color="auto"/>
            </w:tcBorders>
            <w:shd w:val="clear" w:color="auto" w:fill="auto"/>
            <w:noWrap/>
            <w:vAlign w:val="center"/>
          </w:tcPr>
          <w:p w14:paraId="60FA3313" w14:textId="2B8BBD99"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20.65</w:t>
            </w:r>
          </w:p>
        </w:tc>
        <w:tc>
          <w:tcPr>
            <w:tcW w:w="441" w:type="pct"/>
            <w:vMerge/>
            <w:tcBorders>
              <w:left w:val="double" w:sz="4" w:space="0" w:color="auto"/>
              <w:bottom w:val="double" w:sz="6" w:space="0" w:color="auto"/>
              <w:right w:val="single" w:sz="4" w:space="0" w:color="auto"/>
            </w:tcBorders>
            <w:shd w:val="clear" w:color="auto" w:fill="auto"/>
            <w:noWrap/>
            <w:vAlign w:val="center"/>
          </w:tcPr>
          <w:p w14:paraId="79865383"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vMerge/>
            <w:tcBorders>
              <w:left w:val="nil"/>
              <w:bottom w:val="double" w:sz="6" w:space="0" w:color="auto"/>
              <w:right w:val="double" w:sz="4" w:space="0" w:color="auto"/>
            </w:tcBorders>
            <w:shd w:val="clear" w:color="auto" w:fill="auto"/>
            <w:noWrap/>
            <w:vAlign w:val="center"/>
          </w:tcPr>
          <w:p w14:paraId="313ED335"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bottom w:val="double" w:sz="6" w:space="0" w:color="auto"/>
              <w:right w:val="single" w:sz="4" w:space="0" w:color="auto"/>
            </w:tcBorders>
            <w:shd w:val="clear" w:color="auto" w:fill="auto"/>
            <w:noWrap/>
            <w:vAlign w:val="center"/>
          </w:tcPr>
          <w:p w14:paraId="52397397" w14:textId="14062660"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1.093</w:t>
            </w:r>
          </w:p>
        </w:tc>
        <w:tc>
          <w:tcPr>
            <w:tcW w:w="372" w:type="pct"/>
            <w:tcBorders>
              <w:top w:val="nil"/>
              <w:left w:val="nil"/>
              <w:bottom w:val="double" w:sz="6" w:space="0" w:color="auto"/>
              <w:right w:val="double" w:sz="4" w:space="0" w:color="auto"/>
            </w:tcBorders>
            <w:shd w:val="clear" w:color="auto" w:fill="auto"/>
            <w:noWrap/>
            <w:vAlign w:val="center"/>
          </w:tcPr>
          <w:p w14:paraId="011451CF" w14:textId="4AFAFDFA"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23.65</w:t>
            </w:r>
          </w:p>
        </w:tc>
        <w:tc>
          <w:tcPr>
            <w:tcW w:w="427" w:type="pct"/>
            <w:tcBorders>
              <w:left w:val="double" w:sz="4" w:space="0" w:color="auto"/>
              <w:bottom w:val="double" w:sz="6" w:space="0" w:color="auto"/>
              <w:right w:val="single" w:sz="4" w:space="0" w:color="auto"/>
            </w:tcBorders>
            <w:shd w:val="clear" w:color="auto" w:fill="auto"/>
            <w:noWrap/>
            <w:vAlign w:val="center"/>
          </w:tcPr>
          <w:p w14:paraId="03931F89" w14:textId="5617C298"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3.335</w:t>
            </w:r>
          </w:p>
        </w:tc>
        <w:tc>
          <w:tcPr>
            <w:tcW w:w="380" w:type="pct"/>
            <w:tcBorders>
              <w:left w:val="single" w:sz="4" w:space="0" w:color="auto"/>
              <w:bottom w:val="double" w:sz="6" w:space="0" w:color="auto"/>
              <w:right w:val="double" w:sz="4" w:space="0" w:color="000000"/>
            </w:tcBorders>
            <w:shd w:val="clear" w:color="auto" w:fill="auto"/>
            <w:vAlign w:val="center"/>
          </w:tcPr>
          <w:p w14:paraId="3E2D7A20" w14:textId="438686F0"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37.90</w:t>
            </w:r>
          </w:p>
        </w:tc>
      </w:tr>
      <w:tr w:rsidR="00742376" w:rsidRPr="00E85FE6" w14:paraId="495D594C" w14:textId="77777777" w:rsidTr="00711E1F">
        <w:trPr>
          <w:trHeight w:val="20"/>
          <w:jc w:val="center"/>
        </w:trPr>
        <w:tc>
          <w:tcPr>
            <w:tcW w:w="1823" w:type="pct"/>
            <w:tcBorders>
              <w:top w:val="double" w:sz="6" w:space="0" w:color="auto"/>
              <w:left w:val="double" w:sz="4" w:space="0" w:color="000000"/>
              <w:right w:val="double" w:sz="6" w:space="0" w:color="auto"/>
            </w:tcBorders>
            <w:shd w:val="clear" w:color="auto" w:fill="auto"/>
            <w:noWrap/>
            <w:vAlign w:val="center"/>
          </w:tcPr>
          <w:p w14:paraId="7A5A7D87" w14:textId="77777777" w:rsidR="00131BD7" w:rsidRPr="00E85FE6" w:rsidRDefault="00131BD7" w:rsidP="00131BD7">
            <w:pPr>
              <w:spacing w:line="240" w:lineRule="auto"/>
              <w:rPr>
                <w:rFonts w:eastAsia="SimSun" w:cs="Times New Roman"/>
                <w:i/>
                <w:iCs/>
                <w:sz w:val="21"/>
                <w:szCs w:val="21"/>
              </w:rPr>
            </w:pPr>
            <w:r w:rsidRPr="00E85FE6">
              <w:rPr>
                <w:rFonts w:eastAsia="SimSun" w:cs="Times New Roman"/>
                <w:i/>
                <w:iCs/>
                <w:sz w:val="21"/>
                <w:szCs w:val="21"/>
              </w:rPr>
              <w:t xml:space="preserve">Gender (base: male) </w:t>
            </w:r>
          </w:p>
        </w:tc>
        <w:tc>
          <w:tcPr>
            <w:tcW w:w="400" w:type="pct"/>
            <w:tcBorders>
              <w:top w:val="double" w:sz="6" w:space="0" w:color="auto"/>
              <w:left w:val="double" w:sz="6" w:space="0" w:color="auto"/>
              <w:right w:val="single" w:sz="4" w:space="0" w:color="auto"/>
            </w:tcBorders>
            <w:shd w:val="clear" w:color="auto" w:fill="auto"/>
            <w:noWrap/>
            <w:vAlign w:val="center"/>
          </w:tcPr>
          <w:p w14:paraId="7C8EAD3C"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double" w:sz="6" w:space="0" w:color="auto"/>
              <w:left w:val="nil"/>
              <w:right w:val="double" w:sz="4" w:space="0" w:color="auto"/>
            </w:tcBorders>
            <w:shd w:val="clear" w:color="auto" w:fill="auto"/>
            <w:noWrap/>
            <w:vAlign w:val="center"/>
          </w:tcPr>
          <w:p w14:paraId="0898C71E"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double" w:sz="6" w:space="0" w:color="auto"/>
              <w:left w:val="double" w:sz="4" w:space="0" w:color="auto"/>
              <w:right w:val="single" w:sz="4" w:space="0" w:color="auto"/>
            </w:tcBorders>
            <w:shd w:val="clear" w:color="auto" w:fill="auto"/>
            <w:noWrap/>
            <w:vAlign w:val="center"/>
          </w:tcPr>
          <w:p w14:paraId="681B8829"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double" w:sz="6" w:space="0" w:color="auto"/>
              <w:left w:val="nil"/>
              <w:right w:val="double" w:sz="4" w:space="0" w:color="auto"/>
            </w:tcBorders>
            <w:shd w:val="clear" w:color="auto" w:fill="auto"/>
            <w:noWrap/>
            <w:vAlign w:val="center"/>
          </w:tcPr>
          <w:p w14:paraId="03438AEE"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double" w:sz="6" w:space="0" w:color="auto"/>
              <w:left w:val="double" w:sz="4" w:space="0" w:color="auto"/>
              <w:right w:val="single" w:sz="4" w:space="0" w:color="auto"/>
            </w:tcBorders>
            <w:shd w:val="clear" w:color="auto" w:fill="auto"/>
            <w:noWrap/>
            <w:vAlign w:val="center"/>
          </w:tcPr>
          <w:p w14:paraId="51356D81"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double" w:sz="6" w:space="0" w:color="auto"/>
              <w:left w:val="nil"/>
              <w:right w:val="double" w:sz="4" w:space="0" w:color="auto"/>
            </w:tcBorders>
            <w:shd w:val="clear" w:color="auto" w:fill="auto"/>
            <w:noWrap/>
            <w:vAlign w:val="center"/>
          </w:tcPr>
          <w:p w14:paraId="09B6CBAE"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double" w:sz="6" w:space="0" w:color="auto"/>
              <w:left w:val="double" w:sz="4" w:space="0" w:color="auto"/>
              <w:right w:val="single" w:sz="4" w:space="0" w:color="auto"/>
            </w:tcBorders>
            <w:shd w:val="clear" w:color="auto" w:fill="auto"/>
            <w:noWrap/>
            <w:vAlign w:val="center"/>
          </w:tcPr>
          <w:p w14:paraId="44B08636"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double" w:sz="6" w:space="0" w:color="auto"/>
              <w:left w:val="nil"/>
              <w:right w:val="double" w:sz="4" w:space="0" w:color="000000"/>
            </w:tcBorders>
            <w:shd w:val="clear" w:color="auto" w:fill="auto"/>
            <w:noWrap/>
            <w:vAlign w:val="center"/>
          </w:tcPr>
          <w:p w14:paraId="4319A1B4"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35FFD9B7" w14:textId="77777777" w:rsidTr="00711E1F">
        <w:trPr>
          <w:trHeight w:val="20"/>
          <w:jc w:val="center"/>
        </w:trPr>
        <w:tc>
          <w:tcPr>
            <w:tcW w:w="1823" w:type="pct"/>
            <w:tcBorders>
              <w:left w:val="double" w:sz="4" w:space="0" w:color="000000"/>
              <w:right w:val="double" w:sz="6" w:space="0" w:color="auto"/>
            </w:tcBorders>
            <w:shd w:val="clear" w:color="auto" w:fill="auto"/>
            <w:noWrap/>
            <w:vAlign w:val="center"/>
          </w:tcPr>
          <w:p w14:paraId="1D378976" w14:textId="77777777" w:rsidR="00131BD7" w:rsidRPr="00E85FE6" w:rsidRDefault="00131BD7" w:rsidP="00131BD7">
            <w:pPr>
              <w:spacing w:line="240" w:lineRule="auto"/>
              <w:ind w:firstLineChars="100" w:firstLine="210"/>
              <w:rPr>
                <w:rFonts w:eastAsia="SimSun" w:cs="Times New Roman"/>
                <w:sz w:val="21"/>
                <w:szCs w:val="21"/>
              </w:rPr>
            </w:pPr>
            <w:r w:rsidRPr="00E85FE6">
              <w:rPr>
                <w:rFonts w:eastAsia="SimSun" w:cs="Times New Roman"/>
                <w:sz w:val="21"/>
                <w:szCs w:val="21"/>
              </w:rPr>
              <w:t>Female</w:t>
            </w:r>
          </w:p>
        </w:tc>
        <w:tc>
          <w:tcPr>
            <w:tcW w:w="400" w:type="pct"/>
            <w:tcBorders>
              <w:left w:val="double" w:sz="6" w:space="0" w:color="auto"/>
              <w:right w:val="single" w:sz="4" w:space="0" w:color="auto"/>
            </w:tcBorders>
            <w:shd w:val="clear" w:color="auto" w:fill="auto"/>
            <w:noWrap/>
            <w:vAlign w:val="center"/>
          </w:tcPr>
          <w:p w14:paraId="76A126F7" w14:textId="7E7DE9B9"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-0.147</w:t>
            </w:r>
          </w:p>
        </w:tc>
        <w:tc>
          <w:tcPr>
            <w:tcW w:w="358" w:type="pct"/>
            <w:tcBorders>
              <w:left w:val="nil"/>
              <w:right w:val="double" w:sz="4" w:space="0" w:color="auto"/>
            </w:tcBorders>
            <w:shd w:val="clear" w:color="auto" w:fill="auto"/>
            <w:noWrap/>
            <w:vAlign w:val="center"/>
          </w:tcPr>
          <w:p w14:paraId="1F60CD4A" w14:textId="77777777"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-1.78</w:t>
            </w:r>
          </w:p>
        </w:tc>
        <w:tc>
          <w:tcPr>
            <w:tcW w:w="441" w:type="pct"/>
            <w:tcBorders>
              <w:left w:val="double" w:sz="4" w:space="0" w:color="auto"/>
              <w:right w:val="single" w:sz="4" w:space="0" w:color="auto"/>
            </w:tcBorders>
            <w:shd w:val="clear" w:color="auto" w:fill="auto"/>
            <w:noWrap/>
            <w:vAlign w:val="center"/>
          </w:tcPr>
          <w:p w14:paraId="5FB05796" w14:textId="73FBC295"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0.396</w:t>
            </w:r>
          </w:p>
        </w:tc>
        <w:tc>
          <w:tcPr>
            <w:tcW w:w="365" w:type="pct"/>
            <w:tcBorders>
              <w:left w:val="nil"/>
              <w:right w:val="double" w:sz="4" w:space="0" w:color="auto"/>
            </w:tcBorders>
            <w:shd w:val="clear" w:color="auto" w:fill="auto"/>
            <w:noWrap/>
            <w:vAlign w:val="center"/>
          </w:tcPr>
          <w:p w14:paraId="0B1D0F2E" w14:textId="1637FC89"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7.50</w:t>
            </w:r>
          </w:p>
        </w:tc>
        <w:tc>
          <w:tcPr>
            <w:tcW w:w="434" w:type="pct"/>
            <w:tcBorders>
              <w:left w:val="double" w:sz="4" w:space="0" w:color="auto"/>
              <w:right w:val="single" w:sz="4" w:space="0" w:color="auto"/>
            </w:tcBorders>
            <w:shd w:val="clear" w:color="auto" w:fill="auto"/>
            <w:noWrap/>
            <w:vAlign w:val="center"/>
          </w:tcPr>
          <w:p w14:paraId="74DC0A96" w14:textId="3C877AF7"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0.151</w:t>
            </w:r>
          </w:p>
        </w:tc>
        <w:tc>
          <w:tcPr>
            <w:tcW w:w="372" w:type="pct"/>
            <w:tcBorders>
              <w:left w:val="nil"/>
              <w:right w:val="double" w:sz="4" w:space="0" w:color="auto"/>
            </w:tcBorders>
            <w:shd w:val="clear" w:color="auto" w:fill="auto"/>
            <w:noWrap/>
            <w:vAlign w:val="center"/>
          </w:tcPr>
          <w:p w14:paraId="388F0325" w14:textId="2631104D"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2.30</w:t>
            </w:r>
          </w:p>
        </w:tc>
        <w:tc>
          <w:tcPr>
            <w:tcW w:w="427" w:type="pct"/>
            <w:tcBorders>
              <w:left w:val="double" w:sz="4" w:space="0" w:color="auto"/>
              <w:right w:val="single" w:sz="4" w:space="0" w:color="auto"/>
            </w:tcBorders>
            <w:shd w:val="clear" w:color="auto" w:fill="auto"/>
            <w:noWrap/>
            <w:vAlign w:val="center"/>
          </w:tcPr>
          <w:p w14:paraId="61787696"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left w:val="nil"/>
              <w:right w:val="double" w:sz="4" w:space="0" w:color="000000"/>
            </w:tcBorders>
            <w:shd w:val="clear" w:color="auto" w:fill="auto"/>
            <w:noWrap/>
            <w:vAlign w:val="center"/>
          </w:tcPr>
          <w:p w14:paraId="656A31A8"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7FBAFCC7"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33501999" w14:textId="77777777" w:rsidR="00131BD7" w:rsidRPr="00E85FE6" w:rsidRDefault="00131BD7" w:rsidP="00131BD7">
            <w:pPr>
              <w:spacing w:line="240" w:lineRule="auto"/>
              <w:rPr>
                <w:rFonts w:eastAsia="SimSun" w:cs="Times New Roman"/>
                <w:i/>
                <w:iCs/>
                <w:sz w:val="21"/>
                <w:szCs w:val="21"/>
              </w:rPr>
            </w:pPr>
            <w:r>
              <w:rPr>
                <w:rFonts w:eastAsia="SimSun" w:cs="Times New Roman"/>
                <w:i/>
                <w:sz w:val="21"/>
                <w:szCs w:val="21"/>
              </w:rPr>
              <w:t>P</w:t>
            </w:r>
            <w:r w:rsidRPr="00E85FE6">
              <w:rPr>
                <w:rFonts w:eastAsia="SimSun" w:cs="Times New Roman"/>
                <w:i/>
                <w:sz w:val="21"/>
                <w:szCs w:val="21"/>
              </w:rPr>
              <w:t xml:space="preserve">resence of children </w:t>
            </w:r>
            <w:r>
              <w:rPr>
                <w:rFonts w:eastAsia="SimSun" w:cs="Times New Roman"/>
                <w:i/>
                <w:sz w:val="21"/>
                <w:szCs w:val="21"/>
              </w:rPr>
              <w:t>in the household (base: no)</w:t>
            </w:r>
          </w:p>
        </w:tc>
        <w:tc>
          <w:tcPr>
            <w:tcW w:w="400" w:type="pct"/>
            <w:tcBorders>
              <w:top w:val="nil"/>
              <w:left w:val="double" w:sz="6" w:space="0" w:color="auto"/>
              <w:right w:val="single" w:sz="4" w:space="0" w:color="auto"/>
            </w:tcBorders>
            <w:shd w:val="clear" w:color="auto" w:fill="auto"/>
            <w:noWrap/>
            <w:vAlign w:val="center"/>
          </w:tcPr>
          <w:p w14:paraId="22F2CD70"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nil"/>
              <w:left w:val="nil"/>
              <w:right w:val="double" w:sz="4" w:space="0" w:color="auto"/>
            </w:tcBorders>
            <w:shd w:val="clear" w:color="auto" w:fill="auto"/>
            <w:noWrap/>
            <w:vAlign w:val="center"/>
          </w:tcPr>
          <w:p w14:paraId="57C006C5"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nil"/>
              <w:left w:val="double" w:sz="4" w:space="0" w:color="auto"/>
              <w:right w:val="single" w:sz="4" w:space="0" w:color="auto"/>
            </w:tcBorders>
            <w:shd w:val="clear" w:color="auto" w:fill="auto"/>
            <w:noWrap/>
            <w:vAlign w:val="center"/>
          </w:tcPr>
          <w:p w14:paraId="7CD09F89"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nil"/>
              <w:left w:val="nil"/>
              <w:right w:val="double" w:sz="4" w:space="0" w:color="auto"/>
            </w:tcBorders>
            <w:shd w:val="clear" w:color="auto" w:fill="auto"/>
            <w:noWrap/>
            <w:vAlign w:val="center"/>
          </w:tcPr>
          <w:p w14:paraId="6A854127"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right w:val="single" w:sz="4" w:space="0" w:color="auto"/>
            </w:tcBorders>
            <w:shd w:val="clear" w:color="auto" w:fill="auto"/>
            <w:noWrap/>
            <w:vAlign w:val="center"/>
          </w:tcPr>
          <w:p w14:paraId="15217513"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nil"/>
              <w:left w:val="nil"/>
              <w:right w:val="double" w:sz="4" w:space="0" w:color="auto"/>
            </w:tcBorders>
            <w:shd w:val="clear" w:color="auto" w:fill="auto"/>
            <w:noWrap/>
            <w:vAlign w:val="center"/>
          </w:tcPr>
          <w:p w14:paraId="3F950FB4"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nil"/>
              <w:left w:val="double" w:sz="4" w:space="0" w:color="auto"/>
              <w:right w:val="single" w:sz="4" w:space="0" w:color="auto"/>
            </w:tcBorders>
            <w:shd w:val="clear" w:color="auto" w:fill="auto"/>
            <w:noWrap/>
            <w:vAlign w:val="center"/>
          </w:tcPr>
          <w:p w14:paraId="54882FE6"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right w:val="double" w:sz="4" w:space="0" w:color="000000"/>
            </w:tcBorders>
            <w:shd w:val="clear" w:color="auto" w:fill="auto"/>
            <w:noWrap/>
            <w:vAlign w:val="center"/>
          </w:tcPr>
          <w:p w14:paraId="07A27DA6"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7DC09C76"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43805654" w14:textId="77777777" w:rsidR="00131BD7" w:rsidRPr="00E85FE6" w:rsidRDefault="00131BD7" w:rsidP="00131BD7">
            <w:pPr>
              <w:spacing w:line="240" w:lineRule="auto"/>
              <w:ind w:left="180"/>
              <w:rPr>
                <w:rFonts w:eastAsia="SimSun" w:cs="Times New Roman"/>
                <w:i/>
                <w:iCs/>
                <w:sz w:val="21"/>
                <w:szCs w:val="21"/>
              </w:rPr>
            </w:pPr>
            <w:r>
              <w:rPr>
                <w:rFonts w:eastAsia="SimSun" w:cs="Times New Roman"/>
                <w:sz w:val="21"/>
                <w:szCs w:val="21"/>
              </w:rPr>
              <w:t>Yes</w:t>
            </w:r>
            <w:r w:rsidRPr="00E85FE6">
              <w:rPr>
                <w:rFonts w:eastAsia="SimSun" w:cs="Times New Roman"/>
                <w:sz w:val="21"/>
                <w:szCs w:val="21"/>
              </w:rPr>
              <w:t xml:space="preserve"> </w:t>
            </w:r>
          </w:p>
        </w:tc>
        <w:tc>
          <w:tcPr>
            <w:tcW w:w="400" w:type="pct"/>
            <w:tcBorders>
              <w:top w:val="nil"/>
              <w:left w:val="double" w:sz="6" w:space="0" w:color="auto"/>
              <w:right w:val="single" w:sz="4" w:space="0" w:color="auto"/>
            </w:tcBorders>
            <w:shd w:val="clear" w:color="auto" w:fill="auto"/>
            <w:noWrap/>
            <w:vAlign w:val="center"/>
          </w:tcPr>
          <w:p w14:paraId="2D7CAE0E"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nil"/>
              <w:left w:val="nil"/>
              <w:right w:val="double" w:sz="4" w:space="0" w:color="auto"/>
            </w:tcBorders>
            <w:shd w:val="clear" w:color="auto" w:fill="auto"/>
            <w:noWrap/>
            <w:vAlign w:val="center"/>
          </w:tcPr>
          <w:p w14:paraId="232E2B40"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nil"/>
              <w:left w:val="double" w:sz="4" w:space="0" w:color="auto"/>
              <w:right w:val="single" w:sz="4" w:space="0" w:color="auto"/>
            </w:tcBorders>
            <w:shd w:val="clear" w:color="auto" w:fill="auto"/>
            <w:noWrap/>
            <w:vAlign w:val="center"/>
          </w:tcPr>
          <w:p w14:paraId="3D3DF9C3"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nil"/>
              <w:left w:val="nil"/>
              <w:right w:val="double" w:sz="4" w:space="0" w:color="auto"/>
            </w:tcBorders>
            <w:shd w:val="clear" w:color="auto" w:fill="auto"/>
            <w:noWrap/>
            <w:vAlign w:val="center"/>
          </w:tcPr>
          <w:p w14:paraId="0DA37A92"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right w:val="single" w:sz="4" w:space="0" w:color="auto"/>
            </w:tcBorders>
            <w:shd w:val="clear" w:color="auto" w:fill="auto"/>
            <w:noWrap/>
            <w:vAlign w:val="center"/>
          </w:tcPr>
          <w:p w14:paraId="53A1E684" w14:textId="78581104"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0.268</w:t>
            </w:r>
          </w:p>
        </w:tc>
        <w:tc>
          <w:tcPr>
            <w:tcW w:w="372" w:type="pct"/>
            <w:tcBorders>
              <w:top w:val="nil"/>
              <w:left w:val="nil"/>
              <w:right w:val="double" w:sz="4" w:space="0" w:color="auto"/>
            </w:tcBorders>
            <w:shd w:val="clear" w:color="auto" w:fill="auto"/>
            <w:noWrap/>
            <w:vAlign w:val="center"/>
          </w:tcPr>
          <w:p w14:paraId="051527A1" w14:textId="762BB645"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4.52</w:t>
            </w:r>
          </w:p>
        </w:tc>
        <w:tc>
          <w:tcPr>
            <w:tcW w:w="427" w:type="pct"/>
            <w:tcBorders>
              <w:top w:val="nil"/>
              <w:left w:val="double" w:sz="4" w:space="0" w:color="auto"/>
              <w:right w:val="single" w:sz="4" w:space="0" w:color="auto"/>
            </w:tcBorders>
            <w:shd w:val="clear" w:color="auto" w:fill="auto"/>
            <w:noWrap/>
            <w:vAlign w:val="center"/>
          </w:tcPr>
          <w:p w14:paraId="179DFE84"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right w:val="double" w:sz="4" w:space="0" w:color="000000"/>
            </w:tcBorders>
            <w:shd w:val="clear" w:color="auto" w:fill="auto"/>
            <w:noWrap/>
            <w:vAlign w:val="center"/>
          </w:tcPr>
          <w:p w14:paraId="2339DC2E"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484C63FB"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613F4D35" w14:textId="77777777" w:rsidR="00131BD7" w:rsidRPr="00E85FE6" w:rsidRDefault="00131BD7" w:rsidP="00131BD7">
            <w:pPr>
              <w:spacing w:line="240" w:lineRule="auto"/>
              <w:rPr>
                <w:rFonts w:eastAsia="SimSun" w:cs="Times New Roman"/>
                <w:sz w:val="21"/>
                <w:szCs w:val="21"/>
              </w:rPr>
            </w:pPr>
            <w:r w:rsidRPr="00E85FE6">
              <w:rPr>
                <w:rFonts w:eastAsia="SimSun" w:cs="Times New Roman"/>
                <w:i/>
                <w:iCs/>
                <w:sz w:val="21"/>
                <w:szCs w:val="21"/>
              </w:rPr>
              <w:t>Age (base: 17 to 39 years old)</w:t>
            </w:r>
          </w:p>
        </w:tc>
        <w:tc>
          <w:tcPr>
            <w:tcW w:w="400" w:type="pct"/>
            <w:tcBorders>
              <w:top w:val="nil"/>
              <w:left w:val="double" w:sz="6" w:space="0" w:color="auto"/>
              <w:right w:val="single" w:sz="4" w:space="0" w:color="auto"/>
            </w:tcBorders>
            <w:shd w:val="clear" w:color="auto" w:fill="auto"/>
            <w:noWrap/>
            <w:vAlign w:val="center"/>
          </w:tcPr>
          <w:p w14:paraId="5481CB49"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nil"/>
              <w:left w:val="nil"/>
              <w:right w:val="double" w:sz="4" w:space="0" w:color="auto"/>
            </w:tcBorders>
            <w:shd w:val="clear" w:color="auto" w:fill="auto"/>
            <w:noWrap/>
            <w:vAlign w:val="center"/>
          </w:tcPr>
          <w:p w14:paraId="126091FA"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nil"/>
              <w:left w:val="double" w:sz="4" w:space="0" w:color="auto"/>
              <w:right w:val="single" w:sz="4" w:space="0" w:color="auto"/>
            </w:tcBorders>
            <w:shd w:val="clear" w:color="auto" w:fill="auto"/>
            <w:noWrap/>
            <w:vAlign w:val="center"/>
          </w:tcPr>
          <w:p w14:paraId="1DCCF139"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nil"/>
              <w:left w:val="nil"/>
              <w:right w:val="double" w:sz="4" w:space="0" w:color="auto"/>
            </w:tcBorders>
            <w:shd w:val="clear" w:color="auto" w:fill="auto"/>
            <w:noWrap/>
            <w:vAlign w:val="center"/>
          </w:tcPr>
          <w:p w14:paraId="5A4EE388"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right w:val="single" w:sz="4" w:space="0" w:color="auto"/>
            </w:tcBorders>
            <w:shd w:val="clear" w:color="auto" w:fill="auto"/>
            <w:noWrap/>
            <w:vAlign w:val="center"/>
          </w:tcPr>
          <w:p w14:paraId="1F7BD1B8"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nil"/>
              <w:left w:val="nil"/>
              <w:right w:val="double" w:sz="4" w:space="0" w:color="auto"/>
            </w:tcBorders>
            <w:shd w:val="clear" w:color="auto" w:fill="auto"/>
            <w:noWrap/>
            <w:vAlign w:val="center"/>
          </w:tcPr>
          <w:p w14:paraId="6C29363D"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nil"/>
              <w:left w:val="double" w:sz="4" w:space="0" w:color="auto"/>
              <w:right w:val="single" w:sz="4" w:space="0" w:color="auto"/>
            </w:tcBorders>
            <w:shd w:val="clear" w:color="auto" w:fill="auto"/>
            <w:noWrap/>
            <w:vAlign w:val="center"/>
          </w:tcPr>
          <w:p w14:paraId="0412BD6C"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right w:val="double" w:sz="4" w:space="0" w:color="000000"/>
            </w:tcBorders>
            <w:shd w:val="clear" w:color="auto" w:fill="auto"/>
            <w:noWrap/>
            <w:vAlign w:val="center"/>
          </w:tcPr>
          <w:p w14:paraId="5DF98411"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7391FA97"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35A46BED" w14:textId="7B3730D8" w:rsidR="00131BD7" w:rsidRPr="00E85FE6" w:rsidRDefault="00131BD7" w:rsidP="00131BD7">
            <w:pPr>
              <w:spacing w:line="240" w:lineRule="auto"/>
              <w:ind w:firstLineChars="100" w:firstLine="210"/>
              <w:rPr>
                <w:rFonts w:eastAsia="SimSun" w:cs="Times New Roman"/>
                <w:sz w:val="21"/>
                <w:szCs w:val="21"/>
              </w:rPr>
            </w:pPr>
            <w:r w:rsidRPr="00E85FE6">
              <w:rPr>
                <w:rFonts w:eastAsia="SimSun" w:cs="Times New Roman"/>
                <w:sz w:val="21"/>
                <w:szCs w:val="21"/>
              </w:rPr>
              <w:t xml:space="preserve">40 </w:t>
            </w:r>
            <w:r>
              <w:rPr>
                <w:rFonts w:eastAsia="SimSun" w:cs="Times New Roman"/>
                <w:sz w:val="21"/>
                <w:szCs w:val="21"/>
              </w:rPr>
              <w:t>or more</w:t>
            </w:r>
          </w:p>
        </w:tc>
        <w:tc>
          <w:tcPr>
            <w:tcW w:w="400" w:type="pct"/>
            <w:tcBorders>
              <w:top w:val="nil"/>
              <w:left w:val="double" w:sz="6" w:space="0" w:color="auto"/>
              <w:right w:val="single" w:sz="4" w:space="0" w:color="auto"/>
            </w:tcBorders>
            <w:shd w:val="clear" w:color="auto" w:fill="auto"/>
            <w:noWrap/>
            <w:vAlign w:val="center"/>
          </w:tcPr>
          <w:p w14:paraId="7FCD3178"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nil"/>
              <w:left w:val="nil"/>
              <w:right w:val="double" w:sz="4" w:space="0" w:color="auto"/>
            </w:tcBorders>
            <w:shd w:val="clear" w:color="auto" w:fill="auto"/>
            <w:noWrap/>
            <w:vAlign w:val="center"/>
          </w:tcPr>
          <w:p w14:paraId="7DEFC8A5"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nil"/>
              <w:left w:val="double" w:sz="4" w:space="0" w:color="auto"/>
              <w:right w:val="single" w:sz="4" w:space="0" w:color="auto"/>
            </w:tcBorders>
            <w:shd w:val="clear" w:color="auto" w:fill="auto"/>
            <w:noWrap/>
            <w:vAlign w:val="center"/>
          </w:tcPr>
          <w:p w14:paraId="72F14C1D"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nil"/>
              <w:left w:val="nil"/>
              <w:right w:val="double" w:sz="4" w:space="0" w:color="auto"/>
            </w:tcBorders>
            <w:shd w:val="clear" w:color="auto" w:fill="auto"/>
            <w:noWrap/>
            <w:vAlign w:val="center"/>
          </w:tcPr>
          <w:p w14:paraId="2E01DD36"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right w:val="single" w:sz="4" w:space="0" w:color="auto"/>
            </w:tcBorders>
            <w:shd w:val="clear" w:color="auto" w:fill="auto"/>
            <w:noWrap/>
            <w:vAlign w:val="center"/>
          </w:tcPr>
          <w:p w14:paraId="18903105" w14:textId="61271237"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-0.224</w:t>
            </w:r>
          </w:p>
        </w:tc>
        <w:tc>
          <w:tcPr>
            <w:tcW w:w="372" w:type="pct"/>
            <w:tcBorders>
              <w:top w:val="nil"/>
              <w:left w:val="nil"/>
              <w:right w:val="double" w:sz="4" w:space="0" w:color="auto"/>
            </w:tcBorders>
            <w:shd w:val="clear" w:color="auto" w:fill="auto"/>
            <w:noWrap/>
            <w:vAlign w:val="center"/>
          </w:tcPr>
          <w:p w14:paraId="6EB53C78" w14:textId="154AB553"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-3.81</w:t>
            </w:r>
          </w:p>
        </w:tc>
        <w:tc>
          <w:tcPr>
            <w:tcW w:w="427" w:type="pct"/>
            <w:tcBorders>
              <w:top w:val="nil"/>
              <w:left w:val="double" w:sz="4" w:space="0" w:color="auto"/>
              <w:right w:val="single" w:sz="4" w:space="0" w:color="auto"/>
            </w:tcBorders>
            <w:shd w:val="clear" w:color="auto" w:fill="auto"/>
            <w:noWrap/>
            <w:vAlign w:val="center"/>
          </w:tcPr>
          <w:p w14:paraId="39DDB584"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right w:val="double" w:sz="4" w:space="0" w:color="000000"/>
            </w:tcBorders>
            <w:shd w:val="clear" w:color="auto" w:fill="auto"/>
            <w:noWrap/>
            <w:vAlign w:val="center"/>
          </w:tcPr>
          <w:p w14:paraId="09894E6A"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1255EE78" w14:textId="77777777" w:rsidTr="00711E1F">
        <w:trPr>
          <w:trHeight w:val="20"/>
          <w:jc w:val="center"/>
        </w:trPr>
        <w:tc>
          <w:tcPr>
            <w:tcW w:w="1823" w:type="pct"/>
            <w:tcBorders>
              <w:top w:val="double" w:sz="6" w:space="0" w:color="auto"/>
              <w:left w:val="double" w:sz="4" w:space="0" w:color="000000"/>
              <w:right w:val="double" w:sz="6" w:space="0" w:color="auto"/>
            </w:tcBorders>
            <w:shd w:val="clear" w:color="auto" w:fill="auto"/>
            <w:noWrap/>
            <w:vAlign w:val="center"/>
          </w:tcPr>
          <w:p w14:paraId="42442045" w14:textId="77777777" w:rsidR="00131BD7" w:rsidRPr="00E85FE6" w:rsidRDefault="00131BD7" w:rsidP="00131BD7">
            <w:pPr>
              <w:spacing w:line="240" w:lineRule="auto"/>
              <w:rPr>
                <w:rFonts w:eastAsia="SimSun" w:cs="Times New Roman"/>
                <w:i/>
                <w:iCs/>
                <w:sz w:val="21"/>
                <w:szCs w:val="21"/>
              </w:rPr>
            </w:pPr>
            <w:r w:rsidRPr="00E85FE6">
              <w:rPr>
                <w:rFonts w:eastAsia="SimSun" w:cs="Times New Roman"/>
                <w:i/>
                <w:iCs/>
                <w:sz w:val="21"/>
                <w:szCs w:val="21"/>
              </w:rPr>
              <w:t xml:space="preserve">Employment status (base: full-time) </w:t>
            </w:r>
          </w:p>
        </w:tc>
        <w:tc>
          <w:tcPr>
            <w:tcW w:w="400" w:type="pct"/>
            <w:tcBorders>
              <w:top w:val="double" w:sz="6" w:space="0" w:color="auto"/>
              <w:left w:val="double" w:sz="6" w:space="0" w:color="auto"/>
              <w:right w:val="single" w:sz="4" w:space="0" w:color="auto"/>
            </w:tcBorders>
            <w:shd w:val="clear" w:color="auto" w:fill="auto"/>
            <w:noWrap/>
            <w:vAlign w:val="center"/>
          </w:tcPr>
          <w:p w14:paraId="4A96D314"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double" w:sz="6" w:space="0" w:color="auto"/>
              <w:left w:val="nil"/>
              <w:right w:val="double" w:sz="4" w:space="0" w:color="auto"/>
            </w:tcBorders>
            <w:shd w:val="clear" w:color="auto" w:fill="auto"/>
            <w:noWrap/>
            <w:vAlign w:val="center"/>
          </w:tcPr>
          <w:p w14:paraId="172C8235"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double" w:sz="6" w:space="0" w:color="auto"/>
              <w:left w:val="double" w:sz="4" w:space="0" w:color="auto"/>
              <w:right w:val="single" w:sz="4" w:space="0" w:color="auto"/>
            </w:tcBorders>
            <w:shd w:val="clear" w:color="auto" w:fill="auto"/>
            <w:noWrap/>
            <w:vAlign w:val="center"/>
          </w:tcPr>
          <w:p w14:paraId="218BD9DD"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double" w:sz="6" w:space="0" w:color="auto"/>
              <w:left w:val="nil"/>
              <w:right w:val="double" w:sz="4" w:space="0" w:color="auto"/>
            </w:tcBorders>
            <w:shd w:val="clear" w:color="auto" w:fill="auto"/>
            <w:noWrap/>
            <w:vAlign w:val="center"/>
          </w:tcPr>
          <w:p w14:paraId="0D31A604"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double" w:sz="6" w:space="0" w:color="auto"/>
              <w:left w:val="double" w:sz="4" w:space="0" w:color="auto"/>
              <w:right w:val="single" w:sz="4" w:space="0" w:color="auto"/>
            </w:tcBorders>
            <w:shd w:val="clear" w:color="auto" w:fill="auto"/>
            <w:noWrap/>
            <w:vAlign w:val="center"/>
          </w:tcPr>
          <w:p w14:paraId="44BA99CE"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double" w:sz="6" w:space="0" w:color="auto"/>
              <w:left w:val="nil"/>
              <w:right w:val="double" w:sz="4" w:space="0" w:color="auto"/>
            </w:tcBorders>
            <w:shd w:val="clear" w:color="auto" w:fill="auto"/>
            <w:noWrap/>
            <w:vAlign w:val="center"/>
          </w:tcPr>
          <w:p w14:paraId="45AB5013"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double" w:sz="6" w:space="0" w:color="auto"/>
              <w:left w:val="double" w:sz="4" w:space="0" w:color="auto"/>
              <w:right w:val="single" w:sz="4" w:space="0" w:color="auto"/>
            </w:tcBorders>
            <w:shd w:val="clear" w:color="auto" w:fill="auto"/>
            <w:noWrap/>
            <w:vAlign w:val="center"/>
          </w:tcPr>
          <w:p w14:paraId="582BB361"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double" w:sz="6" w:space="0" w:color="auto"/>
              <w:left w:val="nil"/>
              <w:right w:val="double" w:sz="4" w:space="0" w:color="000000"/>
            </w:tcBorders>
            <w:shd w:val="clear" w:color="auto" w:fill="auto"/>
            <w:noWrap/>
            <w:vAlign w:val="center"/>
          </w:tcPr>
          <w:p w14:paraId="1F8D7F36"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14C50BA6"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05AA3FBF" w14:textId="77777777" w:rsidR="00131BD7" w:rsidRPr="00E85FE6" w:rsidRDefault="00131BD7" w:rsidP="00131BD7">
            <w:pPr>
              <w:spacing w:line="240" w:lineRule="auto"/>
              <w:ind w:firstLineChars="100" w:firstLine="210"/>
              <w:rPr>
                <w:rFonts w:eastAsia="SimSun" w:cs="Times New Roman"/>
                <w:sz w:val="21"/>
                <w:szCs w:val="21"/>
              </w:rPr>
            </w:pPr>
            <w:r w:rsidRPr="00E85FE6">
              <w:rPr>
                <w:rFonts w:eastAsia="SimSun" w:cs="Times New Roman"/>
                <w:sz w:val="21"/>
                <w:szCs w:val="21"/>
              </w:rPr>
              <w:t>Part-time</w:t>
            </w:r>
          </w:p>
        </w:tc>
        <w:tc>
          <w:tcPr>
            <w:tcW w:w="400" w:type="pct"/>
            <w:tcBorders>
              <w:top w:val="nil"/>
              <w:left w:val="double" w:sz="6" w:space="0" w:color="auto"/>
              <w:right w:val="single" w:sz="4" w:space="0" w:color="auto"/>
            </w:tcBorders>
            <w:shd w:val="clear" w:color="auto" w:fill="auto"/>
            <w:noWrap/>
            <w:vAlign w:val="center"/>
          </w:tcPr>
          <w:p w14:paraId="6F5C472B" w14:textId="70BF11CC"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-0.246</w:t>
            </w:r>
          </w:p>
        </w:tc>
        <w:tc>
          <w:tcPr>
            <w:tcW w:w="358" w:type="pct"/>
            <w:tcBorders>
              <w:top w:val="nil"/>
              <w:left w:val="nil"/>
              <w:right w:val="double" w:sz="4" w:space="0" w:color="auto"/>
            </w:tcBorders>
            <w:shd w:val="clear" w:color="auto" w:fill="auto"/>
            <w:noWrap/>
            <w:vAlign w:val="center"/>
          </w:tcPr>
          <w:p w14:paraId="42233315" w14:textId="3687247B"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-2.77</w:t>
            </w:r>
          </w:p>
        </w:tc>
        <w:tc>
          <w:tcPr>
            <w:tcW w:w="441" w:type="pct"/>
            <w:tcBorders>
              <w:top w:val="nil"/>
              <w:left w:val="double" w:sz="4" w:space="0" w:color="auto"/>
              <w:right w:val="single" w:sz="4" w:space="0" w:color="auto"/>
            </w:tcBorders>
            <w:shd w:val="clear" w:color="auto" w:fill="auto"/>
            <w:noWrap/>
            <w:vAlign w:val="center"/>
          </w:tcPr>
          <w:p w14:paraId="5B6B8D36"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nil"/>
              <w:left w:val="nil"/>
              <w:right w:val="double" w:sz="4" w:space="0" w:color="auto"/>
            </w:tcBorders>
            <w:shd w:val="clear" w:color="auto" w:fill="auto"/>
            <w:noWrap/>
            <w:vAlign w:val="center"/>
          </w:tcPr>
          <w:p w14:paraId="48152FA0"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right w:val="single" w:sz="4" w:space="0" w:color="auto"/>
            </w:tcBorders>
            <w:shd w:val="clear" w:color="auto" w:fill="auto"/>
            <w:noWrap/>
            <w:vAlign w:val="center"/>
          </w:tcPr>
          <w:p w14:paraId="6FD0F340"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nil"/>
              <w:left w:val="nil"/>
              <w:right w:val="double" w:sz="4" w:space="0" w:color="auto"/>
            </w:tcBorders>
            <w:shd w:val="clear" w:color="auto" w:fill="auto"/>
            <w:noWrap/>
            <w:vAlign w:val="center"/>
          </w:tcPr>
          <w:p w14:paraId="3E10CE31"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nil"/>
              <w:left w:val="double" w:sz="4" w:space="0" w:color="auto"/>
              <w:right w:val="single" w:sz="4" w:space="0" w:color="auto"/>
            </w:tcBorders>
            <w:shd w:val="clear" w:color="auto" w:fill="auto"/>
            <w:noWrap/>
            <w:vAlign w:val="center"/>
          </w:tcPr>
          <w:p w14:paraId="25C31607"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right w:val="double" w:sz="4" w:space="0" w:color="000000"/>
            </w:tcBorders>
            <w:shd w:val="clear" w:color="auto" w:fill="auto"/>
            <w:noWrap/>
            <w:vAlign w:val="center"/>
          </w:tcPr>
          <w:p w14:paraId="4830D76B"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17A1C7A1"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665CA8BB" w14:textId="77777777" w:rsidR="00131BD7" w:rsidRPr="00E85FE6" w:rsidRDefault="00131BD7" w:rsidP="00131BD7">
            <w:pPr>
              <w:spacing w:line="240" w:lineRule="auto"/>
              <w:rPr>
                <w:rFonts w:eastAsia="SimSun" w:cs="Times New Roman"/>
                <w:i/>
                <w:iCs/>
                <w:sz w:val="21"/>
                <w:szCs w:val="21"/>
              </w:rPr>
            </w:pPr>
            <w:r w:rsidRPr="00E85FE6">
              <w:rPr>
                <w:rFonts w:eastAsia="SimSun" w:cs="Times New Roman"/>
                <w:i/>
                <w:iCs/>
                <w:sz w:val="21"/>
                <w:szCs w:val="21"/>
              </w:rPr>
              <w:t xml:space="preserve">Employment type (base: employee) </w:t>
            </w:r>
          </w:p>
        </w:tc>
        <w:tc>
          <w:tcPr>
            <w:tcW w:w="400" w:type="pct"/>
            <w:tcBorders>
              <w:top w:val="nil"/>
              <w:left w:val="double" w:sz="6" w:space="0" w:color="auto"/>
              <w:right w:val="single" w:sz="4" w:space="0" w:color="auto"/>
            </w:tcBorders>
            <w:shd w:val="clear" w:color="auto" w:fill="auto"/>
            <w:noWrap/>
            <w:vAlign w:val="center"/>
          </w:tcPr>
          <w:p w14:paraId="0BC20E70"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nil"/>
              <w:left w:val="nil"/>
              <w:right w:val="double" w:sz="4" w:space="0" w:color="auto"/>
            </w:tcBorders>
            <w:shd w:val="clear" w:color="auto" w:fill="auto"/>
            <w:noWrap/>
            <w:vAlign w:val="center"/>
          </w:tcPr>
          <w:p w14:paraId="2EB0A5DF"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nil"/>
              <w:left w:val="double" w:sz="4" w:space="0" w:color="auto"/>
              <w:right w:val="single" w:sz="4" w:space="0" w:color="auto"/>
            </w:tcBorders>
            <w:shd w:val="clear" w:color="auto" w:fill="auto"/>
            <w:noWrap/>
            <w:vAlign w:val="center"/>
          </w:tcPr>
          <w:p w14:paraId="49D824EB"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nil"/>
              <w:left w:val="nil"/>
              <w:right w:val="double" w:sz="4" w:space="0" w:color="auto"/>
            </w:tcBorders>
            <w:shd w:val="clear" w:color="auto" w:fill="auto"/>
            <w:noWrap/>
            <w:vAlign w:val="center"/>
          </w:tcPr>
          <w:p w14:paraId="040D1B19"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right w:val="single" w:sz="4" w:space="0" w:color="auto"/>
            </w:tcBorders>
            <w:shd w:val="clear" w:color="auto" w:fill="auto"/>
            <w:noWrap/>
            <w:vAlign w:val="center"/>
          </w:tcPr>
          <w:p w14:paraId="05D54BC0"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nil"/>
              <w:left w:val="nil"/>
              <w:right w:val="double" w:sz="4" w:space="0" w:color="auto"/>
            </w:tcBorders>
            <w:shd w:val="clear" w:color="auto" w:fill="auto"/>
            <w:noWrap/>
            <w:vAlign w:val="center"/>
          </w:tcPr>
          <w:p w14:paraId="62C7CB08"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nil"/>
              <w:left w:val="double" w:sz="4" w:space="0" w:color="auto"/>
              <w:right w:val="single" w:sz="4" w:space="0" w:color="auto"/>
            </w:tcBorders>
            <w:shd w:val="clear" w:color="auto" w:fill="auto"/>
            <w:noWrap/>
            <w:vAlign w:val="center"/>
          </w:tcPr>
          <w:p w14:paraId="25C4DA49"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right w:val="double" w:sz="4" w:space="0" w:color="000000"/>
            </w:tcBorders>
            <w:shd w:val="clear" w:color="auto" w:fill="auto"/>
            <w:noWrap/>
            <w:vAlign w:val="center"/>
          </w:tcPr>
          <w:p w14:paraId="0BF6D6F9"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3B381F55"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347435AB" w14:textId="77777777" w:rsidR="00131BD7" w:rsidRPr="00E85FE6" w:rsidRDefault="00131BD7" w:rsidP="00131BD7">
            <w:pPr>
              <w:spacing w:line="240" w:lineRule="auto"/>
              <w:ind w:firstLineChars="100" w:firstLine="210"/>
              <w:rPr>
                <w:rFonts w:eastAsia="SimSun" w:cs="Times New Roman"/>
                <w:sz w:val="21"/>
                <w:szCs w:val="21"/>
              </w:rPr>
            </w:pPr>
            <w:r w:rsidRPr="00E85FE6">
              <w:rPr>
                <w:rFonts w:eastAsia="SimSun" w:cs="Times New Roman"/>
                <w:sz w:val="21"/>
                <w:szCs w:val="21"/>
              </w:rPr>
              <w:t>Self-employed</w:t>
            </w:r>
          </w:p>
        </w:tc>
        <w:tc>
          <w:tcPr>
            <w:tcW w:w="400" w:type="pct"/>
            <w:tcBorders>
              <w:top w:val="nil"/>
              <w:left w:val="double" w:sz="6" w:space="0" w:color="auto"/>
              <w:right w:val="single" w:sz="4" w:space="0" w:color="auto"/>
            </w:tcBorders>
            <w:shd w:val="clear" w:color="auto" w:fill="auto"/>
            <w:noWrap/>
            <w:vAlign w:val="center"/>
          </w:tcPr>
          <w:p w14:paraId="693BB437" w14:textId="29859C6B"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0.837</w:t>
            </w:r>
          </w:p>
        </w:tc>
        <w:tc>
          <w:tcPr>
            <w:tcW w:w="358" w:type="pct"/>
            <w:tcBorders>
              <w:top w:val="nil"/>
              <w:left w:val="nil"/>
              <w:right w:val="double" w:sz="4" w:space="0" w:color="auto"/>
            </w:tcBorders>
            <w:shd w:val="clear" w:color="auto" w:fill="auto"/>
            <w:noWrap/>
            <w:vAlign w:val="center"/>
          </w:tcPr>
          <w:p w14:paraId="327D8CAE" w14:textId="53BDB678"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6.72</w:t>
            </w:r>
          </w:p>
        </w:tc>
        <w:tc>
          <w:tcPr>
            <w:tcW w:w="441" w:type="pct"/>
            <w:tcBorders>
              <w:top w:val="nil"/>
              <w:left w:val="double" w:sz="4" w:space="0" w:color="auto"/>
              <w:right w:val="single" w:sz="4" w:space="0" w:color="auto"/>
            </w:tcBorders>
            <w:shd w:val="clear" w:color="auto" w:fill="auto"/>
            <w:noWrap/>
            <w:vAlign w:val="center"/>
          </w:tcPr>
          <w:p w14:paraId="158ABBDE"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nil"/>
              <w:left w:val="nil"/>
              <w:right w:val="double" w:sz="4" w:space="0" w:color="auto"/>
            </w:tcBorders>
            <w:shd w:val="clear" w:color="auto" w:fill="auto"/>
            <w:noWrap/>
            <w:vAlign w:val="center"/>
          </w:tcPr>
          <w:p w14:paraId="0655E029"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right w:val="single" w:sz="4" w:space="0" w:color="auto"/>
            </w:tcBorders>
            <w:shd w:val="clear" w:color="auto" w:fill="auto"/>
            <w:noWrap/>
            <w:vAlign w:val="center"/>
          </w:tcPr>
          <w:p w14:paraId="27853453"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nil"/>
              <w:left w:val="nil"/>
              <w:right w:val="double" w:sz="4" w:space="0" w:color="auto"/>
            </w:tcBorders>
            <w:shd w:val="clear" w:color="auto" w:fill="auto"/>
            <w:noWrap/>
            <w:vAlign w:val="center"/>
          </w:tcPr>
          <w:p w14:paraId="3C352D2B"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nil"/>
              <w:left w:val="double" w:sz="4" w:space="0" w:color="auto"/>
              <w:right w:val="single" w:sz="4" w:space="0" w:color="auto"/>
            </w:tcBorders>
            <w:shd w:val="clear" w:color="auto" w:fill="auto"/>
            <w:noWrap/>
            <w:vAlign w:val="center"/>
          </w:tcPr>
          <w:p w14:paraId="5F129C5E"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right w:val="double" w:sz="4" w:space="0" w:color="000000"/>
            </w:tcBorders>
            <w:shd w:val="clear" w:color="auto" w:fill="auto"/>
            <w:noWrap/>
            <w:vAlign w:val="center"/>
          </w:tcPr>
          <w:p w14:paraId="6805A281"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37646572" w14:textId="77777777" w:rsidTr="00711E1F">
        <w:trPr>
          <w:trHeight w:val="20"/>
          <w:jc w:val="center"/>
        </w:trPr>
        <w:tc>
          <w:tcPr>
            <w:tcW w:w="1823" w:type="pct"/>
            <w:tcBorders>
              <w:top w:val="double" w:sz="6" w:space="0" w:color="auto"/>
              <w:left w:val="double" w:sz="4" w:space="0" w:color="000000"/>
              <w:right w:val="double" w:sz="6" w:space="0" w:color="auto"/>
            </w:tcBorders>
            <w:shd w:val="clear" w:color="auto" w:fill="auto"/>
            <w:noWrap/>
            <w:vAlign w:val="center"/>
          </w:tcPr>
          <w:p w14:paraId="7316CC01" w14:textId="77777777" w:rsidR="00131BD7" w:rsidRPr="00E85FE6" w:rsidRDefault="00131BD7" w:rsidP="00131BD7">
            <w:pPr>
              <w:spacing w:line="240" w:lineRule="auto"/>
              <w:ind w:left="159" w:hanging="159"/>
              <w:rPr>
                <w:rFonts w:eastAsia="SimSun" w:cs="Times New Roman"/>
                <w:i/>
                <w:iCs/>
                <w:sz w:val="21"/>
                <w:szCs w:val="21"/>
              </w:rPr>
            </w:pPr>
            <w:r w:rsidRPr="00E85FE6">
              <w:rPr>
                <w:rFonts w:eastAsia="SimSun" w:cs="Times New Roman"/>
                <w:i/>
                <w:iCs/>
                <w:sz w:val="21"/>
                <w:szCs w:val="21"/>
              </w:rPr>
              <w:t xml:space="preserve">Household income (base: less than £50,000) </w:t>
            </w:r>
          </w:p>
        </w:tc>
        <w:tc>
          <w:tcPr>
            <w:tcW w:w="400" w:type="pct"/>
            <w:tcBorders>
              <w:top w:val="double" w:sz="6" w:space="0" w:color="auto"/>
              <w:left w:val="double" w:sz="6" w:space="0" w:color="auto"/>
              <w:right w:val="single" w:sz="4" w:space="0" w:color="auto"/>
            </w:tcBorders>
            <w:shd w:val="clear" w:color="auto" w:fill="auto"/>
            <w:noWrap/>
            <w:vAlign w:val="center"/>
          </w:tcPr>
          <w:p w14:paraId="4C9D312F"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double" w:sz="6" w:space="0" w:color="auto"/>
              <w:left w:val="nil"/>
              <w:right w:val="double" w:sz="4" w:space="0" w:color="auto"/>
            </w:tcBorders>
            <w:shd w:val="clear" w:color="auto" w:fill="auto"/>
            <w:noWrap/>
            <w:vAlign w:val="center"/>
          </w:tcPr>
          <w:p w14:paraId="4574A46D"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double" w:sz="6" w:space="0" w:color="auto"/>
              <w:left w:val="double" w:sz="4" w:space="0" w:color="auto"/>
              <w:right w:val="single" w:sz="4" w:space="0" w:color="auto"/>
            </w:tcBorders>
            <w:shd w:val="clear" w:color="auto" w:fill="auto"/>
            <w:noWrap/>
            <w:vAlign w:val="center"/>
          </w:tcPr>
          <w:p w14:paraId="26D4C6F6"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double" w:sz="6" w:space="0" w:color="auto"/>
              <w:left w:val="nil"/>
              <w:right w:val="double" w:sz="4" w:space="0" w:color="auto"/>
            </w:tcBorders>
            <w:shd w:val="clear" w:color="auto" w:fill="auto"/>
            <w:noWrap/>
            <w:vAlign w:val="center"/>
          </w:tcPr>
          <w:p w14:paraId="4BE18B48"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double" w:sz="6" w:space="0" w:color="auto"/>
              <w:left w:val="double" w:sz="4" w:space="0" w:color="auto"/>
              <w:right w:val="single" w:sz="4" w:space="0" w:color="auto"/>
            </w:tcBorders>
            <w:shd w:val="clear" w:color="auto" w:fill="auto"/>
            <w:noWrap/>
            <w:vAlign w:val="center"/>
          </w:tcPr>
          <w:p w14:paraId="26A920AD"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double" w:sz="6" w:space="0" w:color="auto"/>
              <w:left w:val="nil"/>
              <w:right w:val="double" w:sz="4" w:space="0" w:color="auto"/>
            </w:tcBorders>
            <w:shd w:val="clear" w:color="auto" w:fill="auto"/>
            <w:noWrap/>
            <w:vAlign w:val="center"/>
          </w:tcPr>
          <w:p w14:paraId="41574651"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double" w:sz="6" w:space="0" w:color="auto"/>
              <w:left w:val="double" w:sz="4" w:space="0" w:color="auto"/>
              <w:right w:val="single" w:sz="4" w:space="0" w:color="auto"/>
            </w:tcBorders>
            <w:shd w:val="clear" w:color="auto" w:fill="auto"/>
            <w:noWrap/>
            <w:vAlign w:val="center"/>
          </w:tcPr>
          <w:p w14:paraId="4C31777A"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double" w:sz="6" w:space="0" w:color="auto"/>
              <w:left w:val="nil"/>
              <w:right w:val="double" w:sz="4" w:space="0" w:color="000000"/>
            </w:tcBorders>
            <w:shd w:val="clear" w:color="auto" w:fill="auto"/>
            <w:noWrap/>
            <w:vAlign w:val="center"/>
          </w:tcPr>
          <w:p w14:paraId="20C16C4C"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62DB6F5D"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219484FB" w14:textId="77777777" w:rsidR="00131BD7" w:rsidRPr="00E85FE6" w:rsidRDefault="00131BD7" w:rsidP="00131BD7">
            <w:pPr>
              <w:spacing w:line="240" w:lineRule="auto"/>
              <w:ind w:left="180"/>
              <w:rPr>
                <w:rFonts w:eastAsia="SimSun" w:cs="Times New Roman"/>
                <w:sz w:val="21"/>
                <w:szCs w:val="21"/>
              </w:rPr>
            </w:pPr>
            <w:r w:rsidRPr="00E85FE6">
              <w:rPr>
                <w:rFonts w:eastAsia="SimSun" w:cs="Times New Roman"/>
                <w:sz w:val="21"/>
                <w:szCs w:val="21"/>
              </w:rPr>
              <w:t>£50,000 and over</w:t>
            </w:r>
          </w:p>
        </w:tc>
        <w:tc>
          <w:tcPr>
            <w:tcW w:w="400" w:type="pct"/>
            <w:tcBorders>
              <w:top w:val="nil"/>
              <w:left w:val="double" w:sz="6" w:space="0" w:color="auto"/>
              <w:right w:val="single" w:sz="4" w:space="0" w:color="auto"/>
            </w:tcBorders>
            <w:shd w:val="clear" w:color="auto" w:fill="auto"/>
            <w:noWrap/>
            <w:vAlign w:val="center"/>
          </w:tcPr>
          <w:p w14:paraId="59BE5E5C"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nil"/>
              <w:left w:val="nil"/>
              <w:right w:val="double" w:sz="4" w:space="0" w:color="auto"/>
            </w:tcBorders>
            <w:shd w:val="clear" w:color="auto" w:fill="auto"/>
            <w:noWrap/>
            <w:vAlign w:val="center"/>
          </w:tcPr>
          <w:p w14:paraId="7736CCB4"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nil"/>
              <w:left w:val="double" w:sz="4" w:space="0" w:color="auto"/>
              <w:right w:val="single" w:sz="4" w:space="0" w:color="auto"/>
            </w:tcBorders>
            <w:shd w:val="clear" w:color="auto" w:fill="auto"/>
            <w:noWrap/>
            <w:vAlign w:val="center"/>
          </w:tcPr>
          <w:p w14:paraId="0C581B11" w14:textId="59CD3A6F"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0.428</w:t>
            </w:r>
          </w:p>
        </w:tc>
        <w:tc>
          <w:tcPr>
            <w:tcW w:w="365" w:type="pct"/>
            <w:tcBorders>
              <w:top w:val="nil"/>
              <w:left w:val="nil"/>
              <w:right w:val="double" w:sz="4" w:space="0" w:color="auto"/>
            </w:tcBorders>
            <w:shd w:val="clear" w:color="auto" w:fill="auto"/>
            <w:noWrap/>
            <w:vAlign w:val="center"/>
          </w:tcPr>
          <w:p w14:paraId="2B131074" w14:textId="30125D89"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3.99</w:t>
            </w:r>
          </w:p>
        </w:tc>
        <w:tc>
          <w:tcPr>
            <w:tcW w:w="434" w:type="pct"/>
            <w:tcBorders>
              <w:top w:val="nil"/>
              <w:left w:val="double" w:sz="4" w:space="0" w:color="auto"/>
              <w:right w:val="single" w:sz="4" w:space="0" w:color="auto"/>
            </w:tcBorders>
            <w:shd w:val="clear" w:color="auto" w:fill="auto"/>
            <w:noWrap/>
            <w:vAlign w:val="center"/>
          </w:tcPr>
          <w:p w14:paraId="156AEB3D" w14:textId="231B2AC9"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0.366</w:t>
            </w:r>
          </w:p>
        </w:tc>
        <w:tc>
          <w:tcPr>
            <w:tcW w:w="372" w:type="pct"/>
            <w:tcBorders>
              <w:top w:val="nil"/>
              <w:left w:val="nil"/>
              <w:right w:val="double" w:sz="4" w:space="0" w:color="auto"/>
            </w:tcBorders>
            <w:shd w:val="clear" w:color="auto" w:fill="auto"/>
            <w:noWrap/>
            <w:vAlign w:val="center"/>
          </w:tcPr>
          <w:p w14:paraId="41CF465F" w14:textId="400CD7F5"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6.07</w:t>
            </w:r>
          </w:p>
        </w:tc>
        <w:tc>
          <w:tcPr>
            <w:tcW w:w="427" w:type="pct"/>
            <w:tcBorders>
              <w:top w:val="nil"/>
              <w:left w:val="double" w:sz="4" w:space="0" w:color="auto"/>
              <w:right w:val="single" w:sz="4" w:space="0" w:color="auto"/>
            </w:tcBorders>
            <w:shd w:val="clear" w:color="auto" w:fill="auto"/>
            <w:noWrap/>
            <w:vAlign w:val="center"/>
          </w:tcPr>
          <w:p w14:paraId="47CB81BA" w14:textId="77777777"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0.257</w:t>
            </w:r>
          </w:p>
        </w:tc>
        <w:tc>
          <w:tcPr>
            <w:tcW w:w="380" w:type="pct"/>
            <w:tcBorders>
              <w:top w:val="nil"/>
              <w:left w:val="nil"/>
              <w:right w:val="double" w:sz="4" w:space="0" w:color="000000"/>
            </w:tcBorders>
            <w:shd w:val="clear" w:color="auto" w:fill="auto"/>
            <w:noWrap/>
            <w:vAlign w:val="center"/>
          </w:tcPr>
          <w:p w14:paraId="653CA6E4" w14:textId="77777777"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4.35</w:t>
            </w:r>
          </w:p>
        </w:tc>
      </w:tr>
      <w:tr w:rsidR="00742376" w:rsidRPr="00E85FE6" w14:paraId="106AAD54"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174C2A44" w14:textId="77777777" w:rsidR="00131BD7" w:rsidRPr="00E85FE6" w:rsidRDefault="00131BD7" w:rsidP="00131BD7">
            <w:pPr>
              <w:spacing w:line="240" w:lineRule="auto"/>
              <w:rPr>
                <w:rFonts w:eastAsia="SimSun" w:cs="Times New Roman"/>
                <w:sz w:val="21"/>
                <w:szCs w:val="21"/>
              </w:rPr>
            </w:pPr>
            <w:r w:rsidRPr="00E85FE6">
              <w:rPr>
                <w:rFonts w:eastAsia="SimSun" w:cs="Times New Roman"/>
                <w:i/>
                <w:sz w:val="21"/>
                <w:szCs w:val="21"/>
              </w:rPr>
              <w:t>Residential location (base: non-metropolitan area)</w:t>
            </w:r>
          </w:p>
        </w:tc>
        <w:tc>
          <w:tcPr>
            <w:tcW w:w="400" w:type="pct"/>
            <w:tcBorders>
              <w:top w:val="nil"/>
              <w:left w:val="double" w:sz="6" w:space="0" w:color="auto"/>
              <w:right w:val="single" w:sz="4" w:space="0" w:color="auto"/>
            </w:tcBorders>
            <w:shd w:val="clear" w:color="auto" w:fill="auto"/>
            <w:noWrap/>
            <w:vAlign w:val="center"/>
          </w:tcPr>
          <w:p w14:paraId="5FFE2042"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nil"/>
              <w:left w:val="nil"/>
              <w:right w:val="double" w:sz="4" w:space="0" w:color="auto"/>
            </w:tcBorders>
            <w:shd w:val="clear" w:color="auto" w:fill="auto"/>
            <w:noWrap/>
            <w:vAlign w:val="center"/>
          </w:tcPr>
          <w:p w14:paraId="33286E9A"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nil"/>
              <w:left w:val="double" w:sz="4" w:space="0" w:color="auto"/>
              <w:right w:val="single" w:sz="4" w:space="0" w:color="auto"/>
            </w:tcBorders>
            <w:shd w:val="clear" w:color="auto" w:fill="auto"/>
            <w:noWrap/>
            <w:vAlign w:val="center"/>
          </w:tcPr>
          <w:p w14:paraId="3127CFA1"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nil"/>
              <w:left w:val="nil"/>
              <w:right w:val="double" w:sz="4" w:space="0" w:color="auto"/>
            </w:tcBorders>
            <w:shd w:val="clear" w:color="auto" w:fill="auto"/>
            <w:noWrap/>
            <w:vAlign w:val="center"/>
          </w:tcPr>
          <w:p w14:paraId="5F552A7A"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right w:val="single" w:sz="4" w:space="0" w:color="auto"/>
            </w:tcBorders>
            <w:shd w:val="clear" w:color="auto" w:fill="auto"/>
            <w:noWrap/>
            <w:vAlign w:val="center"/>
          </w:tcPr>
          <w:p w14:paraId="614B861A"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nil"/>
              <w:left w:val="nil"/>
              <w:right w:val="double" w:sz="4" w:space="0" w:color="auto"/>
            </w:tcBorders>
            <w:shd w:val="clear" w:color="auto" w:fill="auto"/>
            <w:noWrap/>
            <w:vAlign w:val="center"/>
          </w:tcPr>
          <w:p w14:paraId="29646FFC"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nil"/>
              <w:left w:val="double" w:sz="4" w:space="0" w:color="auto"/>
              <w:right w:val="single" w:sz="4" w:space="0" w:color="auto"/>
            </w:tcBorders>
            <w:shd w:val="clear" w:color="auto" w:fill="auto"/>
            <w:noWrap/>
            <w:vAlign w:val="center"/>
          </w:tcPr>
          <w:p w14:paraId="0D28D68A"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right w:val="double" w:sz="4" w:space="0" w:color="000000"/>
            </w:tcBorders>
            <w:shd w:val="clear" w:color="auto" w:fill="auto"/>
            <w:noWrap/>
            <w:vAlign w:val="center"/>
          </w:tcPr>
          <w:p w14:paraId="72BB2440"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64677AEC" w14:textId="77777777" w:rsidTr="00711E1F">
        <w:trPr>
          <w:trHeight w:val="20"/>
          <w:jc w:val="center"/>
        </w:trPr>
        <w:tc>
          <w:tcPr>
            <w:tcW w:w="1823" w:type="pct"/>
            <w:tcBorders>
              <w:top w:val="nil"/>
              <w:left w:val="double" w:sz="4" w:space="0" w:color="000000"/>
              <w:bottom w:val="double" w:sz="4" w:space="0" w:color="auto"/>
              <w:right w:val="double" w:sz="6" w:space="0" w:color="auto"/>
            </w:tcBorders>
            <w:shd w:val="clear" w:color="auto" w:fill="auto"/>
            <w:noWrap/>
            <w:vAlign w:val="center"/>
          </w:tcPr>
          <w:p w14:paraId="67882F94" w14:textId="77777777" w:rsidR="00131BD7" w:rsidRPr="00E85FE6" w:rsidRDefault="00131BD7" w:rsidP="00131BD7">
            <w:pPr>
              <w:spacing w:line="240" w:lineRule="auto"/>
              <w:ind w:firstLineChars="100" w:firstLine="210"/>
              <w:rPr>
                <w:rFonts w:eastAsia="SimSun" w:cs="Times New Roman"/>
                <w:sz w:val="21"/>
                <w:szCs w:val="21"/>
              </w:rPr>
            </w:pPr>
            <w:r w:rsidRPr="00E85FE6">
              <w:rPr>
                <w:rFonts w:eastAsia="SimSun" w:cs="Times New Roman"/>
                <w:sz w:val="21"/>
                <w:szCs w:val="21"/>
              </w:rPr>
              <w:t>Metropolitan area</w:t>
            </w:r>
          </w:p>
        </w:tc>
        <w:tc>
          <w:tcPr>
            <w:tcW w:w="400" w:type="pct"/>
            <w:tcBorders>
              <w:top w:val="nil"/>
              <w:left w:val="double" w:sz="6" w:space="0" w:color="auto"/>
              <w:bottom w:val="double" w:sz="4" w:space="0" w:color="auto"/>
              <w:right w:val="single" w:sz="4" w:space="0" w:color="auto"/>
            </w:tcBorders>
            <w:shd w:val="clear" w:color="auto" w:fill="auto"/>
            <w:noWrap/>
            <w:vAlign w:val="center"/>
          </w:tcPr>
          <w:p w14:paraId="6E962637"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nil"/>
              <w:left w:val="nil"/>
              <w:bottom w:val="double" w:sz="4" w:space="0" w:color="auto"/>
              <w:right w:val="double" w:sz="4" w:space="0" w:color="auto"/>
            </w:tcBorders>
            <w:shd w:val="clear" w:color="auto" w:fill="auto"/>
            <w:noWrap/>
            <w:vAlign w:val="center"/>
          </w:tcPr>
          <w:p w14:paraId="114509F0"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nil"/>
              <w:left w:val="double" w:sz="4" w:space="0" w:color="auto"/>
              <w:bottom w:val="double" w:sz="4" w:space="0" w:color="auto"/>
              <w:right w:val="single" w:sz="4" w:space="0" w:color="auto"/>
            </w:tcBorders>
            <w:shd w:val="clear" w:color="auto" w:fill="auto"/>
            <w:noWrap/>
            <w:vAlign w:val="center"/>
          </w:tcPr>
          <w:p w14:paraId="209AFCB4" w14:textId="506A4AB0"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-0.233</w:t>
            </w:r>
          </w:p>
        </w:tc>
        <w:tc>
          <w:tcPr>
            <w:tcW w:w="365" w:type="pct"/>
            <w:tcBorders>
              <w:top w:val="nil"/>
              <w:left w:val="nil"/>
              <w:bottom w:val="double" w:sz="4" w:space="0" w:color="auto"/>
              <w:right w:val="double" w:sz="4" w:space="0" w:color="auto"/>
            </w:tcBorders>
            <w:shd w:val="clear" w:color="auto" w:fill="auto"/>
            <w:noWrap/>
            <w:vAlign w:val="center"/>
          </w:tcPr>
          <w:p w14:paraId="74DD47ED" w14:textId="470CF46C"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-6.64</w:t>
            </w:r>
          </w:p>
        </w:tc>
        <w:tc>
          <w:tcPr>
            <w:tcW w:w="434" w:type="pct"/>
            <w:tcBorders>
              <w:top w:val="nil"/>
              <w:left w:val="double" w:sz="4" w:space="0" w:color="auto"/>
              <w:bottom w:val="double" w:sz="4" w:space="0" w:color="auto"/>
              <w:right w:val="single" w:sz="4" w:space="0" w:color="auto"/>
            </w:tcBorders>
            <w:shd w:val="clear" w:color="auto" w:fill="auto"/>
            <w:noWrap/>
            <w:vAlign w:val="center"/>
          </w:tcPr>
          <w:p w14:paraId="681D3453"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nil"/>
              <w:left w:val="nil"/>
              <w:bottom w:val="double" w:sz="4" w:space="0" w:color="auto"/>
              <w:right w:val="double" w:sz="4" w:space="0" w:color="auto"/>
            </w:tcBorders>
            <w:shd w:val="clear" w:color="auto" w:fill="auto"/>
            <w:noWrap/>
            <w:vAlign w:val="center"/>
          </w:tcPr>
          <w:p w14:paraId="436D3D47"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nil"/>
              <w:left w:val="double" w:sz="4" w:space="0" w:color="auto"/>
              <w:bottom w:val="double" w:sz="4" w:space="0" w:color="auto"/>
              <w:right w:val="single" w:sz="4" w:space="0" w:color="auto"/>
            </w:tcBorders>
            <w:shd w:val="clear" w:color="auto" w:fill="auto"/>
            <w:noWrap/>
            <w:vAlign w:val="center"/>
          </w:tcPr>
          <w:p w14:paraId="50D4A090"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bottom w:val="double" w:sz="4" w:space="0" w:color="auto"/>
              <w:right w:val="double" w:sz="4" w:space="0" w:color="000000"/>
            </w:tcBorders>
            <w:shd w:val="clear" w:color="auto" w:fill="auto"/>
            <w:noWrap/>
            <w:vAlign w:val="center"/>
          </w:tcPr>
          <w:p w14:paraId="08209101"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4DFABFE4" w14:textId="77777777" w:rsidTr="00711E1F">
        <w:trPr>
          <w:trHeight w:val="20"/>
          <w:jc w:val="center"/>
        </w:trPr>
        <w:tc>
          <w:tcPr>
            <w:tcW w:w="1823" w:type="pct"/>
            <w:tcBorders>
              <w:top w:val="double" w:sz="4" w:space="0" w:color="auto"/>
              <w:left w:val="double" w:sz="4" w:space="0" w:color="000000"/>
              <w:right w:val="double" w:sz="6" w:space="0" w:color="auto"/>
            </w:tcBorders>
            <w:shd w:val="clear" w:color="auto" w:fill="auto"/>
            <w:noWrap/>
            <w:vAlign w:val="center"/>
          </w:tcPr>
          <w:p w14:paraId="70E3AC56" w14:textId="77777777" w:rsidR="00131BD7" w:rsidRPr="00E85FE6" w:rsidRDefault="00131BD7" w:rsidP="00131BD7">
            <w:pPr>
              <w:spacing w:line="240" w:lineRule="auto"/>
              <w:rPr>
                <w:rFonts w:eastAsia="SimSun" w:cs="Times New Roman"/>
                <w:i/>
                <w:sz w:val="21"/>
                <w:szCs w:val="21"/>
              </w:rPr>
            </w:pPr>
            <w:r w:rsidRPr="00E85FE6">
              <w:rPr>
                <w:rFonts w:eastAsia="Times New Roman" w:cs="Times New Roman"/>
                <w:i/>
                <w:iCs/>
                <w:sz w:val="21"/>
                <w:szCs w:val="21"/>
              </w:rPr>
              <w:t>Latent constructs</w:t>
            </w:r>
          </w:p>
        </w:tc>
        <w:tc>
          <w:tcPr>
            <w:tcW w:w="400" w:type="pct"/>
            <w:tcBorders>
              <w:top w:val="double" w:sz="4" w:space="0" w:color="auto"/>
              <w:left w:val="double" w:sz="6" w:space="0" w:color="auto"/>
              <w:right w:val="single" w:sz="4" w:space="0" w:color="auto"/>
            </w:tcBorders>
            <w:shd w:val="clear" w:color="auto" w:fill="auto"/>
            <w:noWrap/>
            <w:vAlign w:val="center"/>
          </w:tcPr>
          <w:p w14:paraId="69576211"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double" w:sz="4" w:space="0" w:color="auto"/>
              <w:left w:val="nil"/>
              <w:right w:val="double" w:sz="4" w:space="0" w:color="auto"/>
            </w:tcBorders>
            <w:shd w:val="clear" w:color="auto" w:fill="auto"/>
            <w:noWrap/>
            <w:vAlign w:val="center"/>
          </w:tcPr>
          <w:p w14:paraId="585A05B5"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double" w:sz="4" w:space="0" w:color="auto"/>
              <w:left w:val="double" w:sz="4" w:space="0" w:color="auto"/>
              <w:right w:val="single" w:sz="4" w:space="0" w:color="auto"/>
            </w:tcBorders>
            <w:shd w:val="clear" w:color="auto" w:fill="auto"/>
            <w:noWrap/>
            <w:vAlign w:val="center"/>
          </w:tcPr>
          <w:p w14:paraId="1099E14D"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double" w:sz="4" w:space="0" w:color="auto"/>
              <w:left w:val="nil"/>
              <w:right w:val="double" w:sz="4" w:space="0" w:color="auto"/>
            </w:tcBorders>
            <w:shd w:val="clear" w:color="auto" w:fill="auto"/>
            <w:noWrap/>
            <w:vAlign w:val="center"/>
          </w:tcPr>
          <w:p w14:paraId="7A64F3B4"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double" w:sz="4" w:space="0" w:color="auto"/>
              <w:left w:val="double" w:sz="4" w:space="0" w:color="auto"/>
              <w:right w:val="single" w:sz="4" w:space="0" w:color="auto"/>
            </w:tcBorders>
            <w:shd w:val="clear" w:color="auto" w:fill="auto"/>
            <w:noWrap/>
            <w:vAlign w:val="center"/>
          </w:tcPr>
          <w:p w14:paraId="0DE62B18"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double" w:sz="4" w:space="0" w:color="auto"/>
              <w:left w:val="nil"/>
              <w:right w:val="double" w:sz="4" w:space="0" w:color="auto"/>
            </w:tcBorders>
            <w:shd w:val="clear" w:color="auto" w:fill="auto"/>
            <w:noWrap/>
            <w:vAlign w:val="center"/>
          </w:tcPr>
          <w:p w14:paraId="520FDE02"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double" w:sz="4" w:space="0" w:color="auto"/>
              <w:left w:val="double" w:sz="4" w:space="0" w:color="auto"/>
              <w:right w:val="single" w:sz="4" w:space="0" w:color="auto"/>
            </w:tcBorders>
            <w:shd w:val="clear" w:color="auto" w:fill="auto"/>
            <w:noWrap/>
            <w:vAlign w:val="center"/>
          </w:tcPr>
          <w:p w14:paraId="45C4C599"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double" w:sz="4" w:space="0" w:color="auto"/>
              <w:left w:val="nil"/>
              <w:right w:val="double" w:sz="4" w:space="0" w:color="000000"/>
            </w:tcBorders>
            <w:shd w:val="clear" w:color="auto" w:fill="auto"/>
            <w:noWrap/>
            <w:vAlign w:val="center"/>
          </w:tcPr>
          <w:p w14:paraId="28DD5460"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727E0F32" w14:textId="77777777" w:rsidTr="00711E1F">
        <w:trPr>
          <w:trHeight w:val="20"/>
          <w:jc w:val="center"/>
        </w:trPr>
        <w:tc>
          <w:tcPr>
            <w:tcW w:w="1823" w:type="pct"/>
            <w:tcBorders>
              <w:top w:val="nil"/>
              <w:left w:val="double" w:sz="4" w:space="0" w:color="000000"/>
              <w:right w:val="double" w:sz="6" w:space="0" w:color="auto"/>
            </w:tcBorders>
            <w:shd w:val="clear" w:color="auto" w:fill="auto"/>
            <w:noWrap/>
            <w:vAlign w:val="center"/>
          </w:tcPr>
          <w:p w14:paraId="27A05F94" w14:textId="77777777" w:rsidR="00131BD7" w:rsidRPr="00E85FE6" w:rsidRDefault="00131BD7" w:rsidP="00131BD7">
            <w:pPr>
              <w:spacing w:line="240" w:lineRule="auto"/>
              <w:ind w:left="-24" w:firstLine="180"/>
              <w:rPr>
                <w:rFonts w:eastAsia="SimSun" w:cs="Times New Roman"/>
                <w:i/>
                <w:sz w:val="21"/>
                <w:szCs w:val="21"/>
              </w:rPr>
            </w:pPr>
            <w:r w:rsidRPr="00E85FE6">
              <w:rPr>
                <w:rFonts w:eastAsia="Times New Roman" w:cs="Times New Roman"/>
                <w:sz w:val="21"/>
                <w:szCs w:val="21"/>
                <w:lang w:eastAsia="zh-CN"/>
              </w:rPr>
              <w:t xml:space="preserve"> VALSC</w:t>
            </w:r>
          </w:p>
        </w:tc>
        <w:tc>
          <w:tcPr>
            <w:tcW w:w="400" w:type="pct"/>
            <w:tcBorders>
              <w:top w:val="nil"/>
              <w:left w:val="double" w:sz="6" w:space="0" w:color="auto"/>
              <w:right w:val="single" w:sz="4" w:space="0" w:color="auto"/>
            </w:tcBorders>
            <w:shd w:val="clear" w:color="auto" w:fill="auto"/>
            <w:noWrap/>
            <w:vAlign w:val="center"/>
          </w:tcPr>
          <w:p w14:paraId="4E7F6AC2" w14:textId="0D0ED7EE"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0.762</w:t>
            </w:r>
          </w:p>
        </w:tc>
        <w:tc>
          <w:tcPr>
            <w:tcW w:w="358" w:type="pct"/>
            <w:tcBorders>
              <w:top w:val="nil"/>
              <w:left w:val="nil"/>
              <w:right w:val="double" w:sz="4" w:space="0" w:color="auto"/>
            </w:tcBorders>
            <w:shd w:val="clear" w:color="auto" w:fill="auto"/>
            <w:noWrap/>
            <w:vAlign w:val="center"/>
          </w:tcPr>
          <w:p w14:paraId="092F84F3" w14:textId="3B46B4EB"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16.13</w:t>
            </w:r>
          </w:p>
        </w:tc>
        <w:tc>
          <w:tcPr>
            <w:tcW w:w="441" w:type="pct"/>
            <w:tcBorders>
              <w:top w:val="nil"/>
              <w:left w:val="double" w:sz="4" w:space="0" w:color="auto"/>
              <w:right w:val="single" w:sz="4" w:space="0" w:color="auto"/>
            </w:tcBorders>
            <w:shd w:val="clear" w:color="auto" w:fill="auto"/>
            <w:noWrap/>
            <w:vAlign w:val="center"/>
          </w:tcPr>
          <w:p w14:paraId="7F0C040A" w14:textId="70AC3616"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0.746</w:t>
            </w:r>
          </w:p>
        </w:tc>
        <w:tc>
          <w:tcPr>
            <w:tcW w:w="365" w:type="pct"/>
            <w:tcBorders>
              <w:top w:val="nil"/>
              <w:left w:val="nil"/>
              <w:right w:val="double" w:sz="4" w:space="0" w:color="auto"/>
            </w:tcBorders>
            <w:shd w:val="clear" w:color="auto" w:fill="auto"/>
            <w:noWrap/>
            <w:vAlign w:val="center"/>
          </w:tcPr>
          <w:p w14:paraId="0B03E275" w14:textId="00862B85"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3.76</w:t>
            </w:r>
          </w:p>
        </w:tc>
        <w:tc>
          <w:tcPr>
            <w:tcW w:w="434" w:type="pct"/>
            <w:tcBorders>
              <w:top w:val="nil"/>
              <w:left w:val="double" w:sz="4" w:space="0" w:color="auto"/>
              <w:right w:val="single" w:sz="4" w:space="0" w:color="auto"/>
            </w:tcBorders>
            <w:shd w:val="clear" w:color="auto" w:fill="auto"/>
            <w:noWrap/>
            <w:vAlign w:val="center"/>
          </w:tcPr>
          <w:p w14:paraId="2F13487E" w14:textId="157DFEBA"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0.480</w:t>
            </w:r>
          </w:p>
        </w:tc>
        <w:tc>
          <w:tcPr>
            <w:tcW w:w="372" w:type="pct"/>
            <w:tcBorders>
              <w:top w:val="nil"/>
              <w:left w:val="nil"/>
              <w:right w:val="double" w:sz="4" w:space="0" w:color="auto"/>
            </w:tcBorders>
            <w:shd w:val="clear" w:color="auto" w:fill="auto"/>
            <w:noWrap/>
            <w:vAlign w:val="center"/>
          </w:tcPr>
          <w:p w14:paraId="11D0E723" w14:textId="4FA4A138"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6.85</w:t>
            </w:r>
          </w:p>
        </w:tc>
        <w:tc>
          <w:tcPr>
            <w:tcW w:w="427" w:type="pct"/>
            <w:tcBorders>
              <w:top w:val="nil"/>
              <w:left w:val="double" w:sz="4" w:space="0" w:color="auto"/>
              <w:right w:val="single" w:sz="4" w:space="0" w:color="auto"/>
            </w:tcBorders>
            <w:shd w:val="clear" w:color="auto" w:fill="auto"/>
            <w:noWrap/>
            <w:vAlign w:val="center"/>
          </w:tcPr>
          <w:p w14:paraId="163FE9A2" w14:textId="39A556C2"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1.368</w:t>
            </w:r>
          </w:p>
        </w:tc>
        <w:tc>
          <w:tcPr>
            <w:tcW w:w="380" w:type="pct"/>
            <w:tcBorders>
              <w:top w:val="nil"/>
              <w:left w:val="nil"/>
              <w:right w:val="double" w:sz="4" w:space="0" w:color="000000"/>
            </w:tcBorders>
            <w:shd w:val="clear" w:color="auto" w:fill="auto"/>
            <w:noWrap/>
            <w:vAlign w:val="center"/>
          </w:tcPr>
          <w:p w14:paraId="2CF29D02" w14:textId="72C1CF19"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38.08</w:t>
            </w:r>
          </w:p>
        </w:tc>
      </w:tr>
      <w:tr w:rsidR="00742376" w:rsidRPr="00E85FE6" w14:paraId="6543DD08" w14:textId="77777777" w:rsidTr="00711E1F">
        <w:trPr>
          <w:trHeight w:val="20"/>
          <w:jc w:val="center"/>
        </w:trPr>
        <w:tc>
          <w:tcPr>
            <w:tcW w:w="1823" w:type="pct"/>
            <w:tcBorders>
              <w:top w:val="nil"/>
              <w:left w:val="double" w:sz="4" w:space="0" w:color="000000"/>
              <w:bottom w:val="double" w:sz="4" w:space="0" w:color="auto"/>
              <w:right w:val="double" w:sz="6" w:space="0" w:color="auto"/>
            </w:tcBorders>
            <w:shd w:val="clear" w:color="auto" w:fill="auto"/>
            <w:noWrap/>
            <w:vAlign w:val="center"/>
          </w:tcPr>
          <w:p w14:paraId="6919D737" w14:textId="77777777" w:rsidR="00131BD7" w:rsidRPr="00E85FE6" w:rsidRDefault="00131BD7" w:rsidP="00131BD7">
            <w:pPr>
              <w:spacing w:line="240" w:lineRule="auto"/>
              <w:ind w:left="8" w:firstLineChars="100" w:firstLine="210"/>
              <w:rPr>
                <w:rFonts w:eastAsia="SimSun" w:cs="Times New Roman"/>
                <w:sz w:val="21"/>
                <w:szCs w:val="21"/>
              </w:rPr>
            </w:pPr>
            <w:r w:rsidRPr="00E85FE6">
              <w:rPr>
                <w:rFonts w:eastAsia="Times New Roman" w:cs="Times New Roman"/>
                <w:sz w:val="21"/>
                <w:szCs w:val="21"/>
              </w:rPr>
              <w:t>PALSC</w:t>
            </w:r>
          </w:p>
        </w:tc>
        <w:tc>
          <w:tcPr>
            <w:tcW w:w="400" w:type="pct"/>
            <w:tcBorders>
              <w:top w:val="nil"/>
              <w:left w:val="double" w:sz="6" w:space="0" w:color="auto"/>
              <w:bottom w:val="double" w:sz="4" w:space="0" w:color="auto"/>
              <w:right w:val="single" w:sz="4" w:space="0" w:color="auto"/>
            </w:tcBorders>
            <w:shd w:val="clear" w:color="auto" w:fill="auto"/>
            <w:noWrap/>
            <w:vAlign w:val="center"/>
          </w:tcPr>
          <w:p w14:paraId="1F62421B"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nil"/>
              <w:left w:val="nil"/>
              <w:bottom w:val="double" w:sz="4" w:space="0" w:color="auto"/>
              <w:right w:val="double" w:sz="4" w:space="0" w:color="auto"/>
            </w:tcBorders>
            <w:shd w:val="clear" w:color="auto" w:fill="auto"/>
            <w:noWrap/>
            <w:vAlign w:val="center"/>
          </w:tcPr>
          <w:p w14:paraId="178ED995"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nil"/>
              <w:left w:val="double" w:sz="4" w:space="0" w:color="auto"/>
              <w:bottom w:val="double" w:sz="4" w:space="0" w:color="auto"/>
              <w:right w:val="single" w:sz="4" w:space="0" w:color="auto"/>
            </w:tcBorders>
            <w:shd w:val="clear" w:color="auto" w:fill="auto"/>
            <w:noWrap/>
            <w:vAlign w:val="center"/>
          </w:tcPr>
          <w:p w14:paraId="5E3DDF73" w14:textId="48909575"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nil"/>
              <w:left w:val="nil"/>
              <w:bottom w:val="double" w:sz="4" w:space="0" w:color="auto"/>
              <w:right w:val="double" w:sz="4" w:space="0" w:color="auto"/>
            </w:tcBorders>
            <w:shd w:val="clear" w:color="auto" w:fill="auto"/>
            <w:noWrap/>
            <w:vAlign w:val="center"/>
          </w:tcPr>
          <w:p w14:paraId="06B23312" w14:textId="75A4A666"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nil"/>
              <w:left w:val="double" w:sz="4" w:space="0" w:color="auto"/>
              <w:bottom w:val="double" w:sz="4" w:space="0" w:color="auto"/>
              <w:right w:val="single" w:sz="4" w:space="0" w:color="auto"/>
            </w:tcBorders>
            <w:shd w:val="clear" w:color="auto" w:fill="auto"/>
            <w:noWrap/>
            <w:vAlign w:val="center"/>
          </w:tcPr>
          <w:p w14:paraId="7D5DE96A"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nil"/>
              <w:left w:val="nil"/>
              <w:bottom w:val="double" w:sz="4" w:space="0" w:color="auto"/>
              <w:right w:val="double" w:sz="4" w:space="0" w:color="auto"/>
            </w:tcBorders>
            <w:shd w:val="clear" w:color="auto" w:fill="auto"/>
            <w:noWrap/>
            <w:vAlign w:val="center"/>
          </w:tcPr>
          <w:p w14:paraId="16D08A56"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nil"/>
              <w:left w:val="double" w:sz="4" w:space="0" w:color="auto"/>
              <w:bottom w:val="double" w:sz="4" w:space="0" w:color="auto"/>
              <w:right w:val="single" w:sz="4" w:space="0" w:color="auto"/>
            </w:tcBorders>
            <w:shd w:val="clear" w:color="auto" w:fill="auto"/>
            <w:noWrap/>
            <w:vAlign w:val="center"/>
          </w:tcPr>
          <w:p w14:paraId="5957BE69"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nil"/>
              <w:left w:val="nil"/>
              <w:bottom w:val="double" w:sz="4" w:space="0" w:color="auto"/>
              <w:right w:val="double" w:sz="4" w:space="0" w:color="000000"/>
            </w:tcBorders>
            <w:shd w:val="clear" w:color="auto" w:fill="auto"/>
            <w:noWrap/>
            <w:vAlign w:val="center"/>
          </w:tcPr>
          <w:p w14:paraId="1630B2B1"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58DC0A4A" w14:textId="77777777" w:rsidTr="00711E1F">
        <w:trPr>
          <w:trHeight w:val="20"/>
          <w:jc w:val="center"/>
        </w:trPr>
        <w:tc>
          <w:tcPr>
            <w:tcW w:w="1823" w:type="pct"/>
            <w:tcBorders>
              <w:top w:val="double" w:sz="4" w:space="0" w:color="auto"/>
              <w:left w:val="double" w:sz="4" w:space="0" w:color="000000"/>
              <w:right w:val="double" w:sz="6" w:space="0" w:color="auto"/>
            </w:tcBorders>
            <w:shd w:val="clear" w:color="auto" w:fill="auto"/>
            <w:noWrap/>
            <w:vAlign w:val="center"/>
          </w:tcPr>
          <w:p w14:paraId="7783669A" w14:textId="77777777" w:rsidR="00131BD7" w:rsidRPr="00E85FE6" w:rsidRDefault="00131BD7" w:rsidP="00131BD7">
            <w:pPr>
              <w:spacing w:line="240" w:lineRule="auto"/>
              <w:ind w:leftChars="-3" w:left="1" w:hangingChars="4" w:hanging="8"/>
              <w:rPr>
                <w:rFonts w:eastAsia="Times New Roman" w:cs="Times New Roman"/>
                <w:i/>
                <w:sz w:val="21"/>
                <w:szCs w:val="21"/>
              </w:rPr>
            </w:pPr>
            <w:r w:rsidRPr="00E85FE6">
              <w:rPr>
                <w:rFonts w:eastAsia="Times New Roman" w:cs="Times New Roman"/>
                <w:i/>
                <w:sz w:val="21"/>
                <w:szCs w:val="21"/>
              </w:rPr>
              <w:t>Recursive Endogenous Effects</w:t>
            </w:r>
          </w:p>
        </w:tc>
        <w:tc>
          <w:tcPr>
            <w:tcW w:w="400" w:type="pct"/>
            <w:tcBorders>
              <w:top w:val="double" w:sz="4" w:space="0" w:color="auto"/>
              <w:left w:val="double" w:sz="6" w:space="0" w:color="auto"/>
              <w:right w:val="single" w:sz="4" w:space="0" w:color="auto"/>
            </w:tcBorders>
            <w:shd w:val="clear" w:color="auto" w:fill="auto"/>
            <w:noWrap/>
            <w:vAlign w:val="center"/>
          </w:tcPr>
          <w:p w14:paraId="070414F7"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top w:val="double" w:sz="4" w:space="0" w:color="auto"/>
              <w:left w:val="nil"/>
              <w:right w:val="double" w:sz="4" w:space="0" w:color="auto"/>
            </w:tcBorders>
            <w:shd w:val="clear" w:color="auto" w:fill="auto"/>
            <w:noWrap/>
            <w:vAlign w:val="center"/>
          </w:tcPr>
          <w:p w14:paraId="42A4F450"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top w:val="double" w:sz="4" w:space="0" w:color="auto"/>
              <w:left w:val="double" w:sz="4" w:space="0" w:color="auto"/>
              <w:right w:val="single" w:sz="4" w:space="0" w:color="auto"/>
            </w:tcBorders>
            <w:shd w:val="clear" w:color="auto" w:fill="auto"/>
            <w:noWrap/>
            <w:vAlign w:val="center"/>
          </w:tcPr>
          <w:p w14:paraId="4D3D7DD3"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65" w:type="pct"/>
            <w:tcBorders>
              <w:top w:val="double" w:sz="4" w:space="0" w:color="auto"/>
              <w:left w:val="nil"/>
              <w:right w:val="double" w:sz="4" w:space="0" w:color="auto"/>
            </w:tcBorders>
            <w:shd w:val="clear" w:color="auto" w:fill="auto"/>
            <w:noWrap/>
            <w:vAlign w:val="center"/>
          </w:tcPr>
          <w:p w14:paraId="4B10DC8C"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34" w:type="pct"/>
            <w:tcBorders>
              <w:top w:val="double" w:sz="4" w:space="0" w:color="auto"/>
              <w:left w:val="double" w:sz="4" w:space="0" w:color="auto"/>
              <w:right w:val="single" w:sz="4" w:space="0" w:color="auto"/>
            </w:tcBorders>
            <w:shd w:val="clear" w:color="auto" w:fill="auto"/>
            <w:noWrap/>
            <w:vAlign w:val="center"/>
          </w:tcPr>
          <w:p w14:paraId="60E9B8FB"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top w:val="double" w:sz="4" w:space="0" w:color="auto"/>
              <w:left w:val="nil"/>
              <w:right w:val="double" w:sz="4" w:space="0" w:color="auto"/>
            </w:tcBorders>
            <w:shd w:val="clear" w:color="auto" w:fill="auto"/>
            <w:noWrap/>
            <w:vAlign w:val="center"/>
          </w:tcPr>
          <w:p w14:paraId="016A5206"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top w:val="double" w:sz="4" w:space="0" w:color="auto"/>
              <w:left w:val="double" w:sz="4" w:space="0" w:color="auto"/>
              <w:right w:val="single" w:sz="4" w:space="0" w:color="auto"/>
            </w:tcBorders>
            <w:shd w:val="clear" w:color="auto" w:fill="auto"/>
            <w:noWrap/>
            <w:vAlign w:val="center"/>
          </w:tcPr>
          <w:p w14:paraId="66D965AD"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80" w:type="pct"/>
            <w:tcBorders>
              <w:top w:val="double" w:sz="4" w:space="0" w:color="auto"/>
              <w:left w:val="nil"/>
              <w:right w:val="double" w:sz="4" w:space="0" w:color="000000"/>
            </w:tcBorders>
            <w:shd w:val="clear" w:color="auto" w:fill="auto"/>
            <w:noWrap/>
            <w:vAlign w:val="center"/>
          </w:tcPr>
          <w:p w14:paraId="3D1E9237" w14:textId="77777777" w:rsidR="00131BD7" w:rsidRPr="00E85FE6" w:rsidRDefault="00131BD7" w:rsidP="00742376">
            <w:pPr>
              <w:tabs>
                <w:tab w:val="decimal" w:pos="390"/>
              </w:tabs>
              <w:spacing w:line="240" w:lineRule="auto"/>
              <w:jc w:val="left"/>
              <w:rPr>
                <w:rFonts w:eastAsia="Times New Roman" w:cs="Times New Roman"/>
                <w:sz w:val="21"/>
                <w:szCs w:val="21"/>
              </w:rPr>
            </w:pPr>
          </w:p>
        </w:tc>
      </w:tr>
      <w:tr w:rsidR="00742376" w:rsidRPr="00E85FE6" w14:paraId="08F204A2" w14:textId="77777777" w:rsidTr="00711E1F">
        <w:trPr>
          <w:trHeight w:val="20"/>
          <w:jc w:val="center"/>
        </w:trPr>
        <w:tc>
          <w:tcPr>
            <w:tcW w:w="1823" w:type="pct"/>
            <w:tcBorders>
              <w:left w:val="double" w:sz="4" w:space="0" w:color="000000"/>
              <w:bottom w:val="double" w:sz="4" w:space="0" w:color="000000"/>
              <w:right w:val="double" w:sz="6" w:space="0" w:color="auto"/>
            </w:tcBorders>
            <w:shd w:val="clear" w:color="auto" w:fill="auto"/>
            <w:noWrap/>
            <w:vAlign w:val="center"/>
          </w:tcPr>
          <w:p w14:paraId="33F0EF15" w14:textId="7CA111DD" w:rsidR="00131BD7" w:rsidRPr="00E85FE6" w:rsidRDefault="0013215F" w:rsidP="00131BD7">
            <w:pPr>
              <w:spacing w:line="240" w:lineRule="auto"/>
              <w:ind w:left="8" w:firstLineChars="100" w:firstLine="210"/>
              <w:rPr>
                <w:rFonts w:eastAsia="Times New Roman" w:cs="Times New Roman"/>
                <w:sz w:val="21"/>
                <w:szCs w:val="21"/>
              </w:rPr>
            </w:pPr>
            <w:r>
              <w:rPr>
                <w:rFonts w:eastAsia="Times New Roman" w:cs="Times New Roman"/>
                <w:sz w:val="21"/>
                <w:szCs w:val="21"/>
              </w:rPr>
              <w:t>Absence of motorized v</w:t>
            </w:r>
            <w:r w:rsidR="00131BD7" w:rsidRPr="00E85FE6">
              <w:rPr>
                <w:rFonts w:eastAsia="Times New Roman" w:cs="Times New Roman"/>
                <w:sz w:val="21"/>
                <w:szCs w:val="21"/>
              </w:rPr>
              <w:t>ehicle</w:t>
            </w:r>
            <w:r>
              <w:rPr>
                <w:rFonts w:eastAsia="Times New Roman" w:cs="Times New Roman"/>
                <w:sz w:val="21"/>
                <w:szCs w:val="21"/>
              </w:rPr>
              <w:t>s in the household</w:t>
            </w:r>
          </w:p>
        </w:tc>
        <w:tc>
          <w:tcPr>
            <w:tcW w:w="400" w:type="pct"/>
            <w:tcBorders>
              <w:left w:val="double" w:sz="6" w:space="0" w:color="auto"/>
              <w:bottom w:val="double" w:sz="4" w:space="0" w:color="000000"/>
              <w:right w:val="single" w:sz="4" w:space="0" w:color="auto"/>
            </w:tcBorders>
            <w:shd w:val="clear" w:color="auto" w:fill="auto"/>
            <w:noWrap/>
            <w:vAlign w:val="center"/>
          </w:tcPr>
          <w:p w14:paraId="3D10BE3D"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58" w:type="pct"/>
            <w:tcBorders>
              <w:left w:val="nil"/>
              <w:bottom w:val="double" w:sz="4" w:space="0" w:color="000000"/>
              <w:right w:val="double" w:sz="4" w:space="0" w:color="auto"/>
            </w:tcBorders>
            <w:shd w:val="clear" w:color="auto" w:fill="auto"/>
            <w:noWrap/>
            <w:vAlign w:val="center"/>
          </w:tcPr>
          <w:p w14:paraId="465EFA2F"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41" w:type="pct"/>
            <w:tcBorders>
              <w:left w:val="double" w:sz="4" w:space="0" w:color="auto"/>
              <w:bottom w:val="double" w:sz="4" w:space="0" w:color="000000"/>
              <w:right w:val="single" w:sz="4" w:space="0" w:color="auto"/>
            </w:tcBorders>
            <w:shd w:val="clear" w:color="auto" w:fill="auto"/>
            <w:noWrap/>
            <w:vAlign w:val="center"/>
          </w:tcPr>
          <w:p w14:paraId="44B0B69D" w14:textId="74A20270"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0.266</w:t>
            </w:r>
          </w:p>
        </w:tc>
        <w:tc>
          <w:tcPr>
            <w:tcW w:w="365" w:type="pct"/>
            <w:tcBorders>
              <w:left w:val="nil"/>
              <w:bottom w:val="double" w:sz="4" w:space="0" w:color="000000"/>
              <w:right w:val="double" w:sz="4" w:space="0" w:color="auto"/>
            </w:tcBorders>
            <w:shd w:val="clear" w:color="auto" w:fill="auto"/>
            <w:noWrap/>
            <w:vAlign w:val="center"/>
          </w:tcPr>
          <w:p w14:paraId="4A5A8132" w14:textId="33947DEF"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1.81</w:t>
            </w:r>
          </w:p>
        </w:tc>
        <w:tc>
          <w:tcPr>
            <w:tcW w:w="434" w:type="pct"/>
            <w:tcBorders>
              <w:left w:val="double" w:sz="4" w:space="0" w:color="auto"/>
              <w:bottom w:val="double" w:sz="4" w:space="0" w:color="000000"/>
              <w:right w:val="single" w:sz="4" w:space="0" w:color="auto"/>
            </w:tcBorders>
            <w:shd w:val="clear" w:color="auto" w:fill="auto"/>
            <w:noWrap/>
            <w:vAlign w:val="center"/>
          </w:tcPr>
          <w:p w14:paraId="0D1B450B"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372" w:type="pct"/>
            <w:tcBorders>
              <w:left w:val="nil"/>
              <w:bottom w:val="double" w:sz="4" w:space="0" w:color="000000"/>
              <w:right w:val="double" w:sz="4" w:space="0" w:color="auto"/>
            </w:tcBorders>
            <w:shd w:val="clear" w:color="auto" w:fill="auto"/>
            <w:noWrap/>
            <w:vAlign w:val="center"/>
          </w:tcPr>
          <w:p w14:paraId="6A345D5B" w14:textId="77777777" w:rsidR="00131BD7" w:rsidRPr="00E85FE6" w:rsidRDefault="00131BD7" w:rsidP="00742376">
            <w:pPr>
              <w:tabs>
                <w:tab w:val="decimal" w:pos="390"/>
              </w:tabs>
              <w:spacing w:line="240" w:lineRule="auto"/>
              <w:jc w:val="left"/>
              <w:rPr>
                <w:rFonts w:eastAsia="Times New Roman" w:cs="Times New Roman"/>
                <w:sz w:val="21"/>
                <w:szCs w:val="21"/>
              </w:rPr>
            </w:pPr>
          </w:p>
        </w:tc>
        <w:tc>
          <w:tcPr>
            <w:tcW w:w="427" w:type="pct"/>
            <w:tcBorders>
              <w:left w:val="double" w:sz="4" w:space="0" w:color="auto"/>
              <w:bottom w:val="double" w:sz="4" w:space="0" w:color="000000"/>
              <w:right w:val="single" w:sz="4" w:space="0" w:color="auto"/>
            </w:tcBorders>
            <w:shd w:val="clear" w:color="auto" w:fill="auto"/>
            <w:noWrap/>
            <w:vAlign w:val="center"/>
          </w:tcPr>
          <w:p w14:paraId="75EE6C42" w14:textId="073DB6A1"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0.607</w:t>
            </w:r>
          </w:p>
        </w:tc>
        <w:tc>
          <w:tcPr>
            <w:tcW w:w="380" w:type="pct"/>
            <w:tcBorders>
              <w:left w:val="nil"/>
              <w:bottom w:val="double" w:sz="4" w:space="0" w:color="000000"/>
              <w:right w:val="double" w:sz="4" w:space="0" w:color="000000"/>
            </w:tcBorders>
            <w:shd w:val="clear" w:color="auto" w:fill="auto"/>
            <w:noWrap/>
            <w:vAlign w:val="center"/>
          </w:tcPr>
          <w:p w14:paraId="56BC1803" w14:textId="4B4D6A85" w:rsidR="00131BD7" w:rsidRPr="00E85FE6" w:rsidRDefault="00131BD7" w:rsidP="00742376">
            <w:pPr>
              <w:tabs>
                <w:tab w:val="decimal" w:pos="390"/>
              </w:tabs>
              <w:spacing w:line="240" w:lineRule="auto"/>
              <w:jc w:val="left"/>
              <w:rPr>
                <w:rFonts w:eastAsia="Times New Roman" w:cs="Times New Roman"/>
                <w:sz w:val="21"/>
                <w:szCs w:val="21"/>
              </w:rPr>
            </w:pPr>
            <w:r>
              <w:rPr>
                <w:rFonts w:eastAsia="Times New Roman" w:cs="Times New Roman"/>
                <w:sz w:val="21"/>
                <w:szCs w:val="21"/>
              </w:rPr>
              <w:t>4.88</w:t>
            </w:r>
          </w:p>
        </w:tc>
      </w:tr>
      <w:bookmarkEnd w:id="8"/>
    </w:tbl>
    <w:p w14:paraId="47A870A6" w14:textId="77777777" w:rsidR="00335680" w:rsidRPr="00E85FE6" w:rsidRDefault="00335680" w:rsidP="00335680">
      <w:pPr>
        <w:spacing w:line="240" w:lineRule="auto"/>
        <w:ind w:left="180" w:right="-360"/>
        <w:rPr>
          <w:rFonts w:eastAsia="SimSun" w:cs="Times New Roman"/>
          <w:sz w:val="16"/>
          <w:szCs w:val="16"/>
          <w:lang w:eastAsia="zh-CN"/>
        </w:rPr>
      </w:pPr>
    </w:p>
    <w:p w14:paraId="23F67A2E" w14:textId="77777777" w:rsidR="00335680" w:rsidRPr="00E85FE6" w:rsidRDefault="00335680" w:rsidP="00335680">
      <w:pPr>
        <w:spacing w:line="240" w:lineRule="auto"/>
        <w:ind w:left="180" w:right="-360"/>
        <w:rPr>
          <w:rFonts w:eastAsia="SimSun" w:cs="Times New Roman"/>
          <w:sz w:val="16"/>
          <w:szCs w:val="16"/>
          <w:lang w:eastAsia="zh-CN"/>
        </w:rPr>
      </w:pPr>
    </w:p>
    <w:p w14:paraId="41BA0370" w14:textId="77777777" w:rsidR="00335680" w:rsidRPr="00E85FE6" w:rsidRDefault="00335680" w:rsidP="00335680">
      <w:pPr>
        <w:spacing w:line="240" w:lineRule="auto"/>
        <w:ind w:left="180" w:right="-360"/>
        <w:rPr>
          <w:rFonts w:eastAsia="SimSun" w:cs="Times New Roman"/>
          <w:sz w:val="16"/>
          <w:szCs w:val="16"/>
          <w:lang w:eastAsia="zh-CN"/>
        </w:rPr>
      </w:pPr>
    </w:p>
    <w:p w14:paraId="5EB0235B" w14:textId="77777777" w:rsidR="00742376" w:rsidRDefault="00742376">
      <w:pPr>
        <w:spacing w:after="200" w:line="276" w:lineRule="auto"/>
        <w:jc w:val="left"/>
        <w:rPr>
          <w:rFonts w:eastAsia="SimSun" w:cs="Times New Roman"/>
          <w:b/>
        </w:rPr>
      </w:pPr>
      <w:r>
        <w:rPr>
          <w:rFonts w:eastAsia="SimSun" w:cs="Times New Roman"/>
          <w:b/>
        </w:rPr>
        <w:br w:type="page"/>
      </w:r>
    </w:p>
    <w:p w14:paraId="073441B8" w14:textId="02570038" w:rsidR="00335680" w:rsidRPr="00E85FE6" w:rsidRDefault="00335680" w:rsidP="002813DB">
      <w:pPr>
        <w:outlineLvl w:val="0"/>
        <w:rPr>
          <w:rFonts w:eastAsia="SimSun" w:cs="Times New Roman"/>
          <w:sz w:val="16"/>
          <w:szCs w:val="16"/>
        </w:rPr>
      </w:pPr>
      <w:r w:rsidRPr="009570A3">
        <w:rPr>
          <w:rFonts w:eastAsia="SimSun" w:cs="Times New Roman"/>
          <w:b/>
          <w:sz w:val="24"/>
        </w:rPr>
        <w:lastRenderedPageBreak/>
        <w:t>TABLE 4 Physical Activity Engagement (PAG) Outcome Variable Results</w:t>
      </w:r>
    </w:p>
    <w:tbl>
      <w:tblPr>
        <w:tblW w:w="4971" w:type="pct"/>
        <w:jc w:val="center"/>
        <w:tblLayout w:type="fixed"/>
        <w:tblCellMar>
          <w:left w:w="29" w:type="dxa"/>
          <w:right w:w="29" w:type="dxa"/>
        </w:tblCellMar>
        <w:tblLook w:val="04A0" w:firstRow="1" w:lastRow="0" w:firstColumn="1" w:lastColumn="0" w:noHBand="0" w:noVBand="1"/>
      </w:tblPr>
      <w:tblGrid>
        <w:gridCol w:w="3328"/>
        <w:gridCol w:w="600"/>
        <w:gridCol w:w="606"/>
        <w:gridCol w:w="600"/>
        <w:gridCol w:w="607"/>
        <w:gridCol w:w="607"/>
        <w:gridCol w:w="607"/>
        <w:gridCol w:w="607"/>
        <w:gridCol w:w="609"/>
        <w:gridCol w:w="607"/>
        <w:gridCol w:w="609"/>
        <w:gridCol w:w="607"/>
        <w:gridCol w:w="609"/>
        <w:gridCol w:w="607"/>
        <w:gridCol w:w="607"/>
        <w:gridCol w:w="607"/>
        <w:gridCol w:w="607"/>
        <w:gridCol w:w="607"/>
        <w:gridCol w:w="736"/>
      </w:tblGrid>
      <w:tr w:rsidR="003E0B73" w:rsidRPr="00E85FE6" w14:paraId="69B316E9" w14:textId="77777777" w:rsidTr="009570A3">
        <w:trPr>
          <w:trHeight w:val="288"/>
          <w:jc w:val="center"/>
        </w:trPr>
        <w:tc>
          <w:tcPr>
            <w:tcW w:w="1158" w:type="pct"/>
            <w:vMerge w:val="restart"/>
            <w:tcBorders>
              <w:top w:val="double" w:sz="4" w:space="0" w:color="000000"/>
              <w:left w:val="double" w:sz="4" w:space="0" w:color="000000"/>
              <w:right w:val="double" w:sz="6" w:space="0" w:color="auto"/>
            </w:tcBorders>
            <w:shd w:val="clear" w:color="auto" w:fill="auto"/>
            <w:vAlign w:val="center"/>
          </w:tcPr>
          <w:p w14:paraId="7AC9E2DE" w14:textId="77777777" w:rsidR="003E0B73" w:rsidRPr="00E85FE6" w:rsidRDefault="003E0B73" w:rsidP="00335680">
            <w:pPr>
              <w:spacing w:line="240" w:lineRule="auto"/>
              <w:jc w:val="center"/>
              <w:rPr>
                <w:rFonts w:eastAsia="Times New Roman" w:cs="Times New Roman"/>
                <w:color w:val="000000"/>
                <w:sz w:val="20"/>
                <w:szCs w:val="20"/>
              </w:rPr>
            </w:pPr>
            <w:bookmarkStart w:id="9" w:name="OLE_LINK2"/>
            <w:bookmarkStart w:id="10" w:name="OLE_LINK3"/>
            <w:r w:rsidRPr="00E85FE6">
              <w:rPr>
                <w:rFonts w:eastAsia="Times New Roman" w:cs="Times New Roman"/>
                <w:color w:val="000000"/>
                <w:sz w:val="20"/>
                <w:szCs w:val="20"/>
              </w:rPr>
              <w:t>Independent variables</w:t>
            </w:r>
            <w:r>
              <w:rPr>
                <w:rFonts w:eastAsia="Times New Roman" w:cs="Times New Roman"/>
                <w:color w:val="000000"/>
                <w:sz w:val="20"/>
                <w:szCs w:val="20"/>
              </w:rPr>
              <w:t xml:space="preserve"> (base)</w:t>
            </w:r>
          </w:p>
        </w:tc>
        <w:tc>
          <w:tcPr>
            <w:tcW w:w="3842" w:type="pct"/>
            <w:gridSpan w:val="18"/>
            <w:tcBorders>
              <w:top w:val="double" w:sz="4" w:space="0" w:color="000000"/>
              <w:left w:val="nil"/>
              <w:bottom w:val="single" w:sz="4" w:space="0" w:color="auto"/>
              <w:right w:val="double" w:sz="4" w:space="0" w:color="000000"/>
            </w:tcBorders>
            <w:shd w:val="clear" w:color="auto" w:fill="auto"/>
            <w:vAlign w:val="center"/>
          </w:tcPr>
          <w:p w14:paraId="2E11533D" w14:textId="77777777" w:rsidR="003E0B73" w:rsidRPr="00E85FE6" w:rsidRDefault="003E0B73"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Activity engagement and travel behavior</w:t>
            </w:r>
          </w:p>
        </w:tc>
      </w:tr>
      <w:tr w:rsidR="003E0B73" w:rsidRPr="00E85FE6" w14:paraId="622C34DB" w14:textId="77777777" w:rsidTr="00BC53A5">
        <w:trPr>
          <w:trHeight w:val="576"/>
          <w:jc w:val="center"/>
        </w:trPr>
        <w:tc>
          <w:tcPr>
            <w:tcW w:w="1158" w:type="pct"/>
            <w:vMerge/>
            <w:tcBorders>
              <w:left w:val="double" w:sz="4" w:space="0" w:color="000000"/>
              <w:right w:val="double" w:sz="6" w:space="0" w:color="auto"/>
            </w:tcBorders>
            <w:shd w:val="clear" w:color="auto" w:fill="auto"/>
            <w:vAlign w:val="center"/>
            <w:hideMark/>
          </w:tcPr>
          <w:p w14:paraId="1682DAFD" w14:textId="77777777" w:rsidR="003E0B73" w:rsidRPr="00E85FE6" w:rsidRDefault="003E0B73" w:rsidP="00335680">
            <w:pPr>
              <w:spacing w:line="240" w:lineRule="auto"/>
              <w:jc w:val="center"/>
              <w:rPr>
                <w:rFonts w:eastAsia="Times New Roman" w:cs="Times New Roman"/>
                <w:color w:val="000000"/>
                <w:sz w:val="20"/>
                <w:szCs w:val="20"/>
              </w:rPr>
            </w:pPr>
          </w:p>
        </w:tc>
        <w:tc>
          <w:tcPr>
            <w:tcW w:w="839" w:type="pct"/>
            <w:gridSpan w:val="4"/>
            <w:tcBorders>
              <w:top w:val="single" w:sz="4" w:space="0" w:color="auto"/>
              <w:left w:val="nil"/>
              <w:bottom w:val="single" w:sz="4" w:space="0" w:color="auto"/>
              <w:right w:val="double" w:sz="4" w:space="0" w:color="auto"/>
            </w:tcBorders>
            <w:shd w:val="clear" w:color="auto" w:fill="auto"/>
            <w:vAlign w:val="center"/>
            <w:hideMark/>
          </w:tcPr>
          <w:p w14:paraId="2BB8DC3E" w14:textId="4A375959" w:rsidR="003E0B73" w:rsidRDefault="003E0B73" w:rsidP="003E0B73">
            <w:pPr>
              <w:spacing w:line="240" w:lineRule="auto"/>
              <w:jc w:val="center"/>
              <w:rPr>
                <w:rFonts w:eastAsia="Times New Roman" w:cs="Times New Roman"/>
                <w:color w:val="000000"/>
                <w:sz w:val="20"/>
                <w:szCs w:val="20"/>
              </w:rPr>
            </w:pPr>
            <w:r>
              <w:rPr>
                <w:rFonts w:eastAsia="Times New Roman" w:cs="Times New Roman"/>
                <w:color w:val="000000"/>
                <w:sz w:val="20"/>
                <w:szCs w:val="20"/>
              </w:rPr>
              <w:t>M</w:t>
            </w:r>
            <w:r w:rsidRPr="00E85FE6">
              <w:rPr>
                <w:rFonts w:eastAsia="Times New Roman" w:cs="Times New Roman"/>
                <w:color w:val="000000"/>
                <w:sz w:val="20"/>
                <w:szCs w:val="20"/>
              </w:rPr>
              <w:t>andatory activity</w:t>
            </w:r>
          </w:p>
          <w:p w14:paraId="6E8A0E7A" w14:textId="2733DE04" w:rsidR="003E0B73" w:rsidRPr="00E85FE6" w:rsidRDefault="003E0B73" w:rsidP="005D7939">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episodes</w:t>
            </w:r>
          </w:p>
        </w:tc>
        <w:tc>
          <w:tcPr>
            <w:tcW w:w="845" w:type="pct"/>
            <w:gridSpan w:val="4"/>
            <w:tcBorders>
              <w:top w:val="single" w:sz="4" w:space="0" w:color="auto"/>
              <w:left w:val="double" w:sz="4" w:space="0" w:color="auto"/>
              <w:bottom w:val="single" w:sz="4" w:space="0" w:color="auto"/>
              <w:right w:val="double" w:sz="4" w:space="0" w:color="auto"/>
            </w:tcBorders>
            <w:shd w:val="clear" w:color="auto" w:fill="auto"/>
            <w:vAlign w:val="center"/>
            <w:hideMark/>
          </w:tcPr>
          <w:p w14:paraId="523C9048" w14:textId="1E7ED408" w:rsidR="003E0B73" w:rsidRDefault="003E0B73" w:rsidP="003E0B73">
            <w:pPr>
              <w:spacing w:line="240" w:lineRule="auto"/>
              <w:jc w:val="center"/>
              <w:rPr>
                <w:rFonts w:eastAsia="Times New Roman" w:cs="Times New Roman"/>
                <w:color w:val="000000"/>
                <w:sz w:val="20"/>
                <w:szCs w:val="20"/>
              </w:rPr>
            </w:pPr>
            <w:r>
              <w:rPr>
                <w:rFonts w:eastAsia="Times New Roman" w:cs="Times New Roman"/>
                <w:color w:val="000000"/>
                <w:sz w:val="20"/>
                <w:szCs w:val="20"/>
              </w:rPr>
              <w:t>M</w:t>
            </w:r>
            <w:r w:rsidRPr="00E85FE6">
              <w:rPr>
                <w:rFonts w:eastAsia="Times New Roman" w:cs="Times New Roman"/>
                <w:color w:val="000000"/>
                <w:sz w:val="20"/>
                <w:szCs w:val="20"/>
              </w:rPr>
              <w:t>aintenance</w:t>
            </w:r>
            <w:r>
              <w:rPr>
                <w:rFonts w:eastAsia="Times New Roman" w:cs="Times New Roman"/>
                <w:color w:val="000000"/>
                <w:sz w:val="20"/>
                <w:szCs w:val="20"/>
              </w:rPr>
              <w:t xml:space="preserve"> activity</w:t>
            </w:r>
          </w:p>
          <w:p w14:paraId="424813AB" w14:textId="4B4C513F" w:rsidR="003E0B73" w:rsidRPr="00E85FE6" w:rsidRDefault="003E0B73" w:rsidP="005D7939">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episodes</w:t>
            </w:r>
          </w:p>
        </w:tc>
        <w:tc>
          <w:tcPr>
            <w:tcW w:w="846" w:type="pct"/>
            <w:gridSpan w:val="4"/>
            <w:tcBorders>
              <w:top w:val="single" w:sz="4" w:space="0" w:color="auto"/>
              <w:left w:val="double" w:sz="4" w:space="0" w:color="auto"/>
              <w:bottom w:val="single" w:sz="4" w:space="0" w:color="auto"/>
              <w:right w:val="double" w:sz="4" w:space="0" w:color="auto"/>
            </w:tcBorders>
            <w:vAlign w:val="center"/>
          </w:tcPr>
          <w:p w14:paraId="714278B5" w14:textId="25B71A99" w:rsidR="003E0B73" w:rsidRDefault="003E0B73" w:rsidP="005D7939">
            <w:pPr>
              <w:spacing w:line="240" w:lineRule="auto"/>
              <w:jc w:val="center"/>
              <w:rPr>
                <w:rFonts w:eastAsia="Times New Roman" w:cs="Times New Roman"/>
                <w:color w:val="000000"/>
                <w:sz w:val="20"/>
                <w:szCs w:val="20"/>
              </w:rPr>
            </w:pPr>
            <w:r>
              <w:rPr>
                <w:rFonts w:eastAsia="Times New Roman" w:cs="Times New Roman"/>
                <w:color w:val="000000"/>
                <w:sz w:val="20"/>
                <w:szCs w:val="20"/>
              </w:rPr>
              <w:t>D</w:t>
            </w:r>
            <w:r w:rsidRPr="00E85FE6">
              <w:rPr>
                <w:rFonts w:eastAsia="Times New Roman" w:cs="Times New Roman"/>
                <w:color w:val="000000"/>
                <w:sz w:val="20"/>
                <w:szCs w:val="20"/>
              </w:rPr>
              <w:t>iscretionary activity</w:t>
            </w:r>
          </w:p>
          <w:p w14:paraId="1CD0A2C1" w14:textId="6DE6062B" w:rsidR="003E0B73" w:rsidRPr="00E85FE6" w:rsidRDefault="003E0B73" w:rsidP="005D7939">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episodes</w:t>
            </w:r>
          </w:p>
        </w:tc>
        <w:tc>
          <w:tcPr>
            <w:tcW w:w="422" w:type="pct"/>
            <w:gridSpan w:val="2"/>
            <w:vMerge w:val="restart"/>
            <w:tcBorders>
              <w:top w:val="single" w:sz="4" w:space="0" w:color="auto"/>
              <w:left w:val="double" w:sz="4" w:space="0" w:color="auto"/>
              <w:right w:val="double" w:sz="4" w:space="0" w:color="auto"/>
            </w:tcBorders>
            <w:vAlign w:val="center"/>
          </w:tcPr>
          <w:p w14:paraId="0B0097A4" w14:textId="7C84360C" w:rsidR="003E0B73" w:rsidRPr="00E85FE6" w:rsidRDefault="003E0B73" w:rsidP="00335680">
            <w:pPr>
              <w:spacing w:line="240" w:lineRule="auto"/>
              <w:jc w:val="center"/>
              <w:rPr>
                <w:rFonts w:eastAsia="Times New Roman" w:cs="Times New Roman"/>
                <w:color w:val="000000"/>
                <w:sz w:val="20"/>
                <w:szCs w:val="20"/>
              </w:rPr>
            </w:pPr>
            <w:r>
              <w:rPr>
                <w:rFonts w:eastAsia="Times New Roman" w:cs="Times New Roman"/>
                <w:color w:val="000000"/>
                <w:sz w:val="20"/>
                <w:szCs w:val="20"/>
              </w:rPr>
              <w:t>Motorized vehicle availability</w:t>
            </w:r>
          </w:p>
        </w:tc>
        <w:tc>
          <w:tcPr>
            <w:tcW w:w="422" w:type="pct"/>
            <w:gridSpan w:val="2"/>
            <w:vMerge w:val="restart"/>
            <w:tcBorders>
              <w:top w:val="single" w:sz="4" w:space="0" w:color="auto"/>
              <w:left w:val="double" w:sz="4" w:space="0" w:color="auto"/>
              <w:right w:val="double" w:sz="4" w:space="0" w:color="auto"/>
            </w:tcBorders>
            <w:vAlign w:val="center"/>
          </w:tcPr>
          <w:p w14:paraId="30C613AB" w14:textId="3D3323F9" w:rsidR="003E0B73" w:rsidRPr="00E85FE6" w:rsidRDefault="003E0B73" w:rsidP="00BB7DB8">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Average</w:t>
            </w:r>
            <w:r>
              <w:rPr>
                <w:rFonts w:eastAsia="Times New Roman" w:cs="Times New Roman"/>
                <w:color w:val="000000"/>
                <w:sz w:val="20"/>
                <w:szCs w:val="20"/>
              </w:rPr>
              <w:t xml:space="preserve"> number of</w:t>
            </w:r>
            <w:r w:rsidRPr="00E85FE6">
              <w:rPr>
                <w:rFonts w:eastAsia="Times New Roman" w:cs="Times New Roman"/>
                <w:color w:val="000000"/>
                <w:sz w:val="20"/>
                <w:szCs w:val="20"/>
              </w:rPr>
              <w:t xml:space="preserve"> </w:t>
            </w:r>
            <w:r>
              <w:rPr>
                <w:rFonts w:eastAsia="Times New Roman" w:cs="Times New Roman"/>
                <w:color w:val="000000"/>
                <w:sz w:val="20"/>
                <w:szCs w:val="20"/>
              </w:rPr>
              <w:t>trips</w:t>
            </w:r>
            <w:r w:rsidRPr="00E85FE6">
              <w:rPr>
                <w:rFonts w:eastAsia="Times New Roman" w:cs="Times New Roman"/>
                <w:color w:val="000000"/>
                <w:sz w:val="20"/>
                <w:szCs w:val="20"/>
              </w:rPr>
              <w:t xml:space="preserve"> per tour</w:t>
            </w:r>
          </w:p>
        </w:tc>
        <w:tc>
          <w:tcPr>
            <w:tcW w:w="467" w:type="pct"/>
            <w:gridSpan w:val="2"/>
            <w:vMerge w:val="restart"/>
            <w:tcBorders>
              <w:top w:val="single" w:sz="4" w:space="0" w:color="auto"/>
              <w:left w:val="double" w:sz="4" w:space="0" w:color="auto"/>
              <w:right w:val="double" w:sz="4" w:space="0" w:color="000000"/>
            </w:tcBorders>
            <w:shd w:val="clear" w:color="auto" w:fill="auto"/>
            <w:vAlign w:val="center"/>
            <w:hideMark/>
          </w:tcPr>
          <w:p w14:paraId="39ED5D97" w14:textId="771A5BB9" w:rsidR="003E0B73" w:rsidRPr="00E85FE6" w:rsidRDefault="003E0B73" w:rsidP="00335680">
            <w:pPr>
              <w:spacing w:line="240" w:lineRule="auto"/>
              <w:jc w:val="center"/>
              <w:rPr>
                <w:rFonts w:eastAsia="Times New Roman" w:cs="Times New Roman"/>
                <w:color w:val="000000"/>
                <w:sz w:val="20"/>
                <w:szCs w:val="20"/>
              </w:rPr>
            </w:pPr>
            <w:r>
              <w:rPr>
                <w:rFonts w:eastAsia="Times New Roman" w:cs="Times New Roman"/>
                <w:color w:val="000000"/>
                <w:sz w:val="20"/>
                <w:szCs w:val="20"/>
              </w:rPr>
              <w:t>Natural log of a</w:t>
            </w:r>
            <w:r w:rsidRPr="00E85FE6">
              <w:rPr>
                <w:rFonts w:eastAsia="Times New Roman" w:cs="Times New Roman"/>
                <w:color w:val="000000"/>
                <w:sz w:val="20"/>
                <w:szCs w:val="20"/>
              </w:rPr>
              <w:t>verage trip distance</w:t>
            </w:r>
            <w:r w:rsidR="0013215F" w:rsidRPr="005D7939">
              <w:rPr>
                <w:rFonts w:eastAsia="Times New Roman" w:cs="Times New Roman"/>
                <w:color w:val="000000"/>
                <w:sz w:val="20"/>
                <w:szCs w:val="20"/>
                <w:vertAlign w:val="superscript"/>
              </w:rPr>
              <w:t>1</w:t>
            </w:r>
          </w:p>
        </w:tc>
      </w:tr>
      <w:tr w:rsidR="003E0B73" w:rsidRPr="00E85FE6" w14:paraId="78AE75DB" w14:textId="77777777" w:rsidTr="00BC53A5">
        <w:trPr>
          <w:trHeight w:val="360"/>
          <w:jc w:val="center"/>
        </w:trPr>
        <w:tc>
          <w:tcPr>
            <w:tcW w:w="1158" w:type="pct"/>
            <w:vMerge/>
            <w:tcBorders>
              <w:left w:val="double" w:sz="4" w:space="0" w:color="000000"/>
              <w:bottom w:val="single" w:sz="4" w:space="0" w:color="auto"/>
              <w:right w:val="double" w:sz="6" w:space="0" w:color="auto"/>
            </w:tcBorders>
            <w:shd w:val="clear" w:color="auto" w:fill="auto"/>
            <w:vAlign w:val="center"/>
          </w:tcPr>
          <w:p w14:paraId="6C84F67A" w14:textId="77777777" w:rsidR="003E0B73" w:rsidRPr="00E85FE6" w:rsidRDefault="003E0B73" w:rsidP="00335680">
            <w:pPr>
              <w:spacing w:line="240" w:lineRule="auto"/>
              <w:jc w:val="center"/>
              <w:rPr>
                <w:rFonts w:eastAsia="Times New Roman" w:cs="Times New Roman"/>
                <w:color w:val="000000"/>
                <w:sz w:val="20"/>
                <w:szCs w:val="20"/>
              </w:rPr>
            </w:pPr>
          </w:p>
        </w:tc>
        <w:tc>
          <w:tcPr>
            <w:tcW w:w="420" w:type="pct"/>
            <w:gridSpan w:val="2"/>
            <w:tcBorders>
              <w:top w:val="single" w:sz="4" w:space="0" w:color="auto"/>
              <w:left w:val="nil"/>
              <w:bottom w:val="single" w:sz="4" w:space="0" w:color="auto"/>
              <w:right w:val="single" w:sz="4" w:space="0" w:color="auto"/>
            </w:tcBorders>
            <w:shd w:val="clear" w:color="auto" w:fill="auto"/>
            <w:vAlign w:val="center"/>
          </w:tcPr>
          <w:p w14:paraId="7411F2A8" w14:textId="21E4AFB2" w:rsidR="003E0B73" w:rsidRPr="00E85FE6" w:rsidRDefault="003E0B73" w:rsidP="00335680">
            <w:pPr>
              <w:spacing w:line="240" w:lineRule="auto"/>
              <w:jc w:val="center"/>
              <w:rPr>
                <w:rFonts w:eastAsia="Times New Roman" w:cs="Times New Roman"/>
                <w:color w:val="000000"/>
                <w:sz w:val="20"/>
                <w:szCs w:val="20"/>
              </w:rPr>
            </w:pPr>
            <w:r>
              <w:rPr>
                <w:rFonts w:eastAsia="Times New Roman" w:cs="Times New Roman"/>
                <w:color w:val="000000"/>
                <w:sz w:val="20"/>
                <w:szCs w:val="20"/>
              </w:rPr>
              <w:t>Number</w:t>
            </w:r>
          </w:p>
        </w:tc>
        <w:tc>
          <w:tcPr>
            <w:tcW w:w="420" w:type="pct"/>
            <w:gridSpan w:val="2"/>
            <w:tcBorders>
              <w:top w:val="single" w:sz="4" w:space="0" w:color="auto"/>
              <w:left w:val="nil"/>
              <w:bottom w:val="single" w:sz="4" w:space="0" w:color="auto"/>
              <w:right w:val="double" w:sz="4" w:space="0" w:color="auto"/>
            </w:tcBorders>
            <w:shd w:val="clear" w:color="auto" w:fill="auto"/>
            <w:vAlign w:val="center"/>
          </w:tcPr>
          <w:p w14:paraId="43F0A805" w14:textId="648274F0" w:rsidR="003E0B73" w:rsidRPr="00E85FE6" w:rsidRDefault="003E0B73" w:rsidP="00335680">
            <w:pPr>
              <w:spacing w:line="240" w:lineRule="auto"/>
              <w:jc w:val="center"/>
              <w:rPr>
                <w:rFonts w:eastAsia="Times New Roman" w:cs="Times New Roman"/>
                <w:color w:val="000000"/>
                <w:sz w:val="20"/>
                <w:szCs w:val="20"/>
              </w:rPr>
            </w:pPr>
            <w:r>
              <w:rPr>
                <w:rFonts w:eastAsia="Times New Roman" w:cs="Times New Roman"/>
                <w:color w:val="000000"/>
                <w:sz w:val="20"/>
                <w:szCs w:val="20"/>
              </w:rPr>
              <w:t>Avg. duration</w:t>
            </w:r>
          </w:p>
        </w:tc>
        <w:tc>
          <w:tcPr>
            <w:tcW w:w="422" w:type="pct"/>
            <w:gridSpan w:val="2"/>
            <w:tcBorders>
              <w:top w:val="single" w:sz="4" w:space="0" w:color="auto"/>
              <w:left w:val="double" w:sz="4" w:space="0" w:color="auto"/>
              <w:bottom w:val="single" w:sz="4" w:space="0" w:color="auto"/>
              <w:right w:val="single" w:sz="4" w:space="0" w:color="auto"/>
            </w:tcBorders>
            <w:shd w:val="clear" w:color="auto" w:fill="auto"/>
            <w:vAlign w:val="center"/>
          </w:tcPr>
          <w:p w14:paraId="2FE6F818" w14:textId="10A51721" w:rsidR="003E0B73" w:rsidRPr="00E85FE6" w:rsidRDefault="003E0B73" w:rsidP="00335680">
            <w:pPr>
              <w:spacing w:line="240" w:lineRule="auto"/>
              <w:jc w:val="center"/>
              <w:rPr>
                <w:rFonts w:eastAsia="Times New Roman" w:cs="Times New Roman"/>
                <w:color w:val="000000"/>
                <w:sz w:val="20"/>
                <w:szCs w:val="20"/>
              </w:rPr>
            </w:pPr>
            <w:r>
              <w:rPr>
                <w:rFonts w:eastAsia="Times New Roman" w:cs="Times New Roman"/>
                <w:color w:val="000000"/>
                <w:sz w:val="20"/>
                <w:szCs w:val="20"/>
              </w:rPr>
              <w:t>Number</w:t>
            </w:r>
          </w:p>
        </w:tc>
        <w:tc>
          <w:tcPr>
            <w:tcW w:w="423" w:type="pct"/>
            <w:gridSpan w:val="2"/>
            <w:tcBorders>
              <w:top w:val="single" w:sz="4" w:space="0" w:color="auto"/>
              <w:left w:val="nil"/>
              <w:bottom w:val="single" w:sz="4" w:space="0" w:color="auto"/>
              <w:right w:val="double" w:sz="4" w:space="0" w:color="auto"/>
            </w:tcBorders>
            <w:shd w:val="clear" w:color="auto" w:fill="auto"/>
            <w:vAlign w:val="center"/>
          </w:tcPr>
          <w:p w14:paraId="52355FC5" w14:textId="47B45891" w:rsidR="003E0B73" w:rsidRPr="00E85FE6" w:rsidRDefault="003E0B73" w:rsidP="00335680">
            <w:pPr>
              <w:spacing w:line="240" w:lineRule="auto"/>
              <w:jc w:val="center"/>
              <w:rPr>
                <w:rFonts w:eastAsia="Times New Roman" w:cs="Times New Roman"/>
                <w:color w:val="000000"/>
                <w:sz w:val="20"/>
                <w:szCs w:val="20"/>
              </w:rPr>
            </w:pPr>
            <w:r>
              <w:rPr>
                <w:rFonts w:eastAsia="Times New Roman" w:cs="Times New Roman"/>
                <w:color w:val="000000"/>
                <w:sz w:val="20"/>
                <w:szCs w:val="20"/>
              </w:rPr>
              <w:t>Avg. duration</w:t>
            </w:r>
          </w:p>
        </w:tc>
        <w:tc>
          <w:tcPr>
            <w:tcW w:w="423" w:type="pct"/>
            <w:gridSpan w:val="2"/>
            <w:tcBorders>
              <w:top w:val="single" w:sz="4" w:space="0" w:color="auto"/>
              <w:left w:val="double" w:sz="4" w:space="0" w:color="auto"/>
              <w:bottom w:val="single" w:sz="4" w:space="0" w:color="auto"/>
              <w:right w:val="single" w:sz="4" w:space="0" w:color="auto"/>
            </w:tcBorders>
            <w:vAlign w:val="center"/>
          </w:tcPr>
          <w:p w14:paraId="372CF397" w14:textId="1B22CB10" w:rsidR="003E0B73" w:rsidRPr="00E85FE6" w:rsidRDefault="003E0B73" w:rsidP="00335680">
            <w:pPr>
              <w:spacing w:line="240" w:lineRule="auto"/>
              <w:jc w:val="center"/>
              <w:rPr>
                <w:rFonts w:eastAsia="Times New Roman" w:cs="Times New Roman"/>
                <w:color w:val="000000"/>
                <w:sz w:val="20"/>
                <w:szCs w:val="20"/>
              </w:rPr>
            </w:pPr>
            <w:r>
              <w:rPr>
                <w:rFonts w:eastAsia="Times New Roman" w:cs="Times New Roman"/>
                <w:color w:val="000000"/>
                <w:sz w:val="20"/>
                <w:szCs w:val="20"/>
              </w:rPr>
              <w:t>Number</w:t>
            </w:r>
          </w:p>
        </w:tc>
        <w:tc>
          <w:tcPr>
            <w:tcW w:w="423" w:type="pct"/>
            <w:gridSpan w:val="2"/>
            <w:tcBorders>
              <w:top w:val="single" w:sz="4" w:space="0" w:color="auto"/>
              <w:left w:val="single" w:sz="4" w:space="0" w:color="auto"/>
              <w:bottom w:val="single" w:sz="4" w:space="0" w:color="auto"/>
              <w:right w:val="double" w:sz="4" w:space="0" w:color="auto"/>
            </w:tcBorders>
            <w:vAlign w:val="center"/>
          </w:tcPr>
          <w:p w14:paraId="166966AF" w14:textId="4C551B6C" w:rsidR="003E0B73" w:rsidRPr="00E85FE6" w:rsidRDefault="003E0B73" w:rsidP="00335680">
            <w:pPr>
              <w:spacing w:line="240" w:lineRule="auto"/>
              <w:jc w:val="center"/>
              <w:rPr>
                <w:rFonts w:eastAsia="Times New Roman" w:cs="Times New Roman"/>
                <w:color w:val="000000"/>
                <w:sz w:val="20"/>
                <w:szCs w:val="20"/>
              </w:rPr>
            </w:pPr>
            <w:r>
              <w:rPr>
                <w:rFonts w:eastAsia="Times New Roman" w:cs="Times New Roman"/>
                <w:color w:val="000000"/>
                <w:sz w:val="20"/>
                <w:szCs w:val="20"/>
              </w:rPr>
              <w:t>Avg. duration</w:t>
            </w:r>
          </w:p>
        </w:tc>
        <w:tc>
          <w:tcPr>
            <w:tcW w:w="422" w:type="pct"/>
            <w:gridSpan w:val="2"/>
            <w:vMerge/>
            <w:tcBorders>
              <w:left w:val="double" w:sz="4" w:space="0" w:color="auto"/>
              <w:bottom w:val="single" w:sz="4" w:space="0" w:color="auto"/>
              <w:right w:val="double" w:sz="4" w:space="0" w:color="auto"/>
            </w:tcBorders>
            <w:vAlign w:val="center"/>
          </w:tcPr>
          <w:p w14:paraId="649510DA" w14:textId="77777777" w:rsidR="003E0B73" w:rsidRDefault="003E0B73" w:rsidP="00335680">
            <w:pPr>
              <w:spacing w:line="240" w:lineRule="auto"/>
              <w:jc w:val="center"/>
              <w:rPr>
                <w:rFonts w:eastAsia="Times New Roman" w:cs="Times New Roman"/>
                <w:color w:val="000000"/>
                <w:sz w:val="20"/>
                <w:szCs w:val="20"/>
              </w:rPr>
            </w:pPr>
          </w:p>
        </w:tc>
        <w:tc>
          <w:tcPr>
            <w:tcW w:w="422" w:type="pct"/>
            <w:gridSpan w:val="2"/>
            <w:vMerge/>
            <w:tcBorders>
              <w:left w:val="double" w:sz="4" w:space="0" w:color="auto"/>
              <w:bottom w:val="single" w:sz="4" w:space="0" w:color="auto"/>
              <w:right w:val="double" w:sz="4" w:space="0" w:color="auto"/>
            </w:tcBorders>
            <w:vAlign w:val="center"/>
          </w:tcPr>
          <w:p w14:paraId="45B46DC3" w14:textId="77777777" w:rsidR="003E0B73" w:rsidRPr="00E85FE6" w:rsidRDefault="003E0B73" w:rsidP="00BB7DB8">
            <w:pPr>
              <w:spacing w:line="240" w:lineRule="auto"/>
              <w:jc w:val="center"/>
              <w:rPr>
                <w:rFonts w:eastAsia="Times New Roman" w:cs="Times New Roman"/>
                <w:color w:val="000000"/>
                <w:sz w:val="20"/>
                <w:szCs w:val="20"/>
              </w:rPr>
            </w:pPr>
          </w:p>
        </w:tc>
        <w:tc>
          <w:tcPr>
            <w:tcW w:w="467" w:type="pct"/>
            <w:gridSpan w:val="2"/>
            <w:vMerge/>
            <w:tcBorders>
              <w:left w:val="double" w:sz="4" w:space="0" w:color="auto"/>
              <w:bottom w:val="single" w:sz="4" w:space="0" w:color="auto"/>
              <w:right w:val="double" w:sz="4" w:space="0" w:color="000000"/>
            </w:tcBorders>
            <w:shd w:val="clear" w:color="auto" w:fill="auto"/>
            <w:vAlign w:val="center"/>
          </w:tcPr>
          <w:p w14:paraId="35E3A144" w14:textId="77777777" w:rsidR="003E0B73" w:rsidRPr="00E85FE6" w:rsidRDefault="003E0B73" w:rsidP="00335680">
            <w:pPr>
              <w:spacing w:line="240" w:lineRule="auto"/>
              <w:jc w:val="center"/>
              <w:rPr>
                <w:rFonts w:eastAsia="Times New Roman" w:cs="Times New Roman"/>
                <w:color w:val="000000"/>
                <w:sz w:val="20"/>
                <w:szCs w:val="20"/>
              </w:rPr>
            </w:pPr>
          </w:p>
        </w:tc>
      </w:tr>
      <w:tr w:rsidR="00335680" w:rsidRPr="00E85FE6" w14:paraId="569ADBC4" w14:textId="77777777" w:rsidTr="00BC53A5">
        <w:trPr>
          <w:trHeight w:val="17"/>
          <w:jc w:val="center"/>
        </w:trPr>
        <w:tc>
          <w:tcPr>
            <w:tcW w:w="1158" w:type="pct"/>
            <w:tcBorders>
              <w:top w:val="single" w:sz="4" w:space="0" w:color="auto"/>
              <w:left w:val="double" w:sz="4" w:space="0" w:color="000000"/>
              <w:bottom w:val="double" w:sz="6" w:space="0" w:color="auto"/>
              <w:right w:val="double" w:sz="6" w:space="0" w:color="auto"/>
            </w:tcBorders>
            <w:shd w:val="clear" w:color="auto" w:fill="auto"/>
            <w:vAlign w:val="center"/>
            <w:hideMark/>
          </w:tcPr>
          <w:p w14:paraId="54F4AEF1" w14:textId="77777777" w:rsidR="00335680" w:rsidRPr="00E85FE6" w:rsidRDefault="00335680" w:rsidP="00335680">
            <w:pPr>
              <w:spacing w:line="240" w:lineRule="auto"/>
              <w:jc w:val="center"/>
              <w:rPr>
                <w:rFonts w:eastAsia="Times New Roman" w:cs="Times New Roman"/>
                <w:color w:val="000000"/>
                <w:sz w:val="20"/>
                <w:szCs w:val="20"/>
              </w:rPr>
            </w:pPr>
          </w:p>
        </w:tc>
        <w:tc>
          <w:tcPr>
            <w:tcW w:w="209" w:type="pct"/>
            <w:tcBorders>
              <w:top w:val="single" w:sz="4" w:space="0" w:color="auto"/>
              <w:left w:val="nil"/>
              <w:bottom w:val="double" w:sz="6" w:space="0" w:color="auto"/>
              <w:right w:val="single" w:sz="4" w:space="0" w:color="auto"/>
            </w:tcBorders>
            <w:shd w:val="clear" w:color="auto" w:fill="auto"/>
            <w:noWrap/>
            <w:vAlign w:val="center"/>
            <w:hideMark/>
          </w:tcPr>
          <w:p w14:paraId="49E83748" w14:textId="77777777" w:rsidR="00335680" w:rsidRPr="00E85FE6" w:rsidRDefault="00335680" w:rsidP="00335680">
            <w:pPr>
              <w:spacing w:line="240" w:lineRule="auto"/>
              <w:jc w:val="center"/>
              <w:rPr>
                <w:rFonts w:eastAsia="Times New Roman" w:cs="Times New Roman"/>
                <w:color w:val="000000"/>
                <w:sz w:val="20"/>
                <w:szCs w:val="20"/>
              </w:rPr>
            </w:pPr>
            <w:proofErr w:type="spellStart"/>
            <w:r w:rsidRPr="00E85FE6">
              <w:rPr>
                <w:rFonts w:eastAsia="Times New Roman" w:cs="Times New Roman"/>
                <w:color w:val="000000"/>
                <w:sz w:val="20"/>
                <w:szCs w:val="20"/>
              </w:rPr>
              <w:t>Coef</w:t>
            </w:r>
            <w:proofErr w:type="spellEnd"/>
            <w:r w:rsidRPr="00E85FE6">
              <w:rPr>
                <w:rFonts w:eastAsia="Times New Roman" w:cs="Times New Roman"/>
                <w:color w:val="000000"/>
                <w:sz w:val="20"/>
                <w:szCs w:val="20"/>
              </w:rPr>
              <w:t>.</w:t>
            </w:r>
          </w:p>
        </w:tc>
        <w:tc>
          <w:tcPr>
            <w:tcW w:w="211" w:type="pct"/>
            <w:tcBorders>
              <w:top w:val="single" w:sz="4" w:space="0" w:color="auto"/>
              <w:left w:val="nil"/>
              <w:bottom w:val="double" w:sz="6" w:space="0" w:color="auto"/>
              <w:right w:val="single" w:sz="4" w:space="0" w:color="auto"/>
            </w:tcBorders>
            <w:shd w:val="clear" w:color="auto" w:fill="auto"/>
            <w:noWrap/>
            <w:vAlign w:val="center"/>
            <w:hideMark/>
          </w:tcPr>
          <w:p w14:paraId="6C9D95ED" w14:textId="77777777" w:rsidR="00335680" w:rsidRPr="00E85FE6" w:rsidRDefault="00335680"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t-stat</w:t>
            </w:r>
          </w:p>
        </w:tc>
        <w:tc>
          <w:tcPr>
            <w:tcW w:w="209" w:type="pct"/>
            <w:tcBorders>
              <w:top w:val="single" w:sz="4" w:space="0" w:color="auto"/>
              <w:left w:val="nil"/>
              <w:bottom w:val="double" w:sz="6" w:space="0" w:color="auto"/>
              <w:right w:val="single" w:sz="4" w:space="0" w:color="auto"/>
            </w:tcBorders>
            <w:shd w:val="clear" w:color="auto" w:fill="auto"/>
            <w:noWrap/>
            <w:vAlign w:val="center"/>
          </w:tcPr>
          <w:p w14:paraId="748D9DF4" w14:textId="77777777" w:rsidR="00335680" w:rsidRPr="00E85FE6" w:rsidRDefault="00335680" w:rsidP="00335680">
            <w:pPr>
              <w:spacing w:line="240" w:lineRule="auto"/>
              <w:jc w:val="center"/>
              <w:rPr>
                <w:rFonts w:eastAsia="Times New Roman" w:cs="Times New Roman"/>
                <w:color w:val="000000"/>
                <w:sz w:val="20"/>
                <w:szCs w:val="20"/>
              </w:rPr>
            </w:pPr>
            <w:proofErr w:type="spellStart"/>
            <w:r w:rsidRPr="00E85FE6">
              <w:rPr>
                <w:rFonts w:eastAsia="Times New Roman" w:cs="Times New Roman"/>
                <w:color w:val="000000"/>
                <w:sz w:val="20"/>
                <w:szCs w:val="20"/>
              </w:rPr>
              <w:t>Coef</w:t>
            </w:r>
            <w:proofErr w:type="spellEnd"/>
            <w:r w:rsidRPr="00E85FE6">
              <w:rPr>
                <w:rFonts w:eastAsia="Times New Roman" w:cs="Times New Roman"/>
                <w:color w:val="000000"/>
                <w:sz w:val="20"/>
                <w:szCs w:val="20"/>
              </w:rPr>
              <w:t>.</w:t>
            </w:r>
          </w:p>
        </w:tc>
        <w:tc>
          <w:tcPr>
            <w:tcW w:w="211" w:type="pct"/>
            <w:tcBorders>
              <w:top w:val="single" w:sz="4" w:space="0" w:color="auto"/>
              <w:left w:val="nil"/>
              <w:bottom w:val="double" w:sz="6" w:space="0" w:color="auto"/>
              <w:right w:val="double" w:sz="4" w:space="0" w:color="auto"/>
            </w:tcBorders>
            <w:shd w:val="clear" w:color="auto" w:fill="auto"/>
            <w:noWrap/>
            <w:vAlign w:val="center"/>
          </w:tcPr>
          <w:p w14:paraId="77F19964" w14:textId="77777777" w:rsidR="00335680" w:rsidRPr="00E85FE6" w:rsidRDefault="00335680"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t-stat</w:t>
            </w:r>
          </w:p>
        </w:tc>
        <w:tc>
          <w:tcPr>
            <w:tcW w:w="211" w:type="pct"/>
            <w:tcBorders>
              <w:top w:val="single" w:sz="4" w:space="0" w:color="auto"/>
              <w:left w:val="double" w:sz="4" w:space="0" w:color="auto"/>
              <w:bottom w:val="double" w:sz="6" w:space="0" w:color="auto"/>
              <w:right w:val="single" w:sz="4" w:space="0" w:color="auto"/>
            </w:tcBorders>
            <w:shd w:val="clear" w:color="auto" w:fill="auto"/>
            <w:noWrap/>
            <w:vAlign w:val="center"/>
            <w:hideMark/>
          </w:tcPr>
          <w:p w14:paraId="0A9685FF" w14:textId="77777777" w:rsidR="00335680" w:rsidRPr="00E85FE6" w:rsidRDefault="00335680" w:rsidP="00335680">
            <w:pPr>
              <w:spacing w:line="240" w:lineRule="auto"/>
              <w:jc w:val="center"/>
              <w:rPr>
                <w:rFonts w:eastAsia="Times New Roman" w:cs="Times New Roman"/>
                <w:color w:val="000000"/>
                <w:sz w:val="20"/>
                <w:szCs w:val="20"/>
              </w:rPr>
            </w:pPr>
            <w:proofErr w:type="spellStart"/>
            <w:r w:rsidRPr="00E85FE6">
              <w:rPr>
                <w:rFonts w:eastAsia="Times New Roman" w:cs="Times New Roman"/>
                <w:color w:val="000000"/>
                <w:sz w:val="20"/>
                <w:szCs w:val="20"/>
              </w:rPr>
              <w:t>Coef</w:t>
            </w:r>
            <w:proofErr w:type="spellEnd"/>
            <w:r w:rsidRPr="00E85FE6">
              <w:rPr>
                <w:rFonts w:eastAsia="Times New Roman" w:cs="Times New Roman"/>
                <w:color w:val="000000"/>
                <w:sz w:val="20"/>
                <w:szCs w:val="20"/>
              </w:rPr>
              <w:t>.</w:t>
            </w:r>
          </w:p>
        </w:tc>
        <w:tc>
          <w:tcPr>
            <w:tcW w:w="211" w:type="pct"/>
            <w:tcBorders>
              <w:top w:val="single" w:sz="4" w:space="0" w:color="auto"/>
              <w:left w:val="nil"/>
              <w:bottom w:val="double" w:sz="6" w:space="0" w:color="auto"/>
              <w:right w:val="single" w:sz="4" w:space="0" w:color="auto"/>
            </w:tcBorders>
            <w:shd w:val="clear" w:color="auto" w:fill="auto"/>
            <w:noWrap/>
            <w:vAlign w:val="center"/>
            <w:hideMark/>
          </w:tcPr>
          <w:p w14:paraId="4B9F3412" w14:textId="77777777" w:rsidR="00335680" w:rsidRPr="00E85FE6" w:rsidRDefault="00335680"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t-stat</w:t>
            </w:r>
          </w:p>
        </w:tc>
        <w:tc>
          <w:tcPr>
            <w:tcW w:w="211" w:type="pct"/>
            <w:tcBorders>
              <w:top w:val="single" w:sz="4" w:space="0" w:color="auto"/>
              <w:left w:val="nil"/>
              <w:bottom w:val="double" w:sz="6" w:space="0" w:color="auto"/>
              <w:right w:val="single" w:sz="4" w:space="0" w:color="auto"/>
            </w:tcBorders>
            <w:shd w:val="clear" w:color="auto" w:fill="auto"/>
            <w:noWrap/>
            <w:vAlign w:val="center"/>
            <w:hideMark/>
          </w:tcPr>
          <w:p w14:paraId="359D655D" w14:textId="77777777" w:rsidR="00335680" w:rsidRPr="00E85FE6" w:rsidRDefault="00335680" w:rsidP="00335680">
            <w:pPr>
              <w:spacing w:line="240" w:lineRule="auto"/>
              <w:jc w:val="center"/>
              <w:rPr>
                <w:rFonts w:eastAsia="Times New Roman" w:cs="Times New Roman"/>
                <w:color w:val="000000"/>
                <w:sz w:val="20"/>
                <w:szCs w:val="20"/>
              </w:rPr>
            </w:pPr>
            <w:proofErr w:type="spellStart"/>
            <w:r w:rsidRPr="00E85FE6">
              <w:rPr>
                <w:rFonts w:eastAsia="Times New Roman" w:cs="Times New Roman"/>
                <w:color w:val="000000"/>
                <w:sz w:val="20"/>
                <w:szCs w:val="20"/>
              </w:rPr>
              <w:t>Coef</w:t>
            </w:r>
            <w:proofErr w:type="spellEnd"/>
            <w:r w:rsidRPr="00E85FE6">
              <w:rPr>
                <w:rFonts w:eastAsia="Times New Roman" w:cs="Times New Roman"/>
                <w:color w:val="000000"/>
                <w:sz w:val="20"/>
                <w:szCs w:val="20"/>
              </w:rPr>
              <w:t>.</w:t>
            </w:r>
          </w:p>
        </w:tc>
        <w:tc>
          <w:tcPr>
            <w:tcW w:w="212" w:type="pct"/>
            <w:tcBorders>
              <w:top w:val="single" w:sz="4" w:space="0" w:color="auto"/>
              <w:left w:val="single" w:sz="4" w:space="0" w:color="auto"/>
              <w:bottom w:val="double" w:sz="6" w:space="0" w:color="auto"/>
              <w:right w:val="double" w:sz="4" w:space="0" w:color="auto"/>
            </w:tcBorders>
            <w:shd w:val="clear" w:color="auto" w:fill="auto"/>
            <w:noWrap/>
            <w:vAlign w:val="center"/>
            <w:hideMark/>
          </w:tcPr>
          <w:p w14:paraId="72467DEB" w14:textId="77777777" w:rsidR="00335680" w:rsidRPr="00E85FE6" w:rsidRDefault="00335680"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t-stat</w:t>
            </w:r>
          </w:p>
        </w:tc>
        <w:tc>
          <w:tcPr>
            <w:tcW w:w="211" w:type="pct"/>
            <w:tcBorders>
              <w:top w:val="single" w:sz="4" w:space="0" w:color="auto"/>
              <w:left w:val="double" w:sz="4" w:space="0" w:color="auto"/>
              <w:bottom w:val="double" w:sz="6" w:space="0" w:color="auto"/>
              <w:right w:val="single" w:sz="4" w:space="0" w:color="auto"/>
            </w:tcBorders>
            <w:vAlign w:val="center"/>
          </w:tcPr>
          <w:p w14:paraId="1559981C" w14:textId="77777777" w:rsidR="00335680" w:rsidRPr="00E85FE6" w:rsidRDefault="00335680" w:rsidP="00335680">
            <w:pPr>
              <w:spacing w:line="240" w:lineRule="auto"/>
              <w:jc w:val="center"/>
              <w:rPr>
                <w:rFonts w:eastAsia="Times New Roman" w:cs="Times New Roman"/>
                <w:color w:val="000000"/>
                <w:sz w:val="20"/>
                <w:szCs w:val="20"/>
              </w:rPr>
            </w:pPr>
            <w:proofErr w:type="spellStart"/>
            <w:r w:rsidRPr="00E85FE6">
              <w:rPr>
                <w:rFonts w:eastAsia="Times New Roman" w:cs="Times New Roman"/>
                <w:color w:val="000000"/>
                <w:sz w:val="20"/>
                <w:szCs w:val="20"/>
              </w:rPr>
              <w:t>Coef</w:t>
            </w:r>
            <w:proofErr w:type="spellEnd"/>
            <w:r w:rsidRPr="00E85FE6">
              <w:rPr>
                <w:rFonts w:eastAsia="Times New Roman" w:cs="Times New Roman"/>
                <w:color w:val="000000"/>
                <w:sz w:val="20"/>
                <w:szCs w:val="20"/>
              </w:rPr>
              <w:t>.</w:t>
            </w:r>
          </w:p>
        </w:tc>
        <w:tc>
          <w:tcPr>
            <w:tcW w:w="212" w:type="pct"/>
            <w:tcBorders>
              <w:top w:val="single" w:sz="4" w:space="0" w:color="auto"/>
              <w:left w:val="single" w:sz="4" w:space="0" w:color="auto"/>
              <w:bottom w:val="double" w:sz="6" w:space="0" w:color="auto"/>
              <w:right w:val="single" w:sz="4" w:space="0" w:color="auto"/>
            </w:tcBorders>
            <w:vAlign w:val="center"/>
          </w:tcPr>
          <w:p w14:paraId="292D27D7" w14:textId="77777777" w:rsidR="00335680" w:rsidRPr="00E85FE6" w:rsidRDefault="00335680"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t-stat</w:t>
            </w:r>
          </w:p>
        </w:tc>
        <w:tc>
          <w:tcPr>
            <w:tcW w:w="211" w:type="pct"/>
            <w:tcBorders>
              <w:top w:val="single" w:sz="4" w:space="0" w:color="auto"/>
              <w:left w:val="single" w:sz="4" w:space="0" w:color="auto"/>
              <w:bottom w:val="double" w:sz="6" w:space="0" w:color="auto"/>
              <w:right w:val="single" w:sz="4" w:space="0" w:color="auto"/>
            </w:tcBorders>
            <w:vAlign w:val="center"/>
          </w:tcPr>
          <w:p w14:paraId="445E2963" w14:textId="77777777" w:rsidR="00335680" w:rsidRPr="00E85FE6" w:rsidRDefault="00335680" w:rsidP="00335680">
            <w:pPr>
              <w:spacing w:line="240" w:lineRule="auto"/>
              <w:jc w:val="center"/>
              <w:rPr>
                <w:rFonts w:eastAsia="Times New Roman" w:cs="Times New Roman"/>
                <w:color w:val="000000"/>
                <w:sz w:val="20"/>
                <w:szCs w:val="20"/>
              </w:rPr>
            </w:pPr>
            <w:proofErr w:type="spellStart"/>
            <w:r w:rsidRPr="00E85FE6">
              <w:rPr>
                <w:rFonts w:eastAsia="Times New Roman" w:cs="Times New Roman"/>
                <w:color w:val="000000"/>
                <w:sz w:val="20"/>
                <w:szCs w:val="20"/>
              </w:rPr>
              <w:t>Coef</w:t>
            </w:r>
            <w:proofErr w:type="spellEnd"/>
            <w:r w:rsidRPr="00E85FE6">
              <w:rPr>
                <w:rFonts w:eastAsia="Times New Roman" w:cs="Times New Roman"/>
                <w:color w:val="000000"/>
                <w:sz w:val="20"/>
                <w:szCs w:val="20"/>
              </w:rPr>
              <w:t>.</w:t>
            </w:r>
          </w:p>
        </w:tc>
        <w:tc>
          <w:tcPr>
            <w:tcW w:w="212" w:type="pct"/>
            <w:tcBorders>
              <w:top w:val="single" w:sz="4" w:space="0" w:color="auto"/>
              <w:left w:val="single" w:sz="4" w:space="0" w:color="auto"/>
              <w:bottom w:val="double" w:sz="6" w:space="0" w:color="auto"/>
              <w:right w:val="double" w:sz="4" w:space="0" w:color="auto"/>
            </w:tcBorders>
            <w:vAlign w:val="center"/>
          </w:tcPr>
          <w:p w14:paraId="6B66A356" w14:textId="77777777" w:rsidR="00335680" w:rsidRPr="00E85FE6" w:rsidRDefault="00335680"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t-stat</w:t>
            </w:r>
          </w:p>
        </w:tc>
        <w:tc>
          <w:tcPr>
            <w:tcW w:w="211" w:type="pct"/>
            <w:tcBorders>
              <w:top w:val="single" w:sz="4" w:space="0" w:color="auto"/>
              <w:left w:val="double" w:sz="4" w:space="0" w:color="auto"/>
              <w:bottom w:val="double" w:sz="6" w:space="0" w:color="auto"/>
              <w:right w:val="single" w:sz="4" w:space="0" w:color="auto"/>
            </w:tcBorders>
            <w:vAlign w:val="center"/>
          </w:tcPr>
          <w:p w14:paraId="5B951B6B" w14:textId="77777777" w:rsidR="00335680" w:rsidRPr="00E85FE6" w:rsidRDefault="00335680" w:rsidP="00335680">
            <w:pPr>
              <w:spacing w:line="240" w:lineRule="auto"/>
              <w:jc w:val="center"/>
              <w:rPr>
                <w:rFonts w:eastAsia="Times New Roman" w:cs="Times New Roman"/>
                <w:color w:val="000000"/>
                <w:sz w:val="20"/>
                <w:szCs w:val="20"/>
              </w:rPr>
            </w:pPr>
            <w:proofErr w:type="spellStart"/>
            <w:r w:rsidRPr="00E85FE6">
              <w:rPr>
                <w:rFonts w:eastAsia="Times New Roman" w:cs="Times New Roman"/>
                <w:color w:val="000000"/>
                <w:sz w:val="20"/>
                <w:szCs w:val="20"/>
              </w:rPr>
              <w:t>Coef</w:t>
            </w:r>
            <w:proofErr w:type="spellEnd"/>
            <w:r w:rsidRPr="00E85FE6">
              <w:rPr>
                <w:rFonts w:eastAsia="Times New Roman" w:cs="Times New Roman"/>
                <w:color w:val="000000"/>
                <w:sz w:val="20"/>
                <w:szCs w:val="20"/>
              </w:rPr>
              <w:t>.</w:t>
            </w:r>
          </w:p>
        </w:tc>
        <w:tc>
          <w:tcPr>
            <w:tcW w:w="211" w:type="pct"/>
            <w:tcBorders>
              <w:top w:val="single" w:sz="4" w:space="0" w:color="auto"/>
              <w:left w:val="single" w:sz="4" w:space="0" w:color="auto"/>
              <w:bottom w:val="double" w:sz="6" w:space="0" w:color="auto"/>
              <w:right w:val="double" w:sz="4" w:space="0" w:color="auto"/>
            </w:tcBorders>
            <w:vAlign w:val="center"/>
          </w:tcPr>
          <w:p w14:paraId="0249B769" w14:textId="77777777" w:rsidR="00335680" w:rsidRPr="00E85FE6" w:rsidRDefault="00335680"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t-stat</w:t>
            </w:r>
          </w:p>
        </w:tc>
        <w:tc>
          <w:tcPr>
            <w:tcW w:w="211" w:type="pct"/>
            <w:tcBorders>
              <w:top w:val="single" w:sz="4" w:space="0" w:color="auto"/>
              <w:left w:val="double" w:sz="4" w:space="0" w:color="auto"/>
              <w:bottom w:val="double" w:sz="6" w:space="0" w:color="auto"/>
              <w:right w:val="single" w:sz="4" w:space="0" w:color="auto"/>
            </w:tcBorders>
            <w:vAlign w:val="center"/>
          </w:tcPr>
          <w:p w14:paraId="610DDAF5" w14:textId="77777777" w:rsidR="00335680" w:rsidRPr="00E85FE6" w:rsidRDefault="00335680" w:rsidP="00335680">
            <w:pPr>
              <w:spacing w:line="240" w:lineRule="auto"/>
              <w:jc w:val="center"/>
              <w:rPr>
                <w:rFonts w:eastAsia="Times New Roman" w:cs="Times New Roman"/>
                <w:color w:val="000000"/>
                <w:sz w:val="20"/>
                <w:szCs w:val="20"/>
              </w:rPr>
            </w:pPr>
            <w:proofErr w:type="spellStart"/>
            <w:r w:rsidRPr="00E85FE6">
              <w:rPr>
                <w:rFonts w:eastAsia="Times New Roman" w:cs="Times New Roman"/>
                <w:color w:val="000000"/>
                <w:sz w:val="20"/>
                <w:szCs w:val="20"/>
              </w:rPr>
              <w:t>Coef</w:t>
            </w:r>
            <w:proofErr w:type="spellEnd"/>
            <w:r w:rsidRPr="00E85FE6">
              <w:rPr>
                <w:rFonts w:eastAsia="Times New Roman" w:cs="Times New Roman"/>
                <w:color w:val="000000"/>
                <w:sz w:val="20"/>
                <w:szCs w:val="20"/>
              </w:rPr>
              <w:t>.</w:t>
            </w:r>
          </w:p>
        </w:tc>
        <w:tc>
          <w:tcPr>
            <w:tcW w:w="211" w:type="pct"/>
            <w:tcBorders>
              <w:top w:val="single" w:sz="4" w:space="0" w:color="auto"/>
              <w:left w:val="single" w:sz="4" w:space="0" w:color="auto"/>
              <w:bottom w:val="double" w:sz="6" w:space="0" w:color="auto"/>
              <w:right w:val="double" w:sz="4" w:space="0" w:color="auto"/>
            </w:tcBorders>
            <w:vAlign w:val="center"/>
          </w:tcPr>
          <w:p w14:paraId="6B95E276" w14:textId="77777777" w:rsidR="00335680" w:rsidRPr="00E85FE6" w:rsidRDefault="00335680"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t-stat</w:t>
            </w:r>
          </w:p>
        </w:tc>
        <w:tc>
          <w:tcPr>
            <w:tcW w:w="211" w:type="pct"/>
            <w:tcBorders>
              <w:top w:val="single" w:sz="4" w:space="0" w:color="auto"/>
              <w:left w:val="double" w:sz="4" w:space="0" w:color="auto"/>
              <w:bottom w:val="double" w:sz="6" w:space="0" w:color="auto"/>
              <w:right w:val="single" w:sz="4" w:space="0" w:color="auto"/>
            </w:tcBorders>
            <w:shd w:val="clear" w:color="auto" w:fill="auto"/>
            <w:noWrap/>
            <w:vAlign w:val="center"/>
            <w:hideMark/>
          </w:tcPr>
          <w:p w14:paraId="701DCA91" w14:textId="77777777" w:rsidR="00335680" w:rsidRPr="00E85FE6" w:rsidRDefault="00335680" w:rsidP="00335680">
            <w:pPr>
              <w:spacing w:line="240" w:lineRule="auto"/>
              <w:jc w:val="center"/>
              <w:rPr>
                <w:rFonts w:eastAsia="Times New Roman" w:cs="Times New Roman"/>
                <w:color w:val="000000"/>
                <w:sz w:val="20"/>
                <w:szCs w:val="20"/>
              </w:rPr>
            </w:pPr>
            <w:proofErr w:type="spellStart"/>
            <w:r w:rsidRPr="00E85FE6">
              <w:rPr>
                <w:rFonts w:eastAsia="Times New Roman" w:cs="Times New Roman"/>
                <w:color w:val="000000"/>
                <w:sz w:val="20"/>
                <w:szCs w:val="20"/>
              </w:rPr>
              <w:t>Coef</w:t>
            </w:r>
            <w:proofErr w:type="spellEnd"/>
            <w:r w:rsidRPr="00E85FE6">
              <w:rPr>
                <w:rFonts w:eastAsia="Times New Roman" w:cs="Times New Roman"/>
                <w:color w:val="000000"/>
                <w:sz w:val="20"/>
                <w:szCs w:val="20"/>
              </w:rPr>
              <w:t>.</w:t>
            </w:r>
          </w:p>
        </w:tc>
        <w:tc>
          <w:tcPr>
            <w:tcW w:w="256" w:type="pct"/>
            <w:tcBorders>
              <w:top w:val="single" w:sz="4" w:space="0" w:color="auto"/>
              <w:left w:val="single" w:sz="4" w:space="0" w:color="auto"/>
              <w:bottom w:val="double" w:sz="6" w:space="0" w:color="auto"/>
              <w:right w:val="double" w:sz="4" w:space="0" w:color="000000"/>
            </w:tcBorders>
            <w:shd w:val="clear" w:color="auto" w:fill="auto"/>
            <w:noWrap/>
            <w:vAlign w:val="center"/>
            <w:hideMark/>
          </w:tcPr>
          <w:p w14:paraId="41F106B3" w14:textId="77777777" w:rsidR="00335680" w:rsidRPr="00E85FE6" w:rsidRDefault="00335680" w:rsidP="00335680">
            <w:pPr>
              <w:spacing w:line="240" w:lineRule="auto"/>
              <w:jc w:val="center"/>
              <w:rPr>
                <w:rFonts w:eastAsia="Times New Roman" w:cs="Times New Roman"/>
                <w:color w:val="000000"/>
                <w:sz w:val="20"/>
                <w:szCs w:val="20"/>
              </w:rPr>
            </w:pPr>
            <w:r w:rsidRPr="00E85FE6">
              <w:rPr>
                <w:rFonts w:eastAsia="Times New Roman" w:cs="Times New Roman"/>
                <w:color w:val="000000"/>
                <w:sz w:val="20"/>
                <w:szCs w:val="20"/>
              </w:rPr>
              <w:t>t-stat</w:t>
            </w:r>
          </w:p>
        </w:tc>
      </w:tr>
      <w:tr w:rsidR="00335680" w:rsidRPr="00E85FE6" w14:paraId="6321ED2D" w14:textId="77777777" w:rsidTr="00BC53A5">
        <w:trPr>
          <w:trHeight w:val="17"/>
          <w:jc w:val="center"/>
        </w:trPr>
        <w:tc>
          <w:tcPr>
            <w:tcW w:w="1158" w:type="pct"/>
            <w:tcBorders>
              <w:top w:val="double" w:sz="6" w:space="0" w:color="auto"/>
              <w:left w:val="double" w:sz="4" w:space="0" w:color="000000"/>
              <w:right w:val="double" w:sz="6" w:space="0" w:color="auto"/>
            </w:tcBorders>
            <w:shd w:val="clear" w:color="auto" w:fill="auto"/>
            <w:noWrap/>
            <w:vAlign w:val="center"/>
          </w:tcPr>
          <w:p w14:paraId="0DEDC6C6" w14:textId="77777777" w:rsidR="00335680" w:rsidRPr="00E85FE6" w:rsidRDefault="00335680" w:rsidP="00447432">
            <w:pPr>
              <w:spacing w:line="240" w:lineRule="auto"/>
              <w:jc w:val="left"/>
              <w:rPr>
                <w:rFonts w:eastAsia="SimSun" w:cs="Times New Roman"/>
                <w:i/>
                <w:iCs/>
                <w:color w:val="000000"/>
                <w:sz w:val="20"/>
                <w:szCs w:val="20"/>
              </w:rPr>
            </w:pPr>
            <w:r w:rsidRPr="00E85FE6">
              <w:rPr>
                <w:rFonts w:eastAsia="Times New Roman" w:cs="Times New Roman"/>
                <w:color w:val="000000"/>
                <w:sz w:val="20"/>
                <w:szCs w:val="20"/>
              </w:rPr>
              <w:t>Constants</w:t>
            </w:r>
          </w:p>
        </w:tc>
        <w:tc>
          <w:tcPr>
            <w:tcW w:w="209" w:type="pct"/>
            <w:tcBorders>
              <w:top w:val="double" w:sz="6" w:space="0" w:color="auto"/>
              <w:left w:val="nil"/>
              <w:right w:val="single" w:sz="4" w:space="0" w:color="auto"/>
            </w:tcBorders>
            <w:shd w:val="clear" w:color="auto" w:fill="auto"/>
            <w:noWrap/>
            <w:vAlign w:val="center"/>
          </w:tcPr>
          <w:p w14:paraId="75EF41DD" w14:textId="090A873B" w:rsidR="00335680" w:rsidRPr="00E85FE6" w:rsidRDefault="00335680"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1.5</w:t>
            </w:r>
            <w:r w:rsidR="00875F31">
              <w:rPr>
                <w:rFonts w:eastAsia="Times New Roman" w:cs="Times New Roman"/>
                <w:color w:val="000000"/>
                <w:sz w:val="20"/>
                <w:szCs w:val="20"/>
              </w:rPr>
              <w:t>12</w:t>
            </w:r>
          </w:p>
        </w:tc>
        <w:tc>
          <w:tcPr>
            <w:tcW w:w="211" w:type="pct"/>
            <w:tcBorders>
              <w:top w:val="double" w:sz="6" w:space="0" w:color="auto"/>
              <w:left w:val="nil"/>
              <w:right w:val="single" w:sz="4" w:space="0" w:color="auto"/>
            </w:tcBorders>
            <w:shd w:val="clear" w:color="auto" w:fill="auto"/>
            <w:noWrap/>
            <w:vAlign w:val="center"/>
          </w:tcPr>
          <w:p w14:paraId="76BEB45E" w14:textId="72AFF9F8" w:rsidR="00335680" w:rsidRPr="00E85FE6" w:rsidRDefault="00875F31"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64.35</w:t>
            </w:r>
          </w:p>
        </w:tc>
        <w:tc>
          <w:tcPr>
            <w:tcW w:w="209" w:type="pct"/>
            <w:tcBorders>
              <w:top w:val="double" w:sz="6" w:space="0" w:color="auto"/>
              <w:left w:val="nil"/>
              <w:right w:val="single" w:sz="4" w:space="0" w:color="auto"/>
            </w:tcBorders>
            <w:shd w:val="clear" w:color="auto" w:fill="auto"/>
            <w:noWrap/>
            <w:vAlign w:val="center"/>
          </w:tcPr>
          <w:p w14:paraId="0D1A685F" w14:textId="6ADE636A" w:rsidR="00335680" w:rsidRPr="00E85FE6" w:rsidRDefault="00335680"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1.55</w:t>
            </w:r>
            <w:r w:rsidR="00875F31">
              <w:rPr>
                <w:rFonts w:eastAsia="Times New Roman" w:cs="Times New Roman"/>
                <w:color w:val="000000"/>
                <w:sz w:val="20"/>
                <w:szCs w:val="20"/>
              </w:rPr>
              <w:t>4</w:t>
            </w:r>
          </w:p>
        </w:tc>
        <w:tc>
          <w:tcPr>
            <w:tcW w:w="211" w:type="pct"/>
            <w:tcBorders>
              <w:top w:val="double" w:sz="6" w:space="0" w:color="auto"/>
              <w:left w:val="nil"/>
              <w:right w:val="double" w:sz="4" w:space="0" w:color="auto"/>
            </w:tcBorders>
            <w:shd w:val="clear" w:color="auto" w:fill="auto"/>
            <w:noWrap/>
            <w:vAlign w:val="center"/>
          </w:tcPr>
          <w:p w14:paraId="4922BF7B" w14:textId="2C695F13" w:rsidR="00335680" w:rsidRPr="00E85FE6" w:rsidRDefault="00875F31"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33.46</w:t>
            </w:r>
          </w:p>
        </w:tc>
        <w:tc>
          <w:tcPr>
            <w:tcW w:w="211" w:type="pct"/>
            <w:tcBorders>
              <w:top w:val="double" w:sz="6" w:space="0" w:color="auto"/>
              <w:left w:val="double" w:sz="4" w:space="0" w:color="auto"/>
              <w:right w:val="single" w:sz="4" w:space="0" w:color="auto"/>
            </w:tcBorders>
            <w:shd w:val="clear" w:color="auto" w:fill="auto"/>
            <w:noWrap/>
            <w:vAlign w:val="center"/>
          </w:tcPr>
          <w:p w14:paraId="5518A9A6" w14:textId="1FCDE762" w:rsidR="00335680" w:rsidRPr="00E85FE6" w:rsidRDefault="00335680" w:rsidP="001E635A">
            <w:pPr>
              <w:spacing w:line="240" w:lineRule="auto"/>
              <w:jc w:val="right"/>
              <w:rPr>
                <w:rFonts w:eastAsia="Times New Roman" w:cs="Times New Roman"/>
                <w:color w:val="000000"/>
                <w:sz w:val="20"/>
                <w:szCs w:val="20"/>
              </w:rPr>
            </w:pPr>
            <w:r>
              <w:rPr>
                <w:rFonts w:eastAsia="Times New Roman" w:cs="Times New Roman"/>
                <w:color w:val="000000"/>
                <w:sz w:val="20"/>
                <w:szCs w:val="20"/>
              </w:rPr>
              <w:t>0.9</w:t>
            </w:r>
            <w:r w:rsidR="001E635A">
              <w:rPr>
                <w:rFonts w:eastAsia="Times New Roman" w:cs="Times New Roman"/>
                <w:color w:val="000000"/>
                <w:sz w:val="20"/>
                <w:szCs w:val="20"/>
              </w:rPr>
              <w:t>63</w:t>
            </w:r>
          </w:p>
        </w:tc>
        <w:tc>
          <w:tcPr>
            <w:tcW w:w="211" w:type="pct"/>
            <w:tcBorders>
              <w:top w:val="double" w:sz="6" w:space="0" w:color="auto"/>
              <w:left w:val="nil"/>
              <w:right w:val="single" w:sz="4" w:space="0" w:color="auto"/>
            </w:tcBorders>
            <w:shd w:val="clear" w:color="auto" w:fill="auto"/>
            <w:noWrap/>
            <w:vAlign w:val="center"/>
          </w:tcPr>
          <w:p w14:paraId="2E312896" w14:textId="22E6638B" w:rsidR="00335680" w:rsidRPr="00E85FE6" w:rsidRDefault="001E635A"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19.83</w:t>
            </w:r>
          </w:p>
        </w:tc>
        <w:tc>
          <w:tcPr>
            <w:tcW w:w="211" w:type="pct"/>
            <w:tcBorders>
              <w:top w:val="double" w:sz="6" w:space="0" w:color="auto"/>
              <w:left w:val="nil"/>
              <w:right w:val="single" w:sz="4" w:space="0" w:color="auto"/>
            </w:tcBorders>
            <w:shd w:val="clear" w:color="auto" w:fill="auto"/>
            <w:noWrap/>
            <w:vAlign w:val="center"/>
          </w:tcPr>
          <w:p w14:paraId="2EEECFD2" w14:textId="05BD03F6" w:rsidR="00335680" w:rsidRPr="00E85FE6" w:rsidRDefault="00335680" w:rsidP="00DD2E34">
            <w:pPr>
              <w:spacing w:line="240" w:lineRule="auto"/>
              <w:jc w:val="right"/>
              <w:rPr>
                <w:rFonts w:eastAsia="Times New Roman" w:cs="Times New Roman"/>
                <w:color w:val="000000"/>
                <w:sz w:val="20"/>
                <w:szCs w:val="20"/>
              </w:rPr>
            </w:pPr>
            <w:r>
              <w:rPr>
                <w:rFonts w:eastAsia="Times New Roman" w:cs="Times New Roman"/>
                <w:color w:val="000000"/>
                <w:sz w:val="20"/>
                <w:szCs w:val="20"/>
              </w:rPr>
              <w:t>0.6</w:t>
            </w:r>
            <w:r w:rsidR="00DD2E34">
              <w:rPr>
                <w:rFonts w:eastAsia="Times New Roman" w:cs="Times New Roman"/>
                <w:color w:val="000000"/>
                <w:sz w:val="20"/>
                <w:szCs w:val="20"/>
              </w:rPr>
              <w:t>60</w:t>
            </w:r>
          </w:p>
        </w:tc>
        <w:tc>
          <w:tcPr>
            <w:tcW w:w="212" w:type="pct"/>
            <w:tcBorders>
              <w:top w:val="double" w:sz="6" w:space="0" w:color="auto"/>
              <w:left w:val="single" w:sz="4" w:space="0" w:color="auto"/>
              <w:right w:val="double" w:sz="4" w:space="0" w:color="auto"/>
            </w:tcBorders>
            <w:shd w:val="clear" w:color="auto" w:fill="auto"/>
            <w:noWrap/>
            <w:vAlign w:val="center"/>
          </w:tcPr>
          <w:p w14:paraId="1AA77027" w14:textId="2DB3CC92" w:rsidR="00335680" w:rsidRPr="00E85FE6" w:rsidRDefault="00DD2E34" w:rsidP="00DD2E34">
            <w:pPr>
              <w:spacing w:line="240" w:lineRule="auto"/>
              <w:jc w:val="right"/>
              <w:rPr>
                <w:rFonts w:eastAsia="Times New Roman" w:cs="Times New Roman"/>
                <w:color w:val="000000"/>
                <w:sz w:val="20"/>
                <w:szCs w:val="20"/>
              </w:rPr>
            </w:pPr>
            <w:r>
              <w:rPr>
                <w:rFonts w:eastAsia="Times New Roman" w:cs="Times New Roman"/>
                <w:color w:val="000000"/>
                <w:sz w:val="20"/>
                <w:szCs w:val="20"/>
              </w:rPr>
              <w:t>9.89</w:t>
            </w:r>
          </w:p>
        </w:tc>
        <w:tc>
          <w:tcPr>
            <w:tcW w:w="211" w:type="pct"/>
            <w:tcBorders>
              <w:top w:val="double" w:sz="6" w:space="0" w:color="auto"/>
              <w:left w:val="double" w:sz="4" w:space="0" w:color="auto"/>
              <w:right w:val="single" w:sz="4" w:space="0" w:color="auto"/>
            </w:tcBorders>
            <w:vAlign w:val="center"/>
          </w:tcPr>
          <w:p w14:paraId="248638E0" w14:textId="18B73A4F" w:rsidR="00335680" w:rsidRPr="00E85FE6" w:rsidRDefault="00335680" w:rsidP="0092413A">
            <w:pPr>
              <w:tabs>
                <w:tab w:val="left" w:pos="238"/>
              </w:tabs>
              <w:spacing w:line="240" w:lineRule="auto"/>
              <w:jc w:val="right"/>
              <w:rPr>
                <w:rFonts w:eastAsia="Times New Roman" w:cs="Times New Roman"/>
                <w:color w:val="000000"/>
                <w:sz w:val="20"/>
                <w:szCs w:val="20"/>
              </w:rPr>
            </w:pPr>
            <w:r>
              <w:rPr>
                <w:rFonts w:eastAsia="Times New Roman" w:cs="Times New Roman"/>
                <w:color w:val="000000"/>
                <w:sz w:val="20"/>
                <w:szCs w:val="20"/>
              </w:rPr>
              <w:t>1.2</w:t>
            </w:r>
            <w:r w:rsidR="0092413A">
              <w:rPr>
                <w:rFonts w:eastAsia="Times New Roman" w:cs="Times New Roman"/>
                <w:color w:val="000000"/>
                <w:sz w:val="20"/>
                <w:szCs w:val="20"/>
              </w:rPr>
              <w:t>79</w:t>
            </w:r>
          </w:p>
        </w:tc>
        <w:tc>
          <w:tcPr>
            <w:tcW w:w="212" w:type="pct"/>
            <w:tcBorders>
              <w:top w:val="double" w:sz="6" w:space="0" w:color="auto"/>
              <w:left w:val="single" w:sz="4" w:space="0" w:color="auto"/>
              <w:right w:val="single" w:sz="4" w:space="0" w:color="auto"/>
            </w:tcBorders>
            <w:vAlign w:val="center"/>
          </w:tcPr>
          <w:p w14:paraId="4C409F66" w14:textId="6ED685CF" w:rsidR="00335680" w:rsidRPr="00E85FE6" w:rsidRDefault="0092413A"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16.59</w:t>
            </w:r>
          </w:p>
        </w:tc>
        <w:tc>
          <w:tcPr>
            <w:tcW w:w="211" w:type="pct"/>
            <w:tcBorders>
              <w:top w:val="double" w:sz="6" w:space="0" w:color="auto"/>
              <w:left w:val="single" w:sz="4" w:space="0" w:color="auto"/>
              <w:right w:val="single" w:sz="4" w:space="0" w:color="auto"/>
            </w:tcBorders>
            <w:vAlign w:val="center"/>
          </w:tcPr>
          <w:p w14:paraId="662FE478" w14:textId="0679BC7A" w:rsidR="00335680" w:rsidRPr="00E85FE6" w:rsidRDefault="00335680" w:rsidP="0092413A">
            <w:pPr>
              <w:tabs>
                <w:tab w:val="left" w:pos="238"/>
              </w:tabs>
              <w:spacing w:line="240" w:lineRule="auto"/>
              <w:jc w:val="right"/>
              <w:rPr>
                <w:rFonts w:eastAsia="Times New Roman" w:cs="Times New Roman"/>
                <w:color w:val="000000"/>
                <w:sz w:val="20"/>
                <w:szCs w:val="20"/>
              </w:rPr>
            </w:pPr>
            <w:r>
              <w:rPr>
                <w:rFonts w:eastAsia="Times New Roman" w:cs="Times New Roman"/>
                <w:color w:val="000000"/>
                <w:sz w:val="20"/>
                <w:szCs w:val="20"/>
              </w:rPr>
              <w:t>0.9</w:t>
            </w:r>
            <w:r w:rsidR="0092413A">
              <w:rPr>
                <w:rFonts w:eastAsia="Times New Roman" w:cs="Times New Roman"/>
                <w:color w:val="000000"/>
                <w:sz w:val="20"/>
                <w:szCs w:val="20"/>
              </w:rPr>
              <w:t>17</w:t>
            </w:r>
          </w:p>
        </w:tc>
        <w:tc>
          <w:tcPr>
            <w:tcW w:w="212" w:type="pct"/>
            <w:tcBorders>
              <w:top w:val="double" w:sz="6" w:space="0" w:color="auto"/>
              <w:left w:val="single" w:sz="4" w:space="0" w:color="auto"/>
              <w:right w:val="double" w:sz="4" w:space="0" w:color="auto"/>
            </w:tcBorders>
            <w:vAlign w:val="center"/>
          </w:tcPr>
          <w:p w14:paraId="565CB652" w14:textId="258B1AD8" w:rsidR="00335680" w:rsidRPr="00E85FE6" w:rsidRDefault="00335680" w:rsidP="0092413A">
            <w:pPr>
              <w:spacing w:line="240" w:lineRule="auto"/>
              <w:jc w:val="right"/>
              <w:rPr>
                <w:rFonts w:eastAsia="Times New Roman" w:cs="Times New Roman"/>
                <w:color w:val="000000"/>
                <w:sz w:val="20"/>
                <w:szCs w:val="20"/>
              </w:rPr>
            </w:pPr>
            <w:r>
              <w:rPr>
                <w:rFonts w:eastAsia="Times New Roman" w:cs="Times New Roman"/>
                <w:color w:val="000000"/>
                <w:sz w:val="20"/>
                <w:szCs w:val="20"/>
              </w:rPr>
              <w:t>16.</w:t>
            </w:r>
            <w:r w:rsidR="0092413A">
              <w:rPr>
                <w:rFonts w:eastAsia="Times New Roman" w:cs="Times New Roman"/>
                <w:color w:val="000000"/>
                <w:sz w:val="20"/>
                <w:szCs w:val="20"/>
              </w:rPr>
              <w:t>95</w:t>
            </w:r>
          </w:p>
        </w:tc>
        <w:tc>
          <w:tcPr>
            <w:tcW w:w="211" w:type="pct"/>
            <w:tcBorders>
              <w:top w:val="double" w:sz="6" w:space="0" w:color="auto"/>
              <w:left w:val="double" w:sz="4" w:space="0" w:color="auto"/>
              <w:right w:val="single" w:sz="4" w:space="0" w:color="auto"/>
            </w:tcBorders>
            <w:vAlign w:val="center"/>
          </w:tcPr>
          <w:p w14:paraId="3DCB42C1" w14:textId="7F08A359" w:rsidR="00335680" w:rsidRPr="00E85FE6" w:rsidRDefault="00335680" w:rsidP="007275D5">
            <w:pPr>
              <w:spacing w:line="240" w:lineRule="auto"/>
              <w:jc w:val="right"/>
              <w:rPr>
                <w:rFonts w:eastAsia="Times New Roman" w:cs="Times New Roman"/>
                <w:color w:val="000000"/>
                <w:sz w:val="20"/>
                <w:szCs w:val="20"/>
              </w:rPr>
            </w:pPr>
            <w:r>
              <w:rPr>
                <w:rFonts w:eastAsia="Times New Roman" w:cs="Times New Roman"/>
                <w:color w:val="000000"/>
                <w:sz w:val="20"/>
                <w:szCs w:val="20"/>
              </w:rPr>
              <w:t>1.6</w:t>
            </w:r>
            <w:r w:rsidR="007275D5">
              <w:rPr>
                <w:rFonts w:eastAsia="Times New Roman" w:cs="Times New Roman"/>
                <w:color w:val="000000"/>
                <w:sz w:val="20"/>
                <w:szCs w:val="20"/>
              </w:rPr>
              <w:t>98</w:t>
            </w:r>
          </w:p>
        </w:tc>
        <w:tc>
          <w:tcPr>
            <w:tcW w:w="211" w:type="pct"/>
            <w:tcBorders>
              <w:top w:val="double" w:sz="6" w:space="0" w:color="auto"/>
              <w:left w:val="single" w:sz="4" w:space="0" w:color="auto"/>
              <w:right w:val="double" w:sz="4" w:space="0" w:color="auto"/>
            </w:tcBorders>
            <w:vAlign w:val="center"/>
          </w:tcPr>
          <w:p w14:paraId="39CCAD39" w14:textId="6E04A372" w:rsidR="00335680" w:rsidRPr="00E85FE6" w:rsidRDefault="007275D5"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20</w:t>
            </w:r>
            <w:r w:rsidR="00335680">
              <w:rPr>
                <w:rFonts w:eastAsia="Times New Roman" w:cs="Times New Roman"/>
                <w:color w:val="000000"/>
                <w:sz w:val="20"/>
                <w:szCs w:val="20"/>
              </w:rPr>
              <w:t>.25</w:t>
            </w:r>
          </w:p>
        </w:tc>
        <w:tc>
          <w:tcPr>
            <w:tcW w:w="211" w:type="pct"/>
            <w:tcBorders>
              <w:top w:val="double" w:sz="6" w:space="0" w:color="auto"/>
              <w:left w:val="double" w:sz="4" w:space="0" w:color="auto"/>
              <w:right w:val="single" w:sz="4" w:space="0" w:color="auto"/>
            </w:tcBorders>
            <w:vAlign w:val="center"/>
          </w:tcPr>
          <w:p w14:paraId="7C1E25A4" w14:textId="0CEAD220" w:rsidR="00335680" w:rsidRPr="00E85FE6" w:rsidRDefault="00335680" w:rsidP="007275D5">
            <w:pPr>
              <w:spacing w:line="240" w:lineRule="auto"/>
              <w:jc w:val="right"/>
              <w:rPr>
                <w:rFonts w:eastAsia="Times New Roman" w:cs="Times New Roman"/>
                <w:color w:val="000000"/>
                <w:sz w:val="20"/>
                <w:szCs w:val="20"/>
              </w:rPr>
            </w:pPr>
            <w:r>
              <w:rPr>
                <w:rFonts w:eastAsia="Times New Roman" w:cs="Times New Roman"/>
                <w:color w:val="000000"/>
                <w:sz w:val="20"/>
                <w:szCs w:val="20"/>
              </w:rPr>
              <w:t>0.4</w:t>
            </w:r>
            <w:r w:rsidR="007275D5">
              <w:rPr>
                <w:rFonts w:eastAsia="Times New Roman" w:cs="Times New Roman"/>
                <w:color w:val="000000"/>
                <w:sz w:val="20"/>
                <w:szCs w:val="20"/>
              </w:rPr>
              <w:t>08</w:t>
            </w:r>
          </w:p>
        </w:tc>
        <w:tc>
          <w:tcPr>
            <w:tcW w:w="211" w:type="pct"/>
            <w:tcBorders>
              <w:top w:val="double" w:sz="6" w:space="0" w:color="auto"/>
              <w:left w:val="single" w:sz="4" w:space="0" w:color="auto"/>
              <w:right w:val="double" w:sz="4" w:space="0" w:color="auto"/>
            </w:tcBorders>
            <w:vAlign w:val="center"/>
          </w:tcPr>
          <w:p w14:paraId="2B96FECA" w14:textId="3A91B048" w:rsidR="00335680" w:rsidRPr="00E85FE6" w:rsidRDefault="007275D5"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9.41</w:t>
            </w:r>
          </w:p>
        </w:tc>
        <w:tc>
          <w:tcPr>
            <w:tcW w:w="211" w:type="pct"/>
            <w:tcBorders>
              <w:top w:val="double" w:sz="6" w:space="0" w:color="auto"/>
              <w:left w:val="double" w:sz="4" w:space="0" w:color="auto"/>
              <w:right w:val="single" w:sz="4" w:space="0" w:color="auto"/>
            </w:tcBorders>
            <w:shd w:val="clear" w:color="auto" w:fill="auto"/>
            <w:noWrap/>
            <w:vAlign w:val="center"/>
          </w:tcPr>
          <w:p w14:paraId="5AB948BF" w14:textId="240DC681" w:rsidR="00335680" w:rsidRPr="00E85FE6" w:rsidRDefault="00DC480D"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2.006</w:t>
            </w:r>
          </w:p>
        </w:tc>
        <w:tc>
          <w:tcPr>
            <w:tcW w:w="256" w:type="pct"/>
            <w:tcBorders>
              <w:top w:val="double" w:sz="6" w:space="0" w:color="auto"/>
              <w:left w:val="single" w:sz="4" w:space="0" w:color="auto"/>
              <w:right w:val="double" w:sz="4" w:space="0" w:color="000000"/>
            </w:tcBorders>
            <w:shd w:val="clear" w:color="auto" w:fill="auto"/>
            <w:noWrap/>
            <w:tcMar>
              <w:right w:w="58" w:type="dxa"/>
            </w:tcMar>
            <w:vAlign w:val="center"/>
          </w:tcPr>
          <w:p w14:paraId="1128BE87" w14:textId="65E2CDAE" w:rsidR="00335680" w:rsidRPr="00E85FE6" w:rsidRDefault="00DC480D"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59.68</w:t>
            </w:r>
          </w:p>
        </w:tc>
      </w:tr>
      <w:tr w:rsidR="00335680" w:rsidRPr="00E85FE6" w14:paraId="4891EB3E" w14:textId="77777777" w:rsidTr="00BC53A5">
        <w:trPr>
          <w:trHeight w:val="17"/>
          <w:jc w:val="center"/>
        </w:trPr>
        <w:tc>
          <w:tcPr>
            <w:tcW w:w="1158" w:type="pct"/>
            <w:tcBorders>
              <w:left w:val="double" w:sz="4" w:space="0" w:color="000000"/>
              <w:right w:val="double" w:sz="6" w:space="0" w:color="auto"/>
            </w:tcBorders>
            <w:shd w:val="clear" w:color="auto" w:fill="auto"/>
            <w:noWrap/>
            <w:vAlign w:val="center"/>
          </w:tcPr>
          <w:p w14:paraId="2794B0AA" w14:textId="5B91838A" w:rsidR="00335680" w:rsidRPr="00E85FE6" w:rsidRDefault="00335680" w:rsidP="00447432">
            <w:pPr>
              <w:spacing w:line="240" w:lineRule="auto"/>
              <w:jc w:val="left"/>
              <w:rPr>
                <w:rFonts w:eastAsia="SimSun" w:cs="Times New Roman"/>
                <w:i/>
                <w:iCs/>
                <w:color w:val="000000"/>
                <w:sz w:val="20"/>
                <w:szCs w:val="20"/>
              </w:rPr>
            </w:pPr>
            <w:r>
              <w:rPr>
                <w:rFonts w:eastAsia="SimSun" w:cs="Times New Roman"/>
                <w:i/>
                <w:iCs/>
                <w:color w:val="000000"/>
                <w:sz w:val="20"/>
                <w:szCs w:val="20"/>
              </w:rPr>
              <w:t>Gender (male)</w:t>
            </w:r>
          </w:p>
        </w:tc>
        <w:tc>
          <w:tcPr>
            <w:tcW w:w="209" w:type="pct"/>
            <w:tcBorders>
              <w:left w:val="nil"/>
              <w:right w:val="single" w:sz="4" w:space="0" w:color="auto"/>
            </w:tcBorders>
            <w:shd w:val="clear" w:color="auto" w:fill="auto"/>
            <w:noWrap/>
            <w:vAlign w:val="center"/>
          </w:tcPr>
          <w:p w14:paraId="0E4A3105"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4F473653"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left w:val="nil"/>
              <w:right w:val="single" w:sz="4" w:space="0" w:color="auto"/>
            </w:tcBorders>
            <w:shd w:val="clear" w:color="auto" w:fill="auto"/>
            <w:noWrap/>
            <w:vAlign w:val="center"/>
          </w:tcPr>
          <w:p w14:paraId="79FC001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double" w:sz="4" w:space="0" w:color="auto"/>
            </w:tcBorders>
            <w:shd w:val="clear" w:color="auto" w:fill="auto"/>
            <w:noWrap/>
            <w:vAlign w:val="center"/>
          </w:tcPr>
          <w:p w14:paraId="539D634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57F76A1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49AE14DA"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3662CBE2"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shd w:val="clear" w:color="auto" w:fill="auto"/>
            <w:noWrap/>
            <w:vAlign w:val="center"/>
          </w:tcPr>
          <w:p w14:paraId="07346B08"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00FAC1CA"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2EE9187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3F5D0612"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6EBEA848"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234ABC1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051F2BA8"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7DA8953"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35D2FEF5"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7A8BD39E"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left w:val="single" w:sz="4" w:space="0" w:color="auto"/>
              <w:right w:val="double" w:sz="4" w:space="0" w:color="000000"/>
            </w:tcBorders>
            <w:shd w:val="clear" w:color="auto" w:fill="auto"/>
            <w:noWrap/>
            <w:tcMar>
              <w:right w:w="58" w:type="dxa"/>
            </w:tcMar>
            <w:vAlign w:val="center"/>
          </w:tcPr>
          <w:p w14:paraId="614253B3"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7EDDB312" w14:textId="77777777" w:rsidTr="00BC53A5">
        <w:trPr>
          <w:trHeight w:val="17"/>
          <w:jc w:val="center"/>
        </w:trPr>
        <w:tc>
          <w:tcPr>
            <w:tcW w:w="1158" w:type="pct"/>
            <w:tcBorders>
              <w:left w:val="double" w:sz="4" w:space="0" w:color="000000"/>
              <w:right w:val="double" w:sz="6" w:space="0" w:color="auto"/>
            </w:tcBorders>
            <w:shd w:val="clear" w:color="auto" w:fill="auto"/>
            <w:noWrap/>
            <w:vAlign w:val="center"/>
          </w:tcPr>
          <w:p w14:paraId="20FA94F9" w14:textId="77777777" w:rsidR="00335680" w:rsidRPr="00DA328B" w:rsidRDefault="00335680" w:rsidP="00447432">
            <w:pPr>
              <w:spacing w:line="240" w:lineRule="auto"/>
              <w:ind w:left="255"/>
              <w:jc w:val="left"/>
              <w:rPr>
                <w:rFonts w:eastAsia="SimSun" w:cs="Times New Roman"/>
                <w:iCs/>
                <w:color w:val="000000"/>
                <w:sz w:val="20"/>
                <w:szCs w:val="20"/>
              </w:rPr>
            </w:pPr>
            <w:r w:rsidRPr="00DA328B">
              <w:rPr>
                <w:rFonts w:eastAsia="SimSun" w:cs="Times New Roman"/>
                <w:iCs/>
                <w:color w:val="000000"/>
                <w:sz w:val="20"/>
                <w:szCs w:val="20"/>
              </w:rPr>
              <w:t>Female</w:t>
            </w:r>
          </w:p>
        </w:tc>
        <w:tc>
          <w:tcPr>
            <w:tcW w:w="209" w:type="pct"/>
            <w:tcBorders>
              <w:left w:val="nil"/>
              <w:right w:val="single" w:sz="4" w:space="0" w:color="auto"/>
            </w:tcBorders>
            <w:shd w:val="clear" w:color="auto" w:fill="auto"/>
            <w:noWrap/>
            <w:vAlign w:val="center"/>
          </w:tcPr>
          <w:p w14:paraId="4831DA1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3B878E33"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left w:val="nil"/>
              <w:right w:val="single" w:sz="4" w:space="0" w:color="auto"/>
            </w:tcBorders>
            <w:shd w:val="clear" w:color="auto" w:fill="auto"/>
            <w:noWrap/>
            <w:vAlign w:val="center"/>
          </w:tcPr>
          <w:p w14:paraId="5A67141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double" w:sz="4" w:space="0" w:color="auto"/>
            </w:tcBorders>
            <w:shd w:val="clear" w:color="auto" w:fill="auto"/>
            <w:noWrap/>
            <w:vAlign w:val="center"/>
          </w:tcPr>
          <w:p w14:paraId="3F79AC5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39D5491E"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4662D0A0"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57EA63F6" w14:textId="3609695E" w:rsidR="00335680" w:rsidRPr="00E85FE6" w:rsidRDefault="00335680" w:rsidP="00DD2E34">
            <w:pPr>
              <w:spacing w:line="240" w:lineRule="auto"/>
              <w:jc w:val="right"/>
              <w:rPr>
                <w:rFonts w:eastAsia="Times New Roman" w:cs="Times New Roman"/>
                <w:color w:val="000000"/>
                <w:sz w:val="20"/>
                <w:szCs w:val="20"/>
              </w:rPr>
            </w:pPr>
            <w:r>
              <w:rPr>
                <w:rFonts w:eastAsia="Times New Roman" w:cs="Times New Roman"/>
                <w:color w:val="000000"/>
                <w:sz w:val="20"/>
                <w:szCs w:val="20"/>
              </w:rPr>
              <w:t>0.3</w:t>
            </w:r>
            <w:r w:rsidR="00DD2E34">
              <w:rPr>
                <w:rFonts w:eastAsia="Times New Roman" w:cs="Times New Roman"/>
                <w:color w:val="000000"/>
                <w:sz w:val="20"/>
                <w:szCs w:val="20"/>
              </w:rPr>
              <w:t>43</w:t>
            </w:r>
          </w:p>
        </w:tc>
        <w:tc>
          <w:tcPr>
            <w:tcW w:w="212" w:type="pct"/>
            <w:tcBorders>
              <w:left w:val="single" w:sz="4" w:space="0" w:color="auto"/>
              <w:right w:val="double" w:sz="4" w:space="0" w:color="auto"/>
            </w:tcBorders>
            <w:shd w:val="clear" w:color="auto" w:fill="auto"/>
            <w:noWrap/>
            <w:vAlign w:val="center"/>
          </w:tcPr>
          <w:p w14:paraId="5609CC67" w14:textId="65EE91C5" w:rsidR="00335680" w:rsidRPr="00E85FE6" w:rsidRDefault="00335680" w:rsidP="00DD2E34">
            <w:pPr>
              <w:spacing w:line="240" w:lineRule="auto"/>
              <w:jc w:val="right"/>
              <w:rPr>
                <w:rFonts w:eastAsia="Times New Roman" w:cs="Times New Roman"/>
                <w:color w:val="000000"/>
                <w:sz w:val="20"/>
                <w:szCs w:val="20"/>
              </w:rPr>
            </w:pPr>
            <w:r>
              <w:rPr>
                <w:rFonts w:eastAsia="Times New Roman" w:cs="Times New Roman"/>
                <w:color w:val="000000"/>
                <w:sz w:val="20"/>
                <w:szCs w:val="20"/>
              </w:rPr>
              <w:t>6.</w:t>
            </w:r>
            <w:r w:rsidR="00DD2E34">
              <w:rPr>
                <w:rFonts w:eastAsia="Times New Roman" w:cs="Times New Roman"/>
                <w:color w:val="000000"/>
                <w:sz w:val="20"/>
                <w:szCs w:val="20"/>
              </w:rPr>
              <w:t>33</w:t>
            </w:r>
          </w:p>
        </w:tc>
        <w:tc>
          <w:tcPr>
            <w:tcW w:w="211" w:type="pct"/>
            <w:tcBorders>
              <w:left w:val="double" w:sz="4" w:space="0" w:color="auto"/>
              <w:right w:val="single" w:sz="4" w:space="0" w:color="auto"/>
            </w:tcBorders>
            <w:vAlign w:val="center"/>
          </w:tcPr>
          <w:p w14:paraId="50F364CF"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246F276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57484C59" w14:textId="5109A2E7" w:rsidR="00335680" w:rsidRPr="00E85FE6" w:rsidRDefault="00335680" w:rsidP="0092413A">
            <w:pPr>
              <w:spacing w:line="240" w:lineRule="auto"/>
              <w:jc w:val="right"/>
              <w:rPr>
                <w:rFonts w:eastAsia="Times New Roman" w:cs="Times New Roman"/>
                <w:color w:val="000000"/>
                <w:sz w:val="20"/>
                <w:szCs w:val="20"/>
              </w:rPr>
            </w:pPr>
            <w:r>
              <w:rPr>
                <w:rFonts w:eastAsia="Times New Roman" w:cs="Times New Roman"/>
                <w:color w:val="000000"/>
                <w:sz w:val="20"/>
                <w:szCs w:val="20"/>
              </w:rPr>
              <w:t>-0.0</w:t>
            </w:r>
            <w:r w:rsidR="0092413A">
              <w:rPr>
                <w:rFonts w:eastAsia="Times New Roman" w:cs="Times New Roman"/>
                <w:color w:val="000000"/>
                <w:sz w:val="20"/>
                <w:szCs w:val="20"/>
              </w:rPr>
              <w:t>91</w:t>
            </w:r>
          </w:p>
        </w:tc>
        <w:tc>
          <w:tcPr>
            <w:tcW w:w="212" w:type="pct"/>
            <w:tcBorders>
              <w:left w:val="single" w:sz="4" w:space="0" w:color="auto"/>
              <w:right w:val="double" w:sz="4" w:space="0" w:color="auto"/>
            </w:tcBorders>
            <w:vAlign w:val="center"/>
          </w:tcPr>
          <w:p w14:paraId="0BA5E4AD" w14:textId="1B6816C2" w:rsidR="00335680" w:rsidRPr="00E85FE6" w:rsidRDefault="00335680" w:rsidP="0092413A">
            <w:pPr>
              <w:spacing w:line="240" w:lineRule="auto"/>
              <w:jc w:val="right"/>
              <w:rPr>
                <w:rFonts w:eastAsia="Times New Roman" w:cs="Times New Roman"/>
                <w:color w:val="000000"/>
                <w:sz w:val="20"/>
                <w:szCs w:val="20"/>
              </w:rPr>
            </w:pPr>
            <w:r>
              <w:rPr>
                <w:rFonts w:eastAsia="Times New Roman" w:cs="Times New Roman"/>
                <w:color w:val="000000"/>
                <w:sz w:val="20"/>
                <w:szCs w:val="20"/>
              </w:rPr>
              <w:t>-1.</w:t>
            </w:r>
            <w:r w:rsidR="0092413A">
              <w:rPr>
                <w:rFonts w:eastAsia="Times New Roman" w:cs="Times New Roman"/>
                <w:color w:val="000000"/>
                <w:sz w:val="20"/>
                <w:szCs w:val="20"/>
              </w:rPr>
              <w:t>8</w:t>
            </w:r>
            <w:r>
              <w:rPr>
                <w:rFonts w:eastAsia="Times New Roman" w:cs="Times New Roman"/>
                <w:color w:val="000000"/>
                <w:sz w:val="20"/>
                <w:szCs w:val="20"/>
              </w:rPr>
              <w:t>3</w:t>
            </w:r>
          </w:p>
        </w:tc>
        <w:tc>
          <w:tcPr>
            <w:tcW w:w="211" w:type="pct"/>
            <w:tcBorders>
              <w:left w:val="double" w:sz="4" w:space="0" w:color="auto"/>
              <w:right w:val="single" w:sz="4" w:space="0" w:color="auto"/>
            </w:tcBorders>
            <w:vAlign w:val="center"/>
          </w:tcPr>
          <w:p w14:paraId="76427B5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6F8399AA"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26AB0AC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0AC8CC5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5454A004"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left w:val="single" w:sz="4" w:space="0" w:color="auto"/>
              <w:right w:val="double" w:sz="4" w:space="0" w:color="000000"/>
            </w:tcBorders>
            <w:shd w:val="clear" w:color="auto" w:fill="auto"/>
            <w:noWrap/>
            <w:tcMar>
              <w:right w:w="58" w:type="dxa"/>
            </w:tcMar>
            <w:vAlign w:val="center"/>
          </w:tcPr>
          <w:p w14:paraId="4D8B94F1"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0911AE33" w14:textId="77777777" w:rsidTr="00BC53A5">
        <w:trPr>
          <w:trHeight w:val="17"/>
          <w:jc w:val="center"/>
        </w:trPr>
        <w:tc>
          <w:tcPr>
            <w:tcW w:w="1158" w:type="pct"/>
            <w:tcBorders>
              <w:left w:val="double" w:sz="4" w:space="0" w:color="000000"/>
              <w:right w:val="double" w:sz="6" w:space="0" w:color="auto"/>
            </w:tcBorders>
            <w:shd w:val="clear" w:color="auto" w:fill="auto"/>
            <w:noWrap/>
            <w:vAlign w:val="center"/>
          </w:tcPr>
          <w:p w14:paraId="1A2BAB5C" w14:textId="277D9D65" w:rsidR="00335680" w:rsidRPr="00E85FE6" w:rsidRDefault="00335680" w:rsidP="00447432">
            <w:pPr>
              <w:spacing w:line="240" w:lineRule="auto"/>
              <w:jc w:val="left"/>
              <w:rPr>
                <w:rFonts w:eastAsia="SimSun" w:cs="Times New Roman"/>
                <w:color w:val="000000"/>
                <w:sz w:val="20"/>
                <w:szCs w:val="20"/>
              </w:rPr>
            </w:pPr>
            <w:r w:rsidRPr="00E85FE6">
              <w:rPr>
                <w:rFonts w:eastAsia="SimSun" w:cs="Times New Roman"/>
                <w:i/>
                <w:iCs/>
                <w:color w:val="000000"/>
                <w:sz w:val="20"/>
                <w:szCs w:val="20"/>
              </w:rPr>
              <w:t>Presence of children in the household  (no children)</w:t>
            </w:r>
          </w:p>
        </w:tc>
        <w:tc>
          <w:tcPr>
            <w:tcW w:w="209" w:type="pct"/>
            <w:tcBorders>
              <w:left w:val="nil"/>
              <w:right w:val="single" w:sz="4" w:space="0" w:color="auto"/>
            </w:tcBorders>
            <w:shd w:val="clear" w:color="auto" w:fill="auto"/>
            <w:noWrap/>
            <w:vAlign w:val="center"/>
          </w:tcPr>
          <w:p w14:paraId="1859989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40401DEB"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left w:val="nil"/>
              <w:right w:val="single" w:sz="4" w:space="0" w:color="auto"/>
            </w:tcBorders>
            <w:shd w:val="clear" w:color="auto" w:fill="auto"/>
            <w:noWrap/>
            <w:vAlign w:val="center"/>
          </w:tcPr>
          <w:p w14:paraId="76C88F4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double" w:sz="4" w:space="0" w:color="auto"/>
            </w:tcBorders>
            <w:shd w:val="clear" w:color="auto" w:fill="auto"/>
            <w:noWrap/>
            <w:vAlign w:val="center"/>
          </w:tcPr>
          <w:p w14:paraId="072D2E2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6B511B3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218EB10E"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7A2B1B0F"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shd w:val="clear" w:color="auto" w:fill="auto"/>
            <w:noWrap/>
            <w:vAlign w:val="center"/>
          </w:tcPr>
          <w:p w14:paraId="62B9F865"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37B34E7"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78A93F35"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0FEAC46D"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3C7E39E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181190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60A92862"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47F1C7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2B737AB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08377987"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left w:val="single" w:sz="4" w:space="0" w:color="auto"/>
              <w:right w:val="double" w:sz="4" w:space="0" w:color="000000"/>
            </w:tcBorders>
            <w:shd w:val="clear" w:color="auto" w:fill="auto"/>
            <w:noWrap/>
            <w:tcMar>
              <w:right w:w="58" w:type="dxa"/>
            </w:tcMar>
            <w:vAlign w:val="center"/>
          </w:tcPr>
          <w:p w14:paraId="533DE89D"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0093E0AB" w14:textId="77777777" w:rsidTr="00BC53A5">
        <w:trPr>
          <w:trHeight w:val="17"/>
          <w:jc w:val="center"/>
        </w:trPr>
        <w:tc>
          <w:tcPr>
            <w:tcW w:w="1158" w:type="pct"/>
            <w:tcBorders>
              <w:left w:val="double" w:sz="4" w:space="0" w:color="000000"/>
              <w:right w:val="double" w:sz="6" w:space="0" w:color="auto"/>
            </w:tcBorders>
            <w:shd w:val="clear" w:color="auto" w:fill="auto"/>
            <w:noWrap/>
            <w:vAlign w:val="center"/>
          </w:tcPr>
          <w:p w14:paraId="065481DE" w14:textId="77777777" w:rsidR="00335680" w:rsidRPr="00E85FE6" w:rsidRDefault="00335680" w:rsidP="00447432">
            <w:pPr>
              <w:spacing w:line="240" w:lineRule="auto"/>
              <w:ind w:firstLineChars="100" w:firstLine="200"/>
              <w:jc w:val="left"/>
              <w:rPr>
                <w:rFonts w:eastAsia="SimSun" w:cs="Times New Roman"/>
                <w:color w:val="000000"/>
                <w:sz w:val="20"/>
                <w:szCs w:val="20"/>
              </w:rPr>
            </w:pPr>
            <w:r w:rsidRPr="00E85FE6">
              <w:rPr>
                <w:rFonts w:eastAsia="SimSun" w:cs="Times New Roman"/>
                <w:color w:val="000000"/>
                <w:sz w:val="20"/>
                <w:szCs w:val="20"/>
              </w:rPr>
              <w:t>Children</w:t>
            </w:r>
          </w:p>
        </w:tc>
        <w:tc>
          <w:tcPr>
            <w:tcW w:w="209" w:type="pct"/>
            <w:tcBorders>
              <w:left w:val="nil"/>
              <w:right w:val="single" w:sz="4" w:space="0" w:color="auto"/>
            </w:tcBorders>
            <w:shd w:val="clear" w:color="auto" w:fill="auto"/>
            <w:noWrap/>
            <w:vAlign w:val="center"/>
          </w:tcPr>
          <w:p w14:paraId="7306E2F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6A3EC65F"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left w:val="nil"/>
              <w:right w:val="single" w:sz="4" w:space="0" w:color="auto"/>
            </w:tcBorders>
            <w:shd w:val="clear" w:color="auto" w:fill="auto"/>
            <w:noWrap/>
            <w:vAlign w:val="center"/>
          </w:tcPr>
          <w:p w14:paraId="054D08DA"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double" w:sz="4" w:space="0" w:color="auto"/>
            </w:tcBorders>
            <w:shd w:val="clear" w:color="auto" w:fill="auto"/>
            <w:noWrap/>
            <w:vAlign w:val="center"/>
          </w:tcPr>
          <w:p w14:paraId="77593A9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352A3AF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30256D9A"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26EA6C30"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shd w:val="clear" w:color="auto" w:fill="auto"/>
            <w:noWrap/>
            <w:vAlign w:val="center"/>
          </w:tcPr>
          <w:p w14:paraId="0A452C9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ACCEE82"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42E6AD8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269C8FCE"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5F45914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0AE40B0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6988773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3351769B" w14:textId="1A492237" w:rsidR="00335680" w:rsidRPr="00E85FE6" w:rsidRDefault="00335680" w:rsidP="007275D5">
            <w:pPr>
              <w:spacing w:line="240" w:lineRule="auto"/>
              <w:jc w:val="right"/>
              <w:rPr>
                <w:rFonts w:eastAsia="Times New Roman" w:cs="Times New Roman"/>
                <w:color w:val="000000"/>
                <w:sz w:val="20"/>
                <w:szCs w:val="20"/>
              </w:rPr>
            </w:pPr>
            <w:r>
              <w:rPr>
                <w:rFonts w:eastAsia="Times New Roman" w:cs="Times New Roman"/>
                <w:color w:val="000000"/>
                <w:sz w:val="20"/>
                <w:szCs w:val="20"/>
              </w:rPr>
              <w:t>0.25</w:t>
            </w:r>
            <w:r w:rsidR="007275D5">
              <w:rPr>
                <w:rFonts w:eastAsia="Times New Roman" w:cs="Times New Roman"/>
                <w:color w:val="000000"/>
                <w:sz w:val="20"/>
                <w:szCs w:val="20"/>
              </w:rPr>
              <w:t>4</w:t>
            </w:r>
          </w:p>
        </w:tc>
        <w:tc>
          <w:tcPr>
            <w:tcW w:w="211" w:type="pct"/>
            <w:tcBorders>
              <w:left w:val="single" w:sz="4" w:space="0" w:color="auto"/>
              <w:right w:val="double" w:sz="4" w:space="0" w:color="auto"/>
            </w:tcBorders>
            <w:vAlign w:val="center"/>
          </w:tcPr>
          <w:p w14:paraId="573FF00C" w14:textId="50720228" w:rsidR="00335680" w:rsidRPr="00E85FE6" w:rsidRDefault="00335680"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5</w:t>
            </w:r>
            <w:r w:rsidR="007275D5">
              <w:rPr>
                <w:rFonts w:eastAsia="Times New Roman" w:cs="Times New Roman"/>
                <w:color w:val="000000"/>
                <w:sz w:val="20"/>
                <w:szCs w:val="20"/>
              </w:rPr>
              <w:t>.2</w:t>
            </w:r>
            <w:r>
              <w:rPr>
                <w:rFonts w:eastAsia="Times New Roman" w:cs="Times New Roman"/>
                <w:color w:val="000000"/>
                <w:sz w:val="20"/>
                <w:szCs w:val="20"/>
              </w:rPr>
              <w:t>9</w:t>
            </w:r>
          </w:p>
        </w:tc>
        <w:tc>
          <w:tcPr>
            <w:tcW w:w="211" w:type="pct"/>
            <w:tcBorders>
              <w:left w:val="double" w:sz="4" w:space="0" w:color="auto"/>
              <w:right w:val="single" w:sz="4" w:space="0" w:color="auto"/>
            </w:tcBorders>
            <w:shd w:val="clear" w:color="auto" w:fill="auto"/>
            <w:noWrap/>
            <w:vAlign w:val="center"/>
          </w:tcPr>
          <w:p w14:paraId="4AE8F119" w14:textId="64208148" w:rsidR="00335680" w:rsidRPr="00E85FE6" w:rsidRDefault="00335680" w:rsidP="00DC480D">
            <w:pPr>
              <w:spacing w:line="240" w:lineRule="auto"/>
              <w:jc w:val="right"/>
              <w:rPr>
                <w:rFonts w:eastAsia="Times New Roman" w:cs="Times New Roman"/>
                <w:color w:val="000000"/>
                <w:sz w:val="20"/>
                <w:szCs w:val="20"/>
              </w:rPr>
            </w:pPr>
            <w:r>
              <w:rPr>
                <w:rFonts w:eastAsia="Times New Roman" w:cs="Times New Roman"/>
                <w:color w:val="000000"/>
                <w:sz w:val="20"/>
                <w:szCs w:val="20"/>
              </w:rPr>
              <w:t>-0.33</w:t>
            </w:r>
            <w:r w:rsidR="00DC480D">
              <w:rPr>
                <w:rFonts w:eastAsia="Times New Roman" w:cs="Times New Roman"/>
                <w:color w:val="000000"/>
                <w:sz w:val="20"/>
                <w:szCs w:val="20"/>
              </w:rPr>
              <w:t>8</w:t>
            </w:r>
          </w:p>
        </w:tc>
        <w:tc>
          <w:tcPr>
            <w:tcW w:w="256" w:type="pct"/>
            <w:tcBorders>
              <w:left w:val="single" w:sz="4" w:space="0" w:color="auto"/>
              <w:right w:val="double" w:sz="4" w:space="0" w:color="000000"/>
            </w:tcBorders>
            <w:shd w:val="clear" w:color="auto" w:fill="auto"/>
            <w:noWrap/>
            <w:tcMar>
              <w:right w:w="58" w:type="dxa"/>
            </w:tcMar>
            <w:vAlign w:val="center"/>
          </w:tcPr>
          <w:p w14:paraId="657625C5" w14:textId="0EFB5785" w:rsidR="00335680" w:rsidRPr="00E85FE6" w:rsidRDefault="00335680" w:rsidP="00DC480D">
            <w:pPr>
              <w:spacing w:line="240" w:lineRule="auto"/>
              <w:jc w:val="right"/>
              <w:rPr>
                <w:rFonts w:eastAsia="Times New Roman" w:cs="Times New Roman"/>
                <w:color w:val="000000"/>
                <w:sz w:val="20"/>
                <w:szCs w:val="20"/>
              </w:rPr>
            </w:pPr>
            <w:r>
              <w:rPr>
                <w:rFonts w:eastAsia="Times New Roman" w:cs="Times New Roman"/>
                <w:color w:val="000000"/>
                <w:sz w:val="20"/>
                <w:szCs w:val="20"/>
              </w:rPr>
              <w:t>-4.</w:t>
            </w:r>
            <w:r w:rsidR="00DC480D">
              <w:rPr>
                <w:rFonts w:eastAsia="Times New Roman" w:cs="Times New Roman"/>
                <w:color w:val="000000"/>
                <w:sz w:val="20"/>
                <w:szCs w:val="20"/>
              </w:rPr>
              <w:t>72</w:t>
            </w:r>
          </w:p>
        </w:tc>
      </w:tr>
      <w:tr w:rsidR="00335680" w:rsidRPr="00E85FE6" w14:paraId="6727CBCA" w14:textId="77777777" w:rsidTr="00BC53A5">
        <w:trPr>
          <w:trHeight w:val="17"/>
          <w:jc w:val="center"/>
        </w:trPr>
        <w:tc>
          <w:tcPr>
            <w:tcW w:w="1158" w:type="pct"/>
            <w:tcBorders>
              <w:left w:val="double" w:sz="4" w:space="0" w:color="000000"/>
              <w:right w:val="double" w:sz="6" w:space="0" w:color="auto"/>
            </w:tcBorders>
            <w:shd w:val="clear" w:color="auto" w:fill="auto"/>
            <w:noWrap/>
            <w:vAlign w:val="center"/>
          </w:tcPr>
          <w:p w14:paraId="441EBB64" w14:textId="77777777" w:rsidR="00335680" w:rsidRPr="00E85FE6" w:rsidRDefault="00335680" w:rsidP="00447432">
            <w:pPr>
              <w:spacing w:line="240" w:lineRule="auto"/>
              <w:ind w:left="188" w:hanging="180"/>
              <w:jc w:val="left"/>
              <w:rPr>
                <w:rFonts w:eastAsia="SimSun" w:cs="Times New Roman"/>
                <w:i/>
                <w:color w:val="000000"/>
                <w:sz w:val="20"/>
                <w:szCs w:val="20"/>
              </w:rPr>
            </w:pPr>
            <w:r w:rsidRPr="00E85FE6">
              <w:rPr>
                <w:rFonts w:eastAsia="SimSun" w:cs="Times New Roman"/>
                <w:i/>
                <w:color w:val="000000"/>
                <w:sz w:val="20"/>
                <w:szCs w:val="20"/>
              </w:rPr>
              <w:t xml:space="preserve">Gender and presence of children </w:t>
            </w:r>
          </w:p>
          <w:p w14:paraId="6A07B8CE" w14:textId="674A12C8" w:rsidR="00335680" w:rsidRPr="00E85FE6" w:rsidRDefault="00335680" w:rsidP="00447432">
            <w:pPr>
              <w:spacing w:line="240" w:lineRule="auto"/>
              <w:ind w:left="188" w:hanging="180"/>
              <w:jc w:val="left"/>
              <w:rPr>
                <w:rFonts w:eastAsia="SimSun" w:cs="Times New Roman"/>
                <w:color w:val="000000"/>
                <w:sz w:val="20"/>
                <w:szCs w:val="20"/>
              </w:rPr>
            </w:pPr>
            <w:r w:rsidRPr="00E85FE6">
              <w:rPr>
                <w:rFonts w:eastAsia="SimSun" w:cs="Times New Roman"/>
                <w:i/>
                <w:color w:val="000000"/>
                <w:sz w:val="20"/>
                <w:szCs w:val="20"/>
              </w:rPr>
              <w:t xml:space="preserve">(male or female without children) </w:t>
            </w:r>
          </w:p>
        </w:tc>
        <w:tc>
          <w:tcPr>
            <w:tcW w:w="209" w:type="pct"/>
            <w:tcBorders>
              <w:left w:val="nil"/>
              <w:right w:val="single" w:sz="4" w:space="0" w:color="auto"/>
            </w:tcBorders>
            <w:shd w:val="clear" w:color="auto" w:fill="auto"/>
            <w:noWrap/>
            <w:vAlign w:val="center"/>
          </w:tcPr>
          <w:p w14:paraId="4549951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32E9A6E4"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left w:val="nil"/>
              <w:right w:val="single" w:sz="4" w:space="0" w:color="auto"/>
            </w:tcBorders>
            <w:shd w:val="clear" w:color="auto" w:fill="auto"/>
            <w:noWrap/>
            <w:vAlign w:val="center"/>
          </w:tcPr>
          <w:p w14:paraId="48B4454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double" w:sz="4" w:space="0" w:color="auto"/>
            </w:tcBorders>
            <w:shd w:val="clear" w:color="auto" w:fill="auto"/>
            <w:noWrap/>
            <w:vAlign w:val="center"/>
          </w:tcPr>
          <w:p w14:paraId="46D1B2F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75CAA9B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7ADD5CA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19380255"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shd w:val="clear" w:color="auto" w:fill="auto"/>
            <w:noWrap/>
            <w:vAlign w:val="center"/>
          </w:tcPr>
          <w:p w14:paraId="14BE2902"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E37F90F"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245A8B4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409E83BA"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1C305B5A"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062D4AF0"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12A0985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3601934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757B074A"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0BD3AA8E"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left w:val="single" w:sz="4" w:space="0" w:color="auto"/>
              <w:right w:val="double" w:sz="4" w:space="0" w:color="000000"/>
            </w:tcBorders>
            <w:shd w:val="clear" w:color="auto" w:fill="auto"/>
            <w:noWrap/>
            <w:tcMar>
              <w:right w:w="58" w:type="dxa"/>
            </w:tcMar>
            <w:vAlign w:val="center"/>
          </w:tcPr>
          <w:p w14:paraId="5242C90D"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54B8F61B" w14:textId="77777777" w:rsidTr="00BC53A5">
        <w:trPr>
          <w:trHeight w:val="17"/>
          <w:jc w:val="center"/>
        </w:trPr>
        <w:tc>
          <w:tcPr>
            <w:tcW w:w="1158" w:type="pct"/>
            <w:tcBorders>
              <w:left w:val="double" w:sz="4" w:space="0" w:color="000000"/>
              <w:right w:val="double" w:sz="6" w:space="0" w:color="auto"/>
            </w:tcBorders>
            <w:shd w:val="clear" w:color="auto" w:fill="auto"/>
            <w:noWrap/>
            <w:vAlign w:val="center"/>
          </w:tcPr>
          <w:p w14:paraId="7CC1FCF0" w14:textId="77777777" w:rsidR="00335680" w:rsidRPr="00E85FE6" w:rsidRDefault="00335680" w:rsidP="00447432">
            <w:pPr>
              <w:spacing w:line="240" w:lineRule="auto"/>
              <w:ind w:firstLineChars="100" w:firstLine="200"/>
              <w:jc w:val="left"/>
              <w:rPr>
                <w:rFonts w:eastAsia="SimSun" w:cs="Times New Roman"/>
                <w:color w:val="000000"/>
                <w:sz w:val="20"/>
                <w:szCs w:val="20"/>
              </w:rPr>
            </w:pPr>
            <w:r w:rsidRPr="00E85FE6">
              <w:rPr>
                <w:rFonts w:eastAsia="SimSun" w:cs="Times New Roman"/>
                <w:color w:val="000000"/>
                <w:sz w:val="20"/>
                <w:szCs w:val="20"/>
              </w:rPr>
              <w:t>Male with children</w:t>
            </w:r>
          </w:p>
        </w:tc>
        <w:tc>
          <w:tcPr>
            <w:tcW w:w="209" w:type="pct"/>
            <w:tcBorders>
              <w:left w:val="nil"/>
              <w:right w:val="single" w:sz="4" w:space="0" w:color="auto"/>
            </w:tcBorders>
            <w:shd w:val="clear" w:color="auto" w:fill="auto"/>
            <w:noWrap/>
            <w:vAlign w:val="center"/>
          </w:tcPr>
          <w:p w14:paraId="39118D5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7168B3CC"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left w:val="nil"/>
              <w:right w:val="single" w:sz="4" w:space="0" w:color="auto"/>
            </w:tcBorders>
            <w:shd w:val="clear" w:color="auto" w:fill="auto"/>
            <w:noWrap/>
            <w:vAlign w:val="center"/>
          </w:tcPr>
          <w:p w14:paraId="58C68DD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double" w:sz="4" w:space="0" w:color="auto"/>
            </w:tcBorders>
            <w:shd w:val="clear" w:color="auto" w:fill="auto"/>
            <w:noWrap/>
            <w:vAlign w:val="center"/>
          </w:tcPr>
          <w:p w14:paraId="543C97A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33937328"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3AB59EE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649E91F5"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shd w:val="clear" w:color="auto" w:fill="auto"/>
            <w:noWrap/>
            <w:vAlign w:val="center"/>
          </w:tcPr>
          <w:p w14:paraId="3252561F"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BBEAF3E" w14:textId="4A013529" w:rsidR="00335680" w:rsidRPr="00E85FE6" w:rsidRDefault="00335680" w:rsidP="0092413A">
            <w:pPr>
              <w:spacing w:line="240" w:lineRule="auto"/>
              <w:jc w:val="right"/>
              <w:rPr>
                <w:rFonts w:eastAsia="Times New Roman" w:cs="Times New Roman"/>
                <w:color w:val="000000"/>
                <w:sz w:val="20"/>
                <w:szCs w:val="20"/>
              </w:rPr>
            </w:pPr>
            <w:r>
              <w:rPr>
                <w:rFonts w:eastAsia="Times New Roman" w:cs="Times New Roman"/>
                <w:color w:val="000000"/>
                <w:sz w:val="20"/>
                <w:szCs w:val="20"/>
              </w:rPr>
              <w:t>-0.</w:t>
            </w:r>
            <w:r w:rsidR="0092413A">
              <w:rPr>
                <w:rFonts w:eastAsia="Times New Roman" w:cs="Times New Roman"/>
                <w:color w:val="000000"/>
                <w:sz w:val="20"/>
                <w:szCs w:val="20"/>
              </w:rPr>
              <w:t>361</w:t>
            </w:r>
          </w:p>
        </w:tc>
        <w:tc>
          <w:tcPr>
            <w:tcW w:w="212" w:type="pct"/>
            <w:tcBorders>
              <w:left w:val="single" w:sz="4" w:space="0" w:color="auto"/>
              <w:right w:val="single" w:sz="4" w:space="0" w:color="auto"/>
            </w:tcBorders>
            <w:vAlign w:val="center"/>
          </w:tcPr>
          <w:p w14:paraId="7D55980A" w14:textId="67B1FDF4" w:rsidR="00335680" w:rsidRPr="00E85FE6" w:rsidRDefault="00335680" w:rsidP="0092413A">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0092413A">
              <w:rPr>
                <w:rFonts w:eastAsia="Times New Roman" w:cs="Times New Roman"/>
                <w:color w:val="000000"/>
                <w:sz w:val="20"/>
                <w:szCs w:val="20"/>
              </w:rPr>
              <w:t>3.69</w:t>
            </w:r>
          </w:p>
        </w:tc>
        <w:tc>
          <w:tcPr>
            <w:tcW w:w="211" w:type="pct"/>
            <w:tcBorders>
              <w:left w:val="single" w:sz="4" w:space="0" w:color="auto"/>
              <w:right w:val="single" w:sz="4" w:space="0" w:color="auto"/>
            </w:tcBorders>
            <w:vAlign w:val="center"/>
          </w:tcPr>
          <w:p w14:paraId="57B6B284"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16EB479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B2683A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6F95C46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F9BC335"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759CBFC3"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1975912E"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left w:val="single" w:sz="4" w:space="0" w:color="auto"/>
              <w:right w:val="double" w:sz="4" w:space="0" w:color="000000"/>
            </w:tcBorders>
            <w:shd w:val="clear" w:color="auto" w:fill="auto"/>
            <w:noWrap/>
            <w:tcMar>
              <w:right w:w="58" w:type="dxa"/>
            </w:tcMar>
            <w:vAlign w:val="center"/>
          </w:tcPr>
          <w:p w14:paraId="4E4F5692"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5A9DECF4" w14:textId="77777777" w:rsidTr="00BC53A5">
        <w:trPr>
          <w:trHeight w:val="17"/>
          <w:jc w:val="center"/>
        </w:trPr>
        <w:tc>
          <w:tcPr>
            <w:tcW w:w="1158" w:type="pct"/>
            <w:tcBorders>
              <w:left w:val="double" w:sz="4" w:space="0" w:color="000000"/>
              <w:right w:val="double" w:sz="6" w:space="0" w:color="auto"/>
            </w:tcBorders>
            <w:shd w:val="clear" w:color="auto" w:fill="auto"/>
            <w:noWrap/>
            <w:vAlign w:val="center"/>
          </w:tcPr>
          <w:p w14:paraId="56C64632" w14:textId="77777777" w:rsidR="00335680" w:rsidRPr="00E85FE6" w:rsidRDefault="00335680" w:rsidP="00447432">
            <w:pPr>
              <w:spacing w:line="240" w:lineRule="auto"/>
              <w:ind w:firstLineChars="100" w:firstLine="200"/>
              <w:jc w:val="left"/>
              <w:rPr>
                <w:rFonts w:eastAsia="SimSun" w:cs="Times New Roman"/>
                <w:color w:val="000000"/>
                <w:sz w:val="20"/>
                <w:szCs w:val="20"/>
              </w:rPr>
            </w:pPr>
            <w:r w:rsidRPr="00E85FE6">
              <w:rPr>
                <w:rFonts w:eastAsia="SimSun" w:cs="Times New Roman"/>
                <w:color w:val="000000"/>
                <w:sz w:val="20"/>
                <w:szCs w:val="20"/>
              </w:rPr>
              <w:t>Female with children</w:t>
            </w:r>
          </w:p>
        </w:tc>
        <w:tc>
          <w:tcPr>
            <w:tcW w:w="209" w:type="pct"/>
            <w:tcBorders>
              <w:left w:val="nil"/>
              <w:right w:val="single" w:sz="4" w:space="0" w:color="auto"/>
            </w:tcBorders>
            <w:shd w:val="clear" w:color="auto" w:fill="auto"/>
            <w:noWrap/>
            <w:vAlign w:val="center"/>
          </w:tcPr>
          <w:p w14:paraId="0F7FC495" w14:textId="7AB95018" w:rsidR="00335680" w:rsidRPr="00E85FE6" w:rsidRDefault="00335680"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-0.15</w:t>
            </w:r>
            <w:r w:rsidR="00875F31">
              <w:rPr>
                <w:rFonts w:eastAsia="Times New Roman" w:cs="Times New Roman"/>
                <w:color w:val="000000"/>
                <w:sz w:val="20"/>
                <w:szCs w:val="20"/>
              </w:rPr>
              <w:t>0</w:t>
            </w:r>
          </w:p>
        </w:tc>
        <w:tc>
          <w:tcPr>
            <w:tcW w:w="211" w:type="pct"/>
            <w:tcBorders>
              <w:left w:val="nil"/>
              <w:right w:val="single" w:sz="4" w:space="0" w:color="auto"/>
            </w:tcBorders>
            <w:shd w:val="clear" w:color="auto" w:fill="auto"/>
            <w:noWrap/>
            <w:vAlign w:val="center"/>
          </w:tcPr>
          <w:p w14:paraId="33A5487E" w14:textId="2C2CDA6B" w:rsidR="00335680" w:rsidRPr="00E85FE6" w:rsidRDefault="00335680"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w:t>
            </w:r>
            <w:r w:rsidR="00875F31">
              <w:rPr>
                <w:rFonts w:eastAsia="Times New Roman" w:cs="Times New Roman"/>
                <w:color w:val="000000"/>
                <w:sz w:val="20"/>
                <w:szCs w:val="20"/>
              </w:rPr>
              <w:t>2.73</w:t>
            </w:r>
          </w:p>
        </w:tc>
        <w:tc>
          <w:tcPr>
            <w:tcW w:w="209" w:type="pct"/>
            <w:tcBorders>
              <w:left w:val="nil"/>
              <w:right w:val="single" w:sz="4" w:space="0" w:color="auto"/>
            </w:tcBorders>
            <w:shd w:val="clear" w:color="auto" w:fill="auto"/>
            <w:noWrap/>
            <w:vAlign w:val="center"/>
          </w:tcPr>
          <w:p w14:paraId="66DAE4B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double" w:sz="4" w:space="0" w:color="auto"/>
            </w:tcBorders>
            <w:shd w:val="clear" w:color="auto" w:fill="auto"/>
            <w:noWrap/>
            <w:vAlign w:val="center"/>
          </w:tcPr>
          <w:p w14:paraId="7685EDC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0AFF6082"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022608B6"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0828EB6A"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shd w:val="clear" w:color="auto" w:fill="auto"/>
            <w:noWrap/>
            <w:vAlign w:val="center"/>
          </w:tcPr>
          <w:p w14:paraId="24DBE4F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22EB2BE4" w14:textId="6F6A48BC" w:rsidR="00335680" w:rsidRPr="00E85FE6" w:rsidRDefault="00335680" w:rsidP="0092413A">
            <w:pPr>
              <w:spacing w:line="240" w:lineRule="auto"/>
              <w:jc w:val="right"/>
              <w:rPr>
                <w:rFonts w:eastAsia="Times New Roman" w:cs="Times New Roman"/>
                <w:color w:val="000000"/>
                <w:sz w:val="20"/>
                <w:szCs w:val="20"/>
              </w:rPr>
            </w:pPr>
            <w:r>
              <w:rPr>
                <w:rFonts w:eastAsia="Times New Roman" w:cs="Times New Roman"/>
                <w:color w:val="000000"/>
                <w:sz w:val="20"/>
                <w:szCs w:val="20"/>
              </w:rPr>
              <w:t>-0.</w:t>
            </w:r>
            <w:r w:rsidR="0092413A">
              <w:rPr>
                <w:rFonts w:eastAsia="Times New Roman" w:cs="Times New Roman"/>
                <w:color w:val="000000"/>
                <w:sz w:val="20"/>
                <w:szCs w:val="20"/>
              </w:rPr>
              <w:t>154</w:t>
            </w:r>
          </w:p>
        </w:tc>
        <w:tc>
          <w:tcPr>
            <w:tcW w:w="212" w:type="pct"/>
            <w:tcBorders>
              <w:left w:val="single" w:sz="4" w:space="0" w:color="auto"/>
              <w:right w:val="single" w:sz="4" w:space="0" w:color="auto"/>
            </w:tcBorders>
            <w:vAlign w:val="center"/>
          </w:tcPr>
          <w:p w14:paraId="32FF8A74" w14:textId="77777777" w:rsidR="00335680" w:rsidRPr="00E85FE6" w:rsidRDefault="00335680"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-1.96</w:t>
            </w:r>
          </w:p>
        </w:tc>
        <w:tc>
          <w:tcPr>
            <w:tcW w:w="211" w:type="pct"/>
            <w:tcBorders>
              <w:left w:val="single" w:sz="4" w:space="0" w:color="auto"/>
              <w:right w:val="single" w:sz="4" w:space="0" w:color="auto"/>
            </w:tcBorders>
            <w:vAlign w:val="center"/>
          </w:tcPr>
          <w:p w14:paraId="106F6450"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1C681CEE"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612A99B5"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3A57A2A3"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4F071C55"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5ED6CFE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71F2C7C0"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left w:val="single" w:sz="4" w:space="0" w:color="auto"/>
              <w:right w:val="double" w:sz="4" w:space="0" w:color="000000"/>
            </w:tcBorders>
            <w:shd w:val="clear" w:color="auto" w:fill="auto"/>
            <w:noWrap/>
            <w:tcMar>
              <w:right w:w="58" w:type="dxa"/>
            </w:tcMar>
            <w:vAlign w:val="center"/>
          </w:tcPr>
          <w:p w14:paraId="09E6141A"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401CD96A" w14:textId="77777777" w:rsidTr="00BC53A5">
        <w:trPr>
          <w:trHeight w:val="17"/>
          <w:jc w:val="center"/>
        </w:trPr>
        <w:tc>
          <w:tcPr>
            <w:tcW w:w="1158" w:type="pct"/>
            <w:tcBorders>
              <w:top w:val="nil"/>
              <w:left w:val="double" w:sz="4" w:space="0" w:color="000000"/>
              <w:right w:val="double" w:sz="6" w:space="0" w:color="auto"/>
            </w:tcBorders>
            <w:shd w:val="clear" w:color="auto" w:fill="auto"/>
            <w:noWrap/>
            <w:vAlign w:val="center"/>
          </w:tcPr>
          <w:p w14:paraId="77983FBA" w14:textId="424EF83B" w:rsidR="00335680" w:rsidRPr="00E85FE6" w:rsidRDefault="00335680" w:rsidP="00447432">
            <w:pPr>
              <w:spacing w:line="240" w:lineRule="auto"/>
              <w:jc w:val="left"/>
              <w:rPr>
                <w:rFonts w:eastAsia="SimSun" w:cs="Times New Roman"/>
                <w:i/>
                <w:iCs/>
                <w:color w:val="000000"/>
                <w:sz w:val="20"/>
                <w:szCs w:val="20"/>
              </w:rPr>
            </w:pPr>
            <w:r w:rsidRPr="00E85FE6">
              <w:rPr>
                <w:rFonts w:eastAsia="SimSun" w:cs="Times New Roman"/>
                <w:i/>
                <w:iCs/>
                <w:color w:val="000000"/>
                <w:sz w:val="20"/>
                <w:szCs w:val="20"/>
              </w:rPr>
              <w:t>Age (17 to 49 years old)</w:t>
            </w:r>
          </w:p>
        </w:tc>
        <w:tc>
          <w:tcPr>
            <w:tcW w:w="209" w:type="pct"/>
            <w:tcBorders>
              <w:top w:val="nil"/>
              <w:left w:val="nil"/>
              <w:right w:val="single" w:sz="4" w:space="0" w:color="auto"/>
            </w:tcBorders>
            <w:shd w:val="clear" w:color="auto" w:fill="auto"/>
            <w:noWrap/>
            <w:vAlign w:val="center"/>
          </w:tcPr>
          <w:p w14:paraId="26D1C2C6"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5829F7AD"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top w:val="nil"/>
              <w:left w:val="nil"/>
              <w:right w:val="single" w:sz="4" w:space="0" w:color="auto"/>
            </w:tcBorders>
            <w:shd w:val="clear" w:color="auto" w:fill="auto"/>
            <w:noWrap/>
            <w:vAlign w:val="center"/>
          </w:tcPr>
          <w:p w14:paraId="5D0F883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double" w:sz="4" w:space="0" w:color="auto"/>
            </w:tcBorders>
            <w:shd w:val="clear" w:color="auto" w:fill="auto"/>
            <w:noWrap/>
            <w:vAlign w:val="center"/>
          </w:tcPr>
          <w:p w14:paraId="37E9235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05FE4C8E"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07CB85AF"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25D4307D"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top w:val="nil"/>
              <w:left w:val="single" w:sz="4" w:space="0" w:color="auto"/>
              <w:right w:val="double" w:sz="4" w:space="0" w:color="auto"/>
            </w:tcBorders>
            <w:shd w:val="clear" w:color="auto" w:fill="auto"/>
            <w:noWrap/>
            <w:vAlign w:val="center"/>
          </w:tcPr>
          <w:p w14:paraId="585501C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032FFDF"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4F8EE52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37F9EC86"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09F3A4FA"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630CCB8E"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7CEA0463"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38B74932"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6A7FC71F"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4306E6CC"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top w:val="nil"/>
              <w:left w:val="single" w:sz="4" w:space="0" w:color="auto"/>
              <w:right w:val="double" w:sz="4" w:space="0" w:color="000000"/>
            </w:tcBorders>
            <w:shd w:val="clear" w:color="auto" w:fill="auto"/>
            <w:noWrap/>
            <w:tcMar>
              <w:right w:w="58" w:type="dxa"/>
            </w:tcMar>
            <w:vAlign w:val="center"/>
          </w:tcPr>
          <w:p w14:paraId="7AD10795"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48B299EC" w14:textId="77777777" w:rsidTr="00BC53A5">
        <w:trPr>
          <w:trHeight w:val="17"/>
          <w:jc w:val="center"/>
        </w:trPr>
        <w:tc>
          <w:tcPr>
            <w:tcW w:w="1158" w:type="pct"/>
            <w:tcBorders>
              <w:top w:val="nil"/>
              <w:left w:val="double" w:sz="4" w:space="0" w:color="000000"/>
              <w:bottom w:val="double" w:sz="6" w:space="0" w:color="auto"/>
              <w:right w:val="double" w:sz="6" w:space="0" w:color="auto"/>
            </w:tcBorders>
            <w:shd w:val="clear" w:color="auto" w:fill="auto"/>
            <w:noWrap/>
            <w:vAlign w:val="center"/>
          </w:tcPr>
          <w:p w14:paraId="2DCD7BC5" w14:textId="77777777" w:rsidR="00335680" w:rsidRPr="00E85FE6" w:rsidRDefault="00335680" w:rsidP="00447432">
            <w:pPr>
              <w:spacing w:line="240" w:lineRule="auto"/>
              <w:ind w:firstLineChars="100" w:firstLine="200"/>
              <w:jc w:val="left"/>
              <w:rPr>
                <w:rFonts w:eastAsia="SimSun" w:cs="Times New Roman"/>
                <w:color w:val="000000"/>
                <w:sz w:val="20"/>
                <w:szCs w:val="20"/>
              </w:rPr>
            </w:pPr>
            <w:r w:rsidRPr="00E85FE6">
              <w:rPr>
                <w:rFonts w:eastAsia="SimSun" w:cs="Times New Roman"/>
                <w:color w:val="000000"/>
                <w:sz w:val="20"/>
                <w:szCs w:val="20"/>
              </w:rPr>
              <w:t xml:space="preserve">50 or more </w:t>
            </w:r>
          </w:p>
        </w:tc>
        <w:tc>
          <w:tcPr>
            <w:tcW w:w="209" w:type="pct"/>
            <w:tcBorders>
              <w:top w:val="nil"/>
              <w:left w:val="nil"/>
              <w:bottom w:val="double" w:sz="6" w:space="0" w:color="auto"/>
              <w:right w:val="single" w:sz="4" w:space="0" w:color="auto"/>
            </w:tcBorders>
            <w:shd w:val="clear" w:color="auto" w:fill="auto"/>
            <w:noWrap/>
            <w:vAlign w:val="center"/>
          </w:tcPr>
          <w:p w14:paraId="3F11FA40"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bottom w:val="double" w:sz="6" w:space="0" w:color="auto"/>
              <w:right w:val="single" w:sz="4" w:space="0" w:color="auto"/>
            </w:tcBorders>
            <w:shd w:val="clear" w:color="auto" w:fill="auto"/>
            <w:noWrap/>
            <w:vAlign w:val="center"/>
          </w:tcPr>
          <w:p w14:paraId="2FBA403E"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top w:val="nil"/>
              <w:left w:val="nil"/>
              <w:bottom w:val="double" w:sz="6" w:space="0" w:color="auto"/>
              <w:right w:val="single" w:sz="4" w:space="0" w:color="auto"/>
            </w:tcBorders>
            <w:shd w:val="clear" w:color="auto" w:fill="auto"/>
            <w:noWrap/>
            <w:vAlign w:val="center"/>
          </w:tcPr>
          <w:p w14:paraId="173F5FF2"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bottom w:val="double" w:sz="6" w:space="0" w:color="auto"/>
              <w:right w:val="double" w:sz="4" w:space="0" w:color="auto"/>
            </w:tcBorders>
            <w:shd w:val="clear" w:color="auto" w:fill="auto"/>
            <w:noWrap/>
            <w:vAlign w:val="center"/>
          </w:tcPr>
          <w:p w14:paraId="75507D16"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double" w:sz="4" w:space="0" w:color="auto"/>
              <w:bottom w:val="double" w:sz="6" w:space="0" w:color="auto"/>
              <w:right w:val="single" w:sz="4" w:space="0" w:color="auto"/>
            </w:tcBorders>
            <w:shd w:val="clear" w:color="auto" w:fill="auto"/>
            <w:noWrap/>
            <w:vAlign w:val="center"/>
          </w:tcPr>
          <w:p w14:paraId="2BDB9B59" w14:textId="77777777" w:rsidR="00335680" w:rsidRPr="00E85FE6" w:rsidRDefault="00335680" w:rsidP="00335680">
            <w:pPr>
              <w:spacing w:line="240" w:lineRule="auto"/>
              <w:jc w:val="right"/>
              <w:rPr>
                <w:rFonts w:eastAsia="Times New Roman" w:cs="Times New Roman"/>
                <w:color w:val="000000"/>
                <w:sz w:val="20"/>
                <w:szCs w:val="20"/>
              </w:rPr>
            </w:pPr>
            <w:r>
              <w:rPr>
                <w:rFonts w:eastAsia="Times New Roman" w:cs="Times New Roman"/>
                <w:color w:val="000000"/>
                <w:sz w:val="20"/>
                <w:szCs w:val="20"/>
              </w:rPr>
              <w:t>0.088</w:t>
            </w:r>
          </w:p>
        </w:tc>
        <w:tc>
          <w:tcPr>
            <w:tcW w:w="211" w:type="pct"/>
            <w:tcBorders>
              <w:top w:val="nil"/>
              <w:left w:val="nil"/>
              <w:bottom w:val="double" w:sz="6" w:space="0" w:color="auto"/>
              <w:right w:val="single" w:sz="4" w:space="0" w:color="auto"/>
            </w:tcBorders>
            <w:shd w:val="clear" w:color="auto" w:fill="auto"/>
            <w:noWrap/>
            <w:vAlign w:val="center"/>
          </w:tcPr>
          <w:p w14:paraId="22E35D9B" w14:textId="410E33EB" w:rsidR="00335680" w:rsidRPr="00E85FE6" w:rsidRDefault="001E635A" w:rsidP="001E635A">
            <w:pPr>
              <w:spacing w:line="240" w:lineRule="auto"/>
              <w:jc w:val="right"/>
              <w:rPr>
                <w:rFonts w:eastAsia="Times New Roman" w:cs="Times New Roman"/>
                <w:color w:val="000000"/>
                <w:sz w:val="20"/>
                <w:szCs w:val="20"/>
              </w:rPr>
            </w:pPr>
            <w:r>
              <w:rPr>
                <w:rFonts w:eastAsia="Times New Roman" w:cs="Times New Roman"/>
                <w:color w:val="000000"/>
                <w:sz w:val="20"/>
                <w:szCs w:val="20"/>
              </w:rPr>
              <w:t>2.29</w:t>
            </w:r>
          </w:p>
        </w:tc>
        <w:tc>
          <w:tcPr>
            <w:tcW w:w="211" w:type="pct"/>
            <w:tcBorders>
              <w:top w:val="nil"/>
              <w:left w:val="nil"/>
              <w:bottom w:val="double" w:sz="6" w:space="0" w:color="auto"/>
              <w:right w:val="single" w:sz="4" w:space="0" w:color="auto"/>
            </w:tcBorders>
            <w:shd w:val="clear" w:color="auto" w:fill="auto"/>
            <w:noWrap/>
            <w:vAlign w:val="center"/>
          </w:tcPr>
          <w:p w14:paraId="078AC699"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top w:val="nil"/>
              <w:left w:val="single" w:sz="4" w:space="0" w:color="auto"/>
              <w:bottom w:val="double" w:sz="6" w:space="0" w:color="auto"/>
              <w:right w:val="double" w:sz="4" w:space="0" w:color="auto"/>
            </w:tcBorders>
            <w:shd w:val="clear" w:color="auto" w:fill="auto"/>
            <w:noWrap/>
            <w:vAlign w:val="center"/>
          </w:tcPr>
          <w:p w14:paraId="71F1936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bottom w:val="double" w:sz="6" w:space="0" w:color="auto"/>
              <w:right w:val="single" w:sz="4" w:space="0" w:color="auto"/>
            </w:tcBorders>
            <w:vAlign w:val="center"/>
          </w:tcPr>
          <w:p w14:paraId="5BB0BC9E"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bottom w:val="double" w:sz="6" w:space="0" w:color="auto"/>
              <w:right w:val="single" w:sz="4" w:space="0" w:color="auto"/>
            </w:tcBorders>
            <w:vAlign w:val="center"/>
          </w:tcPr>
          <w:p w14:paraId="2640F050"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bottom w:val="double" w:sz="6" w:space="0" w:color="auto"/>
              <w:right w:val="single" w:sz="4" w:space="0" w:color="auto"/>
            </w:tcBorders>
            <w:vAlign w:val="center"/>
          </w:tcPr>
          <w:p w14:paraId="244FEAA8"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bottom w:val="double" w:sz="6" w:space="0" w:color="auto"/>
              <w:right w:val="double" w:sz="4" w:space="0" w:color="auto"/>
            </w:tcBorders>
            <w:vAlign w:val="center"/>
          </w:tcPr>
          <w:p w14:paraId="28E9EE5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bottom w:val="double" w:sz="6" w:space="0" w:color="auto"/>
              <w:right w:val="single" w:sz="4" w:space="0" w:color="auto"/>
            </w:tcBorders>
            <w:vAlign w:val="center"/>
          </w:tcPr>
          <w:p w14:paraId="3169927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bottom w:val="double" w:sz="6" w:space="0" w:color="auto"/>
              <w:right w:val="double" w:sz="4" w:space="0" w:color="auto"/>
            </w:tcBorders>
            <w:vAlign w:val="center"/>
          </w:tcPr>
          <w:p w14:paraId="3A24B9A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bottom w:val="double" w:sz="6" w:space="0" w:color="auto"/>
              <w:right w:val="single" w:sz="4" w:space="0" w:color="auto"/>
            </w:tcBorders>
            <w:vAlign w:val="center"/>
          </w:tcPr>
          <w:p w14:paraId="2DF3B82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bottom w:val="double" w:sz="6" w:space="0" w:color="auto"/>
              <w:right w:val="double" w:sz="4" w:space="0" w:color="auto"/>
            </w:tcBorders>
            <w:vAlign w:val="center"/>
          </w:tcPr>
          <w:p w14:paraId="79ED752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double" w:sz="4" w:space="0" w:color="auto"/>
              <w:bottom w:val="double" w:sz="6" w:space="0" w:color="auto"/>
              <w:right w:val="single" w:sz="4" w:space="0" w:color="auto"/>
            </w:tcBorders>
            <w:shd w:val="clear" w:color="auto" w:fill="auto"/>
            <w:noWrap/>
            <w:vAlign w:val="center"/>
          </w:tcPr>
          <w:p w14:paraId="25B36A93"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top w:val="nil"/>
              <w:left w:val="single" w:sz="4" w:space="0" w:color="auto"/>
              <w:bottom w:val="double" w:sz="6" w:space="0" w:color="auto"/>
              <w:right w:val="double" w:sz="4" w:space="0" w:color="000000"/>
            </w:tcBorders>
            <w:shd w:val="clear" w:color="auto" w:fill="auto"/>
            <w:noWrap/>
            <w:tcMar>
              <w:right w:w="58" w:type="dxa"/>
            </w:tcMar>
            <w:vAlign w:val="center"/>
          </w:tcPr>
          <w:p w14:paraId="6F0C5F58"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078B08BD" w14:textId="77777777" w:rsidTr="00BC53A5">
        <w:trPr>
          <w:trHeight w:val="17"/>
          <w:jc w:val="center"/>
        </w:trPr>
        <w:tc>
          <w:tcPr>
            <w:tcW w:w="1158" w:type="pct"/>
            <w:tcBorders>
              <w:top w:val="double" w:sz="6" w:space="0" w:color="auto"/>
              <w:left w:val="double" w:sz="4" w:space="0" w:color="000000"/>
              <w:right w:val="double" w:sz="6" w:space="0" w:color="auto"/>
            </w:tcBorders>
            <w:shd w:val="clear" w:color="auto" w:fill="auto"/>
            <w:noWrap/>
            <w:vAlign w:val="center"/>
          </w:tcPr>
          <w:p w14:paraId="06C7BC65" w14:textId="1CFB0550" w:rsidR="00335680" w:rsidRPr="00E85FE6" w:rsidRDefault="00335680" w:rsidP="00447432">
            <w:pPr>
              <w:spacing w:line="240" w:lineRule="auto"/>
              <w:jc w:val="left"/>
              <w:rPr>
                <w:rFonts w:eastAsia="SimSun" w:cs="Times New Roman"/>
                <w:i/>
                <w:iCs/>
                <w:color w:val="000000"/>
                <w:sz w:val="20"/>
                <w:szCs w:val="20"/>
              </w:rPr>
            </w:pPr>
            <w:r w:rsidRPr="00E85FE6">
              <w:rPr>
                <w:rFonts w:eastAsia="SimSun" w:cs="Times New Roman"/>
                <w:i/>
                <w:iCs/>
                <w:color w:val="000000"/>
                <w:sz w:val="20"/>
                <w:szCs w:val="20"/>
              </w:rPr>
              <w:t xml:space="preserve">Employment status (full-time) </w:t>
            </w:r>
          </w:p>
        </w:tc>
        <w:tc>
          <w:tcPr>
            <w:tcW w:w="209" w:type="pct"/>
            <w:tcBorders>
              <w:top w:val="double" w:sz="6" w:space="0" w:color="auto"/>
              <w:left w:val="nil"/>
              <w:right w:val="single" w:sz="4" w:space="0" w:color="auto"/>
            </w:tcBorders>
            <w:shd w:val="clear" w:color="auto" w:fill="auto"/>
            <w:noWrap/>
            <w:vAlign w:val="center"/>
          </w:tcPr>
          <w:p w14:paraId="37931102"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nil"/>
              <w:right w:val="single" w:sz="4" w:space="0" w:color="auto"/>
            </w:tcBorders>
            <w:shd w:val="clear" w:color="auto" w:fill="auto"/>
            <w:noWrap/>
            <w:vAlign w:val="center"/>
          </w:tcPr>
          <w:p w14:paraId="20005AE9"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top w:val="double" w:sz="6" w:space="0" w:color="auto"/>
              <w:left w:val="nil"/>
              <w:right w:val="single" w:sz="4" w:space="0" w:color="auto"/>
            </w:tcBorders>
            <w:shd w:val="clear" w:color="auto" w:fill="auto"/>
            <w:noWrap/>
            <w:vAlign w:val="center"/>
          </w:tcPr>
          <w:p w14:paraId="48AC66A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nil"/>
              <w:right w:val="double" w:sz="4" w:space="0" w:color="auto"/>
            </w:tcBorders>
            <w:shd w:val="clear" w:color="auto" w:fill="auto"/>
            <w:noWrap/>
            <w:vAlign w:val="center"/>
          </w:tcPr>
          <w:p w14:paraId="18EBC002"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right w:val="single" w:sz="4" w:space="0" w:color="auto"/>
            </w:tcBorders>
            <w:shd w:val="clear" w:color="auto" w:fill="auto"/>
            <w:noWrap/>
            <w:vAlign w:val="center"/>
          </w:tcPr>
          <w:p w14:paraId="2731D94E"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nil"/>
              <w:right w:val="single" w:sz="4" w:space="0" w:color="auto"/>
            </w:tcBorders>
            <w:shd w:val="clear" w:color="auto" w:fill="auto"/>
            <w:noWrap/>
            <w:vAlign w:val="center"/>
          </w:tcPr>
          <w:p w14:paraId="3E6A513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nil"/>
              <w:right w:val="single" w:sz="4" w:space="0" w:color="auto"/>
            </w:tcBorders>
            <w:shd w:val="clear" w:color="auto" w:fill="auto"/>
            <w:noWrap/>
            <w:vAlign w:val="center"/>
          </w:tcPr>
          <w:p w14:paraId="0FBB6B14"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top w:val="double" w:sz="6" w:space="0" w:color="auto"/>
              <w:left w:val="single" w:sz="4" w:space="0" w:color="auto"/>
              <w:right w:val="double" w:sz="4" w:space="0" w:color="auto"/>
            </w:tcBorders>
            <w:shd w:val="clear" w:color="auto" w:fill="auto"/>
            <w:noWrap/>
            <w:vAlign w:val="center"/>
          </w:tcPr>
          <w:p w14:paraId="2407908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right w:val="single" w:sz="4" w:space="0" w:color="auto"/>
            </w:tcBorders>
            <w:vAlign w:val="center"/>
          </w:tcPr>
          <w:p w14:paraId="5140F9C4"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top w:val="double" w:sz="6" w:space="0" w:color="auto"/>
              <w:left w:val="single" w:sz="4" w:space="0" w:color="auto"/>
              <w:right w:val="single" w:sz="4" w:space="0" w:color="auto"/>
            </w:tcBorders>
            <w:vAlign w:val="center"/>
          </w:tcPr>
          <w:p w14:paraId="44BAA2CE"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single" w:sz="4" w:space="0" w:color="auto"/>
              <w:right w:val="single" w:sz="4" w:space="0" w:color="auto"/>
            </w:tcBorders>
            <w:vAlign w:val="center"/>
          </w:tcPr>
          <w:p w14:paraId="47048111"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top w:val="double" w:sz="6" w:space="0" w:color="auto"/>
              <w:left w:val="single" w:sz="4" w:space="0" w:color="auto"/>
              <w:right w:val="double" w:sz="4" w:space="0" w:color="auto"/>
            </w:tcBorders>
            <w:vAlign w:val="center"/>
          </w:tcPr>
          <w:p w14:paraId="12D846EA"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right w:val="single" w:sz="4" w:space="0" w:color="auto"/>
            </w:tcBorders>
            <w:vAlign w:val="center"/>
          </w:tcPr>
          <w:p w14:paraId="0E253B6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single" w:sz="4" w:space="0" w:color="auto"/>
              <w:right w:val="double" w:sz="4" w:space="0" w:color="auto"/>
            </w:tcBorders>
            <w:vAlign w:val="center"/>
          </w:tcPr>
          <w:p w14:paraId="4564A15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right w:val="single" w:sz="4" w:space="0" w:color="auto"/>
            </w:tcBorders>
            <w:vAlign w:val="center"/>
          </w:tcPr>
          <w:p w14:paraId="408DF53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single" w:sz="4" w:space="0" w:color="auto"/>
              <w:right w:val="double" w:sz="4" w:space="0" w:color="auto"/>
            </w:tcBorders>
            <w:vAlign w:val="center"/>
          </w:tcPr>
          <w:p w14:paraId="2105602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right w:val="single" w:sz="4" w:space="0" w:color="auto"/>
            </w:tcBorders>
            <w:shd w:val="clear" w:color="auto" w:fill="auto"/>
            <w:noWrap/>
            <w:vAlign w:val="center"/>
          </w:tcPr>
          <w:p w14:paraId="664686D7"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top w:val="double" w:sz="6" w:space="0" w:color="auto"/>
              <w:left w:val="single" w:sz="4" w:space="0" w:color="auto"/>
              <w:right w:val="double" w:sz="4" w:space="0" w:color="000000"/>
            </w:tcBorders>
            <w:shd w:val="clear" w:color="auto" w:fill="auto"/>
            <w:noWrap/>
            <w:tcMar>
              <w:right w:w="58" w:type="dxa"/>
            </w:tcMar>
            <w:vAlign w:val="center"/>
          </w:tcPr>
          <w:p w14:paraId="3AAFDBAB"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64FB1F03" w14:textId="77777777" w:rsidTr="00BC53A5">
        <w:trPr>
          <w:trHeight w:val="17"/>
          <w:jc w:val="center"/>
        </w:trPr>
        <w:tc>
          <w:tcPr>
            <w:tcW w:w="1158" w:type="pct"/>
            <w:tcBorders>
              <w:top w:val="nil"/>
              <w:left w:val="double" w:sz="4" w:space="0" w:color="000000"/>
              <w:right w:val="double" w:sz="6" w:space="0" w:color="auto"/>
            </w:tcBorders>
            <w:shd w:val="clear" w:color="auto" w:fill="auto"/>
            <w:noWrap/>
            <w:vAlign w:val="center"/>
          </w:tcPr>
          <w:p w14:paraId="7BDAF76C" w14:textId="77777777" w:rsidR="00335680" w:rsidRPr="00E85FE6" w:rsidRDefault="00335680" w:rsidP="00447432">
            <w:pPr>
              <w:spacing w:line="240" w:lineRule="auto"/>
              <w:ind w:firstLineChars="100" w:firstLine="200"/>
              <w:jc w:val="left"/>
              <w:rPr>
                <w:rFonts w:eastAsia="SimSun" w:cs="Times New Roman"/>
                <w:color w:val="000000"/>
                <w:sz w:val="20"/>
                <w:szCs w:val="20"/>
              </w:rPr>
            </w:pPr>
            <w:r w:rsidRPr="00E85FE6">
              <w:rPr>
                <w:rFonts w:eastAsia="SimSun" w:cs="Times New Roman"/>
                <w:color w:val="000000"/>
                <w:sz w:val="20"/>
                <w:szCs w:val="20"/>
              </w:rPr>
              <w:t>Part-time</w:t>
            </w:r>
          </w:p>
        </w:tc>
        <w:tc>
          <w:tcPr>
            <w:tcW w:w="209" w:type="pct"/>
            <w:tcBorders>
              <w:top w:val="nil"/>
              <w:left w:val="nil"/>
              <w:right w:val="single" w:sz="4" w:space="0" w:color="auto"/>
            </w:tcBorders>
            <w:shd w:val="clear" w:color="auto" w:fill="auto"/>
            <w:noWrap/>
            <w:vAlign w:val="center"/>
          </w:tcPr>
          <w:p w14:paraId="1A52F65A" w14:textId="7A3C3EFA" w:rsidR="00335680" w:rsidRPr="00E85FE6" w:rsidRDefault="00335680"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-0.3</w:t>
            </w:r>
            <w:r w:rsidR="00875F31">
              <w:rPr>
                <w:rFonts w:eastAsia="Times New Roman" w:cs="Times New Roman"/>
                <w:color w:val="000000"/>
                <w:sz w:val="20"/>
                <w:szCs w:val="20"/>
              </w:rPr>
              <w:t>47</w:t>
            </w:r>
          </w:p>
        </w:tc>
        <w:tc>
          <w:tcPr>
            <w:tcW w:w="211" w:type="pct"/>
            <w:tcBorders>
              <w:top w:val="nil"/>
              <w:left w:val="nil"/>
              <w:right w:val="single" w:sz="4" w:space="0" w:color="auto"/>
            </w:tcBorders>
            <w:shd w:val="clear" w:color="auto" w:fill="auto"/>
            <w:noWrap/>
            <w:vAlign w:val="center"/>
          </w:tcPr>
          <w:p w14:paraId="7BC1A7F1" w14:textId="2F247BC6" w:rsidR="00335680" w:rsidRPr="00E85FE6" w:rsidRDefault="00335680"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-5.</w:t>
            </w:r>
            <w:r w:rsidR="00875F31">
              <w:rPr>
                <w:rFonts w:eastAsia="Times New Roman" w:cs="Times New Roman"/>
                <w:color w:val="000000"/>
                <w:sz w:val="20"/>
                <w:szCs w:val="20"/>
              </w:rPr>
              <w:t>49</w:t>
            </w:r>
          </w:p>
        </w:tc>
        <w:tc>
          <w:tcPr>
            <w:tcW w:w="209" w:type="pct"/>
            <w:tcBorders>
              <w:top w:val="nil"/>
              <w:left w:val="nil"/>
              <w:right w:val="single" w:sz="4" w:space="0" w:color="auto"/>
            </w:tcBorders>
            <w:shd w:val="clear" w:color="auto" w:fill="auto"/>
            <w:noWrap/>
            <w:vAlign w:val="center"/>
          </w:tcPr>
          <w:p w14:paraId="4F54D32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double" w:sz="4" w:space="0" w:color="auto"/>
            </w:tcBorders>
            <w:shd w:val="clear" w:color="auto" w:fill="auto"/>
            <w:noWrap/>
            <w:vAlign w:val="center"/>
          </w:tcPr>
          <w:p w14:paraId="0435F3F6"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24DCE7F4"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49BB4F56"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31DF6BF6"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top w:val="nil"/>
              <w:left w:val="single" w:sz="4" w:space="0" w:color="auto"/>
              <w:right w:val="double" w:sz="4" w:space="0" w:color="auto"/>
            </w:tcBorders>
            <w:shd w:val="clear" w:color="auto" w:fill="auto"/>
            <w:noWrap/>
            <w:vAlign w:val="center"/>
          </w:tcPr>
          <w:p w14:paraId="633D8E6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4B8D4E60"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070498D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5668FD8C"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14D3C498"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B29C1CE"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2BFCB35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8799AC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0C3298C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0C1C131E"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top w:val="nil"/>
              <w:left w:val="single" w:sz="4" w:space="0" w:color="auto"/>
              <w:right w:val="double" w:sz="4" w:space="0" w:color="000000"/>
            </w:tcBorders>
            <w:shd w:val="clear" w:color="auto" w:fill="auto"/>
            <w:noWrap/>
            <w:tcMar>
              <w:right w:w="58" w:type="dxa"/>
            </w:tcMar>
            <w:vAlign w:val="center"/>
          </w:tcPr>
          <w:p w14:paraId="2C160CF0" w14:textId="77777777" w:rsidR="00335680" w:rsidRPr="00E85FE6" w:rsidRDefault="00335680" w:rsidP="00335680">
            <w:pPr>
              <w:spacing w:line="240" w:lineRule="auto"/>
              <w:jc w:val="right"/>
              <w:rPr>
                <w:rFonts w:eastAsia="Times New Roman" w:cs="Times New Roman"/>
                <w:color w:val="000000"/>
                <w:sz w:val="20"/>
                <w:szCs w:val="20"/>
              </w:rPr>
            </w:pPr>
          </w:p>
        </w:tc>
      </w:tr>
      <w:tr w:rsidR="00335680" w:rsidRPr="00E85FE6" w14:paraId="08C5201F" w14:textId="77777777" w:rsidTr="00BC53A5">
        <w:trPr>
          <w:trHeight w:val="17"/>
          <w:jc w:val="center"/>
        </w:trPr>
        <w:tc>
          <w:tcPr>
            <w:tcW w:w="1158" w:type="pct"/>
            <w:tcBorders>
              <w:top w:val="nil"/>
              <w:left w:val="double" w:sz="4" w:space="0" w:color="000000"/>
              <w:right w:val="double" w:sz="6" w:space="0" w:color="auto"/>
            </w:tcBorders>
            <w:shd w:val="clear" w:color="auto" w:fill="auto"/>
            <w:noWrap/>
            <w:vAlign w:val="center"/>
          </w:tcPr>
          <w:p w14:paraId="10E1AF67" w14:textId="77777777" w:rsidR="00335680" w:rsidRPr="00E85FE6" w:rsidRDefault="00335680" w:rsidP="00447432">
            <w:pPr>
              <w:spacing w:line="240" w:lineRule="auto"/>
              <w:jc w:val="left"/>
              <w:rPr>
                <w:rFonts w:eastAsia="SimSun" w:cs="Times New Roman"/>
                <w:i/>
                <w:color w:val="000000"/>
                <w:sz w:val="20"/>
                <w:szCs w:val="20"/>
              </w:rPr>
            </w:pPr>
            <w:r w:rsidRPr="00E85FE6">
              <w:rPr>
                <w:rFonts w:eastAsia="SimSun" w:cs="Times New Roman"/>
                <w:i/>
                <w:color w:val="000000"/>
                <w:sz w:val="20"/>
                <w:szCs w:val="20"/>
              </w:rPr>
              <w:t xml:space="preserve">Gender and employment </w:t>
            </w:r>
          </w:p>
          <w:p w14:paraId="3D12B8D1" w14:textId="14D89A4A" w:rsidR="00335680" w:rsidRPr="00E85FE6" w:rsidRDefault="00335680" w:rsidP="00447432">
            <w:pPr>
              <w:spacing w:line="240" w:lineRule="auto"/>
              <w:jc w:val="left"/>
              <w:rPr>
                <w:rFonts w:eastAsia="SimSun" w:cs="Times New Roman"/>
                <w:color w:val="000000"/>
                <w:sz w:val="20"/>
                <w:szCs w:val="20"/>
              </w:rPr>
            </w:pPr>
            <w:r w:rsidRPr="00E85FE6">
              <w:rPr>
                <w:rFonts w:eastAsia="SimSun" w:cs="Times New Roman"/>
                <w:i/>
                <w:color w:val="000000"/>
                <w:sz w:val="20"/>
                <w:szCs w:val="20"/>
              </w:rPr>
              <w:t>(full-time</w:t>
            </w:r>
            <w:r>
              <w:rPr>
                <w:rFonts w:eastAsia="SimSun" w:cs="Times New Roman"/>
                <w:i/>
                <w:color w:val="000000"/>
                <w:sz w:val="20"/>
                <w:szCs w:val="20"/>
              </w:rPr>
              <w:t xml:space="preserve"> and part-time </w:t>
            </w:r>
            <w:r w:rsidRPr="00E85FE6">
              <w:rPr>
                <w:rFonts w:eastAsia="SimSun" w:cs="Times New Roman"/>
                <w:i/>
                <w:color w:val="000000"/>
                <w:sz w:val="20"/>
                <w:szCs w:val="20"/>
              </w:rPr>
              <w:t xml:space="preserve"> male) </w:t>
            </w:r>
          </w:p>
        </w:tc>
        <w:tc>
          <w:tcPr>
            <w:tcW w:w="209" w:type="pct"/>
            <w:tcBorders>
              <w:top w:val="nil"/>
              <w:left w:val="nil"/>
              <w:right w:val="single" w:sz="4" w:space="0" w:color="auto"/>
            </w:tcBorders>
            <w:shd w:val="clear" w:color="auto" w:fill="auto"/>
            <w:noWrap/>
            <w:vAlign w:val="center"/>
          </w:tcPr>
          <w:p w14:paraId="1248FED3"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1564906A" w14:textId="77777777" w:rsidR="00335680" w:rsidRPr="00E85FE6" w:rsidRDefault="00335680" w:rsidP="00335680">
            <w:pPr>
              <w:spacing w:line="240" w:lineRule="auto"/>
              <w:jc w:val="right"/>
              <w:rPr>
                <w:rFonts w:eastAsia="Times New Roman" w:cs="Times New Roman"/>
                <w:color w:val="000000"/>
                <w:sz w:val="20"/>
                <w:szCs w:val="20"/>
              </w:rPr>
            </w:pPr>
          </w:p>
        </w:tc>
        <w:tc>
          <w:tcPr>
            <w:tcW w:w="209" w:type="pct"/>
            <w:tcBorders>
              <w:top w:val="nil"/>
              <w:left w:val="nil"/>
              <w:right w:val="single" w:sz="4" w:space="0" w:color="auto"/>
            </w:tcBorders>
            <w:shd w:val="clear" w:color="auto" w:fill="auto"/>
            <w:noWrap/>
            <w:vAlign w:val="center"/>
          </w:tcPr>
          <w:p w14:paraId="4E04E8F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double" w:sz="4" w:space="0" w:color="auto"/>
            </w:tcBorders>
            <w:shd w:val="clear" w:color="auto" w:fill="auto"/>
            <w:noWrap/>
            <w:vAlign w:val="center"/>
          </w:tcPr>
          <w:p w14:paraId="2D6AC10C"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737CB75B"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129321A3"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317E1C31"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top w:val="nil"/>
              <w:left w:val="single" w:sz="4" w:space="0" w:color="auto"/>
              <w:right w:val="double" w:sz="4" w:space="0" w:color="auto"/>
            </w:tcBorders>
            <w:shd w:val="clear" w:color="auto" w:fill="auto"/>
            <w:noWrap/>
            <w:vAlign w:val="center"/>
          </w:tcPr>
          <w:p w14:paraId="4E0C638F"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4C544408"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57C2D400"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684BEFD2" w14:textId="77777777" w:rsidR="00335680" w:rsidRPr="00E85FE6" w:rsidRDefault="00335680" w:rsidP="0033568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443C33BD"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499BB71"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28B8B97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1AFD4C9"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6182F297" w14:textId="77777777" w:rsidR="00335680" w:rsidRPr="00E85FE6" w:rsidRDefault="00335680" w:rsidP="00335680">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77A1874F" w14:textId="77777777" w:rsidR="00335680" w:rsidRPr="00E85FE6" w:rsidRDefault="00335680" w:rsidP="00335680">
            <w:pPr>
              <w:spacing w:line="240" w:lineRule="auto"/>
              <w:jc w:val="right"/>
              <w:rPr>
                <w:rFonts w:eastAsia="Times New Roman" w:cs="Times New Roman"/>
                <w:color w:val="000000"/>
                <w:sz w:val="20"/>
                <w:szCs w:val="20"/>
              </w:rPr>
            </w:pPr>
          </w:p>
        </w:tc>
        <w:tc>
          <w:tcPr>
            <w:tcW w:w="256" w:type="pct"/>
            <w:tcBorders>
              <w:top w:val="nil"/>
              <w:left w:val="single" w:sz="4" w:space="0" w:color="auto"/>
              <w:right w:val="double" w:sz="4" w:space="0" w:color="000000"/>
            </w:tcBorders>
            <w:shd w:val="clear" w:color="auto" w:fill="auto"/>
            <w:noWrap/>
            <w:tcMar>
              <w:right w:w="58" w:type="dxa"/>
            </w:tcMar>
            <w:vAlign w:val="center"/>
          </w:tcPr>
          <w:p w14:paraId="0AD0D697" w14:textId="77777777" w:rsidR="00335680" w:rsidRPr="00E85FE6" w:rsidRDefault="00335680" w:rsidP="00335680">
            <w:pPr>
              <w:spacing w:line="240" w:lineRule="auto"/>
              <w:jc w:val="right"/>
              <w:rPr>
                <w:rFonts w:eastAsia="Times New Roman" w:cs="Times New Roman"/>
                <w:color w:val="000000"/>
                <w:sz w:val="20"/>
                <w:szCs w:val="20"/>
              </w:rPr>
            </w:pPr>
          </w:p>
        </w:tc>
      </w:tr>
      <w:tr w:rsidR="00BB7DB8" w:rsidRPr="00E85FE6" w14:paraId="39BF4685" w14:textId="77777777" w:rsidTr="00BC53A5">
        <w:trPr>
          <w:trHeight w:val="17"/>
          <w:jc w:val="center"/>
        </w:trPr>
        <w:tc>
          <w:tcPr>
            <w:tcW w:w="1158" w:type="pct"/>
            <w:tcBorders>
              <w:top w:val="nil"/>
              <w:left w:val="double" w:sz="4" w:space="0" w:color="000000"/>
              <w:right w:val="double" w:sz="6" w:space="0" w:color="auto"/>
            </w:tcBorders>
            <w:shd w:val="clear" w:color="auto" w:fill="auto"/>
            <w:noWrap/>
            <w:vAlign w:val="center"/>
          </w:tcPr>
          <w:p w14:paraId="0D6E00C2" w14:textId="77777777" w:rsidR="00BB7DB8" w:rsidRPr="00E85FE6" w:rsidRDefault="00BB7DB8" w:rsidP="00447432">
            <w:pPr>
              <w:spacing w:line="240" w:lineRule="auto"/>
              <w:ind w:firstLineChars="100" w:firstLine="200"/>
              <w:jc w:val="left"/>
              <w:rPr>
                <w:rFonts w:eastAsia="SimSun" w:cs="Times New Roman"/>
                <w:color w:val="000000"/>
                <w:sz w:val="20"/>
                <w:szCs w:val="20"/>
              </w:rPr>
            </w:pPr>
            <w:r w:rsidRPr="00E85FE6">
              <w:rPr>
                <w:rFonts w:eastAsia="SimSun" w:cs="Times New Roman"/>
                <w:color w:val="000000"/>
                <w:sz w:val="20"/>
                <w:szCs w:val="20"/>
              </w:rPr>
              <w:t>Part-time female</w:t>
            </w:r>
          </w:p>
        </w:tc>
        <w:tc>
          <w:tcPr>
            <w:tcW w:w="209" w:type="pct"/>
            <w:tcBorders>
              <w:top w:val="nil"/>
              <w:left w:val="nil"/>
              <w:right w:val="single" w:sz="4" w:space="0" w:color="auto"/>
            </w:tcBorders>
            <w:shd w:val="clear" w:color="auto" w:fill="auto"/>
            <w:noWrap/>
            <w:vAlign w:val="center"/>
          </w:tcPr>
          <w:p w14:paraId="501FCE7E"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6F41A491" w14:textId="77777777" w:rsidR="00BB7DB8" w:rsidRPr="00E85FE6" w:rsidRDefault="00BB7DB8" w:rsidP="00BB7DB8">
            <w:pPr>
              <w:spacing w:line="240" w:lineRule="auto"/>
              <w:jc w:val="right"/>
              <w:rPr>
                <w:rFonts w:eastAsia="Times New Roman" w:cs="Times New Roman"/>
                <w:color w:val="000000"/>
                <w:sz w:val="20"/>
                <w:szCs w:val="20"/>
              </w:rPr>
            </w:pPr>
          </w:p>
        </w:tc>
        <w:tc>
          <w:tcPr>
            <w:tcW w:w="209" w:type="pct"/>
            <w:tcBorders>
              <w:top w:val="nil"/>
              <w:left w:val="nil"/>
              <w:right w:val="single" w:sz="4" w:space="0" w:color="auto"/>
            </w:tcBorders>
            <w:shd w:val="clear" w:color="auto" w:fill="auto"/>
            <w:noWrap/>
            <w:vAlign w:val="center"/>
          </w:tcPr>
          <w:p w14:paraId="445344FD"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double" w:sz="4" w:space="0" w:color="auto"/>
            </w:tcBorders>
            <w:shd w:val="clear" w:color="auto" w:fill="auto"/>
            <w:noWrap/>
            <w:vAlign w:val="center"/>
          </w:tcPr>
          <w:p w14:paraId="498A708E"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5F0CDED6" w14:textId="5E3C5B61" w:rsidR="00BB7DB8" w:rsidRPr="00E85FE6" w:rsidRDefault="00BB7DB8" w:rsidP="00BB7DB8">
            <w:pPr>
              <w:spacing w:line="240" w:lineRule="auto"/>
              <w:jc w:val="right"/>
              <w:rPr>
                <w:rFonts w:eastAsia="Times New Roman" w:cs="Times New Roman"/>
                <w:color w:val="000000"/>
                <w:sz w:val="20"/>
                <w:szCs w:val="20"/>
              </w:rPr>
            </w:pPr>
            <w:r>
              <w:rPr>
                <w:rFonts w:eastAsia="Times New Roman" w:cs="Times New Roman"/>
                <w:color w:val="000000"/>
                <w:sz w:val="20"/>
                <w:szCs w:val="20"/>
              </w:rPr>
              <w:t>0.084</w:t>
            </w:r>
          </w:p>
        </w:tc>
        <w:tc>
          <w:tcPr>
            <w:tcW w:w="211" w:type="pct"/>
            <w:tcBorders>
              <w:top w:val="nil"/>
              <w:left w:val="nil"/>
              <w:right w:val="single" w:sz="4" w:space="0" w:color="auto"/>
            </w:tcBorders>
            <w:shd w:val="clear" w:color="auto" w:fill="auto"/>
            <w:noWrap/>
            <w:vAlign w:val="center"/>
          </w:tcPr>
          <w:p w14:paraId="0BCD9D20" w14:textId="33E5BFB3" w:rsidR="00BB7DB8" w:rsidRPr="00E85FE6" w:rsidRDefault="00BB7DB8" w:rsidP="001E635A">
            <w:pPr>
              <w:spacing w:line="240" w:lineRule="auto"/>
              <w:jc w:val="right"/>
              <w:rPr>
                <w:rFonts w:eastAsia="Times New Roman" w:cs="Times New Roman"/>
                <w:color w:val="000000"/>
                <w:sz w:val="20"/>
                <w:szCs w:val="20"/>
              </w:rPr>
            </w:pPr>
            <w:r>
              <w:rPr>
                <w:rFonts w:eastAsia="Times New Roman" w:cs="Times New Roman"/>
                <w:color w:val="000000"/>
                <w:sz w:val="20"/>
                <w:szCs w:val="20"/>
              </w:rPr>
              <w:t>2.</w:t>
            </w:r>
            <w:r w:rsidR="001E635A">
              <w:rPr>
                <w:rFonts w:eastAsia="Times New Roman" w:cs="Times New Roman"/>
                <w:color w:val="000000"/>
                <w:sz w:val="20"/>
                <w:szCs w:val="20"/>
              </w:rPr>
              <w:t>14</w:t>
            </w:r>
          </w:p>
        </w:tc>
        <w:tc>
          <w:tcPr>
            <w:tcW w:w="211" w:type="pct"/>
            <w:tcBorders>
              <w:top w:val="nil"/>
              <w:left w:val="nil"/>
              <w:right w:val="single" w:sz="4" w:space="0" w:color="auto"/>
            </w:tcBorders>
            <w:shd w:val="clear" w:color="auto" w:fill="auto"/>
            <w:noWrap/>
            <w:vAlign w:val="center"/>
          </w:tcPr>
          <w:p w14:paraId="6A117EE2"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top w:val="nil"/>
              <w:left w:val="single" w:sz="4" w:space="0" w:color="auto"/>
              <w:right w:val="double" w:sz="4" w:space="0" w:color="auto"/>
            </w:tcBorders>
            <w:shd w:val="clear" w:color="auto" w:fill="auto"/>
            <w:noWrap/>
            <w:vAlign w:val="center"/>
          </w:tcPr>
          <w:p w14:paraId="3C3D8F06"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20A4BABD"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6A9CAB2A"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175F678A"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4213E795"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0A81FCA"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1CD84800"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304EE3A5"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5D7FFAE5"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11C907C0" w14:textId="77777777" w:rsidR="00BB7DB8" w:rsidRPr="00E85FE6" w:rsidRDefault="00BB7DB8" w:rsidP="00BB7DB8">
            <w:pPr>
              <w:spacing w:line="240" w:lineRule="auto"/>
              <w:jc w:val="right"/>
              <w:rPr>
                <w:rFonts w:eastAsia="Times New Roman" w:cs="Times New Roman"/>
                <w:color w:val="000000"/>
                <w:sz w:val="20"/>
                <w:szCs w:val="20"/>
              </w:rPr>
            </w:pPr>
          </w:p>
        </w:tc>
        <w:tc>
          <w:tcPr>
            <w:tcW w:w="256" w:type="pct"/>
            <w:tcBorders>
              <w:top w:val="nil"/>
              <w:left w:val="single" w:sz="4" w:space="0" w:color="auto"/>
              <w:right w:val="double" w:sz="4" w:space="0" w:color="000000"/>
            </w:tcBorders>
            <w:shd w:val="clear" w:color="auto" w:fill="auto"/>
            <w:noWrap/>
            <w:tcMar>
              <w:right w:w="58" w:type="dxa"/>
            </w:tcMar>
            <w:vAlign w:val="center"/>
          </w:tcPr>
          <w:p w14:paraId="683AFB15" w14:textId="77777777" w:rsidR="00BB7DB8" w:rsidRPr="00E85FE6" w:rsidRDefault="00BB7DB8" w:rsidP="00BB7DB8">
            <w:pPr>
              <w:spacing w:line="240" w:lineRule="auto"/>
              <w:jc w:val="right"/>
              <w:rPr>
                <w:rFonts w:eastAsia="Times New Roman" w:cs="Times New Roman"/>
                <w:color w:val="000000"/>
                <w:sz w:val="20"/>
                <w:szCs w:val="20"/>
              </w:rPr>
            </w:pPr>
          </w:p>
        </w:tc>
      </w:tr>
      <w:tr w:rsidR="00BB7DB8" w:rsidRPr="00E85FE6" w14:paraId="3E2A702F" w14:textId="77777777" w:rsidTr="00BC53A5">
        <w:trPr>
          <w:trHeight w:val="17"/>
          <w:jc w:val="center"/>
        </w:trPr>
        <w:tc>
          <w:tcPr>
            <w:tcW w:w="1158" w:type="pct"/>
            <w:tcBorders>
              <w:top w:val="nil"/>
              <w:left w:val="double" w:sz="4" w:space="0" w:color="000000"/>
              <w:right w:val="double" w:sz="6" w:space="0" w:color="auto"/>
            </w:tcBorders>
            <w:shd w:val="clear" w:color="auto" w:fill="auto"/>
            <w:noWrap/>
            <w:vAlign w:val="center"/>
          </w:tcPr>
          <w:p w14:paraId="7A0139C0" w14:textId="77777777" w:rsidR="00BB7DB8" w:rsidRPr="00E85FE6" w:rsidRDefault="00BB7DB8" w:rsidP="00447432">
            <w:pPr>
              <w:spacing w:line="240" w:lineRule="auto"/>
              <w:ind w:firstLineChars="100" w:firstLine="200"/>
              <w:jc w:val="left"/>
              <w:rPr>
                <w:rFonts w:eastAsia="SimSun" w:cs="Times New Roman"/>
                <w:color w:val="000000"/>
                <w:sz w:val="20"/>
                <w:szCs w:val="20"/>
              </w:rPr>
            </w:pPr>
            <w:r w:rsidRPr="00E85FE6">
              <w:rPr>
                <w:rFonts w:eastAsia="SimSun" w:cs="Times New Roman"/>
                <w:color w:val="000000"/>
                <w:sz w:val="20"/>
                <w:szCs w:val="20"/>
              </w:rPr>
              <w:t>Full-time female</w:t>
            </w:r>
          </w:p>
        </w:tc>
        <w:tc>
          <w:tcPr>
            <w:tcW w:w="209" w:type="pct"/>
            <w:tcBorders>
              <w:top w:val="nil"/>
              <w:left w:val="nil"/>
              <w:right w:val="single" w:sz="4" w:space="0" w:color="auto"/>
            </w:tcBorders>
            <w:shd w:val="clear" w:color="auto" w:fill="auto"/>
            <w:noWrap/>
            <w:vAlign w:val="center"/>
          </w:tcPr>
          <w:p w14:paraId="1C1167FF"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62CF752E" w14:textId="77777777" w:rsidR="00BB7DB8" w:rsidRPr="00E85FE6" w:rsidRDefault="00BB7DB8" w:rsidP="00BB7DB8">
            <w:pPr>
              <w:spacing w:line="240" w:lineRule="auto"/>
              <w:jc w:val="right"/>
              <w:rPr>
                <w:rFonts w:eastAsia="Times New Roman" w:cs="Times New Roman"/>
                <w:color w:val="000000"/>
                <w:sz w:val="20"/>
                <w:szCs w:val="20"/>
              </w:rPr>
            </w:pPr>
          </w:p>
        </w:tc>
        <w:tc>
          <w:tcPr>
            <w:tcW w:w="209" w:type="pct"/>
            <w:tcBorders>
              <w:top w:val="nil"/>
              <w:left w:val="nil"/>
              <w:right w:val="single" w:sz="4" w:space="0" w:color="auto"/>
            </w:tcBorders>
            <w:shd w:val="clear" w:color="auto" w:fill="auto"/>
            <w:noWrap/>
            <w:vAlign w:val="center"/>
          </w:tcPr>
          <w:p w14:paraId="4BCF53DB" w14:textId="766EE237" w:rsidR="00BB7DB8" w:rsidRPr="00E85FE6" w:rsidRDefault="00BB7DB8"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0.31</w:t>
            </w:r>
            <w:r w:rsidR="00875F31">
              <w:rPr>
                <w:rFonts w:eastAsia="Times New Roman" w:cs="Times New Roman"/>
                <w:color w:val="000000"/>
                <w:sz w:val="20"/>
                <w:szCs w:val="20"/>
              </w:rPr>
              <w:t>7</w:t>
            </w:r>
          </w:p>
        </w:tc>
        <w:tc>
          <w:tcPr>
            <w:tcW w:w="211" w:type="pct"/>
            <w:tcBorders>
              <w:top w:val="nil"/>
              <w:left w:val="nil"/>
              <w:right w:val="double" w:sz="4" w:space="0" w:color="auto"/>
            </w:tcBorders>
            <w:shd w:val="clear" w:color="auto" w:fill="auto"/>
            <w:noWrap/>
            <w:vAlign w:val="center"/>
          </w:tcPr>
          <w:p w14:paraId="6BD0D2D8" w14:textId="65D21BA7" w:rsidR="00BB7DB8" w:rsidRPr="00E85FE6" w:rsidRDefault="00BB7DB8"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7.</w:t>
            </w:r>
            <w:r w:rsidR="00875F31">
              <w:rPr>
                <w:rFonts w:eastAsia="Times New Roman" w:cs="Times New Roman"/>
                <w:color w:val="000000"/>
                <w:sz w:val="20"/>
                <w:szCs w:val="20"/>
              </w:rPr>
              <w:t>27</w:t>
            </w:r>
          </w:p>
        </w:tc>
        <w:tc>
          <w:tcPr>
            <w:tcW w:w="211" w:type="pct"/>
            <w:tcBorders>
              <w:top w:val="nil"/>
              <w:left w:val="double" w:sz="4" w:space="0" w:color="auto"/>
              <w:right w:val="single" w:sz="4" w:space="0" w:color="auto"/>
            </w:tcBorders>
            <w:shd w:val="clear" w:color="auto" w:fill="auto"/>
            <w:noWrap/>
            <w:vAlign w:val="center"/>
          </w:tcPr>
          <w:p w14:paraId="4535A3F3" w14:textId="23073BDB"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35DF884E" w14:textId="179750E6"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5B7CE8CF"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top w:val="nil"/>
              <w:left w:val="single" w:sz="4" w:space="0" w:color="auto"/>
              <w:right w:val="double" w:sz="4" w:space="0" w:color="auto"/>
            </w:tcBorders>
            <w:shd w:val="clear" w:color="auto" w:fill="auto"/>
            <w:noWrap/>
            <w:vAlign w:val="center"/>
          </w:tcPr>
          <w:p w14:paraId="61FC2A2F"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21EB36E0"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57A4F522"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6E5CF74F"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7F88895B"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340A6B69"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0EC75EA9"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1871FC3" w14:textId="6FF406AC" w:rsidR="00BB7DB8" w:rsidRPr="00E85FE6" w:rsidRDefault="00BB7DB8" w:rsidP="007275D5">
            <w:pPr>
              <w:spacing w:line="240" w:lineRule="auto"/>
              <w:jc w:val="right"/>
              <w:rPr>
                <w:rFonts w:eastAsia="Times New Roman" w:cs="Times New Roman"/>
                <w:color w:val="000000"/>
                <w:sz w:val="20"/>
                <w:szCs w:val="20"/>
              </w:rPr>
            </w:pPr>
            <w:r>
              <w:rPr>
                <w:rFonts w:eastAsia="Times New Roman" w:cs="Times New Roman"/>
                <w:color w:val="000000"/>
                <w:sz w:val="20"/>
                <w:szCs w:val="20"/>
              </w:rPr>
              <w:t>0.11</w:t>
            </w:r>
            <w:r w:rsidR="007275D5">
              <w:rPr>
                <w:rFonts w:eastAsia="Times New Roman" w:cs="Times New Roman"/>
                <w:color w:val="000000"/>
                <w:sz w:val="20"/>
                <w:szCs w:val="20"/>
              </w:rPr>
              <w:t>5</w:t>
            </w:r>
          </w:p>
        </w:tc>
        <w:tc>
          <w:tcPr>
            <w:tcW w:w="211" w:type="pct"/>
            <w:tcBorders>
              <w:left w:val="single" w:sz="4" w:space="0" w:color="auto"/>
              <w:right w:val="double" w:sz="4" w:space="0" w:color="auto"/>
            </w:tcBorders>
            <w:vAlign w:val="center"/>
          </w:tcPr>
          <w:p w14:paraId="07DA2F52" w14:textId="3B7A818E" w:rsidR="00BB7DB8" w:rsidRPr="00E85FE6" w:rsidRDefault="00BB7DB8" w:rsidP="007275D5">
            <w:pPr>
              <w:spacing w:line="240" w:lineRule="auto"/>
              <w:jc w:val="right"/>
              <w:rPr>
                <w:rFonts w:eastAsia="Times New Roman" w:cs="Times New Roman"/>
                <w:color w:val="000000"/>
                <w:sz w:val="20"/>
                <w:szCs w:val="20"/>
              </w:rPr>
            </w:pPr>
            <w:r>
              <w:rPr>
                <w:rFonts w:eastAsia="Times New Roman" w:cs="Times New Roman"/>
                <w:color w:val="000000"/>
                <w:sz w:val="20"/>
                <w:szCs w:val="20"/>
              </w:rPr>
              <w:t>2.</w:t>
            </w:r>
            <w:r w:rsidR="007275D5">
              <w:rPr>
                <w:rFonts w:eastAsia="Times New Roman" w:cs="Times New Roman"/>
                <w:color w:val="000000"/>
                <w:sz w:val="20"/>
                <w:szCs w:val="20"/>
              </w:rPr>
              <w:t>5</w:t>
            </w:r>
            <w:r>
              <w:rPr>
                <w:rFonts w:eastAsia="Times New Roman" w:cs="Times New Roman"/>
                <w:color w:val="000000"/>
                <w:sz w:val="20"/>
                <w:szCs w:val="20"/>
              </w:rPr>
              <w:t>2</w:t>
            </w:r>
          </w:p>
        </w:tc>
        <w:tc>
          <w:tcPr>
            <w:tcW w:w="211" w:type="pct"/>
            <w:tcBorders>
              <w:top w:val="nil"/>
              <w:left w:val="double" w:sz="4" w:space="0" w:color="auto"/>
              <w:right w:val="single" w:sz="4" w:space="0" w:color="auto"/>
            </w:tcBorders>
            <w:shd w:val="clear" w:color="auto" w:fill="auto"/>
            <w:noWrap/>
            <w:vAlign w:val="center"/>
          </w:tcPr>
          <w:p w14:paraId="58560819" w14:textId="77777777" w:rsidR="00BB7DB8" w:rsidRPr="00E85FE6" w:rsidRDefault="00BB7DB8" w:rsidP="00BB7DB8">
            <w:pPr>
              <w:spacing w:line="240" w:lineRule="auto"/>
              <w:jc w:val="right"/>
              <w:rPr>
                <w:rFonts w:eastAsia="Times New Roman" w:cs="Times New Roman"/>
                <w:color w:val="000000"/>
                <w:sz w:val="20"/>
                <w:szCs w:val="20"/>
              </w:rPr>
            </w:pPr>
          </w:p>
        </w:tc>
        <w:tc>
          <w:tcPr>
            <w:tcW w:w="256" w:type="pct"/>
            <w:tcBorders>
              <w:top w:val="nil"/>
              <w:left w:val="single" w:sz="4" w:space="0" w:color="auto"/>
              <w:right w:val="double" w:sz="4" w:space="0" w:color="000000"/>
            </w:tcBorders>
            <w:shd w:val="clear" w:color="auto" w:fill="auto"/>
            <w:noWrap/>
            <w:tcMar>
              <w:right w:w="58" w:type="dxa"/>
            </w:tcMar>
            <w:vAlign w:val="center"/>
          </w:tcPr>
          <w:p w14:paraId="77818078" w14:textId="77777777" w:rsidR="00BB7DB8" w:rsidRPr="00E85FE6" w:rsidRDefault="00BB7DB8" w:rsidP="00BB7DB8">
            <w:pPr>
              <w:spacing w:line="240" w:lineRule="auto"/>
              <w:jc w:val="right"/>
              <w:rPr>
                <w:rFonts w:eastAsia="Times New Roman" w:cs="Times New Roman"/>
                <w:color w:val="000000"/>
                <w:sz w:val="20"/>
                <w:szCs w:val="20"/>
              </w:rPr>
            </w:pPr>
          </w:p>
        </w:tc>
      </w:tr>
      <w:tr w:rsidR="00BB7DB8" w:rsidRPr="00E85FE6" w14:paraId="17CA160F" w14:textId="77777777" w:rsidTr="00BC53A5">
        <w:trPr>
          <w:trHeight w:val="17"/>
          <w:jc w:val="center"/>
        </w:trPr>
        <w:tc>
          <w:tcPr>
            <w:tcW w:w="1158" w:type="pct"/>
            <w:tcBorders>
              <w:top w:val="nil"/>
              <w:left w:val="double" w:sz="4" w:space="0" w:color="000000"/>
              <w:right w:val="double" w:sz="6" w:space="0" w:color="auto"/>
            </w:tcBorders>
            <w:shd w:val="clear" w:color="auto" w:fill="auto"/>
            <w:noWrap/>
            <w:vAlign w:val="center"/>
          </w:tcPr>
          <w:p w14:paraId="7D1E86D3" w14:textId="5754DEE8" w:rsidR="00BB7DB8" w:rsidRPr="00E85FE6" w:rsidRDefault="00BB7DB8" w:rsidP="00447432">
            <w:pPr>
              <w:spacing w:line="240" w:lineRule="auto"/>
              <w:jc w:val="left"/>
              <w:rPr>
                <w:rFonts w:eastAsia="SimSun" w:cs="Times New Roman"/>
                <w:color w:val="000000"/>
                <w:sz w:val="20"/>
                <w:szCs w:val="20"/>
                <w:lang w:eastAsia="zh-CN"/>
              </w:rPr>
            </w:pPr>
            <w:r w:rsidRPr="00E85FE6">
              <w:rPr>
                <w:rFonts w:eastAsia="SimSun" w:cs="Times New Roman"/>
                <w:i/>
                <w:iCs/>
                <w:color w:val="000000"/>
                <w:sz w:val="20"/>
                <w:szCs w:val="20"/>
              </w:rPr>
              <w:t xml:space="preserve">Employment type (employee) </w:t>
            </w:r>
          </w:p>
        </w:tc>
        <w:tc>
          <w:tcPr>
            <w:tcW w:w="209" w:type="pct"/>
            <w:tcBorders>
              <w:top w:val="nil"/>
              <w:left w:val="nil"/>
              <w:right w:val="single" w:sz="4" w:space="0" w:color="auto"/>
            </w:tcBorders>
            <w:shd w:val="clear" w:color="auto" w:fill="auto"/>
            <w:noWrap/>
            <w:vAlign w:val="center"/>
          </w:tcPr>
          <w:p w14:paraId="17273EFF"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57A8774E" w14:textId="77777777" w:rsidR="00BB7DB8" w:rsidRPr="00E85FE6" w:rsidRDefault="00BB7DB8" w:rsidP="00BB7DB8">
            <w:pPr>
              <w:spacing w:line="240" w:lineRule="auto"/>
              <w:jc w:val="right"/>
              <w:rPr>
                <w:rFonts w:eastAsia="Times New Roman" w:cs="Times New Roman"/>
                <w:color w:val="000000"/>
                <w:sz w:val="20"/>
                <w:szCs w:val="20"/>
              </w:rPr>
            </w:pPr>
          </w:p>
        </w:tc>
        <w:tc>
          <w:tcPr>
            <w:tcW w:w="209" w:type="pct"/>
            <w:tcBorders>
              <w:top w:val="nil"/>
              <w:left w:val="nil"/>
              <w:right w:val="single" w:sz="4" w:space="0" w:color="auto"/>
            </w:tcBorders>
            <w:shd w:val="clear" w:color="auto" w:fill="auto"/>
            <w:noWrap/>
            <w:vAlign w:val="center"/>
          </w:tcPr>
          <w:p w14:paraId="74F5CDCA"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double" w:sz="4" w:space="0" w:color="auto"/>
            </w:tcBorders>
            <w:shd w:val="clear" w:color="auto" w:fill="auto"/>
            <w:noWrap/>
            <w:vAlign w:val="center"/>
          </w:tcPr>
          <w:p w14:paraId="14E4B226"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249327B6"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3C6724AB"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5BF68CC3"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top w:val="nil"/>
              <w:left w:val="single" w:sz="4" w:space="0" w:color="auto"/>
              <w:right w:val="double" w:sz="4" w:space="0" w:color="auto"/>
            </w:tcBorders>
            <w:shd w:val="clear" w:color="auto" w:fill="auto"/>
            <w:noWrap/>
            <w:vAlign w:val="center"/>
          </w:tcPr>
          <w:p w14:paraId="1C82EA1C"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655C02C5"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15E32E2A"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476EB8A1"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7DADDB3E"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1C0C2CD"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2AFDEDE4"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6A9C1F3D"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02675815"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51AAC6D7" w14:textId="77777777" w:rsidR="00BB7DB8" w:rsidRPr="00E85FE6" w:rsidRDefault="00BB7DB8" w:rsidP="00BB7DB8">
            <w:pPr>
              <w:spacing w:line="240" w:lineRule="auto"/>
              <w:jc w:val="right"/>
              <w:rPr>
                <w:rFonts w:eastAsia="Times New Roman" w:cs="Times New Roman"/>
                <w:color w:val="000000"/>
                <w:sz w:val="20"/>
                <w:szCs w:val="20"/>
              </w:rPr>
            </w:pPr>
          </w:p>
        </w:tc>
        <w:tc>
          <w:tcPr>
            <w:tcW w:w="256" w:type="pct"/>
            <w:tcBorders>
              <w:top w:val="nil"/>
              <w:left w:val="single" w:sz="4" w:space="0" w:color="auto"/>
              <w:right w:val="double" w:sz="4" w:space="0" w:color="000000"/>
            </w:tcBorders>
            <w:shd w:val="clear" w:color="auto" w:fill="auto"/>
            <w:noWrap/>
            <w:tcMar>
              <w:right w:w="58" w:type="dxa"/>
            </w:tcMar>
            <w:vAlign w:val="center"/>
          </w:tcPr>
          <w:p w14:paraId="1F9AFC34" w14:textId="77777777" w:rsidR="00BB7DB8" w:rsidRPr="00E85FE6" w:rsidRDefault="00BB7DB8" w:rsidP="00BB7DB8">
            <w:pPr>
              <w:spacing w:line="240" w:lineRule="auto"/>
              <w:jc w:val="right"/>
              <w:rPr>
                <w:rFonts w:eastAsia="Times New Roman" w:cs="Times New Roman"/>
                <w:color w:val="000000"/>
                <w:sz w:val="20"/>
                <w:szCs w:val="20"/>
              </w:rPr>
            </w:pPr>
          </w:p>
        </w:tc>
      </w:tr>
      <w:tr w:rsidR="00BB7DB8" w:rsidRPr="00E85FE6" w14:paraId="3FC81F53" w14:textId="77777777" w:rsidTr="00BC53A5">
        <w:trPr>
          <w:trHeight w:val="17"/>
          <w:jc w:val="center"/>
        </w:trPr>
        <w:tc>
          <w:tcPr>
            <w:tcW w:w="1158" w:type="pct"/>
            <w:tcBorders>
              <w:top w:val="nil"/>
              <w:left w:val="double" w:sz="4" w:space="0" w:color="000000"/>
              <w:right w:val="double" w:sz="6" w:space="0" w:color="auto"/>
            </w:tcBorders>
            <w:shd w:val="clear" w:color="auto" w:fill="auto"/>
            <w:noWrap/>
            <w:vAlign w:val="center"/>
          </w:tcPr>
          <w:p w14:paraId="3EBCF5A5" w14:textId="77777777" w:rsidR="00BB7DB8" w:rsidRPr="00E85FE6" w:rsidRDefault="00BB7DB8" w:rsidP="00447432">
            <w:pPr>
              <w:spacing w:line="240" w:lineRule="auto"/>
              <w:ind w:firstLineChars="100" w:firstLine="200"/>
              <w:jc w:val="left"/>
              <w:rPr>
                <w:rFonts w:eastAsia="SimSun" w:cs="Times New Roman"/>
                <w:color w:val="000000"/>
                <w:sz w:val="20"/>
                <w:szCs w:val="20"/>
              </w:rPr>
            </w:pPr>
            <w:r w:rsidRPr="00E85FE6">
              <w:rPr>
                <w:rFonts w:eastAsia="SimSun" w:cs="Times New Roman"/>
                <w:color w:val="000000"/>
                <w:sz w:val="20"/>
                <w:szCs w:val="20"/>
              </w:rPr>
              <w:t>Self-employed</w:t>
            </w:r>
          </w:p>
        </w:tc>
        <w:tc>
          <w:tcPr>
            <w:tcW w:w="209" w:type="pct"/>
            <w:tcBorders>
              <w:top w:val="nil"/>
              <w:left w:val="nil"/>
              <w:right w:val="single" w:sz="4" w:space="0" w:color="auto"/>
            </w:tcBorders>
            <w:shd w:val="clear" w:color="auto" w:fill="auto"/>
            <w:noWrap/>
            <w:vAlign w:val="center"/>
          </w:tcPr>
          <w:p w14:paraId="72289D9F"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1B33BF12" w14:textId="77777777" w:rsidR="00BB7DB8" w:rsidRPr="00E85FE6" w:rsidRDefault="00BB7DB8" w:rsidP="00BB7DB8">
            <w:pPr>
              <w:spacing w:line="240" w:lineRule="auto"/>
              <w:jc w:val="right"/>
              <w:rPr>
                <w:rFonts w:eastAsia="Times New Roman" w:cs="Times New Roman"/>
                <w:color w:val="000000"/>
                <w:sz w:val="20"/>
                <w:szCs w:val="20"/>
              </w:rPr>
            </w:pPr>
          </w:p>
        </w:tc>
        <w:tc>
          <w:tcPr>
            <w:tcW w:w="209" w:type="pct"/>
            <w:tcBorders>
              <w:top w:val="nil"/>
              <w:left w:val="nil"/>
              <w:right w:val="single" w:sz="4" w:space="0" w:color="auto"/>
            </w:tcBorders>
            <w:shd w:val="clear" w:color="auto" w:fill="auto"/>
            <w:noWrap/>
            <w:vAlign w:val="center"/>
          </w:tcPr>
          <w:p w14:paraId="2B35D501" w14:textId="43766C53" w:rsidR="00BB7DB8" w:rsidRPr="00E85FE6" w:rsidRDefault="00BB7DB8"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-0.7</w:t>
            </w:r>
            <w:r w:rsidR="00875F31">
              <w:rPr>
                <w:rFonts w:eastAsia="Times New Roman" w:cs="Times New Roman"/>
                <w:color w:val="000000"/>
                <w:sz w:val="20"/>
                <w:szCs w:val="20"/>
              </w:rPr>
              <w:t>4</w:t>
            </w:r>
            <w:r>
              <w:rPr>
                <w:rFonts w:eastAsia="Times New Roman" w:cs="Times New Roman"/>
                <w:color w:val="000000"/>
                <w:sz w:val="20"/>
                <w:szCs w:val="20"/>
              </w:rPr>
              <w:t>2</w:t>
            </w:r>
          </w:p>
        </w:tc>
        <w:tc>
          <w:tcPr>
            <w:tcW w:w="211" w:type="pct"/>
            <w:tcBorders>
              <w:top w:val="nil"/>
              <w:left w:val="nil"/>
              <w:right w:val="double" w:sz="4" w:space="0" w:color="auto"/>
            </w:tcBorders>
            <w:shd w:val="clear" w:color="auto" w:fill="auto"/>
            <w:noWrap/>
            <w:vAlign w:val="center"/>
          </w:tcPr>
          <w:p w14:paraId="4B395B6F" w14:textId="5CD1F1CA" w:rsidR="00BB7DB8" w:rsidRPr="00E85FE6" w:rsidRDefault="00BB7DB8" w:rsidP="00875F31">
            <w:pPr>
              <w:spacing w:line="240" w:lineRule="auto"/>
              <w:jc w:val="right"/>
              <w:rPr>
                <w:rFonts w:eastAsia="Times New Roman" w:cs="Times New Roman"/>
                <w:color w:val="000000"/>
                <w:sz w:val="20"/>
                <w:szCs w:val="20"/>
              </w:rPr>
            </w:pPr>
            <w:r>
              <w:rPr>
                <w:rFonts w:eastAsia="Times New Roman" w:cs="Times New Roman"/>
                <w:color w:val="000000"/>
                <w:sz w:val="20"/>
                <w:szCs w:val="20"/>
              </w:rPr>
              <w:t>-8.</w:t>
            </w:r>
            <w:r w:rsidR="00875F31">
              <w:rPr>
                <w:rFonts w:eastAsia="Times New Roman" w:cs="Times New Roman"/>
                <w:color w:val="000000"/>
                <w:sz w:val="20"/>
                <w:szCs w:val="20"/>
              </w:rPr>
              <w:t>47</w:t>
            </w:r>
          </w:p>
        </w:tc>
        <w:tc>
          <w:tcPr>
            <w:tcW w:w="211" w:type="pct"/>
            <w:tcBorders>
              <w:top w:val="nil"/>
              <w:left w:val="double" w:sz="4" w:space="0" w:color="auto"/>
              <w:right w:val="single" w:sz="4" w:space="0" w:color="auto"/>
            </w:tcBorders>
            <w:shd w:val="clear" w:color="auto" w:fill="auto"/>
            <w:noWrap/>
            <w:vAlign w:val="center"/>
          </w:tcPr>
          <w:p w14:paraId="72758385"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21436920"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3224A201"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top w:val="nil"/>
              <w:left w:val="single" w:sz="4" w:space="0" w:color="auto"/>
              <w:right w:val="double" w:sz="4" w:space="0" w:color="auto"/>
            </w:tcBorders>
            <w:shd w:val="clear" w:color="auto" w:fill="auto"/>
            <w:noWrap/>
            <w:vAlign w:val="center"/>
          </w:tcPr>
          <w:p w14:paraId="4267CEBD"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2373025A"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0E2DFA6F"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14ED2F98"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6A47A7B1"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9F92A75"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46DEBFB1"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6A6CC66F" w14:textId="0B2C89FA" w:rsidR="00BB7DB8" w:rsidRPr="00E85FE6" w:rsidRDefault="00BB7DB8" w:rsidP="007275D5">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6A05880F" w14:textId="14E11BB8" w:rsidR="00BB7DB8" w:rsidRPr="00E85FE6" w:rsidRDefault="00BB7DB8" w:rsidP="007275D5">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71418B53" w14:textId="77777777" w:rsidR="00BB7DB8" w:rsidRPr="00E85FE6" w:rsidRDefault="00BB7DB8" w:rsidP="00BB7DB8">
            <w:pPr>
              <w:spacing w:line="240" w:lineRule="auto"/>
              <w:jc w:val="right"/>
              <w:rPr>
                <w:rFonts w:eastAsia="Times New Roman" w:cs="Times New Roman"/>
                <w:color w:val="000000"/>
                <w:sz w:val="20"/>
                <w:szCs w:val="20"/>
              </w:rPr>
            </w:pPr>
          </w:p>
        </w:tc>
        <w:tc>
          <w:tcPr>
            <w:tcW w:w="256" w:type="pct"/>
            <w:tcBorders>
              <w:top w:val="nil"/>
              <w:left w:val="single" w:sz="4" w:space="0" w:color="auto"/>
              <w:right w:val="double" w:sz="4" w:space="0" w:color="000000"/>
            </w:tcBorders>
            <w:shd w:val="clear" w:color="auto" w:fill="auto"/>
            <w:noWrap/>
            <w:tcMar>
              <w:right w:w="58" w:type="dxa"/>
            </w:tcMar>
            <w:vAlign w:val="center"/>
          </w:tcPr>
          <w:p w14:paraId="7A8AF439" w14:textId="77777777" w:rsidR="00BB7DB8" w:rsidRPr="00E85FE6" w:rsidRDefault="00BB7DB8" w:rsidP="00BB7DB8">
            <w:pPr>
              <w:spacing w:line="240" w:lineRule="auto"/>
              <w:jc w:val="right"/>
              <w:rPr>
                <w:rFonts w:eastAsia="Times New Roman" w:cs="Times New Roman"/>
                <w:color w:val="000000"/>
                <w:sz w:val="20"/>
                <w:szCs w:val="20"/>
              </w:rPr>
            </w:pPr>
          </w:p>
        </w:tc>
      </w:tr>
      <w:tr w:rsidR="00BB7DB8" w:rsidRPr="00E85FE6" w14:paraId="0C3769D5" w14:textId="77777777" w:rsidTr="00BC53A5">
        <w:trPr>
          <w:trHeight w:val="17"/>
          <w:jc w:val="center"/>
        </w:trPr>
        <w:tc>
          <w:tcPr>
            <w:tcW w:w="1158" w:type="pct"/>
            <w:tcBorders>
              <w:top w:val="nil"/>
              <w:left w:val="double" w:sz="4" w:space="0" w:color="000000"/>
              <w:right w:val="double" w:sz="6" w:space="0" w:color="auto"/>
            </w:tcBorders>
            <w:shd w:val="clear" w:color="auto" w:fill="auto"/>
            <w:noWrap/>
            <w:vAlign w:val="center"/>
          </w:tcPr>
          <w:p w14:paraId="7B668D4A" w14:textId="4AAED0AD" w:rsidR="00BB7DB8" w:rsidRPr="00E85FE6" w:rsidRDefault="00BB7DB8" w:rsidP="00447432">
            <w:pPr>
              <w:spacing w:line="240" w:lineRule="auto"/>
              <w:jc w:val="left"/>
              <w:rPr>
                <w:rFonts w:eastAsia="SimSun" w:cs="Times New Roman"/>
                <w:i/>
                <w:iCs/>
                <w:color w:val="000000"/>
                <w:sz w:val="20"/>
                <w:szCs w:val="20"/>
              </w:rPr>
            </w:pPr>
            <w:r w:rsidRPr="00E85FE6">
              <w:rPr>
                <w:rFonts w:eastAsia="SimSun" w:cs="Times New Roman"/>
                <w:i/>
                <w:iCs/>
                <w:color w:val="000000"/>
                <w:sz w:val="20"/>
                <w:szCs w:val="20"/>
              </w:rPr>
              <w:t>Household workers (single worker)</w:t>
            </w:r>
          </w:p>
        </w:tc>
        <w:tc>
          <w:tcPr>
            <w:tcW w:w="209" w:type="pct"/>
            <w:tcBorders>
              <w:top w:val="nil"/>
              <w:left w:val="nil"/>
              <w:right w:val="single" w:sz="4" w:space="0" w:color="auto"/>
            </w:tcBorders>
            <w:shd w:val="clear" w:color="auto" w:fill="auto"/>
            <w:noWrap/>
            <w:vAlign w:val="center"/>
          </w:tcPr>
          <w:p w14:paraId="28473D6E"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500C6E04" w14:textId="77777777" w:rsidR="00BB7DB8" w:rsidRPr="00E85FE6" w:rsidRDefault="00BB7DB8" w:rsidP="00BB7DB8">
            <w:pPr>
              <w:spacing w:line="240" w:lineRule="auto"/>
              <w:jc w:val="right"/>
              <w:rPr>
                <w:rFonts w:eastAsia="Times New Roman" w:cs="Times New Roman"/>
                <w:color w:val="000000"/>
                <w:sz w:val="20"/>
                <w:szCs w:val="20"/>
              </w:rPr>
            </w:pPr>
          </w:p>
        </w:tc>
        <w:tc>
          <w:tcPr>
            <w:tcW w:w="209" w:type="pct"/>
            <w:tcBorders>
              <w:top w:val="nil"/>
              <w:left w:val="nil"/>
              <w:right w:val="single" w:sz="4" w:space="0" w:color="auto"/>
            </w:tcBorders>
            <w:shd w:val="clear" w:color="auto" w:fill="auto"/>
            <w:noWrap/>
            <w:vAlign w:val="center"/>
          </w:tcPr>
          <w:p w14:paraId="07E56D1E"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double" w:sz="4" w:space="0" w:color="auto"/>
            </w:tcBorders>
            <w:shd w:val="clear" w:color="auto" w:fill="auto"/>
            <w:noWrap/>
            <w:vAlign w:val="center"/>
          </w:tcPr>
          <w:p w14:paraId="0797CD53"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65ACB02F"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2CEFDC68"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right w:val="single" w:sz="4" w:space="0" w:color="auto"/>
            </w:tcBorders>
            <w:shd w:val="clear" w:color="auto" w:fill="auto"/>
            <w:noWrap/>
            <w:vAlign w:val="center"/>
          </w:tcPr>
          <w:p w14:paraId="08E759C0"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top w:val="nil"/>
              <w:left w:val="single" w:sz="4" w:space="0" w:color="auto"/>
              <w:right w:val="double" w:sz="4" w:space="0" w:color="auto"/>
            </w:tcBorders>
            <w:shd w:val="clear" w:color="auto" w:fill="auto"/>
            <w:noWrap/>
            <w:vAlign w:val="center"/>
          </w:tcPr>
          <w:p w14:paraId="2E6AD7AB"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3E08872"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67DF68A2"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00BE0C49"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15EA028C"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4D7066EA"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6C28EADF"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78C756A8"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12546FBB"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right w:val="single" w:sz="4" w:space="0" w:color="auto"/>
            </w:tcBorders>
            <w:shd w:val="clear" w:color="auto" w:fill="auto"/>
            <w:noWrap/>
            <w:vAlign w:val="center"/>
          </w:tcPr>
          <w:p w14:paraId="4C4F26C9" w14:textId="77777777" w:rsidR="00BB7DB8" w:rsidRPr="00E85FE6" w:rsidRDefault="00BB7DB8" w:rsidP="00BB7DB8">
            <w:pPr>
              <w:spacing w:line="240" w:lineRule="auto"/>
              <w:jc w:val="right"/>
              <w:rPr>
                <w:rFonts w:eastAsia="Times New Roman" w:cs="Times New Roman"/>
                <w:color w:val="000000"/>
                <w:sz w:val="20"/>
                <w:szCs w:val="20"/>
              </w:rPr>
            </w:pPr>
          </w:p>
        </w:tc>
        <w:tc>
          <w:tcPr>
            <w:tcW w:w="256" w:type="pct"/>
            <w:tcBorders>
              <w:top w:val="nil"/>
              <w:left w:val="single" w:sz="4" w:space="0" w:color="auto"/>
              <w:right w:val="double" w:sz="4" w:space="0" w:color="000000"/>
            </w:tcBorders>
            <w:shd w:val="clear" w:color="auto" w:fill="auto"/>
            <w:noWrap/>
            <w:tcMar>
              <w:right w:w="58" w:type="dxa"/>
            </w:tcMar>
            <w:vAlign w:val="center"/>
          </w:tcPr>
          <w:p w14:paraId="138FBC4C" w14:textId="77777777" w:rsidR="00BB7DB8" w:rsidRPr="00E85FE6" w:rsidRDefault="00BB7DB8" w:rsidP="00BB7DB8">
            <w:pPr>
              <w:spacing w:line="240" w:lineRule="auto"/>
              <w:jc w:val="right"/>
              <w:rPr>
                <w:rFonts w:eastAsia="Times New Roman" w:cs="Times New Roman"/>
                <w:color w:val="000000"/>
                <w:sz w:val="20"/>
                <w:szCs w:val="20"/>
              </w:rPr>
            </w:pPr>
          </w:p>
        </w:tc>
      </w:tr>
      <w:tr w:rsidR="00BB7DB8" w:rsidRPr="00E85FE6" w14:paraId="2158FC00" w14:textId="77777777" w:rsidTr="00BC53A5">
        <w:trPr>
          <w:trHeight w:val="17"/>
          <w:jc w:val="center"/>
        </w:trPr>
        <w:tc>
          <w:tcPr>
            <w:tcW w:w="1158" w:type="pct"/>
            <w:tcBorders>
              <w:top w:val="nil"/>
              <w:left w:val="double" w:sz="4" w:space="0" w:color="000000"/>
              <w:bottom w:val="nil"/>
              <w:right w:val="double" w:sz="6" w:space="0" w:color="auto"/>
            </w:tcBorders>
            <w:shd w:val="clear" w:color="auto" w:fill="auto"/>
            <w:noWrap/>
            <w:vAlign w:val="center"/>
          </w:tcPr>
          <w:p w14:paraId="44E3C906" w14:textId="77777777" w:rsidR="00BB7DB8" w:rsidRPr="00BC53A5" w:rsidRDefault="00BB7DB8" w:rsidP="00447432">
            <w:pPr>
              <w:spacing w:line="240" w:lineRule="auto"/>
              <w:ind w:firstLineChars="100" w:firstLine="200"/>
              <w:jc w:val="left"/>
              <w:rPr>
                <w:rFonts w:eastAsia="SimSun" w:cs="Times New Roman"/>
                <w:color w:val="000000"/>
                <w:sz w:val="20"/>
                <w:szCs w:val="20"/>
              </w:rPr>
            </w:pPr>
            <w:r w:rsidRPr="00BC53A5">
              <w:rPr>
                <w:rFonts w:eastAsia="SimSun" w:cs="Times New Roman"/>
                <w:iCs/>
                <w:color w:val="000000"/>
                <w:sz w:val="20"/>
                <w:szCs w:val="20"/>
              </w:rPr>
              <w:t>Multi-worker</w:t>
            </w:r>
          </w:p>
        </w:tc>
        <w:tc>
          <w:tcPr>
            <w:tcW w:w="209" w:type="pct"/>
            <w:tcBorders>
              <w:top w:val="nil"/>
              <w:left w:val="nil"/>
              <w:bottom w:val="nil"/>
              <w:right w:val="single" w:sz="4" w:space="0" w:color="auto"/>
            </w:tcBorders>
            <w:shd w:val="clear" w:color="auto" w:fill="auto"/>
            <w:noWrap/>
            <w:vAlign w:val="center"/>
          </w:tcPr>
          <w:p w14:paraId="71A3D14E"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34A18D48" w14:textId="77777777" w:rsidR="00BB7DB8" w:rsidRPr="00E85FE6" w:rsidRDefault="00BB7DB8" w:rsidP="00BB7DB8">
            <w:pPr>
              <w:spacing w:line="240" w:lineRule="auto"/>
              <w:jc w:val="right"/>
              <w:rPr>
                <w:rFonts w:eastAsia="Times New Roman" w:cs="Times New Roman"/>
                <w:color w:val="000000"/>
                <w:sz w:val="20"/>
                <w:szCs w:val="20"/>
              </w:rPr>
            </w:pPr>
          </w:p>
        </w:tc>
        <w:tc>
          <w:tcPr>
            <w:tcW w:w="209" w:type="pct"/>
            <w:tcBorders>
              <w:top w:val="nil"/>
              <w:left w:val="nil"/>
              <w:bottom w:val="nil"/>
              <w:right w:val="single" w:sz="4" w:space="0" w:color="auto"/>
            </w:tcBorders>
            <w:shd w:val="clear" w:color="auto" w:fill="auto"/>
            <w:noWrap/>
            <w:vAlign w:val="center"/>
          </w:tcPr>
          <w:p w14:paraId="34B5C505"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bottom w:val="nil"/>
              <w:right w:val="double" w:sz="4" w:space="0" w:color="auto"/>
            </w:tcBorders>
            <w:shd w:val="clear" w:color="auto" w:fill="auto"/>
            <w:noWrap/>
            <w:vAlign w:val="center"/>
          </w:tcPr>
          <w:p w14:paraId="3C541DB2"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bottom w:val="nil"/>
              <w:right w:val="single" w:sz="4" w:space="0" w:color="auto"/>
            </w:tcBorders>
            <w:shd w:val="clear" w:color="auto" w:fill="auto"/>
            <w:noWrap/>
            <w:vAlign w:val="center"/>
          </w:tcPr>
          <w:p w14:paraId="0203F715"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6D2A83B1"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130B1DCF"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top w:val="nil"/>
              <w:left w:val="single" w:sz="4" w:space="0" w:color="auto"/>
              <w:bottom w:val="nil"/>
              <w:right w:val="double" w:sz="4" w:space="0" w:color="auto"/>
            </w:tcBorders>
            <w:shd w:val="clear" w:color="auto" w:fill="auto"/>
            <w:noWrap/>
            <w:vAlign w:val="center"/>
          </w:tcPr>
          <w:p w14:paraId="2C834606"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43221405"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0D66D45E"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3CEDD7BD"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0B7A5357"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6EDBF6BC" w14:textId="5B492B4E" w:rsidR="00BB7DB8" w:rsidRPr="00E85FE6" w:rsidRDefault="00BB7DB8" w:rsidP="0092413A">
            <w:pPr>
              <w:spacing w:line="240" w:lineRule="auto"/>
              <w:jc w:val="right"/>
              <w:rPr>
                <w:rFonts w:eastAsia="Times New Roman" w:cs="Times New Roman"/>
                <w:color w:val="000000"/>
                <w:sz w:val="20"/>
                <w:szCs w:val="20"/>
              </w:rPr>
            </w:pPr>
            <w:r>
              <w:rPr>
                <w:rFonts w:eastAsia="Times New Roman" w:cs="Times New Roman"/>
                <w:color w:val="000000"/>
                <w:sz w:val="20"/>
                <w:szCs w:val="20"/>
              </w:rPr>
              <w:t>0.1</w:t>
            </w:r>
            <w:r w:rsidR="0092413A">
              <w:rPr>
                <w:rFonts w:eastAsia="Times New Roman" w:cs="Times New Roman"/>
                <w:color w:val="000000"/>
                <w:sz w:val="20"/>
                <w:szCs w:val="20"/>
              </w:rPr>
              <w:t>72</w:t>
            </w:r>
          </w:p>
        </w:tc>
        <w:tc>
          <w:tcPr>
            <w:tcW w:w="211" w:type="pct"/>
            <w:tcBorders>
              <w:left w:val="single" w:sz="4" w:space="0" w:color="auto"/>
              <w:right w:val="double" w:sz="4" w:space="0" w:color="auto"/>
            </w:tcBorders>
            <w:vAlign w:val="center"/>
          </w:tcPr>
          <w:p w14:paraId="07958B1A" w14:textId="58475283" w:rsidR="00BB7DB8" w:rsidRPr="00E85FE6" w:rsidRDefault="00BB7DB8" w:rsidP="0092413A">
            <w:pPr>
              <w:spacing w:line="240" w:lineRule="auto"/>
              <w:jc w:val="right"/>
              <w:rPr>
                <w:rFonts w:eastAsia="Times New Roman" w:cs="Times New Roman"/>
                <w:color w:val="000000"/>
                <w:sz w:val="20"/>
                <w:szCs w:val="20"/>
              </w:rPr>
            </w:pPr>
            <w:r>
              <w:rPr>
                <w:rFonts w:eastAsia="Times New Roman" w:cs="Times New Roman"/>
                <w:color w:val="000000"/>
                <w:sz w:val="20"/>
                <w:szCs w:val="20"/>
              </w:rPr>
              <w:t>2.</w:t>
            </w:r>
            <w:r w:rsidR="0092413A">
              <w:rPr>
                <w:rFonts w:eastAsia="Times New Roman" w:cs="Times New Roman"/>
                <w:color w:val="000000"/>
                <w:sz w:val="20"/>
                <w:szCs w:val="20"/>
              </w:rPr>
              <w:t>88</w:t>
            </w:r>
          </w:p>
        </w:tc>
        <w:tc>
          <w:tcPr>
            <w:tcW w:w="211" w:type="pct"/>
            <w:tcBorders>
              <w:left w:val="double" w:sz="4" w:space="0" w:color="auto"/>
              <w:right w:val="single" w:sz="4" w:space="0" w:color="auto"/>
            </w:tcBorders>
            <w:vAlign w:val="center"/>
          </w:tcPr>
          <w:p w14:paraId="0F062137"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7934FA5E"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bottom w:val="nil"/>
              <w:right w:val="single" w:sz="4" w:space="0" w:color="auto"/>
            </w:tcBorders>
            <w:shd w:val="clear" w:color="auto" w:fill="auto"/>
            <w:noWrap/>
            <w:vAlign w:val="center"/>
          </w:tcPr>
          <w:p w14:paraId="0075DB9E" w14:textId="77777777" w:rsidR="00BB7DB8" w:rsidRPr="00E85FE6" w:rsidRDefault="00BB7DB8" w:rsidP="00BB7DB8">
            <w:pPr>
              <w:spacing w:line="240" w:lineRule="auto"/>
              <w:jc w:val="right"/>
              <w:rPr>
                <w:rFonts w:eastAsia="Times New Roman" w:cs="Times New Roman"/>
                <w:color w:val="000000"/>
                <w:sz w:val="20"/>
                <w:szCs w:val="20"/>
              </w:rPr>
            </w:pPr>
          </w:p>
        </w:tc>
        <w:tc>
          <w:tcPr>
            <w:tcW w:w="256" w:type="pct"/>
            <w:tcBorders>
              <w:top w:val="nil"/>
              <w:left w:val="single" w:sz="4" w:space="0" w:color="auto"/>
              <w:bottom w:val="nil"/>
              <w:right w:val="double" w:sz="4" w:space="0" w:color="000000"/>
            </w:tcBorders>
            <w:shd w:val="clear" w:color="auto" w:fill="auto"/>
            <w:noWrap/>
            <w:tcMar>
              <w:right w:w="58" w:type="dxa"/>
            </w:tcMar>
            <w:vAlign w:val="center"/>
          </w:tcPr>
          <w:p w14:paraId="4476EC6D" w14:textId="77777777" w:rsidR="00BB7DB8" w:rsidRPr="00E85FE6" w:rsidRDefault="00BB7DB8" w:rsidP="00BB7DB8">
            <w:pPr>
              <w:spacing w:line="240" w:lineRule="auto"/>
              <w:jc w:val="right"/>
              <w:rPr>
                <w:rFonts w:eastAsia="Times New Roman" w:cs="Times New Roman"/>
                <w:color w:val="000000"/>
                <w:sz w:val="20"/>
                <w:szCs w:val="20"/>
              </w:rPr>
            </w:pPr>
          </w:p>
        </w:tc>
      </w:tr>
      <w:tr w:rsidR="00BB7DB8" w:rsidRPr="00E85FE6" w14:paraId="70BAC583" w14:textId="77777777" w:rsidTr="00BC53A5">
        <w:trPr>
          <w:trHeight w:val="17"/>
          <w:jc w:val="center"/>
        </w:trPr>
        <w:tc>
          <w:tcPr>
            <w:tcW w:w="1158" w:type="pct"/>
            <w:tcBorders>
              <w:top w:val="nil"/>
              <w:left w:val="double" w:sz="4" w:space="0" w:color="000000"/>
              <w:bottom w:val="nil"/>
              <w:right w:val="double" w:sz="6" w:space="0" w:color="auto"/>
            </w:tcBorders>
            <w:shd w:val="clear" w:color="auto" w:fill="auto"/>
            <w:noWrap/>
            <w:vAlign w:val="center"/>
          </w:tcPr>
          <w:p w14:paraId="37884DDD" w14:textId="50CCB596" w:rsidR="00BB7DB8" w:rsidRPr="00E2720F" w:rsidRDefault="00E2720F" w:rsidP="00447432">
            <w:pPr>
              <w:spacing w:line="240" w:lineRule="auto"/>
              <w:jc w:val="left"/>
              <w:rPr>
                <w:rFonts w:eastAsia="SimSun" w:cs="Times New Roman"/>
                <w:i/>
                <w:color w:val="000000"/>
                <w:sz w:val="20"/>
                <w:szCs w:val="20"/>
              </w:rPr>
            </w:pPr>
            <w:r>
              <w:rPr>
                <w:rFonts w:eastAsia="SimSun" w:cs="Times New Roman"/>
                <w:i/>
                <w:color w:val="000000"/>
                <w:sz w:val="20"/>
                <w:szCs w:val="20"/>
              </w:rPr>
              <w:t>Residential location ( non-metropolitan</w:t>
            </w:r>
            <w:r w:rsidR="00BB7DB8" w:rsidRPr="00E85FE6">
              <w:rPr>
                <w:rFonts w:eastAsia="SimSun" w:cs="Times New Roman"/>
                <w:i/>
                <w:color w:val="000000"/>
                <w:sz w:val="20"/>
                <w:szCs w:val="20"/>
              </w:rPr>
              <w:t>)</w:t>
            </w:r>
          </w:p>
        </w:tc>
        <w:tc>
          <w:tcPr>
            <w:tcW w:w="209" w:type="pct"/>
            <w:tcBorders>
              <w:top w:val="nil"/>
              <w:left w:val="nil"/>
              <w:bottom w:val="nil"/>
              <w:right w:val="single" w:sz="4" w:space="0" w:color="auto"/>
            </w:tcBorders>
            <w:shd w:val="clear" w:color="auto" w:fill="auto"/>
            <w:noWrap/>
            <w:vAlign w:val="center"/>
          </w:tcPr>
          <w:p w14:paraId="031FDAF3"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781F5093" w14:textId="77777777" w:rsidR="00BB7DB8" w:rsidRPr="00E85FE6" w:rsidRDefault="00BB7DB8" w:rsidP="00BB7DB8">
            <w:pPr>
              <w:spacing w:line="240" w:lineRule="auto"/>
              <w:jc w:val="right"/>
              <w:rPr>
                <w:rFonts w:eastAsia="Times New Roman" w:cs="Times New Roman"/>
                <w:color w:val="000000"/>
                <w:sz w:val="20"/>
                <w:szCs w:val="20"/>
              </w:rPr>
            </w:pPr>
          </w:p>
        </w:tc>
        <w:tc>
          <w:tcPr>
            <w:tcW w:w="209" w:type="pct"/>
            <w:tcBorders>
              <w:top w:val="nil"/>
              <w:left w:val="nil"/>
              <w:bottom w:val="nil"/>
              <w:right w:val="single" w:sz="4" w:space="0" w:color="auto"/>
            </w:tcBorders>
            <w:shd w:val="clear" w:color="auto" w:fill="auto"/>
            <w:noWrap/>
            <w:vAlign w:val="center"/>
          </w:tcPr>
          <w:p w14:paraId="64630F5D"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bottom w:val="nil"/>
              <w:right w:val="double" w:sz="4" w:space="0" w:color="auto"/>
            </w:tcBorders>
            <w:shd w:val="clear" w:color="auto" w:fill="auto"/>
            <w:noWrap/>
            <w:vAlign w:val="center"/>
          </w:tcPr>
          <w:p w14:paraId="47514C36"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bottom w:val="nil"/>
              <w:right w:val="single" w:sz="4" w:space="0" w:color="auto"/>
            </w:tcBorders>
            <w:shd w:val="clear" w:color="auto" w:fill="auto"/>
            <w:noWrap/>
            <w:vAlign w:val="center"/>
          </w:tcPr>
          <w:p w14:paraId="14E57CE6"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42F54FC2"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580194E6"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top w:val="nil"/>
              <w:left w:val="single" w:sz="4" w:space="0" w:color="auto"/>
              <w:bottom w:val="nil"/>
              <w:right w:val="double" w:sz="4" w:space="0" w:color="auto"/>
            </w:tcBorders>
            <w:shd w:val="clear" w:color="auto" w:fill="auto"/>
            <w:noWrap/>
            <w:vAlign w:val="center"/>
          </w:tcPr>
          <w:p w14:paraId="4FBA2A13"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33ECF1AC"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24001400"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320C068A" w14:textId="77777777" w:rsidR="00BB7DB8" w:rsidRPr="00E85FE6" w:rsidRDefault="00BB7DB8" w:rsidP="00BB7DB8">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12639B00"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23E11B0"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723959BC"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D348878"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03643126" w14:textId="77777777" w:rsidR="00BB7DB8" w:rsidRPr="00E85FE6" w:rsidRDefault="00BB7DB8" w:rsidP="00BB7DB8">
            <w:pPr>
              <w:spacing w:line="240" w:lineRule="auto"/>
              <w:jc w:val="right"/>
              <w:rPr>
                <w:rFonts w:eastAsia="Times New Roman" w:cs="Times New Roman"/>
                <w:color w:val="000000"/>
                <w:sz w:val="20"/>
                <w:szCs w:val="20"/>
              </w:rPr>
            </w:pPr>
          </w:p>
        </w:tc>
        <w:tc>
          <w:tcPr>
            <w:tcW w:w="211" w:type="pct"/>
            <w:tcBorders>
              <w:top w:val="nil"/>
              <w:left w:val="double" w:sz="4" w:space="0" w:color="auto"/>
              <w:bottom w:val="nil"/>
              <w:right w:val="single" w:sz="4" w:space="0" w:color="auto"/>
            </w:tcBorders>
            <w:shd w:val="clear" w:color="auto" w:fill="auto"/>
            <w:noWrap/>
            <w:vAlign w:val="center"/>
          </w:tcPr>
          <w:p w14:paraId="35BE3235" w14:textId="77777777" w:rsidR="00BB7DB8" w:rsidRPr="00E85FE6" w:rsidRDefault="00BB7DB8" w:rsidP="00BB7DB8">
            <w:pPr>
              <w:spacing w:line="240" w:lineRule="auto"/>
              <w:jc w:val="right"/>
              <w:rPr>
                <w:rFonts w:eastAsia="Times New Roman" w:cs="Times New Roman"/>
                <w:color w:val="000000"/>
                <w:sz w:val="20"/>
                <w:szCs w:val="20"/>
              </w:rPr>
            </w:pPr>
          </w:p>
        </w:tc>
        <w:tc>
          <w:tcPr>
            <w:tcW w:w="256" w:type="pct"/>
            <w:tcBorders>
              <w:top w:val="nil"/>
              <w:left w:val="single" w:sz="4" w:space="0" w:color="auto"/>
              <w:bottom w:val="nil"/>
              <w:right w:val="double" w:sz="4" w:space="0" w:color="000000"/>
            </w:tcBorders>
            <w:shd w:val="clear" w:color="auto" w:fill="auto"/>
            <w:noWrap/>
            <w:tcMar>
              <w:right w:w="58" w:type="dxa"/>
            </w:tcMar>
            <w:vAlign w:val="center"/>
          </w:tcPr>
          <w:p w14:paraId="5C98E5F5" w14:textId="77777777" w:rsidR="00BB7DB8" w:rsidRPr="00E85FE6" w:rsidRDefault="00BB7DB8" w:rsidP="00BB7DB8">
            <w:pPr>
              <w:spacing w:line="240" w:lineRule="auto"/>
              <w:jc w:val="right"/>
              <w:rPr>
                <w:rFonts w:eastAsia="Times New Roman" w:cs="Times New Roman"/>
                <w:color w:val="000000"/>
                <w:sz w:val="20"/>
                <w:szCs w:val="20"/>
              </w:rPr>
            </w:pPr>
          </w:p>
        </w:tc>
      </w:tr>
      <w:tr w:rsidR="00B323B0" w:rsidRPr="00E85FE6" w14:paraId="3C617C96" w14:textId="77777777" w:rsidTr="00BC53A5">
        <w:trPr>
          <w:trHeight w:val="17"/>
          <w:jc w:val="center"/>
        </w:trPr>
        <w:tc>
          <w:tcPr>
            <w:tcW w:w="1158" w:type="pct"/>
            <w:tcBorders>
              <w:top w:val="nil"/>
              <w:left w:val="double" w:sz="4" w:space="0" w:color="000000"/>
              <w:bottom w:val="nil"/>
              <w:right w:val="double" w:sz="6" w:space="0" w:color="auto"/>
            </w:tcBorders>
            <w:shd w:val="clear" w:color="auto" w:fill="auto"/>
            <w:noWrap/>
            <w:vAlign w:val="center"/>
          </w:tcPr>
          <w:p w14:paraId="483826CE" w14:textId="77777777" w:rsidR="00B323B0" w:rsidRPr="00E85FE6" w:rsidRDefault="00B323B0" w:rsidP="00447432">
            <w:pPr>
              <w:spacing w:line="240" w:lineRule="auto"/>
              <w:ind w:firstLineChars="100" w:firstLine="200"/>
              <w:jc w:val="left"/>
              <w:rPr>
                <w:rFonts w:eastAsia="SimSun" w:cs="Times New Roman"/>
                <w:color w:val="000000"/>
                <w:sz w:val="20"/>
                <w:szCs w:val="20"/>
              </w:rPr>
            </w:pPr>
            <w:r w:rsidRPr="00E85FE6">
              <w:rPr>
                <w:rFonts w:eastAsia="SimSun" w:cs="Times New Roman"/>
                <w:color w:val="000000"/>
                <w:sz w:val="20"/>
                <w:szCs w:val="20"/>
              </w:rPr>
              <w:t>Metropolitan area</w:t>
            </w:r>
          </w:p>
        </w:tc>
        <w:tc>
          <w:tcPr>
            <w:tcW w:w="209" w:type="pct"/>
            <w:tcBorders>
              <w:top w:val="nil"/>
              <w:left w:val="nil"/>
              <w:bottom w:val="nil"/>
              <w:right w:val="single" w:sz="4" w:space="0" w:color="auto"/>
            </w:tcBorders>
            <w:shd w:val="clear" w:color="auto" w:fill="auto"/>
            <w:noWrap/>
            <w:vAlign w:val="center"/>
          </w:tcPr>
          <w:p w14:paraId="2D357C30"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77E9FE9F" w14:textId="77777777" w:rsidR="00B323B0" w:rsidRPr="00E85FE6" w:rsidRDefault="00B323B0" w:rsidP="00B323B0">
            <w:pPr>
              <w:spacing w:line="240" w:lineRule="auto"/>
              <w:jc w:val="right"/>
              <w:rPr>
                <w:rFonts w:eastAsia="Times New Roman" w:cs="Times New Roman"/>
                <w:color w:val="000000"/>
                <w:sz w:val="20"/>
                <w:szCs w:val="20"/>
              </w:rPr>
            </w:pPr>
          </w:p>
        </w:tc>
        <w:tc>
          <w:tcPr>
            <w:tcW w:w="209" w:type="pct"/>
            <w:tcBorders>
              <w:top w:val="nil"/>
              <w:left w:val="nil"/>
              <w:bottom w:val="nil"/>
              <w:right w:val="single" w:sz="4" w:space="0" w:color="auto"/>
            </w:tcBorders>
            <w:shd w:val="clear" w:color="auto" w:fill="auto"/>
            <w:noWrap/>
            <w:vAlign w:val="center"/>
          </w:tcPr>
          <w:p w14:paraId="66DA1B03" w14:textId="4D4A8A48"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nil"/>
              <w:left w:val="nil"/>
              <w:bottom w:val="nil"/>
              <w:right w:val="double" w:sz="4" w:space="0" w:color="auto"/>
            </w:tcBorders>
            <w:shd w:val="clear" w:color="auto" w:fill="auto"/>
            <w:noWrap/>
            <w:vAlign w:val="center"/>
          </w:tcPr>
          <w:p w14:paraId="584B28AA" w14:textId="04445A58"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nil"/>
              <w:left w:val="double" w:sz="4" w:space="0" w:color="auto"/>
              <w:bottom w:val="nil"/>
              <w:right w:val="single" w:sz="4" w:space="0" w:color="auto"/>
            </w:tcBorders>
            <w:shd w:val="clear" w:color="auto" w:fill="auto"/>
            <w:noWrap/>
            <w:vAlign w:val="center"/>
          </w:tcPr>
          <w:p w14:paraId="5663F525"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53C08227"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1B4DF9B9" w14:textId="5A5803E1"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0.143</w:t>
            </w:r>
          </w:p>
        </w:tc>
        <w:tc>
          <w:tcPr>
            <w:tcW w:w="212" w:type="pct"/>
            <w:tcBorders>
              <w:top w:val="nil"/>
              <w:left w:val="single" w:sz="4" w:space="0" w:color="auto"/>
              <w:bottom w:val="nil"/>
              <w:right w:val="double" w:sz="4" w:space="0" w:color="auto"/>
            </w:tcBorders>
            <w:shd w:val="clear" w:color="auto" w:fill="auto"/>
            <w:noWrap/>
            <w:vAlign w:val="center"/>
          </w:tcPr>
          <w:p w14:paraId="1971E2BC" w14:textId="4DF60D64"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2.73</w:t>
            </w:r>
          </w:p>
        </w:tc>
        <w:tc>
          <w:tcPr>
            <w:tcW w:w="211" w:type="pct"/>
            <w:tcBorders>
              <w:left w:val="double" w:sz="4" w:space="0" w:color="auto"/>
              <w:right w:val="single" w:sz="4" w:space="0" w:color="auto"/>
            </w:tcBorders>
            <w:vAlign w:val="center"/>
          </w:tcPr>
          <w:p w14:paraId="41140670"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3847BCBF"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3320BEDC" w14:textId="5417E45C"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0.166</w:t>
            </w:r>
          </w:p>
        </w:tc>
        <w:tc>
          <w:tcPr>
            <w:tcW w:w="212" w:type="pct"/>
            <w:tcBorders>
              <w:left w:val="single" w:sz="4" w:space="0" w:color="auto"/>
              <w:right w:val="double" w:sz="4" w:space="0" w:color="auto"/>
            </w:tcBorders>
            <w:vAlign w:val="center"/>
          </w:tcPr>
          <w:p w14:paraId="0A46BEBD" w14:textId="28481FC1"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2.97</w:t>
            </w:r>
          </w:p>
        </w:tc>
        <w:tc>
          <w:tcPr>
            <w:tcW w:w="211" w:type="pct"/>
            <w:tcBorders>
              <w:left w:val="double" w:sz="4" w:space="0" w:color="auto"/>
              <w:right w:val="single" w:sz="4" w:space="0" w:color="auto"/>
            </w:tcBorders>
            <w:vAlign w:val="center"/>
          </w:tcPr>
          <w:p w14:paraId="571010B5" w14:textId="4B9D0E92"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-0.155</w:t>
            </w:r>
          </w:p>
        </w:tc>
        <w:tc>
          <w:tcPr>
            <w:tcW w:w="211" w:type="pct"/>
            <w:tcBorders>
              <w:left w:val="single" w:sz="4" w:space="0" w:color="auto"/>
              <w:right w:val="double" w:sz="4" w:space="0" w:color="auto"/>
            </w:tcBorders>
            <w:vAlign w:val="center"/>
          </w:tcPr>
          <w:p w14:paraId="1E5DC480" w14:textId="1C4AC2F2"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-2.25</w:t>
            </w:r>
          </w:p>
        </w:tc>
        <w:tc>
          <w:tcPr>
            <w:tcW w:w="211" w:type="pct"/>
            <w:tcBorders>
              <w:left w:val="double" w:sz="4" w:space="0" w:color="auto"/>
              <w:right w:val="single" w:sz="4" w:space="0" w:color="auto"/>
            </w:tcBorders>
            <w:vAlign w:val="center"/>
          </w:tcPr>
          <w:p w14:paraId="0E4826B0"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0100ECA8"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nil"/>
              <w:left w:val="double" w:sz="4" w:space="0" w:color="auto"/>
              <w:bottom w:val="nil"/>
              <w:right w:val="single" w:sz="4" w:space="0" w:color="auto"/>
            </w:tcBorders>
            <w:shd w:val="clear" w:color="auto" w:fill="auto"/>
            <w:noWrap/>
            <w:vAlign w:val="center"/>
          </w:tcPr>
          <w:p w14:paraId="1B839DC9" w14:textId="77777777" w:rsidR="00B323B0" w:rsidRPr="00E85FE6" w:rsidRDefault="00B323B0" w:rsidP="00B323B0">
            <w:pPr>
              <w:spacing w:line="240" w:lineRule="auto"/>
              <w:jc w:val="right"/>
              <w:rPr>
                <w:rFonts w:eastAsia="Times New Roman" w:cs="Times New Roman"/>
                <w:color w:val="000000"/>
                <w:sz w:val="20"/>
                <w:szCs w:val="20"/>
              </w:rPr>
            </w:pPr>
          </w:p>
        </w:tc>
        <w:tc>
          <w:tcPr>
            <w:tcW w:w="256" w:type="pct"/>
            <w:tcBorders>
              <w:top w:val="nil"/>
              <w:left w:val="single" w:sz="4" w:space="0" w:color="auto"/>
              <w:bottom w:val="nil"/>
              <w:right w:val="double" w:sz="4" w:space="0" w:color="000000"/>
            </w:tcBorders>
            <w:shd w:val="clear" w:color="auto" w:fill="auto"/>
            <w:noWrap/>
            <w:tcMar>
              <w:right w:w="58" w:type="dxa"/>
            </w:tcMar>
            <w:vAlign w:val="center"/>
          </w:tcPr>
          <w:p w14:paraId="2348D6B4" w14:textId="77777777" w:rsidR="00B323B0" w:rsidRPr="00E85FE6" w:rsidRDefault="00B323B0" w:rsidP="00B323B0">
            <w:pPr>
              <w:spacing w:line="240" w:lineRule="auto"/>
              <w:jc w:val="right"/>
              <w:rPr>
                <w:rFonts w:eastAsia="Times New Roman" w:cs="Times New Roman"/>
                <w:color w:val="000000"/>
                <w:sz w:val="20"/>
                <w:szCs w:val="20"/>
              </w:rPr>
            </w:pPr>
          </w:p>
        </w:tc>
      </w:tr>
      <w:tr w:rsidR="00B323B0" w:rsidRPr="00E85FE6" w14:paraId="71B87F69" w14:textId="77777777" w:rsidTr="00BC53A5">
        <w:trPr>
          <w:trHeight w:val="17"/>
          <w:jc w:val="center"/>
        </w:trPr>
        <w:tc>
          <w:tcPr>
            <w:tcW w:w="1158" w:type="pct"/>
            <w:tcBorders>
              <w:top w:val="double" w:sz="6" w:space="0" w:color="auto"/>
              <w:left w:val="double" w:sz="4" w:space="0" w:color="000000"/>
              <w:bottom w:val="nil"/>
              <w:right w:val="double" w:sz="6" w:space="0" w:color="auto"/>
            </w:tcBorders>
            <w:shd w:val="clear" w:color="auto" w:fill="auto"/>
            <w:noWrap/>
            <w:vAlign w:val="center"/>
          </w:tcPr>
          <w:p w14:paraId="02F569BD" w14:textId="77777777" w:rsidR="00B323B0" w:rsidRPr="00E85FE6" w:rsidRDefault="00B323B0" w:rsidP="00447432">
            <w:pPr>
              <w:spacing w:line="240" w:lineRule="auto"/>
              <w:jc w:val="left"/>
              <w:rPr>
                <w:rFonts w:eastAsia="Times New Roman" w:cs="Times New Roman"/>
                <w:i/>
                <w:iCs/>
                <w:color w:val="000000"/>
                <w:sz w:val="20"/>
                <w:szCs w:val="20"/>
              </w:rPr>
            </w:pPr>
            <w:r w:rsidRPr="00E85FE6">
              <w:rPr>
                <w:rFonts w:eastAsia="Times New Roman" w:cs="Times New Roman"/>
                <w:i/>
                <w:iCs/>
                <w:color w:val="000000"/>
                <w:sz w:val="20"/>
                <w:szCs w:val="20"/>
              </w:rPr>
              <w:t>Latent constructs</w:t>
            </w:r>
          </w:p>
        </w:tc>
        <w:tc>
          <w:tcPr>
            <w:tcW w:w="209" w:type="pct"/>
            <w:tcBorders>
              <w:top w:val="double" w:sz="6" w:space="0" w:color="auto"/>
              <w:left w:val="nil"/>
              <w:bottom w:val="nil"/>
              <w:right w:val="single" w:sz="4" w:space="0" w:color="auto"/>
            </w:tcBorders>
            <w:shd w:val="clear" w:color="auto" w:fill="auto"/>
            <w:noWrap/>
            <w:vAlign w:val="center"/>
          </w:tcPr>
          <w:p w14:paraId="1BE62E5C"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nil"/>
              <w:bottom w:val="nil"/>
              <w:right w:val="single" w:sz="4" w:space="0" w:color="auto"/>
            </w:tcBorders>
            <w:shd w:val="clear" w:color="auto" w:fill="auto"/>
            <w:noWrap/>
            <w:vAlign w:val="center"/>
          </w:tcPr>
          <w:p w14:paraId="688D49D3" w14:textId="77777777" w:rsidR="00B323B0" w:rsidRPr="00E85FE6" w:rsidRDefault="00B323B0" w:rsidP="00B323B0">
            <w:pPr>
              <w:spacing w:line="240" w:lineRule="auto"/>
              <w:jc w:val="right"/>
              <w:rPr>
                <w:rFonts w:eastAsia="Times New Roman" w:cs="Times New Roman"/>
                <w:color w:val="000000"/>
                <w:sz w:val="20"/>
                <w:szCs w:val="20"/>
              </w:rPr>
            </w:pPr>
          </w:p>
        </w:tc>
        <w:tc>
          <w:tcPr>
            <w:tcW w:w="209" w:type="pct"/>
            <w:tcBorders>
              <w:top w:val="double" w:sz="6" w:space="0" w:color="auto"/>
              <w:left w:val="nil"/>
              <w:bottom w:val="nil"/>
              <w:right w:val="single" w:sz="4" w:space="0" w:color="auto"/>
            </w:tcBorders>
            <w:shd w:val="clear" w:color="auto" w:fill="auto"/>
            <w:noWrap/>
            <w:vAlign w:val="center"/>
          </w:tcPr>
          <w:p w14:paraId="0F5622A9"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nil"/>
              <w:bottom w:val="nil"/>
              <w:right w:val="double" w:sz="4" w:space="0" w:color="auto"/>
            </w:tcBorders>
            <w:shd w:val="clear" w:color="auto" w:fill="auto"/>
            <w:noWrap/>
            <w:vAlign w:val="center"/>
          </w:tcPr>
          <w:p w14:paraId="767C5C4C"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bottom w:val="nil"/>
              <w:right w:val="single" w:sz="4" w:space="0" w:color="auto"/>
            </w:tcBorders>
            <w:shd w:val="clear" w:color="auto" w:fill="auto"/>
            <w:noWrap/>
            <w:vAlign w:val="center"/>
          </w:tcPr>
          <w:p w14:paraId="1BEDC493"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nil"/>
              <w:bottom w:val="nil"/>
              <w:right w:val="single" w:sz="4" w:space="0" w:color="auto"/>
            </w:tcBorders>
            <w:shd w:val="clear" w:color="auto" w:fill="auto"/>
            <w:noWrap/>
            <w:vAlign w:val="center"/>
          </w:tcPr>
          <w:p w14:paraId="0B9B03B6"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nil"/>
              <w:bottom w:val="nil"/>
              <w:right w:val="single" w:sz="4" w:space="0" w:color="auto"/>
            </w:tcBorders>
            <w:shd w:val="clear" w:color="auto" w:fill="auto"/>
            <w:noWrap/>
            <w:vAlign w:val="center"/>
          </w:tcPr>
          <w:p w14:paraId="54EA1B75"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top w:val="double" w:sz="6" w:space="0" w:color="auto"/>
              <w:left w:val="single" w:sz="4" w:space="0" w:color="auto"/>
              <w:bottom w:val="nil"/>
              <w:right w:val="double" w:sz="4" w:space="0" w:color="auto"/>
            </w:tcBorders>
            <w:shd w:val="clear" w:color="auto" w:fill="auto"/>
            <w:noWrap/>
            <w:vAlign w:val="center"/>
          </w:tcPr>
          <w:p w14:paraId="342C3624"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right w:val="single" w:sz="4" w:space="0" w:color="auto"/>
            </w:tcBorders>
            <w:vAlign w:val="center"/>
          </w:tcPr>
          <w:p w14:paraId="1F25C65E"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top w:val="double" w:sz="6" w:space="0" w:color="auto"/>
              <w:left w:val="single" w:sz="4" w:space="0" w:color="auto"/>
              <w:right w:val="single" w:sz="4" w:space="0" w:color="auto"/>
            </w:tcBorders>
            <w:vAlign w:val="center"/>
          </w:tcPr>
          <w:p w14:paraId="0737BBF9"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single" w:sz="4" w:space="0" w:color="auto"/>
              <w:right w:val="single" w:sz="4" w:space="0" w:color="auto"/>
            </w:tcBorders>
            <w:vAlign w:val="center"/>
          </w:tcPr>
          <w:p w14:paraId="0032FF4D"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top w:val="double" w:sz="6" w:space="0" w:color="auto"/>
              <w:left w:val="single" w:sz="4" w:space="0" w:color="auto"/>
              <w:right w:val="double" w:sz="4" w:space="0" w:color="auto"/>
            </w:tcBorders>
            <w:vAlign w:val="center"/>
          </w:tcPr>
          <w:p w14:paraId="3F78D728"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right w:val="single" w:sz="4" w:space="0" w:color="auto"/>
            </w:tcBorders>
            <w:vAlign w:val="center"/>
          </w:tcPr>
          <w:p w14:paraId="19E2FD7D"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single" w:sz="4" w:space="0" w:color="auto"/>
              <w:right w:val="double" w:sz="4" w:space="0" w:color="auto"/>
            </w:tcBorders>
            <w:vAlign w:val="center"/>
          </w:tcPr>
          <w:p w14:paraId="3423721D"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right w:val="single" w:sz="4" w:space="0" w:color="auto"/>
            </w:tcBorders>
            <w:vAlign w:val="center"/>
          </w:tcPr>
          <w:p w14:paraId="4EDD83DF"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single" w:sz="4" w:space="0" w:color="auto"/>
              <w:right w:val="double" w:sz="4" w:space="0" w:color="auto"/>
            </w:tcBorders>
            <w:vAlign w:val="center"/>
          </w:tcPr>
          <w:p w14:paraId="2318EAD7"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6" w:space="0" w:color="auto"/>
              <w:left w:val="double" w:sz="4" w:space="0" w:color="auto"/>
              <w:bottom w:val="nil"/>
              <w:right w:val="single" w:sz="4" w:space="0" w:color="auto"/>
            </w:tcBorders>
            <w:shd w:val="clear" w:color="auto" w:fill="auto"/>
            <w:noWrap/>
            <w:vAlign w:val="center"/>
          </w:tcPr>
          <w:p w14:paraId="0DF5F201" w14:textId="77777777" w:rsidR="00B323B0" w:rsidRPr="00E85FE6" w:rsidRDefault="00B323B0" w:rsidP="00B323B0">
            <w:pPr>
              <w:spacing w:line="240" w:lineRule="auto"/>
              <w:jc w:val="right"/>
              <w:rPr>
                <w:rFonts w:eastAsia="Times New Roman" w:cs="Times New Roman"/>
                <w:color w:val="000000"/>
                <w:sz w:val="20"/>
                <w:szCs w:val="20"/>
              </w:rPr>
            </w:pPr>
          </w:p>
        </w:tc>
        <w:tc>
          <w:tcPr>
            <w:tcW w:w="256" w:type="pct"/>
            <w:tcBorders>
              <w:top w:val="double" w:sz="6" w:space="0" w:color="auto"/>
              <w:left w:val="single" w:sz="4" w:space="0" w:color="auto"/>
              <w:bottom w:val="nil"/>
              <w:right w:val="double" w:sz="4" w:space="0" w:color="000000"/>
            </w:tcBorders>
            <w:shd w:val="clear" w:color="auto" w:fill="auto"/>
            <w:noWrap/>
            <w:tcMar>
              <w:right w:w="58" w:type="dxa"/>
            </w:tcMar>
            <w:vAlign w:val="center"/>
          </w:tcPr>
          <w:p w14:paraId="2F51D72C" w14:textId="77777777" w:rsidR="00B323B0" w:rsidRPr="00E85FE6" w:rsidRDefault="00B323B0" w:rsidP="00B323B0">
            <w:pPr>
              <w:spacing w:line="240" w:lineRule="auto"/>
              <w:jc w:val="right"/>
              <w:rPr>
                <w:rFonts w:eastAsia="Times New Roman" w:cs="Times New Roman"/>
                <w:color w:val="000000"/>
                <w:sz w:val="20"/>
                <w:szCs w:val="20"/>
              </w:rPr>
            </w:pPr>
          </w:p>
        </w:tc>
      </w:tr>
      <w:tr w:rsidR="00B323B0" w:rsidRPr="00E85FE6" w14:paraId="5946A231" w14:textId="77777777" w:rsidTr="00BC53A5">
        <w:trPr>
          <w:trHeight w:val="17"/>
          <w:jc w:val="center"/>
        </w:trPr>
        <w:tc>
          <w:tcPr>
            <w:tcW w:w="1158" w:type="pct"/>
            <w:tcBorders>
              <w:top w:val="nil"/>
              <w:left w:val="double" w:sz="4" w:space="0" w:color="000000"/>
              <w:bottom w:val="nil"/>
              <w:right w:val="double" w:sz="6" w:space="0" w:color="auto"/>
            </w:tcBorders>
            <w:shd w:val="clear" w:color="auto" w:fill="auto"/>
            <w:noWrap/>
            <w:vAlign w:val="center"/>
          </w:tcPr>
          <w:p w14:paraId="4DFCC379" w14:textId="77777777" w:rsidR="00B323B0" w:rsidRPr="00E85FE6" w:rsidRDefault="00B323B0" w:rsidP="00447432">
            <w:pPr>
              <w:spacing w:line="240" w:lineRule="auto"/>
              <w:ind w:firstLine="180"/>
              <w:jc w:val="left"/>
              <w:rPr>
                <w:rFonts w:eastAsia="Times New Roman" w:cs="Times New Roman"/>
                <w:color w:val="000000"/>
                <w:sz w:val="20"/>
                <w:szCs w:val="20"/>
              </w:rPr>
            </w:pPr>
            <w:r w:rsidRPr="00E85FE6">
              <w:rPr>
                <w:rFonts w:eastAsia="Times New Roman" w:cs="Times New Roman"/>
                <w:color w:val="000000"/>
                <w:sz w:val="20"/>
                <w:szCs w:val="20"/>
                <w:lang w:eastAsia="zh-CN"/>
              </w:rPr>
              <w:t xml:space="preserve"> VALSC</w:t>
            </w:r>
          </w:p>
        </w:tc>
        <w:tc>
          <w:tcPr>
            <w:tcW w:w="209" w:type="pct"/>
            <w:tcBorders>
              <w:top w:val="nil"/>
              <w:left w:val="nil"/>
              <w:bottom w:val="nil"/>
              <w:right w:val="single" w:sz="4" w:space="0" w:color="auto"/>
            </w:tcBorders>
            <w:shd w:val="clear" w:color="auto" w:fill="auto"/>
            <w:noWrap/>
            <w:vAlign w:val="center"/>
          </w:tcPr>
          <w:p w14:paraId="74E3DB2F" w14:textId="4EE7C6AD" w:rsidR="00B323B0" w:rsidRPr="00E85FE6" w:rsidRDefault="00B323B0" w:rsidP="00A71A93">
            <w:pPr>
              <w:spacing w:line="240" w:lineRule="auto"/>
              <w:jc w:val="right"/>
              <w:rPr>
                <w:rFonts w:eastAsia="Times New Roman" w:cs="Times New Roman"/>
                <w:color w:val="000000"/>
                <w:sz w:val="20"/>
                <w:szCs w:val="20"/>
              </w:rPr>
            </w:pPr>
            <w:r>
              <w:rPr>
                <w:rFonts w:eastAsia="Times New Roman" w:cs="Times New Roman"/>
                <w:color w:val="000000"/>
                <w:sz w:val="20"/>
                <w:szCs w:val="20"/>
              </w:rPr>
              <w:t>-0.</w:t>
            </w:r>
            <w:r w:rsidR="00A71A93">
              <w:rPr>
                <w:rFonts w:eastAsia="Times New Roman" w:cs="Times New Roman"/>
                <w:color w:val="000000"/>
                <w:sz w:val="20"/>
                <w:szCs w:val="20"/>
              </w:rPr>
              <w:t>099</w:t>
            </w:r>
          </w:p>
        </w:tc>
        <w:tc>
          <w:tcPr>
            <w:tcW w:w="211" w:type="pct"/>
            <w:tcBorders>
              <w:top w:val="nil"/>
              <w:left w:val="nil"/>
              <w:bottom w:val="nil"/>
              <w:right w:val="single" w:sz="4" w:space="0" w:color="auto"/>
            </w:tcBorders>
            <w:shd w:val="clear" w:color="auto" w:fill="auto"/>
            <w:noWrap/>
            <w:vAlign w:val="center"/>
          </w:tcPr>
          <w:p w14:paraId="645C9F4B" w14:textId="39E4E09C" w:rsidR="00B323B0" w:rsidRPr="00E85FE6" w:rsidRDefault="00B323B0" w:rsidP="00A71A93">
            <w:pPr>
              <w:spacing w:line="240" w:lineRule="auto"/>
              <w:jc w:val="right"/>
              <w:rPr>
                <w:rFonts w:eastAsia="Times New Roman" w:cs="Times New Roman"/>
                <w:color w:val="000000"/>
                <w:sz w:val="20"/>
                <w:szCs w:val="20"/>
              </w:rPr>
            </w:pPr>
            <w:r>
              <w:rPr>
                <w:rFonts w:eastAsia="Times New Roman" w:cs="Times New Roman"/>
                <w:color w:val="000000"/>
                <w:sz w:val="20"/>
                <w:szCs w:val="20"/>
              </w:rPr>
              <w:t>-1.</w:t>
            </w:r>
            <w:r w:rsidR="00A71A93">
              <w:rPr>
                <w:rFonts w:eastAsia="Times New Roman" w:cs="Times New Roman"/>
                <w:color w:val="000000"/>
                <w:sz w:val="20"/>
                <w:szCs w:val="20"/>
              </w:rPr>
              <w:t>9</w:t>
            </w:r>
            <w:r>
              <w:rPr>
                <w:rFonts w:eastAsia="Times New Roman" w:cs="Times New Roman"/>
                <w:color w:val="000000"/>
                <w:sz w:val="20"/>
                <w:szCs w:val="20"/>
              </w:rPr>
              <w:t>1</w:t>
            </w:r>
          </w:p>
        </w:tc>
        <w:tc>
          <w:tcPr>
            <w:tcW w:w="209" w:type="pct"/>
            <w:tcBorders>
              <w:top w:val="nil"/>
              <w:left w:val="nil"/>
              <w:bottom w:val="nil"/>
              <w:right w:val="single" w:sz="4" w:space="0" w:color="auto"/>
            </w:tcBorders>
            <w:shd w:val="clear" w:color="auto" w:fill="auto"/>
            <w:noWrap/>
            <w:vAlign w:val="center"/>
          </w:tcPr>
          <w:p w14:paraId="5057FEF3" w14:textId="050228DF" w:rsidR="00B323B0" w:rsidRPr="00E85FE6" w:rsidRDefault="00B323B0" w:rsidP="00B323B0">
            <w:pPr>
              <w:spacing w:line="240" w:lineRule="auto"/>
              <w:rPr>
                <w:rFonts w:eastAsia="Times New Roman" w:cs="Times New Roman"/>
                <w:color w:val="000000"/>
                <w:sz w:val="20"/>
                <w:szCs w:val="20"/>
              </w:rPr>
            </w:pPr>
            <w:r>
              <w:rPr>
                <w:rFonts w:eastAsia="Times New Roman" w:cs="Times New Roman"/>
                <w:color w:val="000000"/>
                <w:sz w:val="20"/>
                <w:szCs w:val="20"/>
              </w:rPr>
              <w:t>-0.063</w:t>
            </w:r>
          </w:p>
        </w:tc>
        <w:tc>
          <w:tcPr>
            <w:tcW w:w="211" w:type="pct"/>
            <w:tcBorders>
              <w:top w:val="nil"/>
              <w:left w:val="nil"/>
              <w:bottom w:val="nil"/>
              <w:right w:val="double" w:sz="4" w:space="0" w:color="auto"/>
            </w:tcBorders>
            <w:shd w:val="clear" w:color="auto" w:fill="auto"/>
            <w:noWrap/>
            <w:vAlign w:val="center"/>
          </w:tcPr>
          <w:p w14:paraId="5ADC9009" w14:textId="1B2E5722"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-1.95</w:t>
            </w:r>
          </w:p>
        </w:tc>
        <w:tc>
          <w:tcPr>
            <w:tcW w:w="211" w:type="pct"/>
            <w:tcBorders>
              <w:top w:val="nil"/>
              <w:left w:val="double" w:sz="4" w:space="0" w:color="auto"/>
              <w:bottom w:val="nil"/>
              <w:right w:val="single" w:sz="4" w:space="0" w:color="auto"/>
            </w:tcBorders>
            <w:shd w:val="clear" w:color="auto" w:fill="auto"/>
            <w:noWrap/>
            <w:vAlign w:val="center"/>
          </w:tcPr>
          <w:p w14:paraId="5A8E885A" w14:textId="65950ADC"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-0.084</w:t>
            </w:r>
          </w:p>
        </w:tc>
        <w:tc>
          <w:tcPr>
            <w:tcW w:w="211" w:type="pct"/>
            <w:tcBorders>
              <w:top w:val="nil"/>
              <w:left w:val="nil"/>
              <w:bottom w:val="nil"/>
              <w:right w:val="single" w:sz="4" w:space="0" w:color="auto"/>
            </w:tcBorders>
            <w:shd w:val="clear" w:color="auto" w:fill="auto"/>
            <w:noWrap/>
            <w:vAlign w:val="center"/>
          </w:tcPr>
          <w:p w14:paraId="2911D1CB" w14:textId="7054CC9D"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-1.97</w:t>
            </w:r>
          </w:p>
        </w:tc>
        <w:tc>
          <w:tcPr>
            <w:tcW w:w="211" w:type="pct"/>
            <w:tcBorders>
              <w:top w:val="nil"/>
              <w:left w:val="nil"/>
              <w:bottom w:val="nil"/>
              <w:right w:val="single" w:sz="4" w:space="0" w:color="auto"/>
            </w:tcBorders>
            <w:shd w:val="clear" w:color="auto" w:fill="auto"/>
            <w:noWrap/>
            <w:vAlign w:val="center"/>
          </w:tcPr>
          <w:p w14:paraId="2BAA1E35"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top w:val="nil"/>
              <w:left w:val="single" w:sz="4" w:space="0" w:color="auto"/>
              <w:bottom w:val="nil"/>
              <w:right w:val="double" w:sz="4" w:space="0" w:color="auto"/>
            </w:tcBorders>
            <w:shd w:val="clear" w:color="auto" w:fill="auto"/>
            <w:noWrap/>
            <w:vAlign w:val="center"/>
          </w:tcPr>
          <w:p w14:paraId="38559957"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46E88063" w14:textId="01547E50"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0.880</w:t>
            </w:r>
          </w:p>
        </w:tc>
        <w:tc>
          <w:tcPr>
            <w:tcW w:w="212" w:type="pct"/>
            <w:tcBorders>
              <w:left w:val="single" w:sz="4" w:space="0" w:color="auto"/>
              <w:right w:val="single" w:sz="4" w:space="0" w:color="auto"/>
            </w:tcBorders>
            <w:vAlign w:val="center"/>
          </w:tcPr>
          <w:p w14:paraId="60923160" w14:textId="5FD01D92" w:rsidR="00B323B0" w:rsidRPr="00E85FE6" w:rsidRDefault="00B323B0" w:rsidP="00B323B0">
            <w:pPr>
              <w:tabs>
                <w:tab w:val="left" w:pos="390"/>
              </w:tabs>
              <w:spacing w:line="240" w:lineRule="auto"/>
              <w:jc w:val="right"/>
              <w:rPr>
                <w:rFonts w:eastAsia="Times New Roman" w:cs="Times New Roman"/>
                <w:color w:val="000000"/>
                <w:sz w:val="20"/>
                <w:szCs w:val="20"/>
              </w:rPr>
            </w:pPr>
            <w:r>
              <w:rPr>
                <w:rFonts w:eastAsia="Times New Roman" w:cs="Times New Roman"/>
                <w:color w:val="000000"/>
                <w:sz w:val="20"/>
                <w:szCs w:val="20"/>
              </w:rPr>
              <w:t>20.69</w:t>
            </w:r>
          </w:p>
        </w:tc>
        <w:tc>
          <w:tcPr>
            <w:tcW w:w="211" w:type="pct"/>
            <w:tcBorders>
              <w:left w:val="single" w:sz="4" w:space="0" w:color="auto"/>
              <w:right w:val="single" w:sz="4" w:space="0" w:color="auto"/>
            </w:tcBorders>
            <w:vAlign w:val="center"/>
          </w:tcPr>
          <w:p w14:paraId="637D20CA"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525FDB52"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426DAEE2" w14:textId="54708F4F"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0.388</w:t>
            </w:r>
          </w:p>
        </w:tc>
        <w:tc>
          <w:tcPr>
            <w:tcW w:w="211" w:type="pct"/>
            <w:tcBorders>
              <w:left w:val="single" w:sz="4" w:space="0" w:color="auto"/>
              <w:right w:val="double" w:sz="4" w:space="0" w:color="auto"/>
            </w:tcBorders>
            <w:vAlign w:val="center"/>
          </w:tcPr>
          <w:p w14:paraId="04DAE2A1" w14:textId="6A34B352"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8.13</w:t>
            </w:r>
          </w:p>
        </w:tc>
        <w:tc>
          <w:tcPr>
            <w:tcW w:w="211" w:type="pct"/>
            <w:tcBorders>
              <w:left w:val="double" w:sz="4" w:space="0" w:color="auto"/>
              <w:right w:val="single" w:sz="4" w:space="0" w:color="auto"/>
            </w:tcBorders>
            <w:vAlign w:val="center"/>
          </w:tcPr>
          <w:p w14:paraId="5C34FBC0" w14:textId="3353CB03"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0.372</w:t>
            </w:r>
          </w:p>
        </w:tc>
        <w:tc>
          <w:tcPr>
            <w:tcW w:w="211" w:type="pct"/>
            <w:tcBorders>
              <w:left w:val="single" w:sz="4" w:space="0" w:color="auto"/>
              <w:right w:val="double" w:sz="4" w:space="0" w:color="auto"/>
            </w:tcBorders>
            <w:vAlign w:val="center"/>
          </w:tcPr>
          <w:p w14:paraId="77AAD69A" w14:textId="2251200A"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11.97</w:t>
            </w:r>
          </w:p>
        </w:tc>
        <w:tc>
          <w:tcPr>
            <w:tcW w:w="211" w:type="pct"/>
            <w:tcBorders>
              <w:top w:val="nil"/>
              <w:left w:val="double" w:sz="4" w:space="0" w:color="auto"/>
              <w:bottom w:val="nil"/>
              <w:right w:val="single" w:sz="4" w:space="0" w:color="auto"/>
            </w:tcBorders>
            <w:shd w:val="clear" w:color="auto" w:fill="auto"/>
            <w:noWrap/>
            <w:vAlign w:val="center"/>
          </w:tcPr>
          <w:p w14:paraId="6FF7DAB0" w14:textId="05FE0713"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0.140</w:t>
            </w:r>
          </w:p>
        </w:tc>
        <w:tc>
          <w:tcPr>
            <w:tcW w:w="256" w:type="pct"/>
            <w:tcBorders>
              <w:top w:val="nil"/>
              <w:left w:val="single" w:sz="4" w:space="0" w:color="auto"/>
              <w:bottom w:val="nil"/>
              <w:right w:val="double" w:sz="4" w:space="0" w:color="000000"/>
            </w:tcBorders>
            <w:shd w:val="clear" w:color="auto" w:fill="auto"/>
            <w:noWrap/>
            <w:tcMar>
              <w:right w:w="58" w:type="dxa"/>
            </w:tcMar>
            <w:vAlign w:val="center"/>
          </w:tcPr>
          <w:p w14:paraId="128D7ED0" w14:textId="01118C75"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7.24</w:t>
            </w:r>
          </w:p>
        </w:tc>
      </w:tr>
      <w:tr w:rsidR="00B323B0" w:rsidRPr="00E85FE6" w14:paraId="7CE02D0B" w14:textId="77777777" w:rsidTr="00BC53A5">
        <w:trPr>
          <w:trHeight w:val="17"/>
          <w:jc w:val="center"/>
        </w:trPr>
        <w:tc>
          <w:tcPr>
            <w:tcW w:w="1158" w:type="pct"/>
            <w:tcBorders>
              <w:top w:val="nil"/>
              <w:left w:val="double" w:sz="4" w:space="0" w:color="000000"/>
              <w:bottom w:val="double" w:sz="4" w:space="0" w:color="000000"/>
              <w:right w:val="double" w:sz="6" w:space="0" w:color="auto"/>
            </w:tcBorders>
            <w:shd w:val="clear" w:color="auto" w:fill="auto"/>
            <w:noWrap/>
            <w:vAlign w:val="center"/>
          </w:tcPr>
          <w:p w14:paraId="05C90739" w14:textId="77777777" w:rsidR="00B323B0" w:rsidRPr="00E85FE6" w:rsidRDefault="00B323B0" w:rsidP="00447432">
            <w:pPr>
              <w:spacing w:line="240" w:lineRule="auto"/>
              <w:ind w:firstLine="180"/>
              <w:jc w:val="left"/>
              <w:rPr>
                <w:rFonts w:eastAsia="Times New Roman" w:cs="Times New Roman"/>
                <w:color w:val="000000"/>
                <w:sz w:val="20"/>
                <w:szCs w:val="20"/>
              </w:rPr>
            </w:pPr>
            <w:r w:rsidRPr="00E85FE6">
              <w:rPr>
                <w:rFonts w:eastAsia="Times New Roman" w:cs="Times New Roman"/>
                <w:color w:val="000000"/>
                <w:sz w:val="20"/>
                <w:szCs w:val="20"/>
              </w:rPr>
              <w:t xml:space="preserve"> PALSC</w:t>
            </w:r>
          </w:p>
        </w:tc>
        <w:tc>
          <w:tcPr>
            <w:tcW w:w="209" w:type="pct"/>
            <w:tcBorders>
              <w:top w:val="nil"/>
              <w:left w:val="nil"/>
              <w:bottom w:val="double" w:sz="4" w:space="0" w:color="000000"/>
              <w:right w:val="single" w:sz="4" w:space="0" w:color="auto"/>
            </w:tcBorders>
            <w:shd w:val="clear" w:color="auto" w:fill="auto"/>
            <w:noWrap/>
            <w:vAlign w:val="center"/>
          </w:tcPr>
          <w:p w14:paraId="0C26CBE2" w14:textId="42D59325"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nil"/>
              <w:left w:val="nil"/>
              <w:bottom w:val="double" w:sz="4" w:space="0" w:color="000000"/>
              <w:right w:val="single" w:sz="4" w:space="0" w:color="auto"/>
            </w:tcBorders>
            <w:shd w:val="clear" w:color="auto" w:fill="auto"/>
            <w:noWrap/>
            <w:vAlign w:val="center"/>
          </w:tcPr>
          <w:p w14:paraId="47685D17" w14:textId="60A20639" w:rsidR="00B323B0" w:rsidRPr="00E85FE6" w:rsidRDefault="00B323B0" w:rsidP="00B323B0">
            <w:pPr>
              <w:spacing w:line="240" w:lineRule="auto"/>
              <w:jc w:val="right"/>
              <w:rPr>
                <w:rFonts w:eastAsia="Times New Roman" w:cs="Times New Roman"/>
                <w:color w:val="000000"/>
                <w:sz w:val="20"/>
                <w:szCs w:val="20"/>
              </w:rPr>
            </w:pPr>
          </w:p>
        </w:tc>
        <w:tc>
          <w:tcPr>
            <w:tcW w:w="209" w:type="pct"/>
            <w:tcBorders>
              <w:top w:val="nil"/>
              <w:left w:val="nil"/>
              <w:bottom w:val="double" w:sz="4" w:space="0" w:color="000000"/>
              <w:right w:val="single" w:sz="4" w:space="0" w:color="auto"/>
            </w:tcBorders>
            <w:shd w:val="clear" w:color="auto" w:fill="auto"/>
            <w:noWrap/>
            <w:vAlign w:val="center"/>
          </w:tcPr>
          <w:p w14:paraId="09C819D8" w14:textId="070BE36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nil"/>
              <w:left w:val="nil"/>
              <w:bottom w:val="double" w:sz="4" w:space="0" w:color="000000"/>
              <w:right w:val="double" w:sz="4" w:space="0" w:color="auto"/>
            </w:tcBorders>
            <w:shd w:val="clear" w:color="auto" w:fill="auto"/>
            <w:noWrap/>
            <w:vAlign w:val="center"/>
          </w:tcPr>
          <w:p w14:paraId="5C9428D1" w14:textId="31E05AE5"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nil"/>
              <w:left w:val="double" w:sz="4" w:space="0" w:color="auto"/>
              <w:bottom w:val="double" w:sz="4" w:space="0" w:color="000000"/>
              <w:right w:val="single" w:sz="4" w:space="0" w:color="auto"/>
            </w:tcBorders>
            <w:shd w:val="clear" w:color="auto" w:fill="auto"/>
            <w:noWrap/>
            <w:vAlign w:val="center"/>
          </w:tcPr>
          <w:p w14:paraId="3AEEC05A" w14:textId="51FF4A6B"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-0.108</w:t>
            </w:r>
          </w:p>
        </w:tc>
        <w:tc>
          <w:tcPr>
            <w:tcW w:w="211" w:type="pct"/>
            <w:tcBorders>
              <w:top w:val="nil"/>
              <w:left w:val="nil"/>
              <w:bottom w:val="double" w:sz="4" w:space="0" w:color="000000"/>
              <w:right w:val="single" w:sz="4" w:space="0" w:color="auto"/>
            </w:tcBorders>
            <w:shd w:val="clear" w:color="auto" w:fill="auto"/>
            <w:noWrap/>
            <w:vAlign w:val="center"/>
          </w:tcPr>
          <w:p w14:paraId="74562225" w14:textId="6D96A8C3"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-3.49</w:t>
            </w:r>
          </w:p>
        </w:tc>
        <w:tc>
          <w:tcPr>
            <w:tcW w:w="211" w:type="pct"/>
            <w:tcBorders>
              <w:top w:val="nil"/>
              <w:left w:val="nil"/>
              <w:bottom w:val="double" w:sz="4" w:space="0" w:color="000000"/>
              <w:right w:val="single" w:sz="4" w:space="0" w:color="auto"/>
            </w:tcBorders>
            <w:shd w:val="clear" w:color="auto" w:fill="auto"/>
            <w:noWrap/>
            <w:vAlign w:val="center"/>
          </w:tcPr>
          <w:p w14:paraId="2768E366" w14:textId="34E09F7B"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0.064</w:t>
            </w:r>
          </w:p>
        </w:tc>
        <w:tc>
          <w:tcPr>
            <w:tcW w:w="212" w:type="pct"/>
            <w:tcBorders>
              <w:top w:val="nil"/>
              <w:left w:val="single" w:sz="4" w:space="0" w:color="auto"/>
              <w:bottom w:val="double" w:sz="4" w:space="0" w:color="000000"/>
              <w:right w:val="double" w:sz="4" w:space="0" w:color="auto"/>
            </w:tcBorders>
            <w:shd w:val="clear" w:color="auto" w:fill="auto"/>
            <w:noWrap/>
            <w:vAlign w:val="center"/>
          </w:tcPr>
          <w:p w14:paraId="7DE88091" w14:textId="6A3E6BBF"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1.96</w:t>
            </w:r>
          </w:p>
        </w:tc>
        <w:tc>
          <w:tcPr>
            <w:tcW w:w="211" w:type="pct"/>
            <w:tcBorders>
              <w:left w:val="double" w:sz="4" w:space="0" w:color="auto"/>
              <w:bottom w:val="double" w:sz="4" w:space="0" w:color="000000"/>
              <w:right w:val="single" w:sz="4" w:space="0" w:color="auto"/>
            </w:tcBorders>
            <w:vAlign w:val="center"/>
          </w:tcPr>
          <w:p w14:paraId="5B992393" w14:textId="398CCBC1"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-0.239</w:t>
            </w:r>
          </w:p>
        </w:tc>
        <w:tc>
          <w:tcPr>
            <w:tcW w:w="212" w:type="pct"/>
            <w:tcBorders>
              <w:left w:val="single" w:sz="4" w:space="0" w:color="auto"/>
              <w:bottom w:val="double" w:sz="4" w:space="0" w:color="000000"/>
              <w:right w:val="single" w:sz="4" w:space="0" w:color="auto"/>
            </w:tcBorders>
            <w:vAlign w:val="center"/>
          </w:tcPr>
          <w:p w14:paraId="1CF6A3A2" w14:textId="23107914"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-2.67</w:t>
            </w:r>
          </w:p>
        </w:tc>
        <w:tc>
          <w:tcPr>
            <w:tcW w:w="211" w:type="pct"/>
            <w:tcBorders>
              <w:left w:val="single" w:sz="4" w:space="0" w:color="auto"/>
              <w:bottom w:val="double" w:sz="4" w:space="0" w:color="000000"/>
              <w:right w:val="single" w:sz="4" w:space="0" w:color="auto"/>
            </w:tcBorders>
            <w:vAlign w:val="center"/>
          </w:tcPr>
          <w:p w14:paraId="3CF0408A" w14:textId="4E00C0F0"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0.082</w:t>
            </w:r>
          </w:p>
        </w:tc>
        <w:tc>
          <w:tcPr>
            <w:tcW w:w="212" w:type="pct"/>
            <w:tcBorders>
              <w:left w:val="single" w:sz="4" w:space="0" w:color="auto"/>
              <w:bottom w:val="double" w:sz="4" w:space="0" w:color="000000"/>
              <w:right w:val="double" w:sz="4" w:space="0" w:color="auto"/>
            </w:tcBorders>
            <w:vAlign w:val="center"/>
          </w:tcPr>
          <w:p w14:paraId="67E8BAEF" w14:textId="24993065"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2.36</w:t>
            </w:r>
          </w:p>
        </w:tc>
        <w:tc>
          <w:tcPr>
            <w:tcW w:w="211" w:type="pct"/>
            <w:tcBorders>
              <w:left w:val="double" w:sz="4" w:space="0" w:color="auto"/>
              <w:bottom w:val="double" w:sz="4" w:space="0" w:color="000000"/>
              <w:right w:val="single" w:sz="4" w:space="0" w:color="auto"/>
            </w:tcBorders>
            <w:vAlign w:val="center"/>
          </w:tcPr>
          <w:p w14:paraId="665843A1" w14:textId="0FB9CF94"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-0.952</w:t>
            </w:r>
          </w:p>
        </w:tc>
        <w:tc>
          <w:tcPr>
            <w:tcW w:w="211" w:type="pct"/>
            <w:tcBorders>
              <w:left w:val="single" w:sz="4" w:space="0" w:color="auto"/>
              <w:bottom w:val="double" w:sz="4" w:space="0" w:color="000000"/>
              <w:right w:val="double" w:sz="4" w:space="0" w:color="auto"/>
            </w:tcBorders>
            <w:vAlign w:val="center"/>
          </w:tcPr>
          <w:p w14:paraId="63276B67" w14:textId="0E398A0E"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-20.88</w:t>
            </w:r>
          </w:p>
        </w:tc>
        <w:tc>
          <w:tcPr>
            <w:tcW w:w="211" w:type="pct"/>
            <w:tcBorders>
              <w:left w:val="double" w:sz="4" w:space="0" w:color="auto"/>
              <w:bottom w:val="double" w:sz="4" w:space="0" w:color="000000"/>
              <w:right w:val="single" w:sz="4" w:space="0" w:color="auto"/>
            </w:tcBorders>
            <w:vAlign w:val="center"/>
          </w:tcPr>
          <w:p w14:paraId="7A50282E" w14:textId="64C16325"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-0.199</w:t>
            </w:r>
          </w:p>
        </w:tc>
        <w:tc>
          <w:tcPr>
            <w:tcW w:w="211" w:type="pct"/>
            <w:tcBorders>
              <w:left w:val="single" w:sz="4" w:space="0" w:color="auto"/>
              <w:bottom w:val="double" w:sz="4" w:space="0" w:color="000000"/>
              <w:right w:val="double" w:sz="4" w:space="0" w:color="auto"/>
            </w:tcBorders>
            <w:vAlign w:val="center"/>
          </w:tcPr>
          <w:p w14:paraId="70225DC6" w14:textId="7D4835F8"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-6.49</w:t>
            </w:r>
          </w:p>
        </w:tc>
        <w:tc>
          <w:tcPr>
            <w:tcW w:w="211" w:type="pct"/>
            <w:tcBorders>
              <w:top w:val="nil"/>
              <w:left w:val="double" w:sz="4" w:space="0" w:color="auto"/>
              <w:bottom w:val="double" w:sz="4" w:space="0" w:color="000000"/>
              <w:right w:val="single" w:sz="4" w:space="0" w:color="auto"/>
            </w:tcBorders>
            <w:shd w:val="clear" w:color="auto" w:fill="auto"/>
            <w:noWrap/>
            <w:vAlign w:val="center"/>
          </w:tcPr>
          <w:p w14:paraId="717478E0" w14:textId="3A7508D1"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-0.208</w:t>
            </w:r>
          </w:p>
        </w:tc>
        <w:tc>
          <w:tcPr>
            <w:tcW w:w="256" w:type="pct"/>
            <w:tcBorders>
              <w:top w:val="nil"/>
              <w:left w:val="single" w:sz="4" w:space="0" w:color="auto"/>
              <w:bottom w:val="double" w:sz="4" w:space="0" w:color="000000"/>
              <w:right w:val="double" w:sz="4" w:space="0" w:color="000000"/>
            </w:tcBorders>
            <w:shd w:val="clear" w:color="auto" w:fill="auto"/>
            <w:noWrap/>
            <w:tcMar>
              <w:right w:w="58" w:type="dxa"/>
            </w:tcMar>
            <w:vAlign w:val="center"/>
          </w:tcPr>
          <w:p w14:paraId="1C4E24A2" w14:textId="3410ACD9"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-10.55</w:t>
            </w:r>
          </w:p>
        </w:tc>
      </w:tr>
      <w:tr w:rsidR="00B323B0" w:rsidRPr="00E85FE6" w14:paraId="361015D7" w14:textId="77777777" w:rsidTr="00BC53A5">
        <w:trPr>
          <w:trHeight w:val="17"/>
          <w:jc w:val="center"/>
        </w:trPr>
        <w:tc>
          <w:tcPr>
            <w:tcW w:w="1158" w:type="pct"/>
            <w:tcBorders>
              <w:top w:val="double" w:sz="4" w:space="0" w:color="000000"/>
              <w:left w:val="double" w:sz="4" w:space="0" w:color="000000"/>
              <w:right w:val="double" w:sz="6" w:space="0" w:color="auto"/>
            </w:tcBorders>
            <w:shd w:val="clear" w:color="auto" w:fill="auto"/>
            <w:noWrap/>
            <w:vAlign w:val="center"/>
          </w:tcPr>
          <w:p w14:paraId="3F2D092A" w14:textId="77777777" w:rsidR="00B323B0" w:rsidRPr="00E85FE6" w:rsidRDefault="00B323B0" w:rsidP="00447432">
            <w:pPr>
              <w:spacing w:line="240" w:lineRule="auto"/>
              <w:jc w:val="left"/>
              <w:rPr>
                <w:rFonts w:eastAsia="Times New Roman" w:cs="Times New Roman"/>
                <w:i/>
                <w:color w:val="000000"/>
                <w:sz w:val="20"/>
                <w:szCs w:val="20"/>
              </w:rPr>
            </w:pPr>
            <w:r w:rsidRPr="00E85FE6">
              <w:rPr>
                <w:rFonts w:eastAsia="SimSun" w:cs="Times New Roman"/>
                <w:i/>
                <w:sz w:val="20"/>
                <w:szCs w:val="20"/>
                <w:lang w:eastAsia="zh-CN"/>
              </w:rPr>
              <w:t>Recursive endogenous effects</w:t>
            </w:r>
          </w:p>
        </w:tc>
        <w:tc>
          <w:tcPr>
            <w:tcW w:w="209" w:type="pct"/>
            <w:tcBorders>
              <w:top w:val="double" w:sz="4" w:space="0" w:color="000000"/>
              <w:left w:val="nil"/>
              <w:right w:val="single" w:sz="4" w:space="0" w:color="auto"/>
            </w:tcBorders>
            <w:shd w:val="clear" w:color="auto" w:fill="auto"/>
            <w:noWrap/>
            <w:vAlign w:val="center"/>
          </w:tcPr>
          <w:p w14:paraId="3DC56800"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nil"/>
              <w:right w:val="single" w:sz="4" w:space="0" w:color="auto"/>
            </w:tcBorders>
            <w:shd w:val="clear" w:color="auto" w:fill="auto"/>
            <w:noWrap/>
            <w:vAlign w:val="center"/>
          </w:tcPr>
          <w:p w14:paraId="59339660" w14:textId="77777777" w:rsidR="00B323B0" w:rsidRPr="00E85FE6" w:rsidRDefault="00B323B0" w:rsidP="00B323B0">
            <w:pPr>
              <w:spacing w:line="240" w:lineRule="auto"/>
              <w:jc w:val="right"/>
              <w:rPr>
                <w:rFonts w:eastAsia="Times New Roman" w:cs="Times New Roman"/>
                <w:color w:val="000000"/>
                <w:sz w:val="20"/>
                <w:szCs w:val="20"/>
              </w:rPr>
            </w:pPr>
          </w:p>
        </w:tc>
        <w:tc>
          <w:tcPr>
            <w:tcW w:w="209" w:type="pct"/>
            <w:tcBorders>
              <w:top w:val="double" w:sz="4" w:space="0" w:color="000000"/>
              <w:left w:val="nil"/>
              <w:right w:val="single" w:sz="4" w:space="0" w:color="auto"/>
            </w:tcBorders>
            <w:shd w:val="clear" w:color="auto" w:fill="auto"/>
            <w:noWrap/>
            <w:vAlign w:val="center"/>
          </w:tcPr>
          <w:p w14:paraId="2B1CBA91"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nil"/>
              <w:right w:val="double" w:sz="4" w:space="0" w:color="auto"/>
            </w:tcBorders>
            <w:shd w:val="clear" w:color="auto" w:fill="auto"/>
            <w:noWrap/>
            <w:vAlign w:val="center"/>
          </w:tcPr>
          <w:p w14:paraId="082E106A"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double" w:sz="4" w:space="0" w:color="auto"/>
              <w:right w:val="single" w:sz="4" w:space="0" w:color="auto"/>
            </w:tcBorders>
            <w:shd w:val="clear" w:color="auto" w:fill="auto"/>
            <w:noWrap/>
            <w:vAlign w:val="center"/>
          </w:tcPr>
          <w:p w14:paraId="6A386DC6"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nil"/>
              <w:right w:val="single" w:sz="4" w:space="0" w:color="auto"/>
            </w:tcBorders>
            <w:shd w:val="clear" w:color="auto" w:fill="auto"/>
            <w:noWrap/>
            <w:vAlign w:val="center"/>
          </w:tcPr>
          <w:p w14:paraId="11D838C6"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nil"/>
              <w:right w:val="single" w:sz="4" w:space="0" w:color="auto"/>
            </w:tcBorders>
            <w:shd w:val="clear" w:color="auto" w:fill="auto"/>
            <w:noWrap/>
            <w:vAlign w:val="center"/>
          </w:tcPr>
          <w:p w14:paraId="2F06B05D"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top w:val="double" w:sz="4" w:space="0" w:color="000000"/>
              <w:left w:val="single" w:sz="4" w:space="0" w:color="auto"/>
              <w:right w:val="double" w:sz="4" w:space="0" w:color="auto"/>
            </w:tcBorders>
            <w:shd w:val="clear" w:color="auto" w:fill="auto"/>
            <w:noWrap/>
            <w:vAlign w:val="center"/>
          </w:tcPr>
          <w:p w14:paraId="2EA8AE9C"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double" w:sz="4" w:space="0" w:color="auto"/>
              <w:right w:val="single" w:sz="4" w:space="0" w:color="auto"/>
            </w:tcBorders>
            <w:vAlign w:val="center"/>
          </w:tcPr>
          <w:p w14:paraId="183F73CF"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top w:val="double" w:sz="4" w:space="0" w:color="000000"/>
              <w:left w:val="single" w:sz="4" w:space="0" w:color="auto"/>
              <w:right w:val="single" w:sz="4" w:space="0" w:color="auto"/>
            </w:tcBorders>
            <w:vAlign w:val="center"/>
          </w:tcPr>
          <w:p w14:paraId="554A9D92"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single" w:sz="4" w:space="0" w:color="auto"/>
              <w:right w:val="single" w:sz="4" w:space="0" w:color="auto"/>
            </w:tcBorders>
            <w:vAlign w:val="center"/>
          </w:tcPr>
          <w:p w14:paraId="2A8BCDEC"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top w:val="double" w:sz="4" w:space="0" w:color="000000"/>
              <w:left w:val="single" w:sz="4" w:space="0" w:color="auto"/>
              <w:right w:val="double" w:sz="4" w:space="0" w:color="auto"/>
            </w:tcBorders>
            <w:vAlign w:val="center"/>
          </w:tcPr>
          <w:p w14:paraId="50678F14"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double" w:sz="4" w:space="0" w:color="auto"/>
              <w:right w:val="single" w:sz="4" w:space="0" w:color="auto"/>
            </w:tcBorders>
            <w:vAlign w:val="center"/>
          </w:tcPr>
          <w:p w14:paraId="2FE8E2E2"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single" w:sz="4" w:space="0" w:color="auto"/>
              <w:right w:val="double" w:sz="4" w:space="0" w:color="auto"/>
            </w:tcBorders>
            <w:vAlign w:val="center"/>
          </w:tcPr>
          <w:p w14:paraId="1454D22B"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double" w:sz="4" w:space="0" w:color="auto"/>
              <w:right w:val="single" w:sz="4" w:space="0" w:color="auto"/>
            </w:tcBorders>
            <w:vAlign w:val="center"/>
          </w:tcPr>
          <w:p w14:paraId="150F7BD6"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single" w:sz="4" w:space="0" w:color="auto"/>
              <w:right w:val="double" w:sz="4" w:space="0" w:color="auto"/>
            </w:tcBorders>
            <w:vAlign w:val="center"/>
          </w:tcPr>
          <w:p w14:paraId="0E0E8DC6"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top w:val="double" w:sz="4" w:space="0" w:color="000000"/>
              <w:left w:val="double" w:sz="4" w:space="0" w:color="auto"/>
              <w:right w:val="single" w:sz="4" w:space="0" w:color="auto"/>
            </w:tcBorders>
            <w:shd w:val="clear" w:color="auto" w:fill="auto"/>
            <w:noWrap/>
            <w:vAlign w:val="center"/>
          </w:tcPr>
          <w:p w14:paraId="5F618DEA" w14:textId="77777777" w:rsidR="00B323B0" w:rsidRPr="00E85FE6" w:rsidRDefault="00B323B0" w:rsidP="00B323B0">
            <w:pPr>
              <w:spacing w:line="240" w:lineRule="auto"/>
              <w:jc w:val="right"/>
              <w:rPr>
                <w:rFonts w:eastAsia="Times New Roman" w:cs="Times New Roman"/>
                <w:color w:val="000000"/>
                <w:sz w:val="20"/>
                <w:szCs w:val="20"/>
              </w:rPr>
            </w:pPr>
          </w:p>
        </w:tc>
        <w:tc>
          <w:tcPr>
            <w:tcW w:w="256" w:type="pct"/>
            <w:tcBorders>
              <w:top w:val="double" w:sz="4" w:space="0" w:color="000000"/>
              <w:left w:val="single" w:sz="4" w:space="0" w:color="auto"/>
              <w:right w:val="double" w:sz="4" w:space="0" w:color="000000"/>
            </w:tcBorders>
            <w:shd w:val="clear" w:color="auto" w:fill="auto"/>
            <w:noWrap/>
            <w:tcMar>
              <w:right w:w="58" w:type="dxa"/>
            </w:tcMar>
            <w:vAlign w:val="center"/>
          </w:tcPr>
          <w:p w14:paraId="3C8E318F" w14:textId="77777777" w:rsidR="00B323B0" w:rsidRPr="00E85FE6" w:rsidRDefault="00B323B0" w:rsidP="00B323B0">
            <w:pPr>
              <w:spacing w:line="240" w:lineRule="auto"/>
              <w:jc w:val="right"/>
              <w:rPr>
                <w:rFonts w:eastAsia="Times New Roman" w:cs="Times New Roman"/>
                <w:color w:val="000000"/>
                <w:sz w:val="20"/>
                <w:szCs w:val="20"/>
              </w:rPr>
            </w:pPr>
          </w:p>
        </w:tc>
      </w:tr>
      <w:tr w:rsidR="00B323B0" w:rsidRPr="00E85FE6" w14:paraId="35157E33" w14:textId="77777777" w:rsidTr="00BC53A5">
        <w:trPr>
          <w:trHeight w:val="17"/>
          <w:jc w:val="center"/>
        </w:trPr>
        <w:tc>
          <w:tcPr>
            <w:tcW w:w="1158" w:type="pct"/>
            <w:tcBorders>
              <w:left w:val="double" w:sz="4" w:space="0" w:color="000000"/>
              <w:right w:val="double" w:sz="6" w:space="0" w:color="auto"/>
            </w:tcBorders>
            <w:shd w:val="clear" w:color="auto" w:fill="auto"/>
            <w:noWrap/>
            <w:vAlign w:val="center"/>
          </w:tcPr>
          <w:p w14:paraId="2222993F" w14:textId="77777777" w:rsidR="00B323B0" w:rsidRPr="005D7939" w:rsidRDefault="00B323B0" w:rsidP="00447432">
            <w:pPr>
              <w:spacing w:line="240" w:lineRule="auto"/>
              <w:ind w:left="107" w:hanging="107"/>
              <w:jc w:val="left"/>
              <w:rPr>
                <w:rFonts w:eastAsia="SimSun" w:cs="Times New Roman"/>
                <w:sz w:val="20"/>
                <w:szCs w:val="20"/>
                <w:lang w:eastAsia="zh-CN"/>
              </w:rPr>
            </w:pPr>
            <w:r w:rsidRPr="005D7939">
              <w:rPr>
                <w:rFonts w:eastAsia="SimSun" w:cs="Times New Roman"/>
                <w:sz w:val="20"/>
                <w:szCs w:val="20"/>
                <w:lang w:eastAsia="zh-CN"/>
              </w:rPr>
              <w:t>Works from home 1+ times per week</w:t>
            </w:r>
          </w:p>
        </w:tc>
        <w:tc>
          <w:tcPr>
            <w:tcW w:w="209" w:type="pct"/>
            <w:tcBorders>
              <w:left w:val="nil"/>
              <w:right w:val="single" w:sz="4" w:space="0" w:color="auto"/>
            </w:tcBorders>
            <w:shd w:val="clear" w:color="auto" w:fill="auto"/>
            <w:noWrap/>
            <w:vAlign w:val="center"/>
          </w:tcPr>
          <w:p w14:paraId="245DCBF2" w14:textId="2CDA84E1"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3D65D662" w14:textId="0AFD2754" w:rsidR="00B323B0" w:rsidRPr="00E85FE6" w:rsidRDefault="00B323B0" w:rsidP="00B323B0">
            <w:pPr>
              <w:spacing w:line="240" w:lineRule="auto"/>
              <w:jc w:val="right"/>
              <w:rPr>
                <w:rFonts w:eastAsia="Times New Roman" w:cs="Times New Roman"/>
                <w:color w:val="000000"/>
                <w:sz w:val="20"/>
                <w:szCs w:val="20"/>
              </w:rPr>
            </w:pPr>
          </w:p>
        </w:tc>
        <w:tc>
          <w:tcPr>
            <w:tcW w:w="209" w:type="pct"/>
            <w:tcBorders>
              <w:left w:val="nil"/>
              <w:right w:val="single" w:sz="4" w:space="0" w:color="auto"/>
            </w:tcBorders>
            <w:shd w:val="clear" w:color="auto" w:fill="auto"/>
            <w:noWrap/>
            <w:vAlign w:val="center"/>
          </w:tcPr>
          <w:p w14:paraId="06DE54C8" w14:textId="20940317"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-0.394</w:t>
            </w:r>
          </w:p>
        </w:tc>
        <w:tc>
          <w:tcPr>
            <w:tcW w:w="211" w:type="pct"/>
            <w:tcBorders>
              <w:left w:val="nil"/>
              <w:right w:val="double" w:sz="4" w:space="0" w:color="auto"/>
            </w:tcBorders>
            <w:shd w:val="clear" w:color="auto" w:fill="auto"/>
            <w:noWrap/>
            <w:vAlign w:val="center"/>
          </w:tcPr>
          <w:p w14:paraId="1A6734B5" w14:textId="608F17B6"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-4.12</w:t>
            </w:r>
          </w:p>
        </w:tc>
        <w:tc>
          <w:tcPr>
            <w:tcW w:w="211" w:type="pct"/>
            <w:tcBorders>
              <w:left w:val="double" w:sz="4" w:space="0" w:color="auto"/>
              <w:right w:val="single" w:sz="4" w:space="0" w:color="auto"/>
            </w:tcBorders>
            <w:shd w:val="clear" w:color="auto" w:fill="auto"/>
            <w:noWrap/>
            <w:vAlign w:val="center"/>
          </w:tcPr>
          <w:p w14:paraId="045DB223"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1987ACE7"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nil"/>
              <w:right w:val="single" w:sz="4" w:space="0" w:color="auto"/>
            </w:tcBorders>
            <w:shd w:val="clear" w:color="auto" w:fill="auto"/>
            <w:noWrap/>
            <w:vAlign w:val="center"/>
          </w:tcPr>
          <w:p w14:paraId="0500D8A3" w14:textId="0DF42932"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-0.249</w:t>
            </w:r>
          </w:p>
        </w:tc>
        <w:tc>
          <w:tcPr>
            <w:tcW w:w="212" w:type="pct"/>
            <w:tcBorders>
              <w:left w:val="single" w:sz="4" w:space="0" w:color="auto"/>
              <w:right w:val="double" w:sz="4" w:space="0" w:color="auto"/>
            </w:tcBorders>
            <w:shd w:val="clear" w:color="auto" w:fill="auto"/>
            <w:noWrap/>
            <w:vAlign w:val="center"/>
          </w:tcPr>
          <w:p w14:paraId="0C8399F8" w14:textId="4D73B33A" w:rsidR="00B323B0" w:rsidRPr="00E85FE6" w:rsidRDefault="00B323B0" w:rsidP="00B323B0">
            <w:pPr>
              <w:spacing w:line="240" w:lineRule="auto"/>
              <w:jc w:val="right"/>
              <w:rPr>
                <w:rFonts w:eastAsia="Times New Roman" w:cs="Times New Roman"/>
                <w:color w:val="000000"/>
                <w:sz w:val="20"/>
                <w:szCs w:val="20"/>
              </w:rPr>
            </w:pPr>
            <w:r>
              <w:rPr>
                <w:rFonts w:eastAsia="Times New Roman" w:cs="Times New Roman"/>
                <w:color w:val="000000"/>
                <w:sz w:val="20"/>
                <w:szCs w:val="20"/>
              </w:rPr>
              <w:t>-2.56</w:t>
            </w:r>
          </w:p>
        </w:tc>
        <w:tc>
          <w:tcPr>
            <w:tcW w:w="211" w:type="pct"/>
            <w:tcBorders>
              <w:left w:val="double" w:sz="4" w:space="0" w:color="auto"/>
              <w:right w:val="single" w:sz="4" w:space="0" w:color="auto"/>
            </w:tcBorders>
            <w:vAlign w:val="center"/>
          </w:tcPr>
          <w:p w14:paraId="2FB66DC7"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049E24FE"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41FDD281" w14:textId="77777777" w:rsidR="00B323B0" w:rsidRPr="00E85FE6" w:rsidRDefault="00B323B0" w:rsidP="00B323B0">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41817B7A"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F6ABE48" w14:textId="493DC1AA" w:rsidR="00B323B0" w:rsidRPr="00E85FE6" w:rsidRDefault="00B323B0" w:rsidP="00B323B0">
            <w:pPr>
              <w:spacing w:line="240" w:lineRule="auto"/>
              <w:jc w:val="center"/>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5D128428" w14:textId="613B8187" w:rsidR="00B323B0" w:rsidRPr="00E85FE6" w:rsidRDefault="00B323B0" w:rsidP="00B323B0">
            <w:pPr>
              <w:spacing w:line="240" w:lineRule="auto"/>
              <w:jc w:val="center"/>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2A64CE9F"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7857664D" w14:textId="77777777" w:rsidR="00B323B0" w:rsidRPr="00E85FE6" w:rsidRDefault="00B323B0" w:rsidP="00B323B0">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shd w:val="clear" w:color="auto" w:fill="auto"/>
            <w:noWrap/>
            <w:vAlign w:val="center"/>
          </w:tcPr>
          <w:p w14:paraId="4BFC8F2F" w14:textId="77777777" w:rsidR="00B323B0" w:rsidRPr="00E85FE6" w:rsidRDefault="00B323B0" w:rsidP="00B323B0">
            <w:pPr>
              <w:spacing w:line="240" w:lineRule="auto"/>
              <w:jc w:val="right"/>
              <w:rPr>
                <w:rFonts w:eastAsia="Times New Roman" w:cs="Times New Roman"/>
                <w:color w:val="000000"/>
                <w:sz w:val="20"/>
                <w:szCs w:val="20"/>
              </w:rPr>
            </w:pPr>
          </w:p>
        </w:tc>
        <w:tc>
          <w:tcPr>
            <w:tcW w:w="256" w:type="pct"/>
            <w:tcBorders>
              <w:left w:val="single" w:sz="4" w:space="0" w:color="auto"/>
              <w:right w:val="double" w:sz="4" w:space="0" w:color="000000"/>
            </w:tcBorders>
            <w:shd w:val="clear" w:color="auto" w:fill="auto"/>
            <w:noWrap/>
            <w:tcMar>
              <w:right w:w="58" w:type="dxa"/>
            </w:tcMar>
            <w:vAlign w:val="center"/>
          </w:tcPr>
          <w:p w14:paraId="330DD79D" w14:textId="77777777" w:rsidR="00B323B0" w:rsidRPr="00E85FE6" w:rsidRDefault="00B323B0" w:rsidP="00B323B0">
            <w:pPr>
              <w:spacing w:line="240" w:lineRule="auto"/>
              <w:jc w:val="right"/>
              <w:rPr>
                <w:rFonts w:eastAsia="Times New Roman" w:cs="Times New Roman"/>
                <w:color w:val="000000"/>
                <w:sz w:val="20"/>
                <w:szCs w:val="20"/>
              </w:rPr>
            </w:pPr>
          </w:p>
        </w:tc>
      </w:tr>
      <w:tr w:rsidR="00BC53A5" w:rsidRPr="00E85FE6" w14:paraId="25F4CE19" w14:textId="77777777" w:rsidTr="00BC53A5">
        <w:trPr>
          <w:trHeight w:val="17"/>
          <w:jc w:val="center"/>
        </w:trPr>
        <w:tc>
          <w:tcPr>
            <w:tcW w:w="1158" w:type="pct"/>
            <w:tcBorders>
              <w:left w:val="double" w:sz="4" w:space="0" w:color="000000"/>
              <w:bottom w:val="nil"/>
              <w:right w:val="double" w:sz="6" w:space="0" w:color="auto"/>
            </w:tcBorders>
            <w:shd w:val="clear" w:color="auto" w:fill="auto"/>
            <w:noWrap/>
            <w:vAlign w:val="center"/>
          </w:tcPr>
          <w:p w14:paraId="0D365E95" w14:textId="77777777" w:rsidR="00BC53A5" w:rsidRPr="005D7939" w:rsidRDefault="00BC53A5" w:rsidP="00BC53A5">
            <w:pPr>
              <w:spacing w:line="240" w:lineRule="auto"/>
              <w:jc w:val="left"/>
              <w:rPr>
                <w:rFonts w:eastAsia="SimSun" w:cs="Times New Roman"/>
                <w:sz w:val="20"/>
                <w:szCs w:val="20"/>
                <w:lang w:eastAsia="zh-CN"/>
              </w:rPr>
            </w:pPr>
            <w:r w:rsidRPr="005D7939">
              <w:rPr>
                <w:rFonts w:eastAsia="SimSun" w:cs="Times New Roman"/>
                <w:sz w:val="20"/>
                <w:szCs w:val="20"/>
                <w:lang w:eastAsia="zh-CN"/>
              </w:rPr>
              <w:t>Food delivered 1+ times per week</w:t>
            </w:r>
          </w:p>
        </w:tc>
        <w:tc>
          <w:tcPr>
            <w:tcW w:w="209" w:type="pct"/>
            <w:tcBorders>
              <w:left w:val="nil"/>
              <w:bottom w:val="nil"/>
              <w:right w:val="single" w:sz="4" w:space="0" w:color="auto"/>
            </w:tcBorders>
            <w:shd w:val="clear" w:color="auto" w:fill="auto"/>
            <w:noWrap/>
            <w:vAlign w:val="center"/>
          </w:tcPr>
          <w:p w14:paraId="79D72A14" w14:textId="42E51207"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nil"/>
              <w:bottom w:val="nil"/>
              <w:right w:val="single" w:sz="4" w:space="0" w:color="auto"/>
            </w:tcBorders>
            <w:shd w:val="clear" w:color="auto" w:fill="auto"/>
            <w:noWrap/>
            <w:vAlign w:val="center"/>
          </w:tcPr>
          <w:p w14:paraId="4E764B0F" w14:textId="68F1654A" w:rsidR="00BC53A5" w:rsidRPr="00E85FE6" w:rsidRDefault="00BC53A5" w:rsidP="00BC53A5">
            <w:pPr>
              <w:spacing w:line="240" w:lineRule="auto"/>
              <w:jc w:val="center"/>
              <w:rPr>
                <w:rFonts w:eastAsia="Times New Roman" w:cs="Times New Roman"/>
                <w:color w:val="000000"/>
                <w:sz w:val="20"/>
                <w:szCs w:val="20"/>
              </w:rPr>
            </w:pPr>
          </w:p>
        </w:tc>
        <w:tc>
          <w:tcPr>
            <w:tcW w:w="209" w:type="pct"/>
            <w:tcBorders>
              <w:left w:val="nil"/>
              <w:bottom w:val="nil"/>
              <w:right w:val="single" w:sz="4" w:space="0" w:color="auto"/>
            </w:tcBorders>
            <w:shd w:val="clear" w:color="auto" w:fill="auto"/>
            <w:noWrap/>
            <w:vAlign w:val="center"/>
          </w:tcPr>
          <w:p w14:paraId="2B2A59CA"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nil"/>
              <w:bottom w:val="nil"/>
              <w:right w:val="double" w:sz="4" w:space="0" w:color="auto"/>
            </w:tcBorders>
            <w:shd w:val="clear" w:color="auto" w:fill="auto"/>
            <w:noWrap/>
            <w:vAlign w:val="center"/>
          </w:tcPr>
          <w:p w14:paraId="12C35DF9"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double" w:sz="4" w:space="0" w:color="auto"/>
              <w:bottom w:val="nil"/>
              <w:right w:val="single" w:sz="4" w:space="0" w:color="auto"/>
            </w:tcBorders>
            <w:shd w:val="clear" w:color="auto" w:fill="auto"/>
            <w:noWrap/>
            <w:vAlign w:val="center"/>
          </w:tcPr>
          <w:p w14:paraId="6BF8C6C9"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nil"/>
              <w:bottom w:val="nil"/>
              <w:right w:val="single" w:sz="4" w:space="0" w:color="auto"/>
            </w:tcBorders>
            <w:shd w:val="clear" w:color="auto" w:fill="auto"/>
            <w:noWrap/>
            <w:vAlign w:val="center"/>
          </w:tcPr>
          <w:p w14:paraId="41EF091A"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nil"/>
              <w:bottom w:val="nil"/>
              <w:right w:val="single" w:sz="4" w:space="0" w:color="auto"/>
            </w:tcBorders>
            <w:shd w:val="clear" w:color="auto" w:fill="auto"/>
            <w:noWrap/>
            <w:vAlign w:val="center"/>
          </w:tcPr>
          <w:p w14:paraId="0A3CFC7F" w14:textId="45FE054F"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-0.117</w:t>
            </w:r>
          </w:p>
        </w:tc>
        <w:tc>
          <w:tcPr>
            <w:tcW w:w="212" w:type="pct"/>
            <w:tcBorders>
              <w:left w:val="single" w:sz="4" w:space="0" w:color="auto"/>
              <w:bottom w:val="nil"/>
              <w:right w:val="double" w:sz="4" w:space="0" w:color="auto"/>
            </w:tcBorders>
            <w:shd w:val="clear" w:color="auto" w:fill="auto"/>
            <w:noWrap/>
            <w:vAlign w:val="center"/>
          </w:tcPr>
          <w:p w14:paraId="60AF43A4" w14:textId="3D1E6F1B"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-1.67</w:t>
            </w:r>
          </w:p>
        </w:tc>
        <w:tc>
          <w:tcPr>
            <w:tcW w:w="211" w:type="pct"/>
            <w:tcBorders>
              <w:left w:val="double" w:sz="4" w:space="0" w:color="auto"/>
              <w:right w:val="single" w:sz="4" w:space="0" w:color="auto"/>
            </w:tcBorders>
            <w:vAlign w:val="center"/>
          </w:tcPr>
          <w:p w14:paraId="3EC2CA90" w14:textId="77777777" w:rsidR="00BC53A5" w:rsidRPr="00E85FE6" w:rsidRDefault="00BC53A5" w:rsidP="00BC53A5">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51E1C3F0"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5D26AEEB" w14:textId="77777777" w:rsidR="00BC53A5" w:rsidRPr="00E85FE6" w:rsidRDefault="00BC53A5" w:rsidP="00BC53A5">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30115A51"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24C2B350" w14:textId="0FC7C46B"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5C65CE64" w14:textId="7DC6EBFF"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48ABB35C"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7E0CB2E0"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double" w:sz="4" w:space="0" w:color="auto"/>
              <w:bottom w:val="nil"/>
              <w:right w:val="single" w:sz="4" w:space="0" w:color="auto"/>
            </w:tcBorders>
            <w:shd w:val="clear" w:color="auto" w:fill="auto"/>
            <w:noWrap/>
            <w:vAlign w:val="center"/>
          </w:tcPr>
          <w:p w14:paraId="48372F24" w14:textId="77777777" w:rsidR="00BC53A5" w:rsidRDefault="00BC53A5" w:rsidP="00BC53A5">
            <w:pPr>
              <w:spacing w:line="240" w:lineRule="auto"/>
              <w:jc w:val="right"/>
              <w:rPr>
                <w:rFonts w:eastAsia="Times New Roman" w:cs="Times New Roman"/>
                <w:color w:val="000000"/>
                <w:sz w:val="20"/>
                <w:szCs w:val="20"/>
              </w:rPr>
            </w:pPr>
          </w:p>
        </w:tc>
        <w:tc>
          <w:tcPr>
            <w:tcW w:w="256" w:type="pct"/>
            <w:tcBorders>
              <w:left w:val="single" w:sz="4" w:space="0" w:color="auto"/>
              <w:bottom w:val="nil"/>
              <w:right w:val="double" w:sz="4" w:space="0" w:color="000000"/>
            </w:tcBorders>
            <w:shd w:val="clear" w:color="auto" w:fill="auto"/>
            <w:noWrap/>
            <w:tcMar>
              <w:right w:w="58" w:type="dxa"/>
            </w:tcMar>
            <w:vAlign w:val="center"/>
          </w:tcPr>
          <w:p w14:paraId="081843FC" w14:textId="77777777" w:rsidR="00BC53A5" w:rsidRDefault="00BC53A5" w:rsidP="00BC53A5">
            <w:pPr>
              <w:spacing w:line="240" w:lineRule="auto"/>
              <w:jc w:val="right"/>
              <w:rPr>
                <w:rFonts w:eastAsia="Times New Roman" w:cs="Times New Roman"/>
                <w:color w:val="000000"/>
                <w:sz w:val="20"/>
                <w:szCs w:val="20"/>
              </w:rPr>
            </w:pPr>
          </w:p>
        </w:tc>
      </w:tr>
      <w:tr w:rsidR="00BC53A5" w:rsidRPr="00E85FE6" w14:paraId="187E87D8" w14:textId="77777777" w:rsidTr="00BC53A5">
        <w:trPr>
          <w:trHeight w:val="17"/>
          <w:jc w:val="center"/>
        </w:trPr>
        <w:tc>
          <w:tcPr>
            <w:tcW w:w="1158" w:type="pct"/>
            <w:tcBorders>
              <w:left w:val="double" w:sz="4" w:space="0" w:color="000000"/>
              <w:bottom w:val="nil"/>
              <w:right w:val="double" w:sz="6" w:space="0" w:color="auto"/>
            </w:tcBorders>
            <w:shd w:val="clear" w:color="auto" w:fill="auto"/>
            <w:noWrap/>
            <w:vAlign w:val="center"/>
          </w:tcPr>
          <w:p w14:paraId="3B936DB9" w14:textId="77777777" w:rsidR="00BC53A5" w:rsidRPr="005D7939" w:rsidRDefault="00BC53A5" w:rsidP="00BC53A5">
            <w:pPr>
              <w:spacing w:line="240" w:lineRule="auto"/>
              <w:jc w:val="left"/>
              <w:rPr>
                <w:rFonts w:eastAsia="SimSun" w:cs="Times New Roman"/>
                <w:sz w:val="20"/>
                <w:szCs w:val="20"/>
                <w:lang w:eastAsia="zh-CN"/>
              </w:rPr>
            </w:pPr>
            <w:r w:rsidRPr="005D7939">
              <w:rPr>
                <w:rFonts w:eastAsia="SimSun" w:cs="Times New Roman"/>
                <w:sz w:val="20"/>
                <w:szCs w:val="20"/>
                <w:lang w:eastAsia="zh-CN"/>
              </w:rPr>
              <w:t>Goods delivered 1+ times per week</w:t>
            </w:r>
          </w:p>
        </w:tc>
        <w:tc>
          <w:tcPr>
            <w:tcW w:w="209" w:type="pct"/>
            <w:tcBorders>
              <w:left w:val="nil"/>
              <w:bottom w:val="nil"/>
              <w:right w:val="single" w:sz="4" w:space="0" w:color="auto"/>
            </w:tcBorders>
            <w:shd w:val="clear" w:color="auto" w:fill="auto"/>
            <w:noWrap/>
            <w:vAlign w:val="center"/>
          </w:tcPr>
          <w:p w14:paraId="21E5277A" w14:textId="53589F81"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nil"/>
              <w:bottom w:val="nil"/>
              <w:right w:val="single" w:sz="4" w:space="0" w:color="auto"/>
            </w:tcBorders>
            <w:shd w:val="clear" w:color="auto" w:fill="auto"/>
            <w:noWrap/>
            <w:vAlign w:val="center"/>
          </w:tcPr>
          <w:p w14:paraId="6F2841EB" w14:textId="09EBFA19" w:rsidR="00BC53A5" w:rsidRPr="00E85FE6" w:rsidRDefault="00BC53A5" w:rsidP="00BC53A5">
            <w:pPr>
              <w:spacing w:line="240" w:lineRule="auto"/>
              <w:jc w:val="center"/>
              <w:rPr>
                <w:rFonts w:eastAsia="Times New Roman" w:cs="Times New Roman"/>
                <w:color w:val="000000"/>
                <w:sz w:val="20"/>
                <w:szCs w:val="20"/>
              </w:rPr>
            </w:pPr>
          </w:p>
        </w:tc>
        <w:tc>
          <w:tcPr>
            <w:tcW w:w="209" w:type="pct"/>
            <w:tcBorders>
              <w:left w:val="nil"/>
              <w:bottom w:val="nil"/>
              <w:right w:val="single" w:sz="4" w:space="0" w:color="auto"/>
            </w:tcBorders>
            <w:shd w:val="clear" w:color="auto" w:fill="auto"/>
            <w:noWrap/>
            <w:vAlign w:val="center"/>
          </w:tcPr>
          <w:p w14:paraId="7675C2F6"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nil"/>
              <w:bottom w:val="nil"/>
              <w:right w:val="double" w:sz="4" w:space="0" w:color="auto"/>
            </w:tcBorders>
            <w:shd w:val="clear" w:color="auto" w:fill="auto"/>
            <w:noWrap/>
            <w:vAlign w:val="center"/>
          </w:tcPr>
          <w:p w14:paraId="1EC55B78"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double" w:sz="4" w:space="0" w:color="auto"/>
              <w:bottom w:val="nil"/>
              <w:right w:val="single" w:sz="4" w:space="0" w:color="auto"/>
            </w:tcBorders>
            <w:shd w:val="clear" w:color="auto" w:fill="auto"/>
            <w:noWrap/>
            <w:vAlign w:val="center"/>
          </w:tcPr>
          <w:p w14:paraId="1452C710"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nil"/>
              <w:bottom w:val="nil"/>
              <w:right w:val="single" w:sz="4" w:space="0" w:color="auto"/>
            </w:tcBorders>
            <w:shd w:val="clear" w:color="auto" w:fill="auto"/>
            <w:noWrap/>
            <w:vAlign w:val="center"/>
          </w:tcPr>
          <w:p w14:paraId="46AB7AB1"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nil"/>
              <w:bottom w:val="nil"/>
              <w:right w:val="single" w:sz="4" w:space="0" w:color="auto"/>
            </w:tcBorders>
            <w:shd w:val="clear" w:color="auto" w:fill="auto"/>
            <w:noWrap/>
            <w:vAlign w:val="center"/>
          </w:tcPr>
          <w:p w14:paraId="3B8EB5E3" w14:textId="035E232F" w:rsidR="00BC53A5" w:rsidRPr="00E85FE6" w:rsidRDefault="00BC53A5" w:rsidP="00BC53A5">
            <w:pPr>
              <w:spacing w:line="240" w:lineRule="auto"/>
              <w:jc w:val="right"/>
              <w:rPr>
                <w:rFonts w:eastAsia="Times New Roman" w:cs="Times New Roman"/>
                <w:color w:val="000000"/>
                <w:sz w:val="20"/>
                <w:szCs w:val="20"/>
              </w:rPr>
            </w:pPr>
          </w:p>
        </w:tc>
        <w:tc>
          <w:tcPr>
            <w:tcW w:w="212" w:type="pct"/>
            <w:tcBorders>
              <w:left w:val="single" w:sz="4" w:space="0" w:color="auto"/>
              <w:bottom w:val="nil"/>
              <w:right w:val="double" w:sz="4" w:space="0" w:color="auto"/>
            </w:tcBorders>
            <w:shd w:val="clear" w:color="auto" w:fill="auto"/>
            <w:noWrap/>
            <w:vAlign w:val="center"/>
          </w:tcPr>
          <w:p w14:paraId="6CE49A48" w14:textId="3AAC69A8"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8FFADAD" w14:textId="77777777" w:rsidR="00BC53A5" w:rsidRPr="00E85FE6" w:rsidRDefault="00BC53A5" w:rsidP="00BC53A5">
            <w:pPr>
              <w:spacing w:line="240" w:lineRule="auto"/>
              <w:jc w:val="right"/>
              <w:rPr>
                <w:rFonts w:eastAsia="Times New Roman" w:cs="Times New Roman"/>
                <w:color w:val="000000"/>
                <w:sz w:val="20"/>
                <w:szCs w:val="20"/>
              </w:rPr>
            </w:pPr>
          </w:p>
        </w:tc>
        <w:tc>
          <w:tcPr>
            <w:tcW w:w="212" w:type="pct"/>
            <w:tcBorders>
              <w:left w:val="single" w:sz="4" w:space="0" w:color="auto"/>
              <w:right w:val="single" w:sz="4" w:space="0" w:color="auto"/>
            </w:tcBorders>
            <w:vAlign w:val="center"/>
          </w:tcPr>
          <w:p w14:paraId="23B68085"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single" w:sz="4" w:space="0" w:color="auto"/>
              <w:right w:val="single" w:sz="4" w:space="0" w:color="auto"/>
            </w:tcBorders>
            <w:vAlign w:val="center"/>
          </w:tcPr>
          <w:p w14:paraId="2B6D2A69" w14:textId="77777777" w:rsidR="00BC53A5" w:rsidRPr="00E85FE6" w:rsidRDefault="00BC53A5" w:rsidP="00BC53A5">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1600CB8C"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378D85B0" w14:textId="3CE64994"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4B4E83E2" w14:textId="69A18AF4"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1E2651DD" w14:textId="3F6FCAB1"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-0.269</w:t>
            </w:r>
          </w:p>
        </w:tc>
        <w:tc>
          <w:tcPr>
            <w:tcW w:w="211" w:type="pct"/>
            <w:tcBorders>
              <w:left w:val="single" w:sz="4" w:space="0" w:color="auto"/>
              <w:right w:val="double" w:sz="4" w:space="0" w:color="auto"/>
            </w:tcBorders>
            <w:vAlign w:val="center"/>
          </w:tcPr>
          <w:p w14:paraId="3F1F602E" w14:textId="1E0C445F"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-5.15</w:t>
            </w:r>
          </w:p>
        </w:tc>
        <w:tc>
          <w:tcPr>
            <w:tcW w:w="211" w:type="pct"/>
            <w:tcBorders>
              <w:left w:val="double" w:sz="4" w:space="0" w:color="auto"/>
              <w:bottom w:val="nil"/>
              <w:right w:val="single" w:sz="4" w:space="0" w:color="auto"/>
            </w:tcBorders>
            <w:shd w:val="clear" w:color="auto" w:fill="auto"/>
            <w:noWrap/>
            <w:vAlign w:val="center"/>
          </w:tcPr>
          <w:p w14:paraId="31B996D5" w14:textId="77777777" w:rsidR="00BC53A5" w:rsidRPr="00E85FE6" w:rsidRDefault="00BC53A5" w:rsidP="00BC53A5">
            <w:pPr>
              <w:spacing w:line="240" w:lineRule="auto"/>
              <w:jc w:val="right"/>
              <w:rPr>
                <w:rFonts w:eastAsia="Times New Roman" w:cs="Times New Roman"/>
                <w:color w:val="000000"/>
                <w:sz w:val="20"/>
                <w:szCs w:val="20"/>
              </w:rPr>
            </w:pPr>
          </w:p>
        </w:tc>
        <w:tc>
          <w:tcPr>
            <w:tcW w:w="256" w:type="pct"/>
            <w:tcBorders>
              <w:left w:val="single" w:sz="4" w:space="0" w:color="auto"/>
              <w:bottom w:val="nil"/>
              <w:right w:val="double" w:sz="4" w:space="0" w:color="000000"/>
            </w:tcBorders>
            <w:shd w:val="clear" w:color="auto" w:fill="auto"/>
            <w:noWrap/>
            <w:tcMar>
              <w:right w:w="58" w:type="dxa"/>
            </w:tcMar>
            <w:vAlign w:val="center"/>
          </w:tcPr>
          <w:p w14:paraId="37DC4637" w14:textId="77777777" w:rsidR="00BC53A5" w:rsidRPr="00E85FE6" w:rsidRDefault="00BC53A5" w:rsidP="00BC53A5">
            <w:pPr>
              <w:spacing w:line="240" w:lineRule="auto"/>
              <w:jc w:val="right"/>
              <w:rPr>
                <w:rFonts w:eastAsia="Times New Roman" w:cs="Times New Roman"/>
                <w:color w:val="000000"/>
                <w:sz w:val="20"/>
                <w:szCs w:val="20"/>
              </w:rPr>
            </w:pPr>
          </w:p>
        </w:tc>
      </w:tr>
      <w:tr w:rsidR="00BC53A5" w:rsidRPr="00E85FE6" w14:paraId="0E877008" w14:textId="77777777" w:rsidTr="00BC53A5">
        <w:trPr>
          <w:trHeight w:val="17"/>
          <w:jc w:val="center"/>
        </w:trPr>
        <w:tc>
          <w:tcPr>
            <w:tcW w:w="1158" w:type="pct"/>
            <w:tcBorders>
              <w:top w:val="nil"/>
              <w:left w:val="double" w:sz="4" w:space="0" w:color="000000"/>
              <w:bottom w:val="nil"/>
              <w:right w:val="double" w:sz="6" w:space="0" w:color="auto"/>
            </w:tcBorders>
            <w:shd w:val="clear" w:color="auto" w:fill="auto"/>
            <w:noWrap/>
            <w:vAlign w:val="center"/>
          </w:tcPr>
          <w:p w14:paraId="492E3778" w14:textId="77777777" w:rsidR="00BC53A5" w:rsidRPr="005D7939" w:rsidRDefault="00BC53A5" w:rsidP="00BC53A5">
            <w:pPr>
              <w:spacing w:line="240" w:lineRule="auto"/>
              <w:jc w:val="left"/>
              <w:rPr>
                <w:rFonts w:eastAsia="Times New Roman" w:cs="Times New Roman"/>
                <w:color w:val="000000"/>
                <w:sz w:val="20"/>
                <w:szCs w:val="20"/>
              </w:rPr>
            </w:pPr>
            <w:r w:rsidRPr="005D7939">
              <w:rPr>
                <w:rFonts w:eastAsia="Times New Roman" w:cs="Times New Roman"/>
                <w:color w:val="000000"/>
                <w:sz w:val="20"/>
                <w:szCs w:val="20"/>
              </w:rPr>
              <w:t>Total work duration per week (/10)</w:t>
            </w:r>
          </w:p>
        </w:tc>
        <w:tc>
          <w:tcPr>
            <w:tcW w:w="209" w:type="pct"/>
            <w:tcBorders>
              <w:top w:val="nil"/>
              <w:left w:val="nil"/>
              <w:bottom w:val="nil"/>
              <w:right w:val="single" w:sz="4" w:space="0" w:color="auto"/>
            </w:tcBorders>
            <w:shd w:val="clear" w:color="auto" w:fill="auto"/>
            <w:noWrap/>
            <w:vAlign w:val="center"/>
          </w:tcPr>
          <w:p w14:paraId="0D12D3CF" w14:textId="755CAAD3"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top w:val="nil"/>
              <w:left w:val="nil"/>
              <w:bottom w:val="nil"/>
              <w:right w:val="single" w:sz="4" w:space="0" w:color="auto"/>
            </w:tcBorders>
            <w:shd w:val="clear" w:color="auto" w:fill="auto"/>
            <w:noWrap/>
            <w:vAlign w:val="center"/>
          </w:tcPr>
          <w:p w14:paraId="26545E2E" w14:textId="7F1247FA" w:rsidR="00BC53A5" w:rsidRPr="00E85FE6" w:rsidRDefault="00BC53A5" w:rsidP="00BC53A5">
            <w:pPr>
              <w:spacing w:line="240" w:lineRule="auto"/>
              <w:jc w:val="center"/>
              <w:rPr>
                <w:rFonts w:eastAsia="Times New Roman" w:cs="Times New Roman"/>
                <w:color w:val="000000"/>
                <w:sz w:val="20"/>
                <w:szCs w:val="20"/>
              </w:rPr>
            </w:pPr>
          </w:p>
        </w:tc>
        <w:tc>
          <w:tcPr>
            <w:tcW w:w="209" w:type="pct"/>
            <w:tcBorders>
              <w:top w:val="nil"/>
              <w:left w:val="nil"/>
              <w:bottom w:val="nil"/>
              <w:right w:val="single" w:sz="4" w:space="0" w:color="auto"/>
            </w:tcBorders>
            <w:shd w:val="clear" w:color="auto" w:fill="auto"/>
            <w:noWrap/>
            <w:vAlign w:val="center"/>
          </w:tcPr>
          <w:p w14:paraId="0DADC41C"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top w:val="nil"/>
              <w:left w:val="nil"/>
              <w:bottom w:val="nil"/>
              <w:right w:val="double" w:sz="4" w:space="0" w:color="auto"/>
            </w:tcBorders>
            <w:shd w:val="clear" w:color="auto" w:fill="auto"/>
            <w:noWrap/>
            <w:vAlign w:val="center"/>
          </w:tcPr>
          <w:p w14:paraId="5E491EE4"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top w:val="nil"/>
              <w:left w:val="double" w:sz="4" w:space="0" w:color="auto"/>
              <w:bottom w:val="nil"/>
              <w:right w:val="single" w:sz="4" w:space="0" w:color="auto"/>
            </w:tcBorders>
            <w:shd w:val="clear" w:color="auto" w:fill="auto"/>
            <w:noWrap/>
            <w:vAlign w:val="center"/>
          </w:tcPr>
          <w:p w14:paraId="3632FDED" w14:textId="77777777"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-0.059</w:t>
            </w:r>
          </w:p>
        </w:tc>
        <w:tc>
          <w:tcPr>
            <w:tcW w:w="211" w:type="pct"/>
            <w:tcBorders>
              <w:top w:val="nil"/>
              <w:left w:val="nil"/>
              <w:bottom w:val="nil"/>
              <w:right w:val="single" w:sz="4" w:space="0" w:color="auto"/>
            </w:tcBorders>
            <w:shd w:val="clear" w:color="auto" w:fill="auto"/>
            <w:noWrap/>
            <w:vAlign w:val="center"/>
          </w:tcPr>
          <w:p w14:paraId="5D44328E" w14:textId="63D4EC52"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-5.21</w:t>
            </w:r>
          </w:p>
        </w:tc>
        <w:tc>
          <w:tcPr>
            <w:tcW w:w="211" w:type="pct"/>
            <w:tcBorders>
              <w:top w:val="nil"/>
              <w:left w:val="nil"/>
              <w:bottom w:val="nil"/>
              <w:right w:val="single" w:sz="4" w:space="0" w:color="auto"/>
            </w:tcBorders>
            <w:shd w:val="clear" w:color="auto" w:fill="auto"/>
            <w:noWrap/>
            <w:vAlign w:val="center"/>
          </w:tcPr>
          <w:p w14:paraId="1C545A0A" w14:textId="2E34FB11"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-0.076</w:t>
            </w:r>
          </w:p>
        </w:tc>
        <w:tc>
          <w:tcPr>
            <w:tcW w:w="212" w:type="pct"/>
            <w:tcBorders>
              <w:top w:val="nil"/>
              <w:left w:val="single" w:sz="4" w:space="0" w:color="auto"/>
              <w:bottom w:val="nil"/>
              <w:right w:val="double" w:sz="4" w:space="0" w:color="auto"/>
            </w:tcBorders>
            <w:shd w:val="clear" w:color="auto" w:fill="auto"/>
            <w:noWrap/>
            <w:vAlign w:val="center"/>
          </w:tcPr>
          <w:p w14:paraId="6B0EED0C" w14:textId="45D26E1F"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-5.07</w:t>
            </w:r>
          </w:p>
        </w:tc>
        <w:tc>
          <w:tcPr>
            <w:tcW w:w="211" w:type="pct"/>
            <w:tcBorders>
              <w:left w:val="double" w:sz="4" w:space="0" w:color="auto"/>
              <w:right w:val="single" w:sz="4" w:space="0" w:color="auto"/>
            </w:tcBorders>
            <w:vAlign w:val="center"/>
          </w:tcPr>
          <w:p w14:paraId="36A8E723" w14:textId="7FB610BB"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-0.109</w:t>
            </w:r>
          </w:p>
        </w:tc>
        <w:tc>
          <w:tcPr>
            <w:tcW w:w="212" w:type="pct"/>
            <w:tcBorders>
              <w:left w:val="single" w:sz="4" w:space="0" w:color="auto"/>
              <w:right w:val="single" w:sz="4" w:space="0" w:color="auto"/>
            </w:tcBorders>
            <w:vAlign w:val="center"/>
          </w:tcPr>
          <w:p w14:paraId="08B7F446" w14:textId="5631655C"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-7.07</w:t>
            </w:r>
          </w:p>
        </w:tc>
        <w:tc>
          <w:tcPr>
            <w:tcW w:w="211" w:type="pct"/>
            <w:tcBorders>
              <w:left w:val="single" w:sz="4" w:space="0" w:color="auto"/>
              <w:right w:val="single" w:sz="4" w:space="0" w:color="auto"/>
            </w:tcBorders>
            <w:vAlign w:val="center"/>
          </w:tcPr>
          <w:p w14:paraId="1422CAA5" w14:textId="77777777" w:rsidR="00BC53A5" w:rsidRPr="00E85FE6" w:rsidRDefault="00BC53A5" w:rsidP="00BC53A5">
            <w:pPr>
              <w:spacing w:line="240" w:lineRule="auto"/>
              <w:jc w:val="right"/>
              <w:rPr>
                <w:rFonts w:eastAsia="Times New Roman" w:cs="Times New Roman"/>
                <w:color w:val="000000"/>
                <w:sz w:val="20"/>
                <w:szCs w:val="20"/>
              </w:rPr>
            </w:pPr>
          </w:p>
        </w:tc>
        <w:tc>
          <w:tcPr>
            <w:tcW w:w="212" w:type="pct"/>
            <w:tcBorders>
              <w:left w:val="single" w:sz="4" w:space="0" w:color="auto"/>
              <w:right w:val="double" w:sz="4" w:space="0" w:color="auto"/>
            </w:tcBorders>
            <w:vAlign w:val="center"/>
          </w:tcPr>
          <w:p w14:paraId="15C4CBAC"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39C65403" w14:textId="7B602E3D"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0891B85B" w14:textId="33DAD412"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double" w:sz="4" w:space="0" w:color="auto"/>
              <w:right w:val="single" w:sz="4" w:space="0" w:color="auto"/>
            </w:tcBorders>
            <w:vAlign w:val="center"/>
          </w:tcPr>
          <w:p w14:paraId="595A368D"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single" w:sz="4" w:space="0" w:color="auto"/>
              <w:right w:val="double" w:sz="4" w:space="0" w:color="auto"/>
            </w:tcBorders>
            <w:vAlign w:val="center"/>
          </w:tcPr>
          <w:p w14:paraId="74EBA19A"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top w:val="nil"/>
              <w:left w:val="double" w:sz="4" w:space="0" w:color="auto"/>
              <w:bottom w:val="nil"/>
              <w:right w:val="single" w:sz="4" w:space="0" w:color="auto"/>
            </w:tcBorders>
            <w:shd w:val="clear" w:color="auto" w:fill="auto"/>
            <w:noWrap/>
            <w:vAlign w:val="center"/>
          </w:tcPr>
          <w:p w14:paraId="0EA37DBF" w14:textId="77777777" w:rsidR="00BC53A5" w:rsidRPr="00E85FE6" w:rsidRDefault="00BC53A5" w:rsidP="00BC53A5">
            <w:pPr>
              <w:spacing w:line="240" w:lineRule="auto"/>
              <w:jc w:val="right"/>
              <w:rPr>
                <w:rFonts w:eastAsia="Times New Roman" w:cs="Times New Roman"/>
                <w:color w:val="000000"/>
                <w:sz w:val="20"/>
                <w:szCs w:val="20"/>
              </w:rPr>
            </w:pPr>
          </w:p>
        </w:tc>
        <w:tc>
          <w:tcPr>
            <w:tcW w:w="256" w:type="pct"/>
            <w:tcBorders>
              <w:top w:val="nil"/>
              <w:left w:val="single" w:sz="4" w:space="0" w:color="auto"/>
              <w:bottom w:val="nil"/>
              <w:right w:val="double" w:sz="4" w:space="0" w:color="000000"/>
            </w:tcBorders>
            <w:shd w:val="clear" w:color="auto" w:fill="auto"/>
            <w:noWrap/>
            <w:tcMar>
              <w:right w:w="58" w:type="dxa"/>
            </w:tcMar>
            <w:vAlign w:val="center"/>
          </w:tcPr>
          <w:p w14:paraId="311BB1F9" w14:textId="77777777" w:rsidR="00BC53A5" w:rsidRPr="00E85FE6" w:rsidRDefault="00BC53A5" w:rsidP="00BC53A5">
            <w:pPr>
              <w:spacing w:line="240" w:lineRule="auto"/>
              <w:jc w:val="right"/>
              <w:rPr>
                <w:rFonts w:eastAsia="Times New Roman" w:cs="Times New Roman"/>
                <w:color w:val="000000"/>
                <w:sz w:val="20"/>
                <w:szCs w:val="20"/>
              </w:rPr>
            </w:pPr>
          </w:p>
        </w:tc>
      </w:tr>
      <w:tr w:rsidR="00BC53A5" w:rsidRPr="00E85FE6" w14:paraId="1AB29CE2" w14:textId="77777777" w:rsidTr="00BC53A5">
        <w:trPr>
          <w:trHeight w:val="17"/>
          <w:jc w:val="center"/>
        </w:trPr>
        <w:tc>
          <w:tcPr>
            <w:tcW w:w="1158" w:type="pct"/>
            <w:tcBorders>
              <w:top w:val="nil"/>
              <w:left w:val="double" w:sz="4" w:space="0" w:color="000000"/>
              <w:bottom w:val="double" w:sz="4" w:space="0" w:color="000000"/>
              <w:right w:val="double" w:sz="6" w:space="0" w:color="auto"/>
            </w:tcBorders>
            <w:shd w:val="clear" w:color="auto" w:fill="auto"/>
            <w:noWrap/>
            <w:vAlign w:val="center"/>
          </w:tcPr>
          <w:p w14:paraId="7CE19CD3" w14:textId="6D067E65" w:rsidR="00BC53A5" w:rsidRPr="005D7939" w:rsidRDefault="00BC53A5" w:rsidP="00BC53A5">
            <w:pPr>
              <w:spacing w:line="240" w:lineRule="auto"/>
              <w:ind w:left="8"/>
              <w:jc w:val="left"/>
              <w:rPr>
                <w:rFonts w:eastAsia="Times New Roman" w:cs="Times New Roman"/>
                <w:sz w:val="20"/>
                <w:szCs w:val="20"/>
              </w:rPr>
            </w:pPr>
            <w:r>
              <w:rPr>
                <w:rFonts w:eastAsia="Times New Roman" w:cs="Times New Roman"/>
                <w:sz w:val="20"/>
                <w:szCs w:val="20"/>
              </w:rPr>
              <w:t xml:space="preserve">Absence of </w:t>
            </w:r>
            <w:r w:rsidRPr="005D7939">
              <w:rPr>
                <w:rFonts w:eastAsia="Times New Roman" w:cs="Times New Roman"/>
                <w:sz w:val="20"/>
                <w:szCs w:val="20"/>
              </w:rPr>
              <w:t>vehicles in the household</w:t>
            </w:r>
          </w:p>
        </w:tc>
        <w:tc>
          <w:tcPr>
            <w:tcW w:w="209" w:type="pct"/>
            <w:tcBorders>
              <w:top w:val="nil"/>
              <w:left w:val="nil"/>
              <w:bottom w:val="double" w:sz="4" w:space="0" w:color="000000"/>
              <w:right w:val="single" w:sz="4" w:space="0" w:color="auto"/>
            </w:tcBorders>
            <w:shd w:val="clear" w:color="auto" w:fill="auto"/>
            <w:noWrap/>
            <w:vAlign w:val="center"/>
          </w:tcPr>
          <w:p w14:paraId="764A3426"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top w:val="nil"/>
              <w:left w:val="nil"/>
              <w:bottom w:val="double" w:sz="4" w:space="0" w:color="000000"/>
              <w:right w:val="single" w:sz="4" w:space="0" w:color="auto"/>
            </w:tcBorders>
            <w:shd w:val="clear" w:color="auto" w:fill="auto"/>
            <w:noWrap/>
            <w:vAlign w:val="center"/>
          </w:tcPr>
          <w:p w14:paraId="17BF8C6B" w14:textId="77777777" w:rsidR="00BC53A5" w:rsidRPr="00E85FE6" w:rsidRDefault="00BC53A5" w:rsidP="00BC53A5">
            <w:pPr>
              <w:spacing w:line="240" w:lineRule="auto"/>
              <w:jc w:val="right"/>
              <w:rPr>
                <w:rFonts w:eastAsia="Times New Roman" w:cs="Times New Roman"/>
                <w:color w:val="000000"/>
                <w:sz w:val="20"/>
                <w:szCs w:val="20"/>
              </w:rPr>
            </w:pPr>
          </w:p>
        </w:tc>
        <w:tc>
          <w:tcPr>
            <w:tcW w:w="209" w:type="pct"/>
            <w:tcBorders>
              <w:top w:val="nil"/>
              <w:left w:val="nil"/>
              <w:bottom w:val="double" w:sz="4" w:space="0" w:color="000000"/>
              <w:right w:val="single" w:sz="4" w:space="0" w:color="auto"/>
            </w:tcBorders>
            <w:shd w:val="clear" w:color="auto" w:fill="auto"/>
            <w:noWrap/>
            <w:vAlign w:val="center"/>
          </w:tcPr>
          <w:p w14:paraId="2A7AAD07"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top w:val="nil"/>
              <w:left w:val="nil"/>
              <w:bottom w:val="double" w:sz="4" w:space="0" w:color="000000"/>
              <w:right w:val="double" w:sz="4" w:space="0" w:color="auto"/>
            </w:tcBorders>
            <w:shd w:val="clear" w:color="auto" w:fill="auto"/>
            <w:noWrap/>
            <w:vAlign w:val="center"/>
          </w:tcPr>
          <w:p w14:paraId="3F4CBC4F"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top w:val="nil"/>
              <w:left w:val="double" w:sz="4" w:space="0" w:color="auto"/>
              <w:bottom w:val="double" w:sz="4" w:space="0" w:color="000000"/>
              <w:right w:val="single" w:sz="4" w:space="0" w:color="auto"/>
            </w:tcBorders>
            <w:shd w:val="clear" w:color="auto" w:fill="auto"/>
            <w:noWrap/>
            <w:vAlign w:val="center"/>
          </w:tcPr>
          <w:p w14:paraId="7DE10993" w14:textId="09F60BD1" w:rsidR="00BC53A5"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-0.468</w:t>
            </w:r>
          </w:p>
        </w:tc>
        <w:tc>
          <w:tcPr>
            <w:tcW w:w="211" w:type="pct"/>
            <w:tcBorders>
              <w:top w:val="nil"/>
              <w:left w:val="nil"/>
              <w:bottom w:val="double" w:sz="4" w:space="0" w:color="000000"/>
              <w:right w:val="single" w:sz="4" w:space="0" w:color="auto"/>
            </w:tcBorders>
            <w:shd w:val="clear" w:color="auto" w:fill="auto"/>
            <w:noWrap/>
            <w:vAlign w:val="center"/>
          </w:tcPr>
          <w:p w14:paraId="3D39354D" w14:textId="5C377F45" w:rsidR="00BC53A5"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-5.48</w:t>
            </w:r>
          </w:p>
        </w:tc>
        <w:tc>
          <w:tcPr>
            <w:tcW w:w="211" w:type="pct"/>
            <w:tcBorders>
              <w:top w:val="nil"/>
              <w:left w:val="nil"/>
              <w:bottom w:val="double" w:sz="4" w:space="0" w:color="000000"/>
              <w:right w:val="single" w:sz="4" w:space="0" w:color="auto"/>
            </w:tcBorders>
            <w:shd w:val="clear" w:color="auto" w:fill="auto"/>
            <w:noWrap/>
            <w:vAlign w:val="center"/>
          </w:tcPr>
          <w:p w14:paraId="56BEB033" w14:textId="77777777" w:rsidR="00BC53A5" w:rsidRDefault="00BC53A5" w:rsidP="00BC53A5">
            <w:pPr>
              <w:spacing w:line="240" w:lineRule="auto"/>
              <w:jc w:val="right"/>
              <w:rPr>
                <w:rFonts w:eastAsia="Times New Roman" w:cs="Times New Roman"/>
                <w:color w:val="000000"/>
                <w:sz w:val="20"/>
                <w:szCs w:val="20"/>
              </w:rPr>
            </w:pPr>
          </w:p>
        </w:tc>
        <w:tc>
          <w:tcPr>
            <w:tcW w:w="212" w:type="pct"/>
            <w:tcBorders>
              <w:top w:val="nil"/>
              <w:left w:val="single" w:sz="4" w:space="0" w:color="auto"/>
              <w:bottom w:val="double" w:sz="4" w:space="0" w:color="000000"/>
              <w:right w:val="double" w:sz="4" w:space="0" w:color="auto"/>
            </w:tcBorders>
            <w:shd w:val="clear" w:color="auto" w:fill="auto"/>
            <w:noWrap/>
            <w:vAlign w:val="center"/>
          </w:tcPr>
          <w:p w14:paraId="6C7A7D93" w14:textId="77777777" w:rsidR="00BC53A5" w:rsidRDefault="00BC53A5" w:rsidP="00BC53A5">
            <w:pPr>
              <w:spacing w:line="240" w:lineRule="auto"/>
              <w:jc w:val="right"/>
              <w:rPr>
                <w:rFonts w:eastAsia="Times New Roman" w:cs="Times New Roman"/>
                <w:color w:val="000000"/>
                <w:sz w:val="20"/>
                <w:szCs w:val="20"/>
              </w:rPr>
            </w:pPr>
          </w:p>
        </w:tc>
        <w:tc>
          <w:tcPr>
            <w:tcW w:w="211" w:type="pct"/>
            <w:tcBorders>
              <w:left w:val="double" w:sz="4" w:space="0" w:color="auto"/>
              <w:bottom w:val="double" w:sz="4" w:space="0" w:color="000000"/>
              <w:right w:val="single" w:sz="4" w:space="0" w:color="auto"/>
            </w:tcBorders>
            <w:vAlign w:val="center"/>
          </w:tcPr>
          <w:p w14:paraId="32306391" w14:textId="77EE3E53"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-0.312</w:t>
            </w:r>
          </w:p>
        </w:tc>
        <w:tc>
          <w:tcPr>
            <w:tcW w:w="212" w:type="pct"/>
            <w:tcBorders>
              <w:left w:val="single" w:sz="4" w:space="0" w:color="auto"/>
              <w:bottom w:val="double" w:sz="4" w:space="0" w:color="000000"/>
              <w:right w:val="single" w:sz="4" w:space="0" w:color="auto"/>
            </w:tcBorders>
            <w:vAlign w:val="center"/>
          </w:tcPr>
          <w:p w14:paraId="05689290" w14:textId="77777777" w:rsidR="00BC53A5" w:rsidRPr="00E85FE6" w:rsidRDefault="00BC53A5" w:rsidP="00BC53A5">
            <w:pPr>
              <w:spacing w:line="240" w:lineRule="auto"/>
              <w:jc w:val="right"/>
              <w:rPr>
                <w:rFonts w:eastAsia="Times New Roman" w:cs="Times New Roman"/>
                <w:color w:val="000000"/>
                <w:sz w:val="20"/>
                <w:szCs w:val="20"/>
              </w:rPr>
            </w:pPr>
            <w:r>
              <w:rPr>
                <w:rFonts w:eastAsia="Times New Roman" w:cs="Times New Roman"/>
                <w:color w:val="000000"/>
                <w:sz w:val="20"/>
                <w:szCs w:val="20"/>
              </w:rPr>
              <w:t>-1.87</w:t>
            </w:r>
          </w:p>
        </w:tc>
        <w:tc>
          <w:tcPr>
            <w:tcW w:w="211" w:type="pct"/>
            <w:tcBorders>
              <w:left w:val="single" w:sz="4" w:space="0" w:color="auto"/>
              <w:bottom w:val="double" w:sz="4" w:space="0" w:color="000000"/>
              <w:right w:val="single" w:sz="4" w:space="0" w:color="auto"/>
            </w:tcBorders>
            <w:vAlign w:val="center"/>
          </w:tcPr>
          <w:p w14:paraId="17CB4C79" w14:textId="77777777" w:rsidR="00BC53A5" w:rsidRPr="00E85FE6" w:rsidRDefault="00BC53A5" w:rsidP="00BC53A5">
            <w:pPr>
              <w:spacing w:line="240" w:lineRule="auto"/>
              <w:jc w:val="right"/>
              <w:rPr>
                <w:rFonts w:eastAsia="Times New Roman" w:cs="Times New Roman"/>
                <w:color w:val="000000"/>
                <w:sz w:val="20"/>
                <w:szCs w:val="20"/>
              </w:rPr>
            </w:pPr>
          </w:p>
        </w:tc>
        <w:tc>
          <w:tcPr>
            <w:tcW w:w="212" w:type="pct"/>
            <w:tcBorders>
              <w:left w:val="single" w:sz="4" w:space="0" w:color="auto"/>
              <w:bottom w:val="double" w:sz="4" w:space="0" w:color="000000"/>
              <w:right w:val="double" w:sz="4" w:space="0" w:color="auto"/>
            </w:tcBorders>
            <w:vAlign w:val="center"/>
          </w:tcPr>
          <w:p w14:paraId="6D416D3C"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double" w:sz="4" w:space="0" w:color="auto"/>
              <w:bottom w:val="double" w:sz="4" w:space="0" w:color="000000"/>
              <w:right w:val="single" w:sz="4" w:space="0" w:color="auto"/>
            </w:tcBorders>
            <w:vAlign w:val="center"/>
          </w:tcPr>
          <w:p w14:paraId="0208883E" w14:textId="2D2BC9F3"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single" w:sz="4" w:space="0" w:color="auto"/>
              <w:bottom w:val="double" w:sz="4" w:space="0" w:color="000000"/>
              <w:right w:val="double" w:sz="4" w:space="0" w:color="auto"/>
            </w:tcBorders>
            <w:vAlign w:val="center"/>
          </w:tcPr>
          <w:p w14:paraId="1C5F664D" w14:textId="03EF406E" w:rsidR="00BC53A5" w:rsidRPr="00E85FE6" w:rsidRDefault="00BC53A5" w:rsidP="00BC53A5">
            <w:pPr>
              <w:spacing w:line="240" w:lineRule="auto"/>
              <w:jc w:val="center"/>
              <w:rPr>
                <w:rFonts w:eastAsia="Times New Roman" w:cs="Times New Roman"/>
                <w:color w:val="000000"/>
                <w:sz w:val="20"/>
                <w:szCs w:val="20"/>
              </w:rPr>
            </w:pPr>
          </w:p>
        </w:tc>
        <w:tc>
          <w:tcPr>
            <w:tcW w:w="211" w:type="pct"/>
            <w:tcBorders>
              <w:left w:val="double" w:sz="4" w:space="0" w:color="auto"/>
              <w:bottom w:val="double" w:sz="4" w:space="0" w:color="000000"/>
              <w:right w:val="single" w:sz="4" w:space="0" w:color="auto"/>
            </w:tcBorders>
            <w:vAlign w:val="center"/>
          </w:tcPr>
          <w:p w14:paraId="12E45F29"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left w:val="single" w:sz="4" w:space="0" w:color="auto"/>
              <w:bottom w:val="double" w:sz="4" w:space="0" w:color="000000"/>
              <w:right w:val="double" w:sz="4" w:space="0" w:color="auto"/>
            </w:tcBorders>
            <w:vAlign w:val="center"/>
          </w:tcPr>
          <w:p w14:paraId="5E236170" w14:textId="77777777" w:rsidR="00BC53A5" w:rsidRPr="00E85FE6" w:rsidRDefault="00BC53A5" w:rsidP="00BC53A5">
            <w:pPr>
              <w:spacing w:line="240" w:lineRule="auto"/>
              <w:jc w:val="right"/>
              <w:rPr>
                <w:rFonts w:eastAsia="Times New Roman" w:cs="Times New Roman"/>
                <w:color w:val="000000"/>
                <w:sz w:val="20"/>
                <w:szCs w:val="20"/>
              </w:rPr>
            </w:pPr>
          </w:p>
        </w:tc>
        <w:tc>
          <w:tcPr>
            <w:tcW w:w="211" w:type="pct"/>
            <w:tcBorders>
              <w:top w:val="nil"/>
              <w:left w:val="double" w:sz="4" w:space="0" w:color="auto"/>
              <w:bottom w:val="double" w:sz="4" w:space="0" w:color="000000"/>
              <w:right w:val="single" w:sz="4" w:space="0" w:color="auto"/>
            </w:tcBorders>
            <w:shd w:val="clear" w:color="auto" w:fill="auto"/>
            <w:noWrap/>
            <w:vAlign w:val="center"/>
          </w:tcPr>
          <w:p w14:paraId="0E5DF2B6" w14:textId="77777777" w:rsidR="00BC53A5" w:rsidRPr="00E85FE6" w:rsidRDefault="00BC53A5" w:rsidP="00BC53A5">
            <w:pPr>
              <w:spacing w:line="240" w:lineRule="auto"/>
              <w:jc w:val="right"/>
              <w:rPr>
                <w:rFonts w:eastAsia="Times New Roman" w:cs="Times New Roman"/>
                <w:color w:val="000000"/>
                <w:sz w:val="20"/>
                <w:szCs w:val="20"/>
              </w:rPr>
            </w:pPr>
          </w:p>
        </w:tc>
        <w:tc>
          <w:tcPr>
            <w:tcW w:w="256" w:type="pct"/>
            <w:tcBorders>
              <w:top w:val="nil"/>
              <w:left w:val="single" w:sz="4" w:space="0" w:color="auto"/>
              <w:bottom w:val="double" w:sz="4" w:space="0" w:color="000000"/>
              <w:right w:val="double" w:sz="4" w:space="0" w:color="000000"/>
            </w:tcBorders>
            <w:shd w:val="clear" w:color="auto" w:fill="auto"/>
            <w:noWrap/>
            <w:tcMar>
              <w:right w:w="58" w:type="dxa"/>
            </w:tcMar>
            <w:vAlign w:val="center"/>
          </w:tcPr>
          <w:p w14:paraId="4534EE9B" w14:textId="77777777" w:rsidR="00BC53A5" w:rsidRPr="00E85FE6" w:rsidRDefault="00BC53A5" w:rsidP="00BC53A5">
            <w:pPr>
              <w:spacing w:line="240" w:lineRule="auto"/>
              <w:jc w:val="right"/>
              <w:rPr>
                <w:rFonts w:eastAsia="Times New Roman" w:cs="Times New Roman"/>
                <w:color w:val="000000"/>
                <w:sz w:val="20"/>
                <w:szCs w:val="20"/>
              </w:rPr>
            </w:pPr>
          </w:p>
        </w:tc>
      </w:tr>
    </w:tbl>
    <w:bookmarkEnd w:id="9"/>
    <w:bookmarkEnd w:id="10"/>
    <w:p w14:paraId="373A35B4" w14:textId="2C36ADFA" w:rsidR="00E2720F" w:rsidRDefault="0013215F" w:rsidP="00335680">
      <w:pPr>
        <w:ind w:left="180"/>
        <w:rPr>
          <w:rFonts w:cs="Times New Roman"/>
          <w:sz w:val="20"/>
          <w:szCs w:val="20"/>
        </w:rPr>
      </w:pPr>
      <w:r w:rsidRPr="005D7939">
        <w:rPr>
          <w:rFonts w:cs="Times New Roman"/>
          <w:sz w:val="20"/>
          <w:szCs w:val="20"/>
          <w:vertAlign w:val="superscript"/>
        </w:rPr>
        <w:t>1</w:t>
      </w:r>
      <w:r w:rsidR="00335680">
        <w:rPr>
          <w:rFonts w:cs="Times New Roman"/>
          <w:sz w:val="20"/>
          <w:szCs w:val="20"/>
        </w:rPr>
        <w:t>Variance of natural logarithm of average trip distance is 0.698 and t-stat is 30.10.</w:t>
      </w:r>
      <w:r w:rsidR="00E2720F">
        <w:rPr>
          <w:rFonts w:cs="Times New Roman"/>
          <w:sz w:val="20"/>
          <w:szCs w:val="20"/>
        </w:rPr>
        <w:t xml:space="preserve"> </w:t>
      </w:r>
    </w:p>
    <w:p w14:paraId="426DCE4C" w14:textId="77777777" w:rsidR="00E654A2" w:rsidRDefault="00E654A2" w:rsidP="00335680">
      <w:pPr>
        <w:ind w:left="180"/>
        <w:rPr>
          <w:rFonts w:cs="Times New Roman"/>
          <w:sz w:val="20"/>
          <w:szCs w:val="20"/>
        </w:rPr>
        <w:sectPr w:rsidR="00E654A2" w:rsidSect="00E2720F">
          <w:pgSz w:w="15840" w:h="12240" w:orient="landscape" w:code="1"/>
          <w:pgMar w:top="720" w:right="720" w:bottom="547" w:left="720" w:header="720" w:footer="720" w:gutter="0"/>
          <w:cols w:space="720"/>
          <w:docGrid w:linePitch="360"/>
        </w:sectPr>
      </w:pPr>
    </w:p>
    <w:p w14:paraId="5683A363" w14:textId="77777777" w:rsidR="00614CEB" w:rsidRDefault="00614CEB" w:rsidP="00E654A2">
      <w:pPr>
        <w:jc w:val="center"/>
        <w:rPr>
          <w:rFonts w:cs="Times New Roman"/>
          <w:b/>
        </w:rPr>
      </w:pPr>
    </w:p>
    <w:p w14:paraId="4BE8C75C" w14:textId="273EFCD2" w:rsidR="00614CEB" w:rsidRDefault="00614CEB" w:rsidP="00E654A2">
      <w:pPr>
        <w:jc w:val="center"/>
        <w:rPr>
          <w:rFonts w:cs="Times New Roman"/>
          <w:b/>
        </w:rPr>
      </w:pPr>
    </w:p>
    <w:p w14:paraId="44287FFC" w14:textId="77777777" w:rsidR="00614CEB" w:rsidRDefault="00614CEB" w:rsidP="00A35135">
      <w:pPr>
        <w:rPr>
          <w:rFonts w:cs="Times New Roman"/>
          <w:b/>
        </w:rPr>
      </w:pPr>
    </w:p>
    <w:p w14:paraId="11C1F1AE" w14:textId="77777777" w:rsidR="009570A3" w:rsidRDefault="00335680" w:rsidP="009570A3">
      <w:pPr>
        <w:spacing w:line="240" w:lineRule="auto"/>
        <w:jc w:val="left"/>
        <w:rPr>
          <w:rFonts w:cs="Times New Roman"/>
          <w:b/>
          <w:sz w:val="24"/>
        </w:rPr>
      </w:pPr>
      <w:r w:rsidRPr="009570A3">
        <w:rPr>
          <w:rFonts w:cs="Times New Roman"/>
          <w:b/>
          <w:sz w:val="24"/>
        </w:rPr>
        <w:t>T</w:t>
      </w:r>
      <w:r w:rsidR="00BB02CF" w:rsidRPr="009570A3">
        <w:rPr>
          <w:rFonts w:cs="Times New Roman"/>
          <w:b/>
          <w:sz w:val="24"/>
        </w:rPr>
        <w:t>ABLE</w:t>
      </w:r>
      <w:r w:rsidRPr="009570A3">
        <w:rPr>
          <w:rFonts w:cs="Times New Roman"/>
          <w:b/>
          <w:sz w:val="24"/>
        </w:rPr>
        <w:t xml:space="preserve"> </w:t>
      </w:r>
      <w:r w:rsidR="00E654A2" w:rsidRPr="009570A3">
        <w:rPr>
          <w:rFonts w:cs="Times New Roman"/>
          <w:b/>
          <w:sz w:val="24"/>
        </w:rPr>
        <w:t>5</w:t>
      </w:r>
      <w:r w:rsidRPr="009570A3">
        <w:rPr>
          <w:rFonts w:cs="Times New Roman"/>
          <w:b/>
          <w:sz w:val="24"/>
        </w:rPr>
        <w:t xml:space="preserve"> Treatment Effects Corresponding to Transplanting a Random </w:t>
      </w:r>
      <w:r w:rsidR="009570A3">
        <w:rPr>
          <w:rFonts w:cs="Times New Roman"/>
          <w:b/>
          <w:sz w:val="24"/>
        </w:rPr>
        <w:t>I</w:t>
      </w:r>
      <w:r w:rsidRPr="009570A3">
        <w:rPr>
          <w:rFonts w:cs="Times New Roman"/>
          <w:b/>
          <w:sz w:val="24"/>
        </w:rPr>
        <w:t xml:space="preserve">ndividual from </w:t>
      </w:r>
      <w:r w:rsidR="009570A3">
        <w:rPr>
          <w:rFonts w:cs="Times New Roman"/>
          <w:b/>
          <w:sz w:val="24"/>
        </w:rPr>
        <w:t>O</w:t>
      </w:r>
      <w:r w:rsidRPr="009570A3">
        <w:rPr>
          <w:rFonts w:cs="Times New Roman"/>
          <w:b/>
          <w:sz w:val="24"/>
        </w:rPr>
        <w:t xml:space="preserve">ne </w:t>
      </w:r>
      <w:r w:rsidR="009570A3">
        <w:rPr>
          <w:rFonts w:cs="Times New Roman"/>
          <w:b/>
          <w:sz w:val="24"/>
        </w:rPr>
        <w:t>S</w:t>
      </w:r>
      <w:r w:rsidRPr="009570A3">
        <w:rPr>
          <w:rFonts w:cs="Times New Roman"/>
          <w:b/>
          <w:sz w:val="24"/>
        </w:rPr>
        <w:t xml:space="preserve">tate to </w:t>
      </w:r>
      <w:r w:rsidR="009570A3">
        <w:rPr>
          <w:rFonts w:cs="Times New Roman"/>
          <w:b/>
          <w:sz w:val="24"/>
        </w:rPr>
        <w:t>A</w:t>
      </w:r>
      <w:r w:rsidRPr="009570A3">
        <w:rPr>
          <w:rFonts w:cs="Times New Roman"/>
          <w:b/>
          <w:sz w:val="24"/>
        </w:rPr>
        <w:t xml:space="preserve">nother </w:t>
      </w:r>
    </w:p>
    <w:p w14:paraId="539ED990" w14:textId="58615808" w:rsidR="00614CEB" w:rsidRPr="009570A3" w:rsidRDefault="00335680" w:rsidP="009570A3">
      <w:pPr>
        <w:spacing w:after="120" w:line="240" w:lineRule="auto"/>
        <w:jc w:val="left"/>
        <w:rPr>
          <w:rFonts w:cs="Times New Roman"/>
          <w:b/>
          <w:sz w:val="24"/>
        </w:rPr>
      </w:pPr>
      <w:r w:rsidRPr="009570A3">
        <w:rPr>
          <w:rFonts w:cs="Times New Roman"/>
          <w:b/>
          <w:sz w:val="24"/>
        </w:rPr>
        <w:t>(stand. err. in parenthesis)</w:t>
      </w:r>
    </w:p>
    <w:tbl>
      <w:tblPr>
        <w:tblStyle w:val="TableGrid"/>
        <w:tblW w:w="0" w:type="auto"/>
        <w:tblInd w:w="108" w:type="dxa"/>
        <w:tblLayout w:type="fixed"/>
        <w:tblLook w:val="04A0" w:firstRow="1" w:lastRow="0" w:firstColumn="1" w:lastColumn="0" w:noHBand="0" w:noVBand="1"/>
      </w:tblPr>
      <w:tblGrid>
        <w:gridCol w:w="5792"/>
        <w:gridCol w:w="1639"/>
        <w:gridCol w:w="1639"/>
        <w:gridCol w:w="1639"/>
        <w:gridCol w:w="1639"/>
      </w:tblGrid>
      <w:tr w:rsidR="00AD1395" w:rsidRPr="002813DB" w14:paraId="05D8DD12" w14:textId="77777777" w:rsidTr="002813DB">
        <w:trPr>
          <w:trHeight w:val="1152"/>
        </w:trPr>
        <w:tc>
          <w:tcPr>
            <w:tcW w:w="5792" w:type="dxa"/>
            <w:vMerge w:val="restart"/>
            <w:tcBorders>
              <w:top w:val="double" w:sz="4" w:space="0" w:color="auto"/>
              <w:left w:val="double" w:sz="4" w:space="0" w:color="auto"/>
              <w:right w:val="double" w:sz="4" w:space="0" w:color="auto"/>
            </w:tcBorders>
            <w:vAlign w:val="center"/>
          </w:tcPr>
          <w:p w14:paraId="15B704FF" w14:textId="77777777" w:rsidR="00AD1395" w:rsidRPr="002813DB" w:rsidRDefault="00AD1395" w:rsidP="00335680">
            <w:pPr>
              <w:spacing w:line="240" w:lineRule="auto"/>
              <w:jc w:val="center"/>
              <w:rPr>
                <w:rFonts w:cs="Times New Roman"/>
                <w:b/>
                <w:sz w:val="22"/>
                <w:szCs w:val="22"/>
              </w:rPr>
            </w:pPr>
            <w:r w:rsidRPr="002813DB">
              <w:rPr>
                <w:rFonts w:cs="Times New Roman"/>
                <w:b/>
                <w:sz w:val="22"/>
                <w:szCs w:val="22"/>
              </w:rPr>
              <w:t>Effect on</w:t>
            </w:r>
          </w:p>
        </w:tc>
        <w:tc>
          <w:tcPr>
            <w:tcW w:w="3278" w:type="dxa"/>
            <w:gridSpan w:val="2"/>
            <w:tcBorders>
              <w:top w:val="double" w:sz="4" w:space="0" w:color="auto"/>
              <w:left w:val="double" w:sz="4" w:space="0" w:color="auto"/>
              <w:right w:val="double" w:sz="4" w:space="0" w:color="auto"/>
            </w:tcBorders>
            <w:vAlign w:val="center"/>
          </w:tcPr>
          <w:p w14:paraId="29477AE3" w14:textId="77777777" w:rsidR="00AD1395" w:rsidRPr="002813DB" w:rsidRDefault="00AD1395" w:rsidP="00335680">
            <w:pPr>
              <w:spacing w:line="240" w:lineRule="auto"/>
              <w:jc w:val="center"/>
              <w:rPr>
                <w:rFonts w:cs="Times New Roman"/>
                <w:b/>
                <w:sz w:val="22"/>
                <w:szCs w:val="22"/>
              </w:rPr>
            </w:pPr>
            <w:r w:rsidRPr="002813DB">
              <w:rPr>
                <w:rFonts w:cs="Times New Roman"/>
                <w:b/>
                <w:sz w:val="22"/>
                <w:szCs w:val="22"/>
              </w:rPr>
              <w:t>ATE corresponding to change from non-telecommuting to telecommuting “one or more times a week”</w:t>
            </w:r>
          </w:p>
        </w:tc>
        <w:tc>
          <w:tcPr>
            <w:tcW w:w="3278" w:type="dxa"/>
            <w:gridSpan w:val="2"/>
            <w:tcBorders>
              <w:top w:val="double" w:sz="4" w:space="0" w:color="auto"/>
              <w:right w:val="double" w:sz="4" w:space="0" w:color="auto"/>
            </w:tcBorders>
            <w:vAlign w:val="center"/>
          </w:tcPr>
          <w:p w14:paraId="46780807" w14:textId="77777777" w:rsidR="00AD1395" w:rsidRPr="002813DB" w:rsidRDefault="00AD1395" w:rsidP="00335680">
            <w:pPr>
              <w:spacing w:line="240" w:lineRule="auto"/>
              <w:jc w:val="center"/>
              <w:rPr>
                <w:rFonts w:cs="Times New Roman"/>
                <w:b/>
                <w:sz w:val="22"/>
                <w:szCs w:val="22"/>
              </w:rPr>
            </w:pPr>
            <w:r w:rsidRPr="002813DB">
              <w:rPr>
                <w:rFonts w:cs="Times New Roman"/>
                <w:b/>
                <w:sz w:val="22"/>
                <w:szCs w:val="22"/>
              </w:rPr>
              <w:t xml:space="preserve">ATE corresponding to change from &lt;=2 times per year to &gt;=1 times/week for goods delivery frequency </w:t>
            </w:r>
          </w:p>
        </w:tc>
      </w:tr>
      <w:tr w:rsidR="00AD1395" w:rsidRPr="002813DB" w14:paraId="634D330C" w14:textId="77777777" w:rsidTr="002813DB">
        <w:trPr>
          <w:trHeight w:val="432"/>
        </w:trPr>
        <w:tc>
          <w:tcPr>
            <w:tcW w:w="5792" w:type="dxa"/>
            <w:vMerge/>
            <w:tcBorders>
              <w:left w:val="double" w:sz="4" w:space="0" w:color="auto"/>
              <w:bottom w:val="double" w:sz="4" w:space="0" w:color="auto"/>
              <w:right w:val="double" w:sz="4" w:space="0" w:color="auto"/>
            </w:tcBorders>
            <w:vAlign w:val="center"/>
          </w:tcPr>
          <w:p w14:paraId="6BA5BDEC" w14:textId="77777777" w:rsidR="00AD1395" w:rsidRPr="002813DB" w:rsidRDefault="00AD1395" w:rsidP="00335680">
            <w:pPr>
              <w:spacing w:line="240" w:lineRule="auto"/>
              <w:jc w:val="center"/>
              <w:rPr>
                <w:rFonts w:cs="Times New Roman"/>
                <w:b/>
                <w:sz w:val="22"/>
                <w:szCs w:val="22"/>
              </w:rPr>
            </w:pPr>
          </w:p>
        </w:tc>
        <w:tc>
          <w:tcPr>
            <w:tcW w:w="1639" w:type="dxa"/>
            <w:tcBorders>
              <w:left w:val="double" w:sz="4" w:space="0" w:color="auto"/>
              <w:bottom w:val="double" w:sz="4" w:space="0" w:color="auto"/>
              <w:right w:val="double" w:sz="4" w:space="0" w:color="auto"/>
            </w:tcBorders>
            <w:vAlign w:val="center"/>
          </w:tcPr>
          <w:p w14:paraId="50740463" w14:textId="77777777" w:rsidR="00AD1395" w:rsidRPr="002813DB" w:rsidRDefault="00AD1395" w:rsidP="00335680">
            <w:pPr>
              <w:spacing w:line="240" w:lineRule="auto"/>
              <w:jc w:val="center"/>
              <w:rPr>
                <w:rFonts w:cs="Times New Roman"/>
                <w:sz w:val="22"/>
                <w:szCs w:val="22"/>
              </w:rPr>
            </w:pPr>
            <w:r w:rsidRPr="002813DB">
              <w:rPr>
                <w:rFonts w:cs="Times New Roman"/>
                <w:sz w:val="22"/>
                <w:szCs w:val="22"/>
              </w:rPr>
              <w:t>GHDM</w:t>
            </w:r>
          </w:p>
        </w:tc>
        <w:tc>
          <w:tcPr>
            <w:tcW w:w="1639" w:type="dxa"/>
            <w:tcBorders>
              <w:bottom w:val="double" w:sz="4" w:space="0" w:color="auto"/>
              <w:right w:val="double" w:sz="4" w:space="0" w:color="auto"/>
            </w:tcBorders>
            <w:vAlign w:val="center"/>
          </w:tcPr>
          <w:p w14:paraId="0DD93B56" w14:textId="77777777" w:rsidR="00AD1395" w:rsidRPr="002813DB" w:rsidRDefault="00AD1395" w:rsidP="00335680">
            <w:pPr>
              <w:spacing w:line="240" w:lineRule="auto"/>
              <w:jc w:val="center"/>
              <w:rPr>
                <w:rFonts w:cs="Times New Roman"/>
                <w:sz w:val="22"/>
                <w:szCs w:val="22"/>
              </w:rPr>
            </w:pPr>
            <w:r w:rsidRPr="002813DB">
              <w:rPr>
                <w:rFonts w:cs="Times New Roman"/>
                <w:sz w:val="22"/>
                <w:szCs w:val="22"/>
              </w:rPr>
              <w:t>IHDM</w:t>
            </w:r>
          </w:p>
        </w:tc>
        <w:tc>
          <w:tcPr>
            <w:tcW w:w="1639" w:type="dxa"/>
            <w:tcBorders>
              <w:bottom w:val="double" w:sz="4" w:space="0" w:color="auto"/>
              <w:right w:val="double" w:sz="4" w:space="0" w:color="auto"/>
            </w:tcBorders>
            <w:vAlign w:val="center"/>
          </w:tcPr>
          <w:p w14:paraId="171F736A" w14:textId="77777777" w:rsidR="00AD1395" w:rsidRPr="002813DB" w:rsidRDefault="00AD1395" w:rsidP="00335680">
            <w:pPr>
              <w:spacing w:line="240" w:lineRule="auto"/>
              <w:jc w:val="center"/>
              <w:rPr>
                <w:rFonts w:cs="Times New Roman"/>
                <w:sz w:val="22"/>
                <w:szCs w:val="22"/>
              </w:rPr>
            </w:pPr>
            <w:r w:rsidRPr="002813DB">
              <w:rPr>
                <w:rFonts w:cs="Times New Roman"/>
                <w:sz w:val="22"/>
                <w:szCs w:val="22"/>
              </w:rPr>
              <w:t>GHDM</w:t>
            </w:r>
          </w:p>
        </w:tc>
        <w:tc>
          <w:tcPr>
            <w:tcW w:w="1639" w:type="dxa"/>
            <w:tcBorders>
              <w:bottom w:val="double" w:sz="4" w:space="0" w:color="auto"/>
              <w:right w:val="double" w:sz="4" w:space="0" w:color="auto"/>
            </w:tcBorders>
            <w:vAlign w:val="center"/>
          </w:tcPr>
          <w:p w14:paraId="2C9B77BC" w14:textId="77777777" w:rsidR="00AD1395" w:rsidRPr="002813DB" w:rsidRDefault="00AD1395" w:rsidP="00335680">
            <w:pPr>
              <w:spacing w:line="240" w:lineRule="auto"/>
              <w:jc w:val="center"/>
              <w:rPr>
                <w:rFonts w:cs="Times New Roman"/>
                <w:sz w:val="22"/>
                <w:szCs w:val="22"/>
              </w:rPr>
            </w:pPr>
            <w:r w:rsidRPr="002813DB">
              <w:rPr>
                <w:rFonts w:cs="Times New Roman"/>
                <w:sz w:val="22"/>
                <w:szCs w:val="22"/>
              </w:rPr>
              <w:t>IHDM</w:t>
            </w:r>
          </w:p>
        </w:tc>
      </w:tr>
      <w:tr w:rsidR="00AD1395" w:rsidRPr="002813DB" w14:paraId="5439DE09" w14:textId="77777777" w:rsidTr="002813DB">
        <w:trPr>
          <w:trHeight w:val="576"/>
        </w:trPr>
        <w:tc>
          <w:tcPr>
            <w:tcW w:w="5792" w:type="dxa"/>
            <w:tcBorders>
              <w:left w:val="double" w:sz="4" w:space="0" w:color="auto"/>
              <w:bottom w:val="single" w:sz="4" w:space="0" w:color="auto"/>
              <w:right w:val="double" w:sz="4" w:space="0" w:color="auto"/>
            </w:tcBorders>
            <w:vAlign w:val="center"/>
          </w:tcPr>
          <w:p w14:paraId="23AC45B4" w14:textId="09CA77D1" w:rsidR="00AD1395" w:rsidRPr="002813DB" w:rsidRDefault="00AD1395" w:rsidP="009570A3">
            <w:pPr>
              <w:spacing w:line="240" w:lineRule="auto"/>
              <w:jc w:val="left"/>
              <w:rPr>
                <w:rFonts w:cs="Times New Roman"/>
                <w:sz w:val="22"/>
                <w:szCs w:val="22"/>
              </w:rPr>
            </w:pPr>
            <w:r w:rsidRPr="002813DB">
              <w:rPr>
                <w:rFonts w:cs="Times New Roman"/>
                <w:sz w:val="22"/>
                <w:szCs w:val="22"/>
              </w:rPr>
              <w:t>Number of mandatory activity episodes</w:t>
            </w:r>
            <w:r w:rsidR="00C274A9" w:rsidRPr="002813DB">
              <w:rPr>
                <w:rFonts w:cs="Times New Roman"/>
                <w:sz w:val="22"/>
                <w:szCs w:val="22"/>
              </w:rPr>
              <w:t xml:space="preserve"> per week</w:t>
            </w:r>
          </w:p>
        </w:tc>
        <w:tc>
          <w:tcPr>
            <w:tcW w:w="1639" w:type="dxa"/>
            <w:tcBorders>
              <w:top w:val="double" w:sz="4" w:space="0" w:color="auto"/>
              <w:left w:val="double" w:sz="4" w:space="0" w:color="auto"/>
              <w:bottom w:val="single" w:sz="4" w:space="0" w:color="auto"/>
              <w:right w:val="double" w:sz="4" w:space="0" w:color="auto"/>
            </w:tcBorders>
            <w:shd w:val="clear" w:color="auto" w:fill="D9D9D9" w:themeFill="background1" w:themeFillShade="D9"/>
            <w:vAlign w:val="center"/>
          </w:tcPr>
          <w:p w14:paraId="22FAC4E9" w14:textId="24F61947" w:rsidR="00AD1395" w:rsidRPr="002813DB" w:rsidRDefault="00AD1395" w:rsidP="00DF3DD0">
            <w:pPr>
              <w:tabs>
                <w:tab w:val="decimal" w:pos="196"/>
              </w:tabs>
              <w:spacing w:line="240" w:lineRule="auto"/>
              <w:jc w:val="center"/>
              <w:rPr>
                <w:rFonts w:cs="Times New Roman"/>
                <w:b/>
                <w:sz w:val="22"/>
                <w:szCs w:val="22"/>
              </w:rPr>
            </w:pPr>
            <w:r w:rsidRPr="002813DB">
              <w:rPr>
                <w:rFonts w:cs="Times New Roman"/>
                <w:b/>
                <w:sz w:val="22"/>
                <w:szCs w:val="22"/>
              </w:rPr>
              <w:t>0.000</w:t>
            </w:r>
          </w:p>
        </w:tc>
        <w:tc>
          <w:tcPr>
            <w:tcW w:w="1639" w:type="dxa"/>
            <w:tcBorders>
              <w:top w:val="double" w:sz="4" w:space="0" w:color="auto"/>
              <w:bottom w:val="single" w:sz="4" w:space="0" w:color="auto"/>
              <w:right w:val="double" w:sz="4" w:space="0" w:color="auto"/>
            </w:tcBorders>
            <w:shd w:val="clear" w:color="auto" w:fill="D9D9D9" w:themeFill="background1" w:themeFillShade="D9"/>
            <w:vAlign w:val="center"/>
          </w:tcPr>
          <w:p w14:paraId="0CFA58A3" w14:textId="77777777" w:rsidR="00A3513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 xml:space="preserve">-0.650 </w:t>
            </w:r>
          </w:p>
          <w:p w14:paraId="0960F32B" w14:textId="7B2718FD" w:rsidR="00AD139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(0.322)</w:t>
            </w:r>
          </w:p>
        </w:tc>
        <w:tc>
          <w:tcPr>
            <w:tcW w:w="1639" w:type="dxa"/>
            <w:tcBorders>
              <w:top w:val="double" w:sz="4" w:space="0" w:color="auto"/>
              <w:bottom w:val="single" w:sz="4" w:space="0" w:color="auto"/>
              <w:right w:val="double" w:sz="4" w:space="0" w:color="auto"/>
            </w:tcBorders>
            <w:vAlign w:val="center"/>
          </w:tcPr>
          <w:p w14:paraId="0E888173" w14:textId="1BA66D90" w:rsidR="00AD1395" w:rsidRPr="002813DB" w:rsidRDefault="009F4E21" w:rsidP="00335680">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top w:val="double" w:sz="4" w:space="0" w:color="auto"/>
              <w:bottom w:val="single" w:sz="4" w:space="0" w:color="auto"/>
              <w:right w:val="double" w:sz="4" w:space="0" w:color="auto"/>
            </w:tcBorders>
            <w:vAlign w:val="center"/>
          </w:tcPr>
          <w:p w14:paraId="25DAC164" w14:textId="5AC5DC84" w:rsidR="00AD1395" w:rsidRPr="002813DB" w:rsidRDefault="009F4E21" w:rsidP="00335680">
            <w:pPr>
              <w:tabs>
                <w:tab w:val="decimal" w:pos="196"/>
              </w:tabs>
              <w:spacing w:line="240" w:lineRule="auto"/>
              <w:jc w:val="center"/>
              <w:rPr>
                <w:rFonts w:cs="Times New Roman"/>
                <w:sz w:val="22"/>
                <w:szCs w:val="22"/>
              </w:rPr>
            </w:pPr>
            <w:r w:rsidRPr="002813DB">
              <w:rPr>
                <w:rFonts w:cs="Times New Roman"/>
                <w:sz w:val="22"/>
                <w:szCs w:val="22"/>
              </w:rPr>
              <w:t>0.000</w:t>
            </w:r>
          </w:p>
        </w:tc>
      </w:tr>
      <w:tr w:rsidR="00AD1395" w:rsidRPr="002813DB" w14:paraId="36C18065" w14:textId="77777777" w:rsidTr="002813DB">
        <w:trPr>
          <w:trHeight w:val="576"/>
        </w:trPr>
        <w:tc>
          <w:tcPr>
            <w:tcW w:w="5792" w:type="dxa"/>
            <w:tcBorders>
              <w:left w:val="double" w:sz="4" w:space="0" w:color="auto"/>
              <w:bottom w:val="double" w:sz="4" w:space="0" w:color="auto"/>
              <w:right w:val="double" w:sz="4" w:space="0" w:color="auto"/>
            </w:tcBorders>
            <w:vAlign w:val="center"/>
          </w:tcPr>
          <w:p w14:paraId="4B07EEC3" w14:textId="77777777" w:rsidR="00AD1395" w:rsidRPr="002813DB" w:rsidRDefault="00AD1395" w:rsidP="009570A3">
            <w:pPr>
              <w:spacing w:line="240" w:lineRule="auto"/>
              <w:jc w:val="left"/>
              <w:rPr>
                <w:rFonts w:cs="Times New Roman"/>
                <w:sz w:val="22"/>
                <w:szCs w:val="22"/>
              </w:rPr>
            </w:pPr>
            <w:r w:rsidRPr="002813DB">
              <w:rPr>
                <w:rFonts w:cs="Times New Roman"/>
                <w:sz w:val="22"/>
                <w:szCs w:val="22"/>
              </w:rPr>
              <w:t>Average duration of mandatory activity episodes (hours)</w:t>
            </w:r>
          </w:p>
        </w:tc>
        <w:tc>
          <w:tcPr>
            <w:tcW w:w="1639" w:type="dxa"/>
            <w:tcBorders>
              <w:left w:val="double" w:sz="4" w:space="0" w:color="auto"/>
              <w:bottom w:val="double" w:sz="4" w:space="0" w:color="auto"/>
              <w:right w:val="double" w:sz="4" w:space="0" w:color="auto"/>
            </w:tcBorders>
            <w:shd w:val="clear" w:color="auto" w:fill="D9D9D9" w:themeFill="background1" w:themeFillShade="D9"/>
            <w:vAlign w:val="center"/>
          </w:tcPr>
          <w:p w14:paraId="06ED6A8F" w14:textId="33E18BB4" w:rsidR="00AD1395" w:rsidRPr="002813DB" w:rsidRDefault="00AD1395" w:rsidP="00335680">
            <w:pPr>
              <w:tabs>
                <w:tab w:val="decimal" w:pos="196"/>
              </w:tabs>
              <w:spacing w:line="240" w:lineRule="auto"/>
              <w:jc w:val="center"/>
              <w:rPr>
                <w:rFonts w:cs="Times New Roman"/>
                <w:b/>
                <w:sz w:val="22"/>
                <w:szCs w:val="22"/>
              </w:rPr>
            </w:pPr>
            <w:r w:rsidRPr="002813DB">
              <w:rPr>
                <w:rFonts w:cs="Times New Roman"/>
                <w:b/>
                <w:sz w:val="22"/>
                <w:szCs w:val="22"/>
              </w:rPr>
              <w:t>-0.736</w:t>
            </w:r>
          </w:p>
          <w:p w14:paraId="0A5F9379" w14:textId="0CFAA736" w:rsidR="00AD1395" w:rsidRPr="002813DB" w:rsidRDefault="00AD1395" w:rsidP="00335680">
            <w:pPr>
              <w:tabs>
                <w:tab w:val="decimal" w:pos="196"/>
              </w:tabs>
              <w:spacing w:line="240" w:lineRule="auto"/>
              <w:jc w:val="center"/>
              <w:rPr>
                <w:rFonts w:cs="Times New Roman"/>
                <w:b/>
                <w:sz w:val="22"/>
                <w:szCs w:val="22"/>
              </w:rPr>
            </w:pPr>
            <w:r w:rsidRPr="002813DB">
              <w:rPr>
                <w:rFonts w:cs="Times New Roman"/>
                <w:b/>
                <w:sz w:val="22"/>
                <w:szCs w:val="22"/>
              </w:rPr>
              <w:t>(0.224)</w:t>
            </w:r>
          </w:p>
        </w:tc>
        <w:tc>
          <w:tcPr>
            <w:tcW w:w="1639" w:type="dxa"/>
            <w:tcBorders>
              <w:bottom w:val="double" w:sz="4" w:space="0" w:color="auto"/>
              <w:right w:val="double" w:sz="4" w:space="0" w:color="auto"/>
            </w:tcBorders>
            <w:shd w:val="clear" w:color="auto" w:fill="D9D9D9" w:themeFill="background1" w:themeFillShade="D9"/>
            <w:vAlign w:val="center"/>
          </w:tcPr>
          <w:p w14:paraId="25F68F75" w14:textId="77777777" w:rsidR="00A3513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 xml:space="preserve">-0.909 </w:t>
            </w:r>
          </w:p>
          <w:p w14:paraId="0FA93A43" w14:textId="7EEA448E" w:rsidR="00AD139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(0.192)</w:t>
            </w:r>
          </w:p>
        </w:tc>
        <w:tc>
          <w:tcPr>
            <w:tcW w:w="1639" w:type="dxa"/>
            <w:tcBorders>
              <w:bottom w:val="double" w:sz="4" w:space="0" w:color="auto"/>
              <w:right w:val="double" w:sz="4" w:space="0" w:color="auto"/>
            </w:tcBorders>
            <w:vAlign w:val="center"/>
          </w:tcPr>
          <w:p w14:paraId="3446D7A1" w14:textId="73A99E6C" w:rsidR="00AD1395" w:rsidRPr="002813DB" w:rsidRDefault="009F4E21" w:rsidP="00335680">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bottom w:val="double" w:sz="4" w:space="0" w:color="auto"/>
              <w:right w:val="double" w:sz="4" w:space="0" w:color="auto"/>
            </w:tcBorders>
            <w:vAlign w:val="center"/>
          </w:tcPr>
          <w:p w14:paraId="1CCB1A6D" w14:textId="4D2F99B5" w:rsidR="00AD1395" w:rsidRPr="002813DB" w:rsidRDefault="009F4E21" w:rsidP="00335680">
            <w:pPr>
              <w:tabs>
                <w:tab w:val="decimal" w:pos="196"/>
              </w:tabs>
              <w:spacing w:line="240" w:lineRule="auto"/>
              <w:jc w:val="center"/>
              <w:rPr>
                <w:rFonts w:cs="Times New Roman"/>
                <w:sz w:val="22"/>
                <w:szCs w:val="22"/>
              </w:rPr>
            </w:pPr>
            <w:r w:rsidRPr="002813DB">
              <w:rPr>
                <w:rFonts w:cs="Times New Roman"/>
                <w:sz w:val="22"/>
                <w:szCs w:val="22"/>
              </w:rPr>
              <w:t>0.000</w:t>
            </w:r>
          </w:p>
        </w:tc>
      </w:tr>
      <w:tr w:rsidR="00AD1395" w:rsidRPr="002813DB" w14:paraId="7C6F1E2A" w14:textId="77777777" w:rsidTr="002813DB">
        <w:trPr>
          <w:trHeight w:val="576"/>
        </w:trPr>
        <w:tc>
          <w:tcPr>
            <w:tcW w:w="5792" w:type="dxa"/>
            <w:tcBorders>
              <w:top w:val="double" w:sz="4" w:space="0" w:color="auto"/>
              <w:left w:val="double" w:sz="4" w:space="0" w:color="auto"/>
              <w:bottom w:val="single" w:sz="4" w:space="0" w:color="auto"/>
              <w:right w:val="double" w:sz="4" w:space="0" w:color="auto"/>
            </w:tcBorders>
            <w:vAlign w:val="center"/>
          </w:tcPr>
          <w:p w14:paraId="38677065" w14:textId="06913654" w:rsidR="00AD1395" w:rsidRPr="002813DB" w:rsidRDefault="00AD1395" w:rsidP="009570A3">
            <w:pPr>
              <w:spacing w:line="240" w:lineRule="auto"/>
              <w:jc w:val="left"/>
              <w:rPr>
                <w:rFonts w:cs="Times New Roman"/>
                <w:sz w:val="22"/>
                <w:szCs w:val="22"/>
              </w:rPr>
            </w:pPr>
            <w:r w:rsidRPr="002813DB">
              <w:rPr>
                <w:rFonts w:cs="Times New Roman"/>
                <w:sz w:val="22"/>
                <w:szCs w:val="22"/>
              </w:rPr>
              <w:t>Number of maintenance activity episodes</w:t>
            </w:r>
            <w:r w:rsidR="00C274A9" w:rsidRPr="002813DB">
              <w:rPr>
                <w:rFonts w:cs="Times New Roman"/>
                <w:sz w:val="22"/>
                <w:szCs w:val="22"/>
              </w:rPr>
              <w:t xml:space="preserve"> per week</w:t>
            </w:r>
          </w:p>
        </w:tc>
        <w:tc>
          <w:tcPr>
            <w:tcW w:w="1639" w:type="dxa"/>
            <w:tcBorders>
              <w:top w:val="double" w:sz="4" w:space="0" w:color="auto"/>
              <w:left w:val="double" w:sz="4" w:space="0" w:color="auto"/>
              <w:bottom w:val="single" w:sz="4" w:space="0" w:color="auto"/>
              <w:right w:val="double" w:sz="4" w:space="0" w:color="auto"/>
            </w:tcBorders>
            <w:vAlign w:val="center"/>
          </w:tcPr>
          <w:p w14:paraId="734F9407" w14:textId="77777777" w:rsidR="00AD1395" w:rsidRPr="002813DB" w:rsidRDefault="00AD1395" w:rsidP="00335680">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top w:val="double" w:sz="4" w:space="0" w:color="auto"/>
              <w:bottom w:val="single" w:sz="4" w:space="0" w:color="auto"/>
              <w:right w:val="double" w:sz="4" w:space="0" w:color="auto"/>
            </w:tcBorders>
            <w:vAlign w:val="center"/>
          </w:tcPr>
          <w:p w14:paraId="4EEEB95E" w14:textId="77777777" w:rsidR="00AD1395" w:rsidRPr="002813DB" w:rsidRDefault="00AD1395" w:rsidP="00335680">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top w:val="double" w:sz="4" w:space="0" w:color="auto"/>
              <w:bottom w:val="single" w:sz="4" w:space="0" w:color="auto"/>
              <w:right w:val="double" w:sz="4" w:space="0" w:color="auto"/>
            </w:tcBorders>
            <w:shd w:val="clear" w:color="auto" w:fill="D9D9D9" w:themeFill="background1" w:themeFillShade="D9"/>
            <w:vAlign w:val="center"/>
          </w:tcPr>
          <w:p w14:paraId="7C90C663" w14:textId="77777777" w:rsidR="00AD1395" w:rsidRPr="002813DB" w:rsidRDefault="00AD1395" w:rsidP="00335680">
            <w:pPr>
              <w:tabs>
                <w:tab w:val="decimal" w:pos="196"/>
              </w:tabs>
              <w:spacing w:line="240" w:lineRule="auto"/>
              <w:jc w:val="center"/>
              <w:rPr>
                <w:rFonts w:cs="Times New Roman"/>
                <w:b/>
                <w:sz w:val="22"/>
                <w:szCs w:val="22"/>
              </w:rPr>
            </w:pPr>
            <w:r w:rsidRPr="002813DB">
              <w:rPr>
                <w:rFonts w:cs="Times New Roman"/>
                <w:b/>
                <w:sz w:val="22"/>
                <w:szCs w:val="22"/>
              </w:rPr>
              <w:t>0.000</w:t>
            </w:r>
          </w:p>
        </w:tc>
        <w:tc>
          <w:tcPr>
            <w:tcW w:w="1639" w:type="dxa"/>
            <w:tcBorders>
              <w:top w:val="double" w:sz="4" w:space="0" w:color="auto"/>
              <w:bottom w:val="single" w:sz="4" w:space="0" w:color="auto"/>
              <w:right w:val="double" w:sz="4" w:space="0" w:color="auto"/>
            </w:tcBorders>
            <w:shd w:val="clear" w:color="auto" w:fill="D9D9D9" w:themeFill="background1" w:themeFillShade="D9"/>
            <w:vAlign w:val="center"/>
          </w:tcPr>
          <w:p w14:paraId="783538B6" w14:textId="77777777" w:rsidR="00A35135" w:rsidRPr="002813DB" w:rsidRDefault="004648BD" w:rsidP="00AD1395">
            <w:pPr>
              <w:tabs>
                <w:tab w:val="decimal" w:pos="196"/>
              </w:tabs>
              <w:spacing w:line="240" w:lineRule="auto"/>
              <w:jc w:val="center"/>
              <w:rPr>
                <w:rFonts w:cs="Times New Roman"/>
                <w:b/>
                <w:sz w:val="22"/>
                <w:szCs w:val="22"/>
              </w:rPr>
            </w:pPr>
            <w:r w:rsidRPr="002813DB">
              <w:rPr>
                <w:rFonts w:cs="Times New Roman"/>
                <w:b/>
                <w:sz w:val="22"/>
                <w:szCs w:val="22"/>
              </w:rPr>
              <w:t xml:space="preserve">-0.413 </w:t>
            </w:r>
          </w:p>
          <w:p w14:paraId="5917ADB0" w14:textId="2CCDA48A" w:rsidR="00AD1395" w:rsidRPr="002813DB" w:rsidRDefault="004648BD" w:rsidP="00AD1395">
            <w:pPr>
              <w:tabs>
                <w:tab w:val="decimal" w:pos="196"/>
              </w:tabs>
              <w:spacing w:line="240" w:lineRule="auto"/>
              <w:jc w:val="center"/>
              <w:rPr>
                <w:rFonts w:cs="Times New Roman"/>
                <w:b/>
                <w:sz w:val="22"/>
                <w:szCs w:val="22"/>
              </w:rPr>
            </w:pPr>
            <w:r w:rsidRPr="002813DB">
              <w:rPr>
                <w:rFonts w:cs="Times New Roman"/>
                <w:b/>
                <w:sz w:val="22"/>
                <w:szCs w:val="22"/>
              </w:rPr>
              <w:t>(0.063)</w:t>
            </w:r>
          </w:p>
        </w:tc>
      </w:tr>
      <w:tr w:rsidR="00AD1395" w:rsidRPr="002813DB" w14:paraId="36AFD844" w14:textId="77777777" w:rsidTr="002813DB">
        <w:trPr>
          <w:trHeight w:val="576"/>
        </w:trPr>
        <w:tc>
          <w:tcPr>
            <w:tcW w:w="5792" w:type="dxa"/>
            <w:tcBorders>
              <w:left w:val="double" w:sz="4" w:space="0" w:color="auto"/>
              <w:bottom w:val="double" w:sz="4" w:space="0" w:color="auto"/>
              <w:right w:val="double" w:sz="4" w:space="0" w:color="auto"/>
            </w:tcBorders>
            <w:vAlign w:val="center"/>
          </w:tcPr>
          <w:p w14:paraId="4DE51A4F" w14:textId="3763474C" w:rsidR="00AD1395" w:rsidRPr="002813DB" w:rsidRDefault="00AD1395" w:rsidP="009570A3">
            <w:pPr>
              <w:spacing w:line="240" w:lineRule="auto"/>
              <w:jc w:val="left"/>
              <w:rPr>
                <w:rFonts w:cs="Times New Roman"/>
                <w:sz w:val="22"/>
                <w:szCs w:val="22"/>
              </w:rPr>
            </w:pPr>
            <w:r w:rsidRPr="002813DB">
              <w:rPr>
                <w:rFonts w:cs="Times New Roman"/>
                <w:sz w:val="22"/>
                <w:szCs w:val="22"/>
              </w:rPr>
              <w:t>Average duration of maintenance activity episode</w:t>
            </w:r>
            <w:r w:rsidR="00C274A9" w:rsidRPr="002813DB">
              <w:rPr>
                <w:rFonts w:cs="Times New Roman"/>
                <w:sz w:val="22"/>
                <w:szCs w:val="22"/>
              </w:rPr>
              <w:t xml:space="preserve"> </w:t>
            </w:r>
            <w:r w:rsidRPr="002813DB">
              <w:rPr>
                <w:rFonts w:cs="Times New Roman"/>
                <w:sz w:val="22"/>
                <w:szCs w:val="22"/>
              </w:rPr>
              <w:t>s (hours)</w:t>
            </w:r>
          </w:p>
        </w:tc>
        <w:tc>
          <w:tcPr>
            <w:tcW w:w="1639" w:type="dxa"/>
            <w:tcBorders>
              <w:left w:val="double" w:sz="4" w:space="0" w:color="auto"/>
              <w:bottom w:val="double" w:sz="4" w:space="0" w:color="auto"/>
              <w:right w:val="double" w:sz="4" w:space="0" w:color="auto"/>
            </w:tcBorders>
            <w:shd w:val="clear" w:color="auto" w:fill="D9D9D9" w:themeFill="background1" w:themeFillShade="D9"/>
            <w:vAlign w:val="center"/>
          </w:tcPr>
          <w:p w14:paraId="786A7595" w14:textId="21875CE8" w:rsidR="00AD139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-0.127</w:t>
            </w:r>
          </w:p>
          <w:p w14:paraId="692F15A6" w14:textId="0664E5E3" w:rsidR="00AD139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(0.054)</w:t>
            </w:r>
          </w:p>
        </w:tc>
        <w:tc>
          <w:tcPr>
            <w:tcW w:w="1639" w:type="dxa"/>
            <w:tcBorders>
              <w:bottom w:val="double" w:sz="4" w:space="0" w:color="auto"/>
              <w:right w:val="double" w:sz="4" w:space="0" w:color="auto"/>
            </w:tcBorders>
            <w:shd w:val="clear" w:color="auto" w:fill="D9D9D9" w:themeFill="background1" w:themeFillShade="D9"/>
            <w:vAlign w:val="center"/>
          </w:tcPr>
          <w:p w14:paraId="7C54FF9B" w14:textId="77777777" w:rsidR="00A3513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 xml:space="preserve">-0.151 </w:t>
            </w:r>
          </w:p>
          <w:p w14:paraId="4E5E700C" w14:textId="63DEDF9B" w:rsidR="00AD139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(0.054)</w:t>
            </w:r>
          </w:p>
        </w:tc>
        <w:tc>
          <w:tcPr>
            <w:tcW w:w="1639" w:type="dxa"/>
            <w:tcBorders>
              <w:bottom w:val="double" w:sz="4" w:space="0" w:color="auto"/>
              <w:right w:val="double" w:sz="4" w:space="0" w:color="auto"/>
            </w:tcBorders>
            <w:vAlign w:val="center"/>
          </w:tcPr>
          <w:p w14:paraId="75414D06" w14:textId="77777777" w:rsidR="00AD1395" w:rsidRPr="002813DB" w:rsidRDefault="00AD1395" w:rsidP="00AD1395">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bottom w:val="double" w:sz="4" w:space="0" w:color="auto"/>
              <w:right w:val="double" w:sz="4" w:space="0" w:color="auto"/>
            </w:tcBorders>
            <w:vAlign w:val="center"/>
          </w:tcPr>
          <w:p w14:paraId="6534D3D7" w14:textId="77777777" w:rsidR="00AD1395" w:rsidRPr="002813DB" w:rsidRDefault="00AD1395" w:rsidP="00AD1395">
            <w:pPr>
              <w:tabs>
                <w:tab w:val="decimal" w:pos="196"/>
              </w:tabs>
              <w:spacing w:line="240" w:lineRule="auto"/>
              <w:jc w:val="center"/>
              <w:rPr>
                <w:rFonts w:cs="Times New Roman"/>
                <w:sz w:val="22"/>
                <w:szCs w:val="22"/>
              </w:rPr>
            </w:pPr>
            <w:r w:rsidRPr="002813DB">
              <w:rPr>
                <w:rFonts w:cs="Times New Roman"/>
                <w:sz w:val="22"/>
                <w:szCs w:val="22"/>
              </w:rPr>
              <w:t>0.000</w:t>
            </w:r>
          </w:p>
        </w:tc>
      </w:tr>
      <w:tr w:rsidR="00AD1395" w:rsidRPr="002813DB" w14:paraId="66CB30A9" w14:textId="77777777" w:rsidTr="002813DB">
        <w:trPr>
          <w:trHeight w:val="576"/>
        </w:trPr>
        <w:tc>
          <w:tcPr>
            <w:tcW w:w="5792" w:type="dxa"/>
            <w:tcBorders>
              <w:top w:val="double" w:sz="4" w:space="0" w:color="auto"/>
              <w:left w:val="double" w:sz="4" w:space="0" w:color="auto"/>
              <w:bottom w:val="single" w:sz="4" w:space="0" w:color="auto"/>
              <w:right w:val="double" w:sz="4" w:space="0" w:color="auto"/>
            </w:tcBorders>
            <w:vAlign w:val="center"/>
          </w:tcPr>
          <w:p w14:paraId="13087788" w14:textId="50EC7D37" w:rsidR="00AD1395" w:rsidRPr="002813DB" w:rsidRDefault="00AD1395" w:rsidP="009570A3">
            <w:pPr>
              <w:spacing w:line="240" w:lineRule="auto"/>
              <w:jc w:val="left"/>
              <w:rPr>
                <w:rFonts w:cs="Times New Roman"/>
                <w:sz w:val="22"/>
                <w:szCs w:val="22"/>
              </w:rPr>
            </w:pPr>
            <w:r w:rsidRPr="002813DB">
              <w:rPr>
                <w:rFonts w:cs="Times New Roman"/>
                <w:sz w:val="22"/>
                <w:szCs w:val="22"/>
              </w:rPr>
              <w:t xml:space="preserve">Number of discretionary activity episodes </w:t>
            </w:r>
            <w:r w:rsidR="00C274A9" w:rsidRPr="002813DB">
              <w:rPr>
                <w:rFonts w:cs="Times New Roman"/>
                <w:sz w:val="22"/>
                <w:szCs w:val="22"/>
              </w:rPr>
              <w:t>per week</w:t>
            </w:r>
          </w:p>
        </w:tc>
        <w:tc>
          <w:tcPr>
            <w:tcW w:w="1639" w:type="dxa"/>
            <w:tcBorders>
              <w:top w:val="double" w:sz="4" w:space="0" w:color="auto"/>
              <w:left w:val="double" w:sz="4" w:space="0" w:color="auto"/>
              <w:bottom w:val="single" w:sz="4" w:space="0" w:color="auto"/>
              <w:right w:val="double" w:sz="4" w:space="0" w:color="auto"/>
            </w:tcBorders>
            <w:vAlign w:val="center"/>
          </w:tcPr>
          <w:p w14:paraId="46DE532E" w14:textId="77777777" w:rsidR="00AD1395" w:rsidRPr="002813DB" w:rsidRDefault="00AD1395" w:rsidP="00AD1395">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top w:val="double" w:sz="4" w:space="0" w:color="auto"/>
              <w:bottom w:val="single" w:sz="4" w:space="0" w:color="auto"/>
              <w:right w:val="double" w:sz="4" w:space="0" w:color="auto"/>
            </w:tcBorders>
            <w:vAlign w:val="center"/>
          </w:tcPr>
          <w:p w14:paraId="5A29DD15" w14:textId="77777777" w:rsidR="00AD1395" w:rsidRPr="002813DB" w:rsidRDefault="00AD1395" w:rsidP="00AD1395">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top w:val="double" w:sz="4" w:space="0" w:color="auto"/>
              <w:bottom w:val="single" w:sz="4" w:space="0" w:color="auto"/>
              <w:right w:val="double" w:sz="4" w:space="0" w:color="auto"/>
            </w:tcBorders>
            <w:shd w:val="clear" w:color="auto" w:fill="D9D9D9" w:themeFill="background1" w:themeFillShade="D9"/>
            <w:vAlign w:val="center"/>
          </w:tcPr>
          <w:p w14:paraId="786B7C1C" w14:textId="4F3308FD" w:rsidR="00AD1395" w:rsidRPr="002813DB" w:rsidRDefault="00AD1395" w:rsidP="00AD1395">
            <w:pPr>
              <w:tabs>
                <w:tab w:val="decimal" w:pos="196"/>
              </w:tabs>
              <w:spacing w:line="240" w:lineRule="auto"/>
              <w:jc w:val="center"/>
              <w:rPr>
                <w:rFonts w:cs="Times New Roman"/>
                <w:sz w:val="22"/>
                <w:szCs w:val="22"/>
              </w:rPr>
            </w:pPr>
            <w:r w:rsidRPr="002813DB">
              <w:rPr>
                <w:rFonts w:cs="Times New Roman"/>
                <w:b/>
                <w:sz w:val="22"/>
                <w:szCs w:val="22"/>
              </w:rPr>
              <w:t>0.000</w:t>
            </w:r>
          </w:p>
        </w:tc>
        <w:tc>
          <w:tcPr>
            <w:tcW w:w="1639" w:type="dxa"/>
            <w:tcBorders>
              <w:top w:val="double" w:sz="4" w:space="0" w:color="auto"/>
              <w:bottom w:val="single" w:sz="4" w:space="0" w:color="auto"/>
              <w:right w:val="double" w:sz="4" w:space="0" w:color="auto"/>
            </w:tcBorders>
            <w:shd w:val="clear" w:color="auto" w:fill="D9D9D9" w:themeFill="background1" w:themeFillShade="D9"/>
            <w:vAlign w:val="center"/>
          </w:tcPr>
          <w:p w14:paraId="682E16E0" w14:textId="77777777" w:rsidR="00A35135" w:rsidRPr="002813DB" w:rsidRDefault="004648BD" w:rsidP="00AD1395">
            <w:pPr>
              <w:tabs>
                <w:tab w:val="decimal" w:pos="196"/>
              </w:tabs>
              <w:spacing w:line="240" w:lineRule="auto"/>
              <w:jc w:val="center"/>
              <w:rPr>
                <w:rFonts w:cs="Times New Roman"/>
                <w:b/>
                <w:sz w:val="22"/>
                <w:szCs w:val="22"/>
              </w:rPr>
            </w:pPr>
            <w:r w:rsidRPr="002813DB">
              <w:rPr>
                <w:rFonts w:cs="Times New Roman"/>
                <w:b/>
                <w:sz w:val="22"/>
                <w:szCs w:val="22"/>
              </w:rPr>
              <w:t xml:space="preserve">-0.265 </w:t>
            </w:r>
          </w:p>
          <w:p w14:paraId="4E853190" w14:textId="4B3079EC" w:rsidR="00AD1395" w:rsidRPr="002813DB" w:rsidRDefault="004648BD" w:rsidP="00AD1395">
            <w:pPr>
              <w:tabs>
                <w:tab w:val="decimal" w:pos="196"/>
              </w:tabs>
              <w:spacing w:line="240" w:lineRule="auto"/>
              <w:jc w:val="center"/>
              <w:rPr>
                <w:rFonts w:cs="Times New Roman"/>
                <w:b/>
                <w:sz w:val="22"/>
                <w:szCs w:val="22"/>
              </w:rPr>
            </w:pPr>
            <w:r w:rsidRPr="002813DB">
              <w:rPr>
                <w:rFonts w:cs="Times New Roman"/>
                <w:b/>
                <w:sz w:val="22"/>
                <w:szCs w:val="22"/>
              </w:rPr>
              <w:t>(0.083)</w:t>
            </w:r>
          </w:p>
        </w:tc>
      </w:tr>
      <w:tr w:rsidR="00AD1395" w:rsidRPr="002813DB" w14:paraId="7F37E5F8" w14:textId="77777777" w:rsidTr="002813DB">
        <w:trPr>
          <w:trHeight w:val="576"/>
        </w:trPr>
        <w:tc>
          <w:tcPr>
            <w:tcW w:w="5792" w:type="dxa"/>
            <w:tcBorders>
              <w:left w:val="double" w:sz="4" w:space="0" w:color="auto"/>
              <w:bottom w:val="double" w:sz="4" w:space="0" w:color="auto"/>
              <w:right w:val="double" w:sz="4" w:space="0" w:color="auto"/>
            </w:tcBorders>
            <w:vAlign w:val="center"/>
          </w:tcPr>
          <w:p w14:paraId="1C16AAF3" w14:textId="77777777" w:rsidR="00AD1395" w:rsidRPr="002813DB" w:rsidRDefault="00AD1395" w:rsidP="009570A3">
            <w:pPr>
              <w:spacing w:line="240" w:lineRule="auto"/>
              <w:jc w:val="left"/>
              <w:rPr>
                <w:rFonts w:cs="Times New Roman"/>
                <w:sz w:val="22"/>
                <w:szCs w:val="22"/>
              </w:rPr>
            </w:pPr>
            <w:r w:rsidRPr="002813DB">
              <w:rPr>
                <w:rFonts w:cs="Times New Roman"/>
                <w:sz w:val="22"/>
                <w:szCs w:val="22"/>
              </w:rPr>
              <w:t>Average duration of discretionary activity episodes (hours)</w:t>
            </w:r>
          </w:p>
        </w:tc>
        <w:tc>
          <w:tcPr>
            <w:tcW w:w="1639" w:type="dxa"/>
            <w:tcBorders>
              <w:left w:val="double" w:sz="4" w:space="0" w:color="auto"/>
              <w:bottom w:val="double" w:sz="4" w:space="0" w:color="auto"/>
              <w:right w:val="double" w:sz="4" w:space="0" w:color="auto"/>
            </w:tcBorders>
            <w:vAlign w:val="center"/>
          </w:tcPr>
          <w:p w14:paraId="2CA8E0CE" w14:textId="77777777" w:rsidR="00AD1395" w:rsidRPr="002813DB" w:rsidRDefault="00AD1395" w:rsidP="00335680">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bottom w:val="double" w:sz="4" w:space="0" w:color="auto"/>
              <w:right w:val="double" w:sz="4" w:space="0" w:color="auto"/>
            </w:tcBorders>
            <w:vAlign w:val="center"/>
          </w:tcPr>
          <w:p w14:paraId="65C4FEF9" w14:textId="77777777" w:rsidR="00AD1395" w:rsidRPr="002813DB" w:rsidRDefault="00AD1395" w:rsidP="00335680">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bottom w:val="double" w:sz="4" w:space="0" w:color="auto"/>
              <w:right w:val="double" w:sz="4" w:space="0" w:color="auto"/>
            </w:tcBorders>
            <w:vAlign w:val="center"/>
          </w:tcPr>
          <w:p w14:paraId="04853442" w14:textId="77777777" w:rsidR="00AD1395" w:rsidRPr="002813DB" w:rsidRDefault="00AD1395" w:rsidP="00335680">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bottom w:val="double" w:sz="4" w:space="0" w:color="auto"/>
              <w:right w:val="double" w:sz="4" w:space="0" w:color="auto"/>
            </w:tcBorders>
            <w:vAlign w:val="center"/>
          </w:tcPr>
          <w:p w14:paraId="05328C2A" w14:textId="77777777" w:rsidR="00AD1395" w:rsidRPr="002813DB" w:rsidRDefault="00AD1395" w:rsidP="00335680">
            <w:pPr>
              <w:tabs>
                <w:tab w:val="decimal" w:pos="196"/>
              </w:tabs>
              <w:spacing w:line="240" w:lineRule="auto"/>
              <w:jc w:val="center"/>
              <w:rPr>
                <w:rFonts w:cs="Times New Roman"/>
                <w:sz w:val="22"/>
                <w:szCs w:val="22"/>
              </w:rPr>
            </w:pPr>
            <w:r w:rsidRPr="002813DB">
              <w:rPr>
                <w:rFonts w:cs="Times New Roman"/>
                <w:sz w:val="22"/>
                <w:szCs w:val="22"/>
              </w:rPr>
              <w:t>0.000</w:t>
            </w:r>
          </w:p>
        </w:tc>
      </w:tr>
      <w:tr w:rsidR="00AD1395" w:rsidRPr="002813DB" w14:paraId="1010C03C" w14:textId="77777777" w:rsidTr="002813DB">
        <w:trPr>
          <w:trHeight w:val="576"/>
        </w:trPr>
        <w:tc>
          <w:tcPr>
            <w:tcW w:w="5792" w:type="dxa"/>
            <w:tcBorders>
              <w:top w:val="double" w:sz="4" w:space="0" w:color="auto"/>
              <w:left w:val="double" w:sz="4" w:space="0" w:color="auto"/>
              <w:bottom w:val="double" w:sz="4" w:space="0" w:color="auto"/>
              <w:right w:val="double" w:sz="4" w:space="0" w:color="auto"/>
            </w:tcBorders>
            <w:vAlign w:val="center"/>
          </w:tcPr>
          <w:p w14:paraId="1E7E5C92" w14:textId="0C65F83D" w:rsidR="00AD1395" w:rsidRPr="002813DB" w:rsidRDefault="00AD1395" w:rsidP="009570A3">
            <w:pPr>
              <w:spacing w:line="240" w:lineRule="auto"/>
              <w:jc w:val="left"/>
              <w:rPr>
                <w:rFonts w:cs="Times New Roman"/>
                <w:sz w:val="22"/>
                <w:szCs w:val="22"/>
              </w:rPr>
            </w:pPr>
            <w:r w:rsidRPr="002813DB">
              <w:rPr>
                <w:rFonts w:cs="Times New Roman"/>
                <w:sz w:val="22"/>
                <w:szCs w:val="22"/>
              </w:rPr>
              <w:t xml:space="preserve">Average number of </w:t>
            </w:r>
            <w:r w:rsidR="00F84C6A" w:rsidRPr="002813DB">
              <w:rPr>
                <w:rFonts w:cs="Times New Roman"/>
                <w:sz w:val="22"/>
                <w:szCs w:val="22"/>
              </w:rPr>
              <w:t xml:space="preserve">trips </w:t>
            </w:r>
            <w:r w:rsidRPr="002813DB">
              <w:rPr>
                <w:rFonts w:cs="Times New Roman"/>
                <w:sz w:val="22"/>
                <w:szCs w:val="22"/>
              </w:rPr>
              <w:t xml:space="preserve">per tour </w:t>
            </w:r>
          </w:p>
        </w:tc>
        <w:tc>
          <w:tcPr>
            <w:tcW w:w="1639" w:type="dxa"/>
            <w:tcBorders>
              <w:top w:val="double" w:sz="4" w:space="0" w:color="auto"/>
              <w:left w:val="double" w:sz="4" w:space="0" w:color="auto"/>
              <w:bottom w:val="double" w:sz="4" w:space="0" w:color="auto"/>
              <w:right w:val="double" w:sz="4" w:space="0" w:color="auto"/>
            </w:tcBorders>
            <w:vAlign w:val="center"/>
          </w:tcPr>
          <w:p w14:paraId="70B22214" w14:textId="77777777" w:rsidR="00AD1395" w:rsidRPr="002813DB" w:rsidRDefault="00AD1395" w:rsidP="00335680">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top w:val="double" w:sz="4" w:space="0" w:color="auto"/>
              <w:bottom w:val="double" w:sz="4" w:space="0" w:color="auto"/>
              <w:right w:val="double" w:sz="4" w:space="0" w:color="auto"/>
            </w:tcBorders>
            <w:vAlign w:val="center"/>
          </w:tcPr>
          <w:p w14:paraId="7CD25FAF" w14:textId="77777777" w:rsidR="00AD1395" w:rsidRPr="002813DB" w:rsidRDefault="00AD1395" w:rsidP="00335680">
            <w:pPr>
              <w:tabs>
                <w:tab w:val="decimal" w:pos="196"/>
              </w:tabs>
              <w:spacing w:line="240" w:lineRule="auto"/>
              <w:jc w:val="center"/>
              <w:rPr>
                <w:rFonts w:cs="Times New Roman"/>
                <w:sz w:val="22"/>
                <w:szCs w:val="22"/>
              </w:rPr>
            </w:pPr>
            <w:r w:rsidRPr="002813DB">
              <w:rPr>
                <w:rFonts w:cs="Times New Roman"/>
                <w:sz w:val="22"/>
                <w:szCs w:val="22"/>
              </w:rPr>
              <w:t>0.000</w:t>
            </w:r>
          </w:p>
        </w:tc>
        <w:tc>
          <w:tcPr>
            <w:tcW w:w="1639" w:type="dxa"/>
            <w:tcBorders>
              <w:top w:val="double" w:sz="4" w:space="0" w:color="auto"/>
              <w:bottom w:val="double" w:sz="4" w:space="0" w:color="auto"/>
              <w:right w:val="double" w:sz="4" w:space="0" w:color="auto"/>
            </w:tcBorders>
            <w:shd w:val="clear" w:color="auto" w:fill="D9D9D9" w:themeFill="background1" w:themeFillShade="D9"/>
            <w:vAlign w:val="center"/>
          </w:tcPr>
          <w:p w14:paraId="4C211EE4" w14:textId="77777777" w:rsidR="00A3513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 xml:space="preserve">-0.087 </w:t>
            </w:r>
          </w:p>
          <w:p w14:paraId="37185904" w14:textId="2DAAF0E3" w:rsidR="00AD1395" w:rsidRPr="002813DB" w:rsidRDefault="00AD1395" w:rsidP="00AD1395">
            <w:pPr>
              <w:tabs>
                <w:tab w:val="decimal" w:pos="196"/>
              </w:tabs>
              <w:spacing w:line="240" w:lineRule="auto"/>
              <w:jc w:val="center"/>
              <w:rPr>
                <w:rFonts w:cs="Times New Roman"/>
                <w:b/>
                <w:sz w:val="22"/>
                <w:szCs w:val="22"/>
              </w:rPr>
            </w:pPr>
            <w:r w:rsidRPr="002813DB">
              <w:rPr>
                <w:rFonts w:cs="Times New Roman"/>
                <w:b/>
                <w:sz w:val="22"/>
                <w:szCs w:val="22"/>
              </w:rPr>
              <w:t>(0.018)</w:t>
            </w:r>
          </w:p>
        </w:tc>
        <w:tc>
          <w:tcPr>
            <w:tcW w:w="1639" w:type="dxa"/>
            <w:tcBorders>
              <w:top w:val="double" w:sz="4" w:space="0" w:color="auto"/>
              <w:bottom w:val="double" w:sz="4" w:space="0" w:color="auto"/>
              <w:right w:val="double" w:sz="4" w:space="0" w:color="auto"/>
            </w:tcBorders>
            <w:shd w:val="clear" w:color="auto" w:fill="D9D9D9" w:themeFill="background1" w:themeFillShade="D9"/>
            <w:vAlign w:val="center"/>
          </w:tcPr>
          <w:p w14:paraId="1DC237D1" w14:textId="77777777" w:rsidR="00A35135" w:rsidRPr="002813DB" w:rsidRDefault="004648BD" w:rsidP="004648BD">
            <w:pPr>
              <w:tabs>
                <w:tab w:val="decimal" w:pos="196"/>
              </w:tabs>
              <w:spacing w:line="240" w:lineRule="auto"/>
              <w:jc w:val="center"/>
              <w:rPr>
                <w:rFonts w:cs="Times New Roman"/>
                <w:b/>
                <w:sz w:val="22"/>
                <w:szCs w:val="22"/>
              </w:rPr>
            </w:pPr>
            <w:r w:rsidRPr="002813DB">
              <w:rPr>
                <w:rFonts w:cs="Times New Roman"/>
                <w:b/>
                <w:sz w:val="22"/>
                <w:szCs w:val="22"/>
              </w:rPr>
              <w:t xml:space="preserve">-0.059 </w:t>
            </w:r>
          </w:p>
          <w:p w14:paraId="3C1BC2E6" w14:textId="3EE401AD" w:rsidR="00AD1395" w:rsidRPr="002813DB" w:rsidRDefault="004648BD" w:rsidP="004648BD">
            <w:pPr>
              <w:tabs>
                <w:tab w:val="decimal" w:pos="196"/>
              </w:tabs>
              <w:spacing w:line="240" w:lineRule="auto"/>
              <w:jc w:val="center"/>
              <w:rPr>
                <w:rFonts w:cs="Times New Roman"/>
                <w:b/>
                <w:sz w:val="22"/>
                <w:szCs w:val="22"/>
              </w:rPr>
            </w:pPr>
            <w:r w:rsidRPr="002813DB">
              <w:rPr>
                <w:rFonts w:cs="Times New Roman"/>
                <w:b/>
                <w:sz w:val="22"/>
                <w:szCs w:val="22"/>
              </w:rPr>
              <w:t>(0.011)</w:t>
            </w:r>
          </w:p>
        </w:tc>
      </w:tr>
    </w:tbl>
    <w:p w14:paraId="6DA1D34E" w14:textId="291D532B" w:rsidR="00335680" w:rsidRPr="00EF500C" w:rsidRDefault="004323FD" w:rsidP="004323FD">
      <w:pPr>
        <w:pStyle w:val="ListParagraph"/>
        <w:ind w:left="2832"/>
        <w:rPr>
          <w:sz w:val="20"/>
          <w:szCs w:val="20"/>
        </w:rPr>
      </w:pPr>
      <w:r>
        <w:rPr>
          <w:sz w:val="20"/>
          <w:szCs w:val="20"/>
        </w:rPr>
        <w:t xml:space="preserve">   </w:t>
      </w:r>
    </w:p>
    <w:p w14:paraId="28925C34" w14:textId="77777777" w:rsidR="00614CEB" w:rsidRDefault="00614CEB" w:rsidP="00614CEB">
      <w:pPr>
        <w:spacing w:after="200" w:line="276" w:lineRule="auto"/>
        <w:jc w:val="left"/>
        <w:rPr>
          <w:rFonts w:cs="Times New Roman"/>
          <w:b/>
          <w:sz w:val="24"/>
        </w:rPr>
        <w:sectPr w:rsidR="00614CEB" w:rsidSect="00A35135">
          <w:headerReference w:type="default" r:id="rId23"/>
          <w:footerReference w:type="default" r:id="rId24"/>
          <w:pgSz w:w="15840" w:h="12240" w:orient="landscape" w:code="1"/>
          <w:pgMar w:top="1440" w:right="1440" w:bottom="1440" w:left="1440" w:header="720" w:footer="720" w:gutter="0"/>
          <w:cols w:space="720"/>
          <w:docGrid w:linePitch="360"/>
        </w:sectPr>
      </w:pPr>
    </w:p>
    <w:p w14:paraId="5FD2FA74" w14:textId="29B268FD" w:rsidR="00E654A2" w:rsidRPr="006A34AB" w:rsidRDefault="00E654A2" w:rsidP="002813DB">
      <w:pPr>
        <w:spacing w:after="120" w:line="240" w:lineRule="auto"/>
        <w:rPr>
          <w:rFonts w:cs="Times New Roman"/>
          <w:sz w:val="24"/>
        </w:rPr>
      </w:pPr>
      <w:r w:rsidRPr="006A34AB">
        <w:rPr>
          <w:rFonts w:cs="Times New Roman"/>
          <w:b/>
          <w:sz w:val="24"/>
        </w:rPr>
        <w:lastRenderedPageBreak/>
        <w:t xml:space="preserve">TABLE </w:t>
      </w:r>
      <w:r>
        <w:rPr>
          <w:rFonts w:cs="Times New Roman"/>
          <w:b/>
          <w:sz w:val="24"/>
        </w:rPr>
        <w:t>6</w:t>
      </w:r>
      <w:r w:rsidRPr="006A34AB">
        <w:rPr>
          <w:rFonts w:cs="Times New Roman"/>
          <w:b/>
          <w:sz w:val="24"/>
        </w:rPr>
        <w:t>a. Disaggregate Data Fit Measures</w:t>
      </w:r>
    </w:p>
    <w:p w14:paraId="3BDF158C" w14:textId="77777777" w:rsidR="00E654A2" w:rsidRPr="006A34AB" w:rsidRDefault="00E654A2" w:rsidP="002813DB">
      <w:pPr>
        <w:outlineLvl w:val="0"/>
        <w:rPr>
          <w:rFonts w:cs="Times New Roman"/>
          <w:sz w:val="24"/>
        </w:rPr>
      </w:pPr>
      <w:r w:rsidRPr="006A34AB">
        <w:rPr>
          <w:rFonts w:cs="Times New Roman"/>
          <w:sz w:val="24"/>
        </w:rPr>
        <w:t>(Predictive log-likelihood at constants is -</w:t>
      </w:r>
      <w:r>
        <w:rPr>
          <w:rFonts w:cs="Times New Roman"/>
          <w:sz w:val="24"/>
        </w:rPr>
        <w:t>14,797.67</w:t>
      </w:r>
      <w:r w:rsidRPr="006A34AB">
        <w:rPr>
          <w:rFonts w:cs="Times New Roman"/>
          <w:sz w:val="24"/>
        </w:rPr>
        <w:t>; N=33</w:t>
      </w:r>
      <w:r>
        <w:rPr>
          <w:rFonts w:cs="Times New Roman"/>
          <w:sz w:val="24"/>
        </w:rPr>
        <w:t>19</w:t>
      </w:r>
      <w:r w:rsidRPr="006A34AB">
        <w:rPr>
          <w:rFonts w:cs="Times New Roman"/>
          <w:sz w:val="24"/>
        </w:rPr>
        <w:t>)</w:t>
      </w:r>
    </w:p>
    <w:tbl>
      <w:tblPr>
        <w:tblStyle w:val="TableGrid"/>
        <w:tblW w:w="9117" w:type="dxa"/>
        <w:tblInd w:w="108" w:type="dxa"/>
        <w:tblLook w:val="04A0" w:firstRow="1" w:lastRow="0" w:firstColumn="1" w:lastColumn="0" w:noHBand="0" w:noVBand="1"/>
      </w:tblPr>
      <w:tblGrid>
        <w:gridCol w:w="5598"/>
        <w:gridCol w:w="1759"/>
        <w:gridCol w:w="1760"/>
      </w:tblGrid>
      <w:tr w:rsidR="00E654A2" w:rsidRPr="002813DB" w14:paraId="5B713E21" w14:textId="77777777" w:rsidTr="008B2CB3">
        <w:trPr>
          <w:trHeight w:val="432"/>
        </w:trPr>
        <w:tc>
          <w:tcPr>
            <w:tcW w:w="5598" w:type="dxa"/>
            <w:vMerge w:val="restart"/>
            <w:tcBorders>
              <w:top w:val="double" w:sz="4" w:space="0" w:color="000000"/>
              <w:left w:val="double" w:sz="4" w:space="0" w:color="000000"/>
              <w:right w:val="double" w:sz="4" w:space="0" w:color="auto"/>
            </w:tcBorders>
            <w:vAlign w:val="center"/>
          </w:tcPr>
          <w:p w14:paraId="784A7ACA" w14:textId="77777777" w:rsidR="00E654A2" w:rsidRPr="002813DB" w:rsidRDefault="00E654A2" w:rsidP="00F84C6A">
            <w:pPr>
              <w:spacing w:line="240" w:lineRule="auto"/>
              <w:jc w:val="center"/>
              <w:rPr>
                <w:b/>
                <w:sz w:val="22"/>
                <w:szCs w:val="22"/>
              </w:rPr>
            </w:pPr>
            <w:bookmarkStart w:id="11" w:name="OLE_LINK4"/>
            <w:r w:rsidRPr="002813DB">
              <w:rPr>
                <w:b/>
                <w:sz w:val="22"/>
                <w:szCs w:val="22"/>
              </w:rPr>
              <w:t>Summary Statistics</w:t>
            </w:r>
          </w:p>
        </w:tc>
        <w:tc>
          <w:tcPr>
            <w:tcW w:w="3519" w:type="dxa"/>
            <w:gridSpan w:val="2"/>
            <w:tcBorders>
              <w:top w:val="double" w:sz="4" w:space="0" w:color="000000"/>
              <w:left w:val="double" w:sz="4" w:space="0" w:color="auto"/>
              <w:bottom w:val="double" w:sz="4" w:space="0" w:color="auto"/>
              <w:right w:val="double" w:sz="4" w:space="0" w:color="000000"/>
            </w:tcBorders>
            <w:vAlign w:val="center"/>
          </w:tcPr>
          <w:p w14:paraId="5C559CE7" w14:textId="77777777" w:rsidR="00E654A2" w:rsidRPr="002813DB" w:rsidRDefault="00E654A2" w:rsidP="00F84C6A">
            <w:pPr>
              <w:spacing w:line="240" w:lineRule="auto"/>
              <w:jc w:val="center"/>
              <w:rPr>
                <w:b/>
                <w:sz w:val="22"/>
                <w:szCs w:val="22"/>
              </w:rPr>
            </w:pPr>
            <w:r w:rsidRPr="002813DB">
              <w:rPr>
                <w:b/>
                <w:sz w:val="22"/>
                <w:szCs w:val="22"/>
              </w:rPr>
              <w:t>Model</w:t>
            </w:r>
          </w:p>
        </w:tc>
      </w:tr>
      <w:tr w:rsidR="00E654A2" w:rsidRPr="002813DB" w14:paraId="737DAFF7" w14:textId="77777777" w:rsidTr="008B2CB3">
        <w:trPr>
          <w:trHeight w:val="432"/>
        </w:trPr>
        <w:tc>
          <w:tcPr>
            <w:tcW w:w="5598" w:type="dxa"/>
            <w:vMerge/>
            <w:tcBorders>
              <w:left w:val="double" w:sz="4" w:space="0" w:color="000000"/>
              <w:bottom w:val="double" w:sz="4" w:space="0" w:color="auto"/>
              <w:right w:val="double" w:sz="4" w:space="0" w:color="auto"/>
            </w:tcBorders>
            <w:vAlign w:val="center"/>
          </w:tcPr>
          <w:p w14:paraId="22696DA1" w14:textId="77777777" w:rsidR="00E654A2" w:rsidRPr="002813DB" w:rsidRDefault="00E654A2" w:rsidP="00F84C6A">
            <w:pPr>
              <w:spacing w:line="240" w:lineRule="auto"/>
              <w:jc w:val="center"/>
              <w:rPr>
                <w:b/>
                <w:sz w:val="22"/>
                <w:szCs w:val="22"/>
              </w:rPr>
            </w:pPr>
          </w:p>
        </w:tc>
        <w:tc>
          <w:tcPr>
            <w:tcW w:w="1759" w:type="dxa"/>
            <w:tcBorders>
              <w:top w:val="double" w:sz="4" w:space="0" w:color="auto"/>
              <w:left w:val="double" w:sz="4" w:space="0" w:color="auto"/>
              <w:bottom w:val="double" w:sz="4" w:space="0" w:color="auto"/>
              <w:right w:val="double" w:sz="4" w:space="0" w:color="auto"/>
            </w:tcBorders>
            <w:vAlign w:val="center"/>
          </w:tcPr>
          <w:p w14:paraId="419F73B5" w14:textId="77777777" w:rsidR="00E654A2" w:rsidRPr="002813DB" w:rsidRDefault="00E654A2" w:rsidP="00F84C6A">
            <w:pPr>
              <w:spacing w:line="240" w:lineRule="auto"/>
              <w:jc w:val="center"/>
              <w:rPr>
                <w:b/>
                <w:sz w:val="22"/>
                <w:szCs w:val="22"/>
              </w:rPr>
            </w:pPr>
            <w:r w:rsidRPr="002813DB">
              <w:rPr>
                <w:b/>
                <w:sz w:val="22"/>
                <w:szCs w:val="22"/>
              </w:rPr>
              <w:t>GHDM</w:t>
            </w:r>
          </w:p>
        </w:tc>
        <w:tc>
          <w:tcPr>
            <w:tcW w:w="1760" w:type="dxa"/>
            <w:tcBorders>
              <w:top w:val="double" w:sz="4" w:space="0" w:color="auto"/>
              <w:left w:val="double" w:sz="4" w:space="0" w:color="auto"/>
              <w:bottom w:val="double" w:sz="4" w:space="0" w:color="auto"/>
              <w:right w:val="double" w:sz="4" w:space="0" w:color="000000"/>
            </w:tcBorders>
            <w:vAlign w:val="center"/>
          </w:tcPr>
          <w:p w14:paraId="1D26C5C4" w14:textId="77777777" w:rsidR="00E654A2" w:rsidRPr="002813DB" w:rsidRDefault="00E654A2" w:rsidP="005D7939">
            <w:pPr>
              <w:spacing w:line="240" w:lineRule="auto"/>
              <w:ind w:right="-72"/>
              <w:jc w:val="center"/>
              <w:rPr>
                <w:b/>
                <w:sz w:val="22"/>
                <w:szCs w:val="22"/>
              </w:rPr>
            </w:pPr>
            <w:r w:rsidRPr="002813DB">
              <w:rPr>
                <w:b/>
                <w:sz w:val="22"/>
                <w:szCs w:val="22"/>
              </w:rPr>
              <w:t>IHDM</w:t>
            </w:r>
          </w:p>
        </w:tc>
      </w:tr>
      <w:tr w:rsidR="00E654A2" w:rsidRPr="002813DB" w14:paraId="2F18BE33" w14:textId="77777777" w:rsidTr="008B2CB3">
        <w:trPr>
          <w:trHeight w:val="432"/>
        </w:trPr>
        <w:tc>
          <w:tcPr>
            <w:tcW w:w="5598" w:type="dxa"/>
            <w:tcBorders>
              <w:top w:val="double" w:sz="4" w:space="0" w:color="auto"/>
              <w:left w:val="double" w:sz="4" w:space="0" w:color="000000"/>
              <w:right w:val="double" w:sz="4" w:space="0" w:color="auto"/>
            </w:tcBorders>
            <w:vAlign w:val="center"/>
          </w:tcPr>
          <w:p w14:paraId="37D486AD" w14:textId="4A71F926" w:rsidR="00E654A2" w:rsidRPr="002813DB" w:rsidRDefault="00E654A2" w:rsidP="002813DB">
            <w:pPr>
              <w:spacing w:line="240" w:lineRule="auto"/>
              <w:rPr>
                <w:sz w:val="22"/>
                <w:szCs w:val="22"/>
              </w:rPr>
            </w:pPr>
            <w:r w:rsidRPr="002813DB">
              <w:rPr>
                <w:sz w:val="22"/>
                <w:szCs w:val="22"/>
              </w:rPr>
              <w:t xml:space="preserve">Composite </w:t>
            </w:r>
            <w:r w:rsidR="002813DB">
              <w:rPr>
                <w:sz w:val="22"/>
                <w:szCs w:val="22"/>
              </w:rPr>
              <w:t>m</w:t>
            </w:r>
            <w:r w:rsidRPr="002813DB">
              <w:rPr>
                <w:sz w:val="22"/>
                <w:szCs w:val="22"/>
              </w:rPr>
              <w:t>arginal log-likelihood value at convergence</w:t>
            </w:r>
          </w:p>
        </w:tc>
        <w:tc>
          <w:tcPr>
            <w:tcW w:w="1759" w:type="dxa"/>
            <w:tcBorders>
              <w:top w:val="double" w:sz="4" w:space="0" w:color="auto"/>
              <w:left w:val="double" w:sz="4" w:space="0" w:color="auto"/>
              <w:right w:val="double" w:sz="4" w:space="0" w:color="auto"/>
            </w:tcBorders>
            <w:vAlign w:val="center"/>
          </w:tcPr>
          <w:p w14:paraId="6F3F5CB5" w14:textId="77777777" w:rsidR="00E654A2" w:rsidRPr="002813DB" w:rsidRDefault="00E654A2" w:rsidP="00F84C6A">
            <w:pPr>
              <w:spacing w:line="240" w:lineRule="auto"/>
              <w:jc w:val="center"/>
              <w:rPr>
                <w:sz w:val="22"/>
                <w:szCs w:val="22"/>
              </w:rPr>
            </w:pPr>
            <w:r w:rsidRPr="002813DB">
              <w:rPr>
                <w:sz w:val="22"/>
                <w:szCs w:val="22"/>
              </w:rPr>
              <w:t>-1,058,575</w:t>
            </w:r>
          </w:p>
        </w:tc>
        <w:tc>
          <w:tcPr>
            <w:tcW w:w="1760" w:type="dxa"/>
            <w:tcBorders>
              <w:top w:val="double" w:sz="4" w:space="0" w:color="auto"/>
              <w:left w:val="double" w:sz="4" w:space="0" w:color="auto"/>
              <w:right w:val="double" w:sz="4" w:space="0" w:color="000000"/>
            </w:tcBorders>
            <w:vAlign w:val="center"/>
          </w:tcPr>
          <w:p w14:paraId="6CD47EFE" w14:textId="77777777" w:rsidR="00E654A2" w:rsidRPr="002813DB" w:rsidRDefault="00E654A2" w:rsidP="00F84C6A">
            <w:pPr>
              <w:spacing w:line="240" w:lineRule="auto"/>
              <w:jc w:val="center"/>
              <w:rPr>
                <w:sz w:val="22"/>
                <w:szCs w:val="22"/>
              </w:rPr>
            </w:pPr>
            <w:r w:rsidRPr="002813DB">
              <w:rPr>
                <w:sz w:val="22"/>
                <w:szCs w:val="22"/>
              </w:rPr>
              <w:t>-1,066,129</w:t>
            </w:r>
          </w:p>
        </w:tc>
      </w:tr>
      <w:tr w:rsidR="00E654A2" w:rsidRPr="002813DB" w14:paraId="2DE23B06" w14:textId="77777777" w:rsidTr="008B2CB3">
        <w:trPr>
          <w:trHeight w:val="432"/>
        </w:trPr>
        <w:tc>
          <w:tcPr>
            <w:tcW w:w="5598" w:type="dxa"/>
            <w:tcBorders>
              <w:left w:val="double" w:sz="4" w:space="0" w:color="000000"/>
              <w:right w:val="double" w:sz="4" w:space="0" w:color="auto"/>
            </w:tcBorders>
            <w:vAlign w:val="center"/>
          </w:tcPr>
          <w:p w14:paraId="634581F8" w14:textId="77777777" w:rsidR="00E654A2" w:rsidRPr="002813DB" w:rsidRDefault="00E654A2" w:rsidP="00F84C6A">
            <w:pPr>
              <w:spacing w:line="240" w:lineRule="auto"/>
              <w:rPr>
                <w:sz w:val="22"/>
                <w:szCs w:val="22"/>
              </w:rPr>
            </w:pPr>
            <w:r w:rsidRPr="002813DB">
              <w:rPr>
                <w:sz w:val="22"/>
                <w:szCs w:val="22"/>
              </w:rPr>
              <w:t>Composite Likelihood Information Criterion (CLIC)</w:t>
            </w:r>
          </w:p>
        </w:tc>
        <w:tc>
          <w:tcPr>
            <w:tcW w:w="1759" w:type="dxa"/>
            <w:tcBorders>
              <w:left w:val="double" w:sz="4" w:space="0" w:color="auto"/>
              <w:right w:val="double" w:sz="4" w:space="0" w:color="auto"/>
            </w:tcBorders>
            <w:vAlign w:val="center"/>
          </w:tcPr>
          <w:p w14:paraId="7C97DFF5" w14:textId="77777777" w:rsidR="00E654A2" w:rsidRPr="002813DB" w:rsidRDefault="00E654A2" w:rsidP="00F84C6A">
            <w:pPr>
              <w:spacing w:line="240" w:lineRule="auto"/>
              <w:jc w:val="center"/>
              <w:rPr>
                <w:sz w:val="22"/>
                <w:szCs w:val="22"/>
              </w:rPr>
            </w:pPr>
            <w:r w:rsidRPr="002813DB">
              <w:rPr>
                <w:sz w:val="22"/>
                <w:szCs w:val="22"/>
              </w:rPr>
              <w:t>-1,060,430</w:t>
            </w:r>
          </w:p>
        </w:tc>
        <w:tc>
          <w:tcPr>
            <w:tcW w:w="1760" w:type="dxa"/>
            <w:tcBorders>
              <w:left w:val="double" w:sz="4" w:space="0" w:color="auto"/>
              <w:right w:val="double" w:sz="4" w:space="0" w:color="000000"/>
            </w:tcBorders>
            <w:vAlign w:val="center"/>
          </w:tcPr>
          <w:p w14:paraId="6977A42D" w14:textId="77777777" w:rsidR="00E654A2" w:rsidRPr="002813DB" w:rsidRDefault="00E654A2" w:rsidP="00F84C6A">
            <w:pPr>
              <w:spacing w:line="240" w:lineRule="auto"/>
              <w:jc w:val="center"/>
              <w:rPr>
                <w:sz w:val="22"/>
                <w:szCs w:val="22"/>
              </w:rPr>
            </w:pPr>
            <w:r w:rsidRPr="002813DB">
              <w:rPr>
                <w:sz w:val="22"/>
                <w:szCs w:val="22"/>
              </w:rPr>
              <w:t>-1,067,990</w:t>
            </w:r>
          </w:p>
        </w:tc>
      </w:tr>
      <w:tr w:rsidR="00E654A2" w:rsidRPr="002813DB" w14:paraId="542844F2" w14:textId="77777777" w:rsidTr="008B2CB3">
        <w:trPr>
          <w:trHeight w:val="432"/>
        </w:trPr>
        <w:tc>
          <w:tcPr>
            <w:tcW w:w="5598" w:type="dxa"/>
            <w:tcBorders>
              <w:left w:val="double" w:sz="4" w:space="0" w:color="000000"/>
              <w:right w:val="double" w:sz="4" w:space="0" w:color="auto"/>
            </w:tcBorders>
            <w:vAlign w:val="center"/>
          </w:tcPr>
          <w:p w14:paraId="5AFF2580" w14:textId="77777777" w:rsidR="00E654A2" w:rsidRPr="002813DB" w:rsidRDefault="00E654A2" w:rsidP="00F84C6A">
            <w:pPr>
              <w:spacing w:line="240" w:lineRule="auto"/>
              <w:rPr>
                <w:sz w:val="22"/>
                <w:szCs w:val="22"/>
              </w:rPr>
            </w:pPr>
            <w:r w:rsidRPr="002813DB">
              <w:rPr>
                <w:sz w:val="22"/>
                <w:szCs w:val="22"/>
              </w:rPr>
              <w:t>Predictive log-likelihood at convergence</w:t>
            </w:r>
          </w:p>
        </w:tc>
        <w:tc>
          <w:tcPr>
            <w:tcW w:w="1759" w:type="dxa"/>
            <w:tcBorders>
              <w:left w:val="double" w:sz="4" w:space="0" w:color="auto"/>
              <w:right w:val="double" w:sz="4" w:space="0" w:color="auto"/>
            </w:tcBorders>
            <w:vAlign w:val="center"/>
          </w:tcPr>
          <w:p w14:paraId="094E94EB" w14:textId="486CDA97" w:rsidR="00E654A2" w:rsidRPr="002813DB" w:rsidRDefault="00461FA0" w:rsidP="00F84C6A">
            <w:pPr>
              <w:spacing w:line="240" w:lineRule="auto"/>
              <w:jc w:val="center"/>
              <w:rPr>
                <w:sz w:val="22"/>
                <w:szCs w:val="22"/>
              </w:rPr>
            </w:pPr>
            <w:r w:rsidRPr="002813DB">
              <w:rPr>
                <w:sz w:val="22"/>
                <w:szCs w:val="22"/>
              </w:rPr>
              <w:t>-12,523.98</w:t>
            </w:r>
          </w:p>
        </w:tc>
        <w:tc>
          <w:tcPr>
            <w:tcW w:w="1760" w:type="dxa"/>
            <w:tcBorders>
              <w:left w:val="double" w:sz="4" w:space="0" w:color="auto"/>
              <w:right w:val="double" w:sz="4" w:space="0" w:color="000000"/>
            </w:tcBorders>
            <w:vAlign w:val="center"/>
          </w:tcPr>
          <w:p w14:paraId="26B3A0B0" w14:textId="47E9BA7B" w:rsidR="00E654A2" w:rsidRPr="002813DB" w:rsidRDefault="00461FA0" w:rsidP="00F84C6A">
            <w:pPr>
              <w:spacing w:line="240" w:lineRule="auto"/>
              <w:jc w:val="center"/>
              <w:rPr>
                <w:sz w:val="22"/>
                <w:szCs w:val="22"/>
              </w:rPr>
            </w:pPr>
            <w:r w:rsidRPr="002813DB">
              <w:rPr>
                <w:sz w:val="22"/>
                <w:szCs w:val="22"/>
              </w:rPr>
              <w:t>-13,001.01</w:t>
            </w:r>
          </w:p>
        </w:tc>
      </w:tr>
      <w:tr w:rsidR="00E654A2" w:rsidRPr="002813DB" w14:paraId="231ACA95" w14:textId="77777777" w:rsidTr="008B2CB3">
        <w:trPr>
          <w:trHeight w:val="432"/>
        </w:trPr>
        <w:tc>
          <w:tcPr>
            <w:tcW w:w="5598" w:type="dxa"/>
            <w:tcBorders>
              <w:left w:val="double" w:sz="4" w:space="0" w:color="000000"/>
              <w:right w:val="double" w:sz="4" w:space="0" w:color="auto"/>
            </w:tcBorders>
            <w:vAlign w:val="center"/>
          </w:tcPr>
          <w:p w14:paraId="27E9DCEB" w14:textId="77777777" w:rsidR="00E654A2" w:rsidRPr="002813DB" w:rsidRDefault="00E654A2" w:rsidP="00F84C6A">
            <w:pPr>
              <w:spacing w:line="240" w:lineRule="auto"/>
              <w:rPr>
                <w:sz w:val="22"/>
                <w:szCs w:val="22"/>
              </w:rPr>
            </w:pPr>
            <w:r w:rsidRPr="002813DB">
              <w:rPr>
                <w:sz w:val="22"/>
                <w:szCs w:val="22"/>
              </w:rPr>
              <w:t>Number of parameters</w:t>
            </w:r>
          </w:p>
        </w:tc>
        <w:tc>
          <w:tcPr>
            <w:tcW w:w="1759" w:type="dxa"/>
            <w:tcBorders>
              <w:left w:val="double" w:sz="4" w:space="0" w:color="auto"/>
              <w:right w:val="double" w:sz="4" w:space="0" w:color="auto"/>
            </w:tcBorders>
            <w:vAlign w:val="center"/>
          </w:tcPr>
          <w:p w14:paraId="51CCF784" w14:textId="77777777" w:rsidR="00E654A2" w:rsidRPr="002813DB" w:rsidRDefault="00E654A2" w:rsidP="00F84C6A">
            <w:pPr>
              <w:spacing w:line="240" w:lineRule="auto"/>
              <w:jc w:val="center"/>
              <w:rPr>
                <w:sz w:val="22"/>
                <w:szCs w:val="22"/>
              </w:rPr>
            </w:pPr>
            <w:r w:rsidRPr="002813DB">
              <w:rPr>
                <w:sz w:val="22"/>
                <w:szCs w:val="22"/>
              </w:rPr>
              <w:t>121</w:t>
            </w:r>
          </w:p>
        </w:tc>
        <w:tc>
          <w:tcPr>
            <w:tcW w:w="1760" w:type="dxa"/>
            <w:tcBorders>
              <w:left w:val="double" w:sz="4" w:space="0" w:color="auto"/>
              <w:right w:val="double" w:sz="4" w:space="0" w:color="000000"/>
            </w:tcBorders>
            <w:vAlign w:val="center"/>
          </w:tcPr>
          <w:p w14:paraId="3F405C1E" w14:textId="77777777" w:rsidR="00E654A2" w:rsidRPr="002813DB" w:rsidRDefault="00E654A2" w:rsidP="00F84C6A">
            <w:pPr>
              <w:spacing w:line="240" w:lineRule="auto"/>
              <w:jc w:val="center"/>
              <w:rPr>
                <w:sz w:val="22"/>
                <w:szCs w:val="22"/>
              </w:rPr>
            </w:pPr>
            <w:r w:rsidRPr="002813DB">
              <w:rPr>
                <w:sz w:val="22"/>
                <w:szCs w:val="22"/>
              </w:rPr>
              <w:t>125</w:t>
            </w:r>
          </w:p>
        </w:tc>
      </w:tr>
      <w:tr w:rsidR="00E654A2" w:rsidRPr="002813DB" w14:paraId="417896C8" w14:textId="77777777" w:rsidTr="008B2CB3">
        <w:trPr>
          <w:trHeight w:val="432"/>
        </w:trPr>
        <w:tc>
          <w:tcPr>
            <w:tcW w:w="5598" w:type="dxa"/>
            <w:tcBorders>
              <w:left w:val="double" w:sz="4" w:space="0" w:color="000000"/>
              <w:right w:val="double" w:sz="4" w:space="0" w:color="auto"/>
            </w:tcBorders>
            <w:vAlign w:val="center"/>
          </w:tcPr>
          <w:p w14:paraId="55DA8E3E" w14:textId="77777777" w:rsidR="00E654A2" w:rsidRPr="002813DB" w:rsidRDefault="00E654A2" w:rsidP="00F84C6A">
            <w:pPr>
              <w:spacing w:line="240" w:lineRule="auto"/>
              <w:rPr>
                <w:sz w:val="22"/>
                <w:szCs w:val="22"/>
              </w:rPr>
            </w:pPr>
            <w:r w:rsidRPr="002813DB">
              <w:rPr>
                <w:sz w:val="22"/>
                <w:szCs w:val="22"/>
              </w:rPr>
              <w:t xml:space="preserve">Predictive adjusted likelihood ratio index </w:t>
            </w:r>
          </w:p>
        </w:tc>
        <w:tc>
          <w:tcPr>
            <w:tcW w:w="1759" w:type="dxa"/>
            <w:tcBorders>
              <w:left w:val="double" w:sz="4" w:space="0" w:color="auto"/>
              <w:right w:val="double" w:sz="4" w:space="0" w:color="auto"/>
            </w:tcBorders>
            <w:vAlign w:val="center"/>
          </w:tcPr>
          <w:p w14:paraId="3C8FD1BE" w14:textId="4175E5DE" w:rsidR="00E654A2" w:rsidRPr="002813DB" w:rsidRDefault="00461FA0" w:rsidP="00F84C6A">
            <w:pPr>
              <w:spacing w:line="240" w:lineRule="auto"/>
              <w:jc w:val="center"/>
              <w:rPr>
                <w:sz w:val="22"/>
                <w:szCs w:val="22"/>
              </w:rPr>
            </w:pPr>
            <w:r w:rsidRPr="002813DB">
              <w:rPr>
                <w:sz w:val="22"/>
                <w:szCs w:val="22"/>
              </w:rPr>
              <w:t>0.147</w:t>
            </w:r>
          </w:p>
        </w:tc>
        <w:tc>
          <w:tcPr>
            <w:tcW w:w="1760" w:type="dxa"/>
            <w:tcBorders>
              <w:left w:val="double" w:sz="4" w:space="0" w:color="auto"/>
              <w:right w:val="double" w:sz="4" w:space="0" w:color="000000"/>
            </w:tcBorders>
            <w:vAlign w:val="center"/>
          </w:tcPr>
          <w:p w14:paraId="746E2B1B" w14:textId="4A4B76F3" w:rsidR="00E654A2" w:rsidRPr="002813DB" w:rsidRDefault="00461FA0" w:rsidP="00F84C6A">
            <w:pPr>
              <w:spacing w:line="240" w:lineRule="auto"/>
              <w:jc w:val="center"/>
              <w:rPr>
                <w:sz w:val="22"/>
                <w:szCs w:val="22"/>
              </w:rPr>
            </w:pPr>
            <w:r w:rsidRPr="002813DB">
              <w:rPr>
                <w:sz w:val="22"/>
                <w:szCs w:val="22"/>
              </w:rPr>
              <w:t>0.114</w:t>
            </w:r>
          </w:p>
        </w:tc>
      </w:tr>
      <w:tr w:rsidR="00E654A2" w:rsidRPr="002813DB" w14:paraId="6E65BDCD" w14:textId="77777777" w:rsidTr="008B2CB3">
        <w:trPr>
          <w:trHeight w:val="432"/>
        </w:trPr>
        <w:tc>
          <w:tcPr>
            <w:tcW w:w="5598" w:type="dxa"/>
            <w:tcBorders>
              <w:left w:val="double" w:sz="4" w:space="0" w:color="000000"/>
              <w:bottom w:val="double" w:sz="4" w:space="0" w:color="auto"/>
              <w:right w:val="double" w:sz="4" w:space="0" w:color="auto"/>
            </w:tcBorders>
            <w:vAlign w:val="center"/>
          </w:tcPr>
          <w:p w14:paraId="4A3D46C1" w14:textId="77777777" w:rsidR="00E654A2" w:rsidRPr="002813DB" w:rsidRDefault="00E654A2" w:rsidP="00A35135">
            <w:pPr>
              <w:spacing w:line="240" w:lineRule="auto"/>
              <w:jc w:val="left"/>
              <w:rPr>
                <w:sz w:val="22"/>
                <w:szCs w:val="22"/>
              </w:rPr>
            </w:pPr>
            <w:r w:rsidRPr="002813DB">
              <w:rPr>
                <w:sz w:val="22"/>
                <w:szCs w:val="22"/>
              </w:rPr>
              <w:t xml:space="preserve">Non-nested adjusted likelihood ratio test between the GHDM and IHDM </w:t>
            </w:r>
          </w:p>
        </w:tc>
        <w:tc>
          <w:tcPr>
            <w:tcW w:w="3519" w:type="dxa"/>
            <w:gridSpan w:val="2"/>
            <w:tcBorders>
              <w:left w:val="double" w:sz="4" w:space="0" w:color="auto"/>
              <w:bottom w:val="double" w:sz="4" w:space="0" w:color="auto"/>
              <w:right w:val="double" w:sz="4" w:space="0" w:color="000000"/>
            </w:tcBorders>
            <w:vAlign w:val="center"/>
          </w:tcPr>
          <w:p w14:paraId="2BD03A9F" w14:textId="1528E13F" w:rsidR="00E654A2" w:rsidRPr="002813DB" w:rsidRDefault="00E654A2" w:rsidP="00461FA0">
            <w:pPr>
              <w:spacing w:line="240" w:lineRule="auto"/>
              <w:jc w:val="center"/>
              <w:rPr>
                <w:sz w:val="22"/>
                <w:szCs w:val="22"/>
              </w:rPr>
            </w:pPr>
            <w:r w:rsidRPr="002813DB">
              <w:rPr>
                <w:sz w:val="22"/>
                <w:szCs w:val="22"/>
              </w:rPr>
              <w:t>Φ[-</w:t>
            </w:r>
            <w:r w:rsidR="00461FA0" w:rsidRPr="002813DB">
              <w:rPr>
                <w:sz w:val="22"/>
                <w:szCs w:val="22"/>
              </w:rPr>
              <w:t>30.95</w:t>
            </w:r>
            <w:r w:rsidRPr="002813DB">
              <w:rPr>
                <w:sz w:val="22"/>
                <w:szCs w:val="22"/>
              </w:rPr>
              <w:t>]&lt;&lt;0.0001</w:t>
            </w:r>
          </w:p>
        </w:tc>
      </w:tr>
      <w:bookmarkEnd w:id="11"/>
    </w:tbl>
    <w:p w14:paraId="502F4BB8" w14:textId="77777777" w:rsidR="00E654A2" w:rsidRDefault="00E654A2" w:rsidP="00E654A2">
      <w:pPr>
        <w:rPr>
          <w:rFonts w:cs="Times New Roman"/>
          <w:b/>
        </w:rPr>
      </w:pPr>
    </w:p>
    <w:p w14:paraId="103D9416" w14:textId="77777777" w:rsidR="00807322" w:rsidRPr="006A34AB" w:rsidRDefault="00807322" w:rsidP="00E654A2">
      <w:pPr>
        <w:rPr>
          <w:rFonts w:cs="Times New Roman"/>
          <w:b/>
        </w:rPr>
      </w:pPr>
    </w:p>
    <w:p w14:paraId="4178C190" w14:textId="3C728036" w:rsidR="00E654A2" w:rsidRPr="006A34AB" w:rsidRDefault="00E654A2" w:rsidP="002813DB">
      <w:pPr>
        <w:rPr>
          <w:rFonts w:cs="Times New Roman"/>
          <w:b/>
          <w:sz w:val="24"/>
          <w:szCs w:val="24"/>
        </w:rPr>
      </w:pPr>
      <w:r w:rsidRPr="006A34AB">
        <w:rPr>
          <w:rFonts w:cs="Times New Roman"/>
          <w:b/>
          <w:sz w:val="24"/>
          <w:szCs w:val="24"/>
        </w:rPr>
        <w:t>T</w:t>
      </w:r>
      <w:r w:rsidR="00BB02CF">
        <w:rPr>
          <w:rFonts w:cs="Times New Roman"/>
          <w:b/>
          <w:sz w:val="24"/>
          <w:szCs w:val="24"/>
        </w:rPr>
        <w:t>ABLE</w:t>
      </w:r>
      <w:r w:rsidRPr="006A34AB">
        <w:rPr>
          <w:rFonts w:cs="Times New Roman"/>
          <w:b/>
          <w:sz w:val="24"/>
          <w:szCs w:val="24"/>
        </w:rPr>
        <w:t xml:space="preserve"> </w:t>
      </w:r>
      <w:r>
        <w:rPr>
          <w:rFonts w:cs="Times New Roman"/>
          <w:b/>
          <w:sz w:val="24"/>
          <w:szCs w:val="24"/>
        </w:rPr>
        <w:t>6</w:t>
      </w:r>
      <w:r w:rsidRPr="006A34AB">
        <w:rPr>
          <w:rFonts w:cs="Times New Roman"/>
          <w:b/>
          <w:sz w:val="24"/>
          <w:szCs w:val="24"/>
        </w:rPr>
        <w:t>b. Aggregate Data Fit Measures</w:t>
      </w:r>
    </w:p>
    <w:tbl>
      <w:tblPr>
        <w:tblW w:w="9413" w:type="dxa"/>
        <w:tblInd w:w="58" w:type="dxa"/>
        <w:tblLayout w:type="fixed"/>
        <w:tblLook w:val="04A0" w:firstRow="1" w:lastRow="0" w:firstColumn="1" w:lastColumn="0" w:noHBand="0" w:noVBand="1"/>
      </w:tblPr>
      <w:tblGrid>
        <w:gridCol w:w="3648"/>
        <w:gridCol w:w="1080"/>
        <w:gridCol w:w="1171"/>
        <w:gridCol w:w="1171"/>
        <w:gridCol w:w="1171"/>
        <w:gridCol w:w="1172"/>
      </w:tblGrid>
      <w:tr w:rsidR="00E654A2" w:rsidRPr="002813DB" w14:paraId="4CBDBAB2" w14:textId="77777777" w:rsidTr="008B2CB3">
        <w:trPr>
          <w:trHeight w:val="432"/>
        </w:trPr>
        <w:tc>
          <w:tcPr>
            <w:tcW w:w="3648" w:type="dxa"/>
            <w:vMerge w:val="restart"/>
            <w:tcBorders>
              <w:top w:val="double" w:sz="6" w:space="0" w:color="auto"/>
              <w:left w:val="double" w:sz="6" w:space="0" w:color="auto"/>
              <w:bottom w:val="double" w:sz="6" w:space="0" w:color="000000"/>
              <w:right w:val="double" w:sz="6" w:space="0" w:color="auto"/>
            </w:tcBorders>
            <w:shd w:val="clear" w:color="auto" w:fill="auto"/>
            <w:tcMar>
              <w:left w:w="58" w:type="dxa"/>
              <w:right w:w="58" w:type="dxa"/>
            </w:tcMar>
            <w:vAlign w:val="center"/>
            <w:hideMark/>
          </w:tcPr>
          <w:p w14:paraId="50A6847B" w14:textId="77777777" w:rsidR="00E654A2" w:rsidRPr="002813DB" w:rsidRDefault="00E654A2" w:rsidP="00F84C6A">
            <w:pPr>
              <w:spacing w:line="240" w:lineRule="auto"/>
              <w:jc w:val="center"/>
              <w:rPr>
                <w:rFonts w:eastAsia="Times New Roman" w:cs="Times New Roman"/>
                <w:bCs/>
                <w:color w:val="000000"/>
                <w:sz w:val="21"/>
                <w:szCs w:val="21"/>
              </w:rPr>
            </w:pPr>
            <w:r w:rsidRPr="002813DB">
              <w:rPr>
                <w:rFonts w:eastAsia="Times New Roman" w:cs="Times New Roman"/>
                <w:bCs/>
                <w:color w:val="000000"/>
                <w:sz w:val="21"/>
                <w:szCs w:val="21"/>
              </w:rPr>
              <w:t>Alternative comprising working from home &lt;= twice a year and…</w:t>
            </w:r>
          </w:p>
        </w:tc>
        <w:tc>
          <w:tcPr>
            <w:tcW w:w="1080" w:type="dxa"/>
            <w:vMerge w:val="restart"/>
            <w:tcBorders>
              <w:top w:val="double" w:sz="6" w:space="0" w:color="auto"/>
              <w:left w:val="double" w:sz="6" w:space="0" w:color="auto"/>
              <w:bottom w:val="double" w:sz="6" w:space="0" w:color="000000"/>
              <w:right w:val="double" w:sz="6" w:space="0" w:color="auto"/>
            </w:tcBorders>
            <w:shd w:val="clear" w:color="auto" w:fill="auto"/>
            <w:tcMar>
              <w:left w:w="58" w:type="dxa"/>
              <w:right w:w="58" w:type="dxa"/>
            </w:tcMar>
            <w:vAlign w:val="center"/>
            <w:hideMark/>
          </w:tcPr>
          <w:p w14:paraId="1F35545A" w14:textId="77777777" w:rsidR="00E654A2" w:rsidRPr="002813DB" w:rsidRDefault="00E654A2" w:rsidP="00F84C6A">
            <w:pPr>
              <w:spacing w:line="240" w:lineRule="auto"/>
              <w:jc w:val="center"/>
              <w:rPr>
                <w:rFonts w:eastAsia="Times New Roman" w:cs="Times New Roman"/>
                <w:bCs/>
                <w:color w:val="000000"/>
                <w:sz w:val="21"/>
                <w:szCs w:val="21"/>
              </w:rPr>
            </w:pPr>
            <w:r w:rsidRPr="002813DB">
              <w:rPr>
                <w:rFonts w:eastAsia="Times New Roman" w:cs="Times New Roman"/>
                <w:bCs/>
                <w:color w:val="000000"/>
                <w:sz w:val="21"/>
                <w:szCs w:val="21"/>
              </w:rPr>
              <w:t>Observed Share (%)</w:t>
            </w:r>
          </w:p>
        </w:tc>
        <w:tc>
          <w:tcPr>
            <w:tcW w:w="2342" w:type="dxa"/>
            <w:gridSpan w:val="2"/>
            <w:tcBorders>
              <w:top w:val="double" w:sz="6" w:space="0" w:color="auto"/>
              <w:left w:val="nil"/>
              <w:bottom w:val="single" w:sz="4" w:space="0" w:color="auto"/>
              <w:right w:val="double" w:sz="6" w:space="0" w:color="000000"/>
            </w:tcBorders>
            <w:shd w:val="clear" w:color="auto" w:fill="auto"/>
            <w:tcMar>
              <w:left w:w="58" w:type="dxa"/>
              <w:right w:w="58" w:type="dxa"/>
            </w:tcMar>
            <w:vAlign w:val="center"/>
            <w:hideMark/>
          </w:tcPr>
          <w:p w14:paraId="5BF1C939" w14:textId="77777777" w:rsidR="00E654A2" w:rsidRPr="002813DB" w:rsidRDefault="00E654A2" w:rsidP="00F84C6A">
            <w:pPr>
              <w:spacing w:line="240" w:lineRule="auto"/>
              <w:jc w:val="center"/>
              <w:rPr>
                <w:rFonts w:eastAsia="Times New Roman" w:cs="Times New Roman"/>
                <w:b/>
                <w:bCs/>
                <w:color w:val="000000"/>
                <w:sz w:val="21"/>
                <w:szCs w:val="21"/>
              </w:rPr>
            </w:pPr>
            <w:r w:rsidRPr="002813DB">
              <w:rPr>
                <w:rFonts w:eastAsia="Times New Roman" w:cs="Times New Roman"/>
                <w:b/>
                <w:bCs/>
                <w:color w:val="000000"/>
                <w:sz w:val="21"/>
                <w:szCs w:val="21"/>
              </w:rPr>
              <w:t>GHDM</w:t>
            </w:r>
          </w:p>
        </w:tc>
        <w:tc>
          <w:tcPr>
            <w:tcW w:w="2343" w:type="dxa"/>
            <w:gridSpan w:val="2"/>
            <w:tcBorders>
              <w:top w:val="double" w:sz="6" w:space="0" w:color="auto"/>
              <w:left w:val="nil"/>
              <w:bottom w:val="single" w:sz="4" w:space="0" w:color="auto"/>
              <w:right w:val="double" w:sz="6" w:space="0" w:color="000000"/>
            </w:tcBorders>
            <w:shd w:val="clear" w:color="auto" w:fill="auto"/>
            <w:tcMar>
              <w:left w:w="58" w:type="dxa"/>
              <w:right w:w="58" w:type="dxa"/>
            </w:tcMar>
            <w:vAlign w:val="center"/>
            <w:hideMark/>
          </w:tcPr>
          <w:p w14:paraId="65C18950" w14:textId="77777777" w:rsidR="00E654A2" w:rsidRPr="002813DB" w:rsidRDefault="00E654A2" w:rsidP="00F84C6A">
            <w:pPr>
              <w:spacing w:line="240" w:lineRule="auto"/>
              <w:jc w:val="center"/>
              <w:rPr>
                <w:rFonts w:eastAsia="Times New Roman" w:cs="Times New Roman"/>
                <w:b/>
                <w:bCs/>
                <w:color w:val="000000"/>
                <w:sz w:val="21"/>
                <w:szCs w:val="21"/>
              </w:rPr>
            </w:pPr>
            <w:r w:rsidRPr="002813DB">
              <w:rPr>
                <w:rFonts w:eastAsia="Times New Roman" w:cs="Times New Roman"/>
                <w:b/>
                <w:bCs/>
                <w:color w:val="000000"/>
                <w:sz w:val="21"/>
                <w:szCs w:val="21"/>
              </w:rPr>
              <w:t>IHDM</w:t>
            </w:r>
          </w:p>
        </w:tc>
      </w:tr>
      <w:tr w:rsidR="00A35135" w:rsidRPr="002813DB" w14:paraId="20912FF5" w14:textId="77777777" w:rsidTr="008B2CB3">
        <w:trPr>
          <w:trHeight w:val="460"/>
        </w:trPr>
        <w:tc>
          <w:tcPr>
            <w:tcW w:w="3648"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hideMark/>
          </w:tcPr>
          <w:p w14:paraId="25B02970" w14:textId="77777777" w:rsidR="00A35135" w:rsidRPr="002813DB" w:rsidRDefault="00A35135" w:rsidP="00F84C6A">
            <w:pPr>
              <w:spacing w:line="240" w:lineRule="auto"/>
              <w:jc w:val="left"/>
              <w:rPr>
                <w:rFonts w:eastAsia="Times New Roman" w:cs="Times New Roman"/>
                <w:b/>
                <w:bCs/>
                <w:color w:val="000000"/>
                <w:sz w:val="21"/>
                <w:szCs w:val="21"/>
              </w:rPr>
            </w:pPr>
          </w:p>
        </w:tc>
        <w:tc>
          <w:tcPr>
            <w:tcW w:w="1080" w:type="dxa"/>
            <w:vMerge/>
            <w:tcBorders>
              <w:top w:val="double" w:sz="6" w:space="0" w:color="auto"/>
              <w:left w:val="double" w:sz="6" w:space="0" w:color="auto"/>
              <w:bottom w:val="double" w:sz="6" w:space="0" w:color="000000"/>
              <w:right w:val="double" w:sz="6" w:space="0" w:color="auto"/>
            </w:tcBorders>
            <w:tcMar>
              <w:left w:w="58" w:type="dxa"/>
              <w:right w:w="58" w:type="dxa"/>
            </w:tcMar>
            <w:vAlign w:val="center"/>
            <w:hideMark/>
          </w:tcPr>
          <w:p w14:paraId="7232814E" w14:textId="77777777" w:rsidR="00A35135" w:rsidRPr="002813DB" w:rsidRDefault="00A35135" w:rsidP="00F84C6A">
            <w:pPr>
              <w:spacing w:line="240" w:lineRule="auto"/>
              <w:jc w:val="left"/>
              <w:rPr>
                <w:rFonts w:eastAsia="Times New Roman" w:cs="Times New Roman"/>
                <w:b/>
                <w:bCs/>
                <w:color w:val="000000"/>
                <w:sz w:val="21"/>
                <w:szCs w:val="21"/>
              </w:rPr>
            </w:pPr>
          </w:p>
        </w:tc>
        <w:tc>
          <w:tcPr>
            <w:tcW w:w="1171" w:type="dxa"/>
            <w:tcBorders>
              <w:top w:val="single" w:sz="4" w:space="0" w:color="auto"/>
              <w:left w:val="double" w:sz="6" w:space="0" w:color="auto"/>
              <w:bottom w:val="double" w:sz="6" w:space="0" w:color="auto"/>
              <w:right w:val="single" w:sz="8" w:space="0" w:color="auto"/>
            </w:tcBorders>
            <w:shd w:val="clear" w:color="auto" w:fill="auto"/>
            <w:tcMar>
              <w:left w:w="58" w:type="dxa"/>
              <w:right w:w="58" w:type="dxa"/>
            </w:tcMar>
            <w:vAlign w:val="center"/>
            <w:hideMark/>
          </w:tcPr>
          <w:p w14:paraId="16978274" w14:textId="77777777" w:rsidR="00A35135" w:rsidRPr="002813DB" w:rsidRDefault="00A35135" w:rsidP="00F84C6A">
            <w:pPr>
              <w:spacing w:line="240" w:lineRule="auto"/>
              <w:jc w:val="center"/>
              <w:rPr>
                <w:rFonts w:eastAsia="Times New Roman" w:cs="Times New Roman"/>
                <w:bCs/>
                <w:color w:val="000000"/>
                <w:sz w:val="21"/>
                <w:szCs w:val="21"/>
              </w:rPr>
            </w:pPr>
            <w:r w:rsidRPr="002813DB">
              <w:rPr>
                <w:rFonts w:eastAsia="Times New Roman" w:cs="Times New Roman"/>
                <w:bCs/>
                <w:color w:val="000000"/>
                <w:sz w:val="21"/>
                <w:szCs w:val="21"/>
              </w:rPr>
              <w:t>Predicted Share (%)</w:t>
            </w:r>
          </w:p>
        </w:tc>
        <w:tc>
          <w:tcPr>
            <w:tcW w:w="1171" w:type="dxa"/>
            <w:tcBorders>
              <w:top w:val="single" w:sz="4" w:space="0" w:color="auto"/>
              <w:left w:val="nil"/>
              <w:bottom w:val="double" w:sz="6" w:space="0" w:color="auto"/>
              <w:right w:val="double" w:sz="6" w:space="0" w:color="auto"/>
            </w:tcBorders>
            <w:shd w:val="clear" w:color="auto" w:fill="auto"/>
            <w:tcMar>
              <w:left w:w="58" w:type="dxa"/>
              <w:right w:w="58" w:type="dxa"/>
            </w:tcMar>
            <w:vAlign w:val="center"/>
            <w:hideMark/>
          </w:tcPr>
          <w:p w14:paraId="4D744C05" w14:textId="0E30E0D5" w:rsidR="00A35135" w:rsidRPr="002813DB" w:rsidRDefault="00A35135" w:rsidP="00F84C6A">
            <w:pPr>
              <w:spacing w:line="240" w:lineRule="auto"/>
              <w:jc w:val="center"/>
              <w:rPr>
                <w:rFonts w:eastAsia="Times New Roman" w:cs="Times New Roman"/>
                <w:bCs/>
                <w:color w:val="000000"/>
                <w:sz w:val="21"/>
                <w:szCs w:val="21"/>
              </w:rPr>
            </w:pPr>
            <w:r w:rsidRPr="002813DB">
              <w:rPr>
                <w:rFonts w:eastAsia="Times New Roman" w:cs="Times New Roman"/>
                <w:bCs/>
                <w:color w:val="000000"/>
                <w:sz w:val="21"/>
                <w:szCs w:val="21"/>
              </w:rPr>
              <w:t>APE* (%)</w:t>
            </w:r>
          </w:p>
        </w:tc>
        <w:tc>
          <w:tcPr>
            <w:tcW w:w="1171" w:type="dxa"/>
            <w:tcBorders>
              <w:top w:val="single" w:sz="4" w:space="0" w:color="auto"/>
              <w:left w:val="double" w:sz="6" w:space="0" w:color="auto"/>
              <w:bottom w:val="double" w:sz="6" w:space="0" w:color="auto"/>
              <w:right w:val="single" w:sz="8" w:space="0" w:color="auto"/>
            </w:tcBorders>
            <w:shd w:val="clear" w:color="auto" w:fill="auto"/>
            <w:tcMar>
              <w:left w:w="58" w:type="dxa"/>
              <w:right w:w="58" w:type="dxa"/>
            </w:tcMar>
            <w:vAlign w:val="center"/>
            <w:hideMark/>
          </w:tcPr>
          <w:p w14:paraId="01953848" w14:textId="77777777" w:rsidR="00A35135" w:rsidRPr="002813DB" w:rsidRDefault="00A35135" w:rsidP="00F84C6A">
            <w:pPr>
              <w:spacing w:line="240" w:lineRule="auto"/>
              <w:jc w:val="center"/>
              <w:rPr>
                <w:rFonts w:eastAsia="Times New Roman" w:cs="Times New Roman"/>
                <w:bCs/>
                <w:color w:val="000000"/>
                <w:sz w:val="21"/>
                <w:szCs w:val="21"/>
              </w:rPr>
            </w:pPr>
            <w:r w:rsidRPr="002813DB">
              <w:rPr>
                <w:rFonts w:eastAsia="Times New Roman" w:cs="Times New Roman"/>
                <w:bCs/>
                <w:color w:val="000000"/>
                <w:sz w:val="21"/>
                <w:szCs w:val="21"/>
              </w:rPr>
              <w:t>Predicted Share (%)</w:t>
            </w:r>
          </w:p>
        </w:tc>
        <w:tc>
          <w:tcPr>
            <w:tcW w:w="1172" w:type="dxa"/>
            <w:tcBorders>
              <w:top w:val="single" w:sz="4" w:space="0" w:color="auto"/>
              <w:left w:val="single" w:sz="8" w:space="0" w:color="auto"/>
              <w:bottom w:val="double" w:sz="6" w:space="0" w:color="auto"/>
              <w:right w:val="double" w:sz="6" w:space="0" w:color="auto"/>
            </w:tcBorders>
            <w:shd w:val="clear" w:color="auto" w:fill="auto"/>
            <w:tcMar>
              <w:left w:w="58" w:type="dxa"/>
              <w:right w:w="58" w:type="dxa"/>
            </w:tcMar>
            <w:vAlign w:val="center"/>
            <w:hideMark/>
          </w:tcPr>
          <w:p w14:paraId="549CDB2D" w14:textId="77777777" w:rsidR="00A35135" w:rsidRPr="002813DB" w:rsidRDefault="00A35135" w:rsidP="00F84C6A">
            <w:pPr>
              <w:spacing w:line="240" w:lineRule="auto"/>
              <w:jc w:val="center"/>
              <w:rPr>
                <w:rFonts w:eastAsia="Times New Roman" w:cs="Times New Roman"/>
                <w:bCs/>
                <w:color w:val="000000"/>
                <w:sz w:val="21"/>
                <w:szCs w:val="21"/>
              </w:rPr>
            </w:pPr>
            <w:r w:rsidRPr="002813DB">
              <w:rPr>
                <w:rFonts w:eastAsia="Times New Roman" w:cs="Times New Roman"/>
                <w:bCs/>
                <w:color w:val="000000"/>
                <w:sz w:val="21"/>
                <w:szCs w:val="21"/>
              </w:rPr>
              <w:t>APE* (%)</w:t>
            </w:r>
          </w:p>
        </w:tc>
      </w:tr>
      <w:tr w:rsidR="00835194" w:rsidRPr="002813DB" w14:paraId="7E6FA0BF" w14:textId="77777777" w:rsidTr="008B2CB3">
        <w:trPr>
          <w:trHeight w:val="576"/>
        </w:trPr>
        <w:tc>
          <w:tcPr>
            <w:tcW w:w="3648" w:type="dxa"/>
            <w:tcBorders>
              <w:top w:val="nil"/>
              <w:left w:val="double" w:sz="6" w:space="0" w:color="auto"/>
              <w:bottom w:val="single" w:sz="8" w:space="0" w:color="auto"/>
              <w:right w:val="double" w:sz="6" w:space="0" w:color="auto"/>
            </w:tcBorders>
            <w:shd w:val="clear" w:color="auto" w:fill="auto"/>
            <w:tcMar>
              <w:left w:w="58" w:type="dxa"/>
              <w:right w:w="58" w:type="dxa"/>
            </w:tcMar>
            <w:vAlign w:val="center"/>
            <w:hideMark/>
          </w:tcPr>
          <w:p w14:paraId="39B5FAA7" w14:textId="77777777" w:rsidR="00A35135" w:rsidRPr="002813DB" w:rsidRDefault="00E654A2" w:rsidP="00A35135">
            <w:pPr>
              <w:spacing w:line="240" w:lineRule="auto"/>
              <w:jc w:val="left"/>
              <w:rPr>
                <w:rFonts w:eastAsiaTheme="minorHAnsi" w:cs="Times New Roman"/>
                <w:color w:val="000000"/>
                <w:sz w:val="21"/>
                <w:szCs w:val="21"/>
              </w:rPr>
            </w:pPr>
            <w:r w:rsidRPr="002813DB">
              <w:rPr>
                <w:rFonts w:eastAsiaTheme="minorHAnsi" w:cs="Times New Roman"/>
                <w:color w:val="000000"/>
                <w:sz w:val="21"/>
                <w:szCs w:val="21"/>
              </w:rPr>
              <w:t xml:space="preserve">Freq. of food delivery&lt;once a year, </w:t>
            </w:r>
          </w:p>
          <w:p w14:paraId="194E8C2D" w14:textId="155D9969" w:rsidR="00E654A2" w:rsidRPr="002813DB" w:rsidRDefault="00E654A2" w:rsidP="00A35135">
            <w:pPr>
              <w:spacing w:line="240" w:lineRule="auto"/>
              <w:jc w:val="left"/>
              <w:rPr>
                <w:rFonts w:eastAsia="Times New Roman" w:cs="Times New Roman"/>
                <w:color w:val="000000"/>
                <w:sz w:val="21"/>
                <w:szCs w:val="21"/>
              </w:rPr>
            </w:pPr>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main</w:t>
            </w:r>
            <w:proofErr w:type="gramEnd"/>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episodes=</w:t>
            </w:r>
            <w:proofErr w:type="gramEnd"/>
            <w:r w:rsidRPr="002813DB">
              <w:rPr>
                <w:rFonts w:eastAsiaTheme="minorHAnsi" w:cs="Times New Roman"/>
                <w:color w:val="000000"/>
                <w:sz w:val="21"/>
                <w:szCs w:val="21"/>
              </w:rPr>
              <w:t>1, # disc. episodes = 0</w:t>
            </w:r>
          </w:p>
        </w:tc>
        <w:tc>
          <w:tcPr>
            <w:tcW w:w="1080"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756461E7"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4.489</w:t>
            </w:r>
          </w:p>
        </w:tc>
        <w:tc>
          <w:tcPr>
            <w:tcW w:w="1171" w:type="dxa"/>
            <w:tcBorders>
              <w:top w:val="double" w:sz="6" w:space="0" w:color="auto"/>
              <w:left w:val="nil"/>
              <w:bottom w:val="single" w:sz="8" w:space="0" w:color="auto"/>
              <w:right w:val="single" w:sz="8" w:space="0" w:color="auto"/>
            </w:tcBorders>
            <w:shd w:val="clear" w:color="auto" w:fill="auto"/>
            <w:tcMar>
              <w:left w:w="58" w:type="dxa"/>
              <w:right w:w="58" w:type="dxa"/>
            </w:tcMar>
            <w:vAlign w:val="center"/>
            <w:hideMark/>
          </w:tcPr>
          <w:p w14:paraId="270CC6AB"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3.656</w:t>
            </w:r>
          </w:p>
        </w:tc>
        <w:tc>
          <w:tcPr>
            <w:tcW w:w="1171" w:type="dxa"/>
            <w:tcBorders>
              <w:top w:val="double" w:sz="6" w:space="0" w:color="auto"/>
              <w:left w:val="nil"/>
              <w:bottom w:val="single" w:sz="8" w:space="0" w:color="auto"/>
              <w:right w:val="double" w:sz="6" w:space="0" w:color="auto"/>
            </w:tcBorders>
            <w:shd w:val="clear" w:color="auto" w:fill="auto"/>
            <w:tcMar>
              <w:left w:w="58" w:type="dxa"/>
              <w:right w:w="58" w:type="dxa"/>
            </w:tcMar>
            <w:vAlign w:val="center"/>
            <w:hideMark/>
          </w:tcPr>
          <w:p w14:paraId="302E4964"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18.556</w:t>
            </w:r>
          </w:p>
        </w:tc>
        <w:tc>
          <w:tcPr>
            <w:tcW w:w="1171" w:type="dxa"/>
            <w:tcBorders>
              <w:top w:val="double" w:sz="6" w:space="0" w:color="auto"/>
              <w:left w:val="nil"/>
              <w:bottom w:val="single" w:sz="8" w:space="0" w:color="auto"/>
              <w:right w:val="single" w:sz="8" w:space="0" w:color="auto"/>
            </w:tcBorders>
            <w:shd w:val="clear" w:color="auto" w:fill="auto"/>
            <w:tcMar>
              <w:left w:w="58" w:type="dxa"/>
              <w:right w:w="58" w:type="dxa"/>
            </w:tcMar>
            <w:vAlign w:val="center"/>
            <w:hideMark/>
          </w:tcPr>
          <w:p w14:paraId="7AC24ECD"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3.540</w:t>
            </w:r>
          </w:p>
        </w:tc>
        <w:tc>
          <w:tcPr>
            <w:tcW w:w="1172" w:type="dxa"/>
            <w:tcBorders>
              <w:top w:val="double" w:sz="6" w:space="0" w:color="auto"/>
              <w:left w:val="nil"/>
              <w:bottom w:val="single" w:sz="8" w:space="0" w:color="auto"/>
              <w:right w:val="double" w:sz="6" w:space="0" w:color="auto"/>
            </w:tcBorders>
            <w:shd w:val="clear" w:color="auto" w:fill="auto"/>
            <w:tcMar>
              <w:left w:w="58" w:type="dxa"/>
              <w:right w:w="58" w:type="dxa"/>
            </w:tcMar>
            <w:vAlign w:val="center"/>
            <w:hideMark/>
          </w:tcPr>
          <w:p w14:paraId="0B5607A3"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21.141</w:t>
            </w:r>
          </w:p>
        </w:tc>
      </w:tr>
      <w:tr w:rsidR="00835194" w:rsidRPr="002813DB" w14:paraId="7FEAAD0A" w14:textId="77777777" w:rsidTr="008B2CB3">
        <w:trPr>
          <w:trHeight w:val="576"/>
        </w:trPr>
        <w:tc>
          <w:tcPr>
            <w:tcW w:w="3648" w:type="dxa"/>
            <w:tcBorders>
              <w:top w:val="nil"/>
              <w:left w:val="double" w:sz="6" w:space="0" w:color="auto"/>
              <w:bottom w:val="single" w:sz="8" w:space="0" w:color="auto"/>
              <w:right w:val="double" w:sz="6" w:space="0" w:color="auto"/>
            </w:tcBorders>
            <w:shd w:val="clear" w:color="auto" w:fill="auto"/>
            <w:tcMar>
              <w:left w:w="58" w:type="dxa"/>
              <w:right w:w="58" w:type="dxa"/>
            </w:tcMar>
            <w:vAlign w:val="center"/>
            <w:hideMark/>
          </w:tcPr>
          <w:p w14:paraId="42D30239" w14:textId="77777777" w:rsidR="00A35135" w:rsidRPr="002813DB" w:rsidRDefault="00E654A2" w:rsidP="00A35135">
            <w:pPr>
              <w:spacing w:line="240" w:lineRule="auto"/>
              <w:jc w:val="left"/>
              <w:rPr>
                <w:rFonts w:eastAsiaTheme="minorHAnsi" w:cs="Times New Roman"/>
                <w:color w:val="000000"/>
                <w:sz w:val="21"/>
                <w:szCs w:val="21"/>
              </w:rPr>
            </w:pPr>
            <w:r w:rsidRPr="002813DB">
              <w:rPr>
                <w:rFonts w:eastAsiaTheme="minorHAnsi" w:cs="Times New Roman"/>
                <w:color w:val="000000"/>
                <w:sz w:val="21"/>
                <w:szCs w:val="21"/>
              </w:rPr>
              <w:t xml:space="preserve">Freq. of food delivery&lt;once a year, </w:t>
            </w:r>
          </w:p>
          <w:p w14:paraId="1B76C9DB" w14:textId="34091D93" w:rsidR="00E654A2" w:rsidRPr="002813DB" w:rsidRDefault="00E654A2" w:rsidP="00A35135">
            <w:pPr>
              <w:spacing w:line="240" w:lineRule="auto"/>
              <w:jc w:val="left"/>
              <w:rPr>
                <w:rFonts w:eastAsia="Times New Roman" w:cs="Times New Roman"/>
                <w:color w:val="000000"/>
                <w:sz w:val="21"/>
                <w:szCs w:val="21"/>
              </w:rPr>
            </w:pPr>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main</w:t>
            </w:r>
            <w:proofErr w:type="gramEnd"/>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episodes=</w:t>
            </w:r>
            <w:proofErr w:type="gramEnd"/>
            <w:r w:rsidRPr="002813DB">
              <w:rPr>
                <w:rFonts w:eastAsiaTheme="minorHAnsi" w:cs="Times New Roman"/>
                <w:color w:val="000000"/>
                <w:sz w:val="21"/>
                <w:szCs w:val="21"/>
              </w:rPr>
              <w:t>1, # disc. episodes = 1</w:t>
            </w:r>
          </w:p>
        </w:tc>
        <w:tc>
          <w:tcPr>
            <w:tcW w:w="1080"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372AA3CF"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3.404</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79DB2073"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3.003</w:t>
            </w:r>
          </w:p>
        </w:tc>
        <w:tc>
          <w:tcPr>
            <w:tcW w:w="1171"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6678DD54"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11.780</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5CFBB9A"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4.180</w:t>
            </w:r>
          </w:p>
        </w:tc>
        <w:tc>
          <w:tcPr>
            <w:tcW w:w="1172"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4D5CE5DA"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22.797</w:t>
            </w:r>
          </w:p>
        </w:tc>
      </w:tr>
      <w:tr w:rsidR="00835194" w:rsidRPr="002813DB" w14:paraId="1D515A30" w14:textId="77777777" w:rsidTr="008B2CB3">
        <w:trPr>
          <w:trHeight w:val="576"/>
        </w:trPr>
        <w:tc>
          <w:tcPr>
            <w:tcW w:w="3648" w:type="dxa"/>
            <w:tcBorders>
              <w:top w:val="nil"/>
              <w:left w:val="double" w:sz="6" w:space="0" w:color="auto"/>
              <w:bottom w:val="single" w:sz="8" w:space="0" w:color="auto"/>
              <w:right w:val="double" w:sz="6" w:space="0" w:color="auto"/>
            </w:tcBorders>
            <w:shd w:val="clear" w:color="auto" w:fill="auto"/>
            <w:tcMar>
              <w:left w:w="58" w:type="dxa"/>
              <w:right w:w="58" w:type="dxa"/>
            </w:tcMar>
            <w:vAlign w:val="center"/>
            <w:hideMark/>
          </w:tcPr>
          <w:p w14:paraId="5CC05436" w14:textId="77777777" w:rsidR="00A35135" w:rsidRPr="002813DB" w:rsidRDefault="00E654A2" w:rsidP="00A35135">
            <w:pPr>
              <w:spacing w:line="240" w:lineRule="auto"/>
              <w:jc w:val="left"/>
              <w:rPr>
                <w:rFonts w:eastAsiaTheme="minorHAnsi" w:cs="Times New Roman"/>
                <w:color w:val="000000"/>
                <w:sz w:val="21"/>
                <w:szCs w:val="21"/>
              </w:rPr>
            </w:pPr>
            <w:r w:rsidRPr="002813DB">
              <w:rPr>
                <w:rFonts w:eastAsiaTheme="minorHAnsi" w:cs="Times New Roman"/>
                <w:color w:val="000000"/>
                <w:sz w:val="21"/>
                <w:szCs w:val="21"/>
              </w:rPr>
              <w:t>Freq. of food delivery&lt;once a year,</w:t>
            </w:r>
          </w:p>
          <w:p w14:paraId="68FD5875" w14:textId="0CBC21B4" w:rsidR="00E654A2" w:rsidRPr="002813DB" w:rsidRDefault="00E654A2" w:rsidP="00A35135">
            <w:pPr>
              <w:spacing w:line="240" w:lineRule="auto"/>
              <w:jc w:val="left"/>
              <w:rPr>
                <w:rFonts w:eastAsia="Times New Roman" w:cs="Times New Roman"/>
                <w:color w:val="000000"/>
                <w:sz w:val="21"/>
                <w:szCs w:val="21"/>
              </w:rPr>
            </w:pPr>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main</w:t>
            </w:r>
            <w:proofErr w:type="gramEnd"/>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episodes=</w:t>
            </w:r>
            <w:proofErr w:type="gramEnd"/>
            <w:r w:rsidRPr="002813DB">
              <w:rPr>
                <w:rFonts w:eastAsiaTheme="minorHAnsi" w:cs="Times New Roman"/>
                <w:color w:val="000000"/>
                <w:sz w:val="21"/>
                <w:szCs w:val="21"/>
              </w:rPr>
              <w:t>2, # disc. episodes = 0</w:t>
            </w:r>
          </w:p>
        </w:tc>
        <w:tc>
          <w:tcPr>
            <w:tcW w:w="1080"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5A377C36"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1.958</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1DA4F930"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2.148</w:t>
            </w:r>
          </w:p>
        </w:tc>
        <w:tc>
          <w:tcPr>
            <w:tcW w:w="1171"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5CF86A8C"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9.704</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11C5AF8"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2.504</w:t>
            </w:r>
          </w:p>
        </w:tc>
        <w:tc>
          <w:tcPr>
            <w:tcW w:w="1172"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77DABB53"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27.886</w:t>
            </w:r>
          </w:p>
        </w:tc>
      </w:tr>
      <w:tr w:rsidR="00835194" w:rsidRPr="002813DB" w14:paraId="5979F97C" w14:textId="77777777" w:rsidTr="008B2CB3">
        <w:trPr>
          <w:trHeight w:val="576"/>
        </w:trPr>
        <w:tc>
          <w:tcPr>
            <w:tcW w:w="3648" w:type="dxa"/>
            <w:tcBorders>
              <w:top w:val="nil"/>
              <w:left w:val="double" w:sz="6" w:space="0" w:color="auto"/>
              <w:bottom w:val="single" w:sz="8" w:space="0" w:color="auto"/>
              <w:right w:val="double" w:sz="6" w:space="0" w:color="auto"/>
            </w:tcBorders>
            <w:shd w:val="clear" w:color="auto" w:fill="auto"/>
            <w:tcMar>
              <w:left w:w="58" w:type="dxa"/>
              <w:right w:w="58" w:type="dxa"/>
            </w:tcMar>
            <w:vAlign w:val="center"/>
            <w:hideMark/>
          </w:tcPr>
          <w:p w14:paraId="2865A333" w14:textId="77777777" w:rsidR="00A35135" w:rsidRPr="002813DB" w:rsidRDefault="00E654A2" w:rsidP="00A35135">
            <w:pPr>
              <w:spacing w:line="240" w:lineRule="auto"/>
              <w:jc w:val="left"/>
              <w:rPr>
                <w:rFonts w:eastAsiaTheme="minorHAnsi" w:cs="Times New Roman"/>
                <w:color w:val="000000"/>
                <w:sz w:val="21"/>
                <w:szCs w:val="21"/>
              </w:rPr>
            </w:pPr>
            <w:r w:rsidRPr="002813DB">
              <w:rPr>
                <w:rFonts w:eastAsiaTheme="minorHAnsi" w:cs="Times New Roman"/>
                <w:color w:val="000000"/>
                <w:sz w:val="21"/>
                <w:szCs w:val="21"/>
              </w:rPr>
              <w:t xml:space="preserve">Freq. of food delivery&lt;once a year, </w:t>
            </w:r>
          </w:p>
          <w:p w14:paraId="54FDA0CE" w14:textId="5E32A6D4" w:rsidR="00E654A2" w:rsidRPr="002813DB" w:rsidRDefault="00E654A2" w:rsidP="00A35135">
            <w:pPr>
              <w:spacing w:line="240" w:lineRule="auto"/>
              <w:jc w:val="left"/>
              <w:rPr>
                <w:rFonts w:eastAsia="Times New Roman" w:cs="Times New Roman"/>
                <w:color w:val="000000"/>
                <w:sz w:val="21"/>
                <w:szCs w:val="21"/>
              </w:rPr>
            </w:pPr>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main</w:t>
            </w:r>
            <w:proofErr w:type="gramEnd"/>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episodes=</w:t>
            </w:r>
            <w:proofErr w:type="gramEnd"/>
            <w:r w:rsidRPr="002813DB">
              <w:rPr>
                <w:rFonts w:eastAsiaTheme="minorHAnsi" w:cs="Times New Roman"/>
                <w:color w:val="000000"/>
                <w:sz w:val="21"/>
                <w:szCs w:val="21"/>
              </w:rPr>
              <w:t>2, # disc. episodes = 1</w:t>
            </w:r>
          </w:p>
        </w:tc>
        <w:tc>
          <w:tcPr>
            <w:tcW w:w="1080"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210ECF9C"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2.712</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503F662B"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2.294</w:t>
            </w:r>
          </w:p>
        </w:tc>
        <w:tc>
          <w:tcPr>
            <w:tcW w:w="1171"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2B3F58F0"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15.413</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843B672"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2.011</w:t>
            </w:r>
          </w:p>
        </w:tc>
        <w:tc>
          <w:tcPr>
            <w:tcW w:w="1172"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18BB034A"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25.848</w:t>
            </w:r>
          </w:p>
        </w:tc>
      </w:tr>
      <w:tr w:rsidR="00835194" w:rsidRPr="002813DB" w14:paraId="24A4AB7B" w14:textId="77777777" w:rsidTr="008B2CB3">
        <w:trPr>
          <w:trHeight w:val="576"/>
        </w:trPr>
        <w:tc>
          <w:tcPr>
            <w:tcW w:w="3648" w:type="dxa"/>
            <w:tcBorders>
              <w:top w:val="nil"/>
              <w:left w:val="double" w:sz="6" w:space="0" w:color="auto"/>
              <w:bottom w:val="single" w:sz="8" w:space="0" w:color="auto"/>
              <w:right w:val="double" w:sz="6" w:space="0" w:color="auto"/>
            </w:tcBorders>
            <w:shd w:val="clear" w:color="auto" w:fill="auto"/>
            <w:tcMar>
              <w:left w:w="58" w:type="dxa"/>
              <w:right w:w="58" w:type="dxa"/>
            </w:tcMar>
            <w:vAlign w:val="center"/>
            <w:hideMark/>
          </w:tcPr>
          <w:p w14:paraId="583701E9" w14:textId="77777777" w:rsidR="00A35135" w:rsidRPr="002813DB" w:rsidRDefault="00E654A2" w:rsidP="00A35135">
            <w:pPr>
              <w:spacing w:line="240" w:lineRule="auto"/>
              <w:jc w:val="left"/>
              <w:rPr>
                <w:rFonts w:eastAsiaTheme="minorHAnsi" w:cs="Times New Roman"/>
                <w:color w:val="000000"/>
                <w:sz w:val="21"/>
                <w:szCs w:val="21"/>
              </w:rPr>
            </w:pPr>
            <w:r w:rsidRPr="002813DB">
              <w:rPr>
                <w:rFonts w:eastAsiaTheme="minorHAnsi" w:cs="Times New Roman"/>
                <w:color w:val="000000"/>
                <w:sz w:val="21"/>
                <w:szCs w:val="21"/>
              </w:rPr>
              <w:t xml:space="preserve">Freq. of food delivery&lt;once a month, </w:t>
            </w:r>
          </w:p>
          <w:p w14:paraId="3764EE74" w14:textId="51511AE4" w:rsidR="00E654A2" w:rsidRPr="002813DB" w:rsidRDefault="00E654A2" w:rsidP="00A35135">
            <w:pPr>
              <w:spacing w:line="240" w:lineRule="auto"/>
              <w:jc w:val="left"/>
              <w:rPr>
                <w:rFonts w:eastAsia="Times New Roman" w:cs="Times New Roman"/>
                <w:color w:val="000000"/>
                <w:sz w:val="21"/>
                <w:szCs w:val="21"/>
              </w:rPr>
            </w:pPr>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main</w:t>
            </w:r>
            <w:proofErr w:type="gramEnd"/>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episodes=</w:t>
            </w:r>
            <w:proofErr w:type="gramEnd"/>
            <w:r w:rsidRPr="002813DB">
              <w:rPr>
                <w:rFonts w:eastAsiaTheme="minorHAnsi" w:cs="Times New Roman"/>
                <w:color w:val="000000"/>
                <w:sz w:val="21"/>
                <w:szCs w:val="21"/>
              </w:rPr>
              <w:t>1, # disc. episodes = 0</w:t>
            </w:r>
          </w:p>
        </w:tc>
        <w:tc>
          <w:tcPr>
            <w:tcW w:w="1080"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361C9AE7"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0.572</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26F63B1"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0.738</w:t>
            </w:r>
          </w:p>
        </w:tc>
        <w:tc>
          <w:tcPr>
            <w:tcW w:w="1171"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065033A1"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29.021</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DD94F0D"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0.751</w:t>
            </w:r>
          </w:p>
        </w:tc>
        <w:tc>
          <w:tcPr>
            <w:tcW w:w="1172"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24BA92F6"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31.294</w:t>
            </w:r>
          </w:p>
        </w:tc>
      </w:tr>
      <w:tr w:rsidR="00835194" w:rsidRPr="002813DB" w14:paraId="2AE6C754" w14:textId="77777777" w:rsidTr="008B2CB3">
        <w:trPr>
          <w:trHeight w:val="576"/>
        </w:trPr>
        <w:tc>
          <w:tcPr>
            <w:tcW w:w="3648" w:type="dxa"/>
            <w:tcBorders>
              <w:top w:val="nil"/>
              <w:left w:val="double" w:sz="6" w:space="0" w:color="auto"/>
              <w:bottom w:val="single" w:sz="8" w:space="0" w:color="auto"/>
              <w:right w:val="double" w:sz="6" w:space="0" w:color="auto"/>
            </w:tcBorders>
            <w:shd w:val="clear" w:color="auto" w:fill="auto"/>
            <w:tcMar>
              <w:left w:w="58" w:type="dxa"/>
              <w:right w:w="58" w:type="dxa"/>
            </w:tcMar>
            <w:vAlign w:val="center"/>
            <w:hideMark/>
          </w:tcPr>
          <w:p w14:paraId="2F816F1A" w14:textId="77777777" w:rsidR="00A35135" w:rsidRPr="002813DB" w:rsidRDefault="00E654A2" w:rsidP="00A35135">
            <w:pPr>
              <w:spacing w:line="240" w:lineRule="auto"/>
              <w:jc w:val="left"/>
              <w:rPr>
                <w:rFonts w:eastAsiaTheme="minorHAnsi" w:cs="Times New Roman"/>
                <w:color w:val="000000"/>
                <w:sz w:val="21"/>
                <w:szCs w:val="21"/>
              </w:rPr>
            </w:pPr>
            <w:r w:rsidRPr="002813DB">
              <w:rPr>
                <w:rFonts w:eastAsiaTheme="minorHAnsi" w:cs="Times New Roman"/>
                <w:color w:val="000000"/>
                <w:sz w:val="21"/>
                <w:szCs w:val="21"/>
              </w:rPr>
              <w:t xml:space="preserve">Freq. of food delivery&lt;once a month, </w:t>
            </w:r>
          </w:p>
          <w:p w14:paraId="5C53456E" w14:textId="138FFCDC" w:rsidR="00E654A2" w:rsidRPr="002813DB" w:rsidRDefault="00E654A2" w:rsidP="00A35135">
            <w:pPr>
              <w:spacing w:line="240" w:lineRule="auto"/>
              <w:jc w:val="left"/>
              <w:rPr>
                <w:rFonts w:eastAsia="Times New Roman" w:cs="Times New Roman"/>
                <w:color w:val="000000"/>
                <w:sz w:val="21"/>
                <w:szCs w:val="21"/>
              </w:rPr>
            </w:pPr>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main</w:t>
            </w:r>
            <w:proofErr w:type="gramEnd"/>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episodes=</w:t>
            </w:r>
            <w:proofErr w:type="gramEnd"/>
            <w:r w:rsidRPr="002813DB">
              <w:rPr>
                <w:rFonts w:eastAsiaTheme="minorHAnsi" w:cs="Times New Roman"/>
                <w:color w:val="000000"/>
                <w:sz w:val="21"/>
                <w:szCs w:val="21"/>
              </w:rPr>
              <w:t>1, # disc. episodes = 1</w:t>
            </w:r>
          </w:p>
        </w:tc>
        <w:tc>
          <w:tcPr>
            <w:tcW w:w="1080"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019B6C33"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0.572</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42928ED5"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0.755</w:t>
            </w:r>
          </w:p>
        </w:tc>
        <w:tc>
          <w:tcPr>
            <w:tcW w:w="1171"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0B7E64F7"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31.993</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0AF3FFAC"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0.700</w:t>
            </w:r>
          </w:p>
        </w:tc>
        <w:tc>
          <w:tcPr>
            <w:tcW w:w="1172"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4DA415D7"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22.378</w:t>
            </w:r>
          </w:p>
        </w:tc>
      </w:tr>
      <w:tr w:rsidR="00835194" w:rsidRPr="002813DB" w14:paraId="125E1BDD" w14:textId="77777777" w:rsidTr="008B2CB3">
        <w:trPr>
          <w:trHeight w:val="576"/>
        </w:trPr>
        <w:tc>
          <w:tcPr>
            <w:tcW w:w="3648" w:type="dxa"/>
            <w:tcBorders>
              <w:top w:val="nil"/>
              <w:left w:val="double" w:sz="6" w:space="0" w:color="auto"/>
              <w:bottom w:val="single" w:sz="8" w:space="0" w:color="auto"/>
              <w:right w:val="double" w:sz="6" w:space="0" w:color="auto"/>
            </w:tcBorders>
            <w:shd w:val="clear" w:color="auto" w:fill="auto"/>
            <w:tcMar>
              <w:left w:w="58" w:type="dxa"/>
              <w:right w:w="58" w:type="dxa"/>
            </w:tcMar>
            <w:vAlign w:val="center"/>
            <w:hideMark/>
          </w:tcPr>
          <w:p w14:paraId="15E4312E" w14:textId="77777777" w:rsidR="00A35135" w:rsidRPr="002813DB" w:rsidRDefault="00E654A2" w:rsidP="00A35135">
            <w:pPr>
              <w:spacing w:line="240" w:lineRule="auto"/>
              <w:jc w:val="left"/>
              <w:rPr>
                <w:rFonts w:eastAsiaTheme="minorHAnsi" w:cs="Times New Roman"/>
                <w:color w:val="000000"/>
                <w:sz w:val="21"/>
                <w:szCs w:val="21"/>
              </w:rPr>
            </w:pPr>
            <w:r w:rsidRPr="002813DB">
              <w:rPr>
                <w:rFonts w:eastAsiaTheme="minorHAnsi" w:cs="Times New Roman"/>
                <w:color w:val="000000"/>
                <w:sz w:val="21"/>
                <w:szCs w:val="21"/>
              </w:rPr>
              <w:t xml:space="preserve">Freq. of food delivery&lt;once a month, </w:t>
            </w:r>
          </w:p>
          <w:p w14:paraId="72799C68" w14:textId="6E3F8075" w:rsidR="00E654A2" w:rsidRPr="002813DB" w:rsidRDefault="00E654A2" w:rsidP="00A35135">
            <w:pPr>
              <w:spacing w:line="240" w:lineRule="auto"/>
              <w:jc w:val="left"/>
              <w:rPr>
                <w:rFonts w:eastAsia="Times New Roman" w:cs="Times New Roman"/>
                <w:color w:val="000000"/>
                <w:sz w:val="21"/>
                <w:szCs w:val="21"/>
              </w:rPr>
            </w:pPr>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main</w:t>
            </w:r>
            <w:proofErr w:type="gramEnd"/>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episodes=</w:t>
            </w:r>
            <w:proofErr w:type="gramEnd"/>
            <w:r w:rsidRPr="002813DB">
              <w:rPr>
                <w:rFonts w:eastAsiaTheme="minorHAnsi" w:cs="Times New Roman"/>
                <w:color w:val="000000"/>
                <w:sz w:val="21"/>
                <w:szCs w:val="21"/>
              </w:rPr>
              <w:t xml:space="preserve">2, # disc. episodes = </w:t>
            </w:r>
            <w:r w:rsidR="00FB701E" w:rsidRPr="002813DB">
              <w:rPr>
                <w:rFonts w:eastAsiaTheme="minorHAnsi" w:cs="Times New Roman"/>
                <w:color w:val="000000"/>
                <w:sz w:val="21"/>
                <w:szCs w:val="21"/>
              </w:rPr>
              <w:t>0</w:t>
            </w:r>
          </w:p>
        </w:tc>
        <w:tc>
          <w:tcPr>
            <w:tcW w:w="1080"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3E723924"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0.241</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3F07018E"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0.339</w:t>
            </w:r>
          </w:p>
        </w:tc>
        <w:tc>
          <w:tcPr>
            <w:tcW w:w="1171"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0AD37882"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40.664</w:t>
            </w:r>
          </w:p>
        </w:tc>
        <w:tc>
          <w:tcPr>
            <w:tcW w:w="1171" w:type="dxa"/>
            <w:tcBorders>
              <w:top w:val="nil"/>
              <w:left w:val="nil"/>
              <w:bottom w:val="single" w:sz="8" w:space="0" w:color="auto"/>
              <w:right w:val="single" w:sz="8" w:space="0" w:color="auto"/>
            </w:tcBorders>
            <w:shd w:val="clear" w:color="auto" w:fill="auto"/>
            <w:tcMar>
              <w:left w:w="58" w:type="dxa"/>
              <w:right w:w="58" w:type="dxa"/>
            </w:tcMar>
            <w:vAlign w:val="center"/>
            <w:hideMark/>
          </w:tcPr>
          <w:p w14:paraId="6DC2D77C"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0.376</w:t>
            </w:r>
          </w:p>
        </w:tc>
        <w:tc>
          <w:tcPr>
            <w:tcW w:w="1172"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66D19C17"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56.017</w:t>
            </w:r>
          </w:p>
        </w:tc>
      </w:tr>
      <w:tr w:rsidR="00835194" w:rsidRPr="002813DB" w14:paraId="07627EE9" w14:textId="77777777" w:rsidTr="008B2CB3">
        <w:trPr>
          <w:trHeight w:val="576"/>
        </w:trPr>
        <w:tc>
          <w:tcPr>
            <w:tcW w:w="3648" w:type="dxa"/>
            <w:tcBorders>
              <w:top w:val="nil"/>
              <w:left w:val="double" w:sz="6" w:space="0" w:color="auto"/>
              <w:bottom w:val="double" w:sz="6" w:space="0" w:color="auto"/>
              <w:right w:val="double" w:sz="6" w:space="0" w:color="auto"/>
            </w:tcBorders>
            <w:shd w:val="clear" w:color="auto" w:fill="auto"/>
            <w:tcMar>
              <w:left w:w="58" w:type="dxa"/>
              <w:right w:w="58" w:type="dxa"/>
            </w:tcMar>
            <w:vAlign w:val="center"/>
            <w:hideMark/>
          </w:tcPr>
          <w:p w14:paraId="1530050A" w14:textId="77777777" w:rsidR="00A35135" w:rsidRPr="002813DB" w:rsidRDefault="00E654A2" w:rsidP="00A35135">
            <w:pPr>
              <w:spacing w:line="240" w:lineRule="auto"/>
              <w:jc w:val="left"/>
              <w:rPr>
                <w:rFonts w:eastAsiaTheme="minorHAnsi" w:cs="Times New Roman"/>
                <w:color w:val="000000"/>
                <w:sz w:val="21"/>
                <w:szCs w:val="21"/>
              </w:rPr>
            </w:pPr>
            <w:r w:rsidRPr="002813DB">
              <w:rPr>
                <w:rFonts w:eastAsiaTheme="minorHAnsi" w:cs="Times New Roman"/>
                <w:color w:val="000000"/>
                <w:sz w:val="21"/>
                <w:szCs w:val="21"/>
              </w:rPr>
              <w:t xml:space="preserve">Freq. of food delivery&lt;once a month, </w:t>
            </w:r>
          </w:p>
          <w:p w14:paraId="3F5FAA47" w14:textId="6E3DFFE9" w:rsidR="00E654A2" w:rsidRPr="002813DB" w:rsidRDefault="00E654A2" w:rsidP="00A35135">
            <w:pPr>
              <w:spacing w:line="240" w:lineRule="auto"/>
              <w:jc w:val="left"/>
              <w:rPr>
                <w:rFonts w:eastAsia="Times New Roman" w:cs="Times New Roman"/>
                <w:color w:val="000000"/>
                <w:sz w:val="21"/>
                <w:szCs w:val="21"/>
              </w:rPr>
            </w:pPr>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main</w:t>
            </w:r>
            <w:proofErr w:type="gramEnd"/>
            <w:r w:rsidRPr="002813DB">
              <w:rPr>
                <w:rFonts w:eastAsiaTheme="minorHAnsi" w:cs="Times New Roman"/>
                <w:color w:val="000000"/>
                <w:sz w:val="21"/>
                <w:szCs w:val="21"/>
              </w:rPr>
              <w:t xml:space="preserve">. </w:t>
            </w:r>
            <w:proofErr w:type="gramStart"/>
            <w:r w:rsidRPr="002813DB">
              <w:rPr>
                <w:rFonts w:eastAsiaTheme="minorHAnsi" w:cs="Times New Roman"/>
                <w:color w:val="000000"/>
                <w:sz w:val="21"/>
                <w:szCs w:val="21"/>
              </w:rPr>
              <w:t>episodes=</w:t>
            </w:r>
            <w:proofErr w:type="gramEnd"/>
            <w:r w:rsidRPr="002813DB">
              <w:rPr>
                <w:rFonts w:eastAsiaTheme="minorHAnsi" w:cs="Times New Roman"/>
                <w:color w:val="000000"/>
                <w:sz w:val="21"/>
                <w:szCs w:val="21"/>
              </w:rPr>
              <w:t xml:space="preserve">2, # disc. episodes = </w:t>
            </w:r>
            <w:r w:rsidR="00FB701E" w:rsidRPr="002813DB">
              <w:rPr>
                <w:rFonts w:eastAsiaTheme="minorHAnsi" w:cs="Times New Roman"/>
                <w:color w:val="000000"/>
                <w:sz w:val="21"/>
                <w:szCs w:val="21"/>
              </w:rPr>
              <w:t>1</w:t>
            </w:r>
          </w:p>
        </w:tc>
        <w:tc>
          <w:tcPr>
            <w:tcW w:w="1080" w:type="dxa"/>
            <w:tcBorders>
              <w:top w:val="nil"/>
              <w:left w:val="nil"/>
              <w:bottom w:val="double" w:sz="6" w:space="0" w:color="auto"/>
              <w:right w:val="double" w:sz="6" w:space="0" w:color="auto"/>
            </w:tcBorders>
            <w:shd w:val="clear" w:color="auto" w:fill="auto"/>
            <w:tcMar>
              <w:left w:w="58" w:type="dxa"/>
              <w:right w:w="58" w:type="dxa"/>
            </w:tcMar>
            <w:vAlign w:val="center"/>
            <w:hideMark/>
          </w:tcPr>
          <w:p w14:paraId="54143A16"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0.422</w:t>
            </w:r>
          </w:p>
        </w:tc>
        <w:tc>
          <w:tcPr>
            <w:tcW w:w="1171" w:type="dxa"/>
            <w:tcBorders>
              <w:top w:val="nil"/>
              <w:left w:val="nil"/>
              <w:bottom w:val="double" w:sz="6" w:space="0" w:color="auto"/>
              <w:right w:val="single" w:sz="8" w:space="0" w:color="auto"/>
            </w:tcBorders>
            <w:shd w:val="clear" w:color="auto" w:fill="auto"/>
            <w:tcMar>
              <w:left w:w="58" w:type="dxa"/>
              <w:right w:w="58" w:type="dxa"/>
            </w:tcMar>
            <w:vAlign w:val="center"/>
            <w:hideMark/>
          </w:tcPr>
          <w:p w14:paraId="27054518"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0.299</w:t>
            </w:r>
          </w:p>
        </w:tc>
        <w:tc>
          <w:tcPr>
            <w:tcW w:w="1171"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1038812A"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29.147</w:t>
            </w:r>
          </w:p>
        </w:tc>
        <w:tc>
          <w:tcPr>
            <w:tcW w:w="1171" w:type="dxa"/>
            <w:tcBorders>
              <w:top w:val="nil"/>
              <w:left w:val="nil"/>
              <w:bottom w:val="double" w:sz="6" w:space="0" w:color="auto"/>
              <w:right w:val="single" w:sz="8" w:space="0" w:color="auto"/>
            </w:tcBorders>
            <w:shd w:val="clear" w:color="auto" w:fill="auto"/>
            <w:tcMar>
              <w:left w:w="58" w:type="dxa"/>
              <w:right w:w="58" w:type="dxa"/>
            </w:tcMar>
            <w:vAlign w:val="center"/>
            <w:hideMark/>
          </w:tcPr>
          <w:p w14:paraId="62BFDAC2"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0.250</w:t>
            </w:r>
          </w:p>
        </w:tc>
        <w:tc>
          <w:tcPr>
            <w:tcW w:w="1172" w:type="dxa"/>
            <w:tcBorders>
              <w:top w:val="nil"/>
              <w:left w:val="nil"/>
              <w:bottom w:val="single" w:sz="8" w:space="0" w:color="auto"/>
              <w:right w:val="double" w:sz="6" w:space="0" w:color="auto"/>
            </w:tcBorders>
            <w:shd w:val="clear" w:color="auto" w:fill="auto"/>
            <w:tcMar>
              <w:left w:w="58" w:type="dxa"/>
              <w:right w:w="58" w:type="dxa"/>
            </w:tcMar>
            <w:vAlign w:val="center"/>
            <w:hideMark/>
          </w:tcPr>
          <w:p w14:paraId="75382EA6"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40.758</w:t>
            </w:r>
          </w:p>
        </w:tc>
      </w:tr>
      <w:tr w:rsidR="00E654A2" w:rsidRPr="002813DB" w14:paraId="6BB67B98" w14:textId="77777777" w:rsidTr="008B2CB3">
        <w:trPr>
          <w:trHeight w:val="432"/>
        </w:trPr>
        <w:tc>
          <w:tcPr>
            <w:tcW w:w="4728" w:type="dxa"/>
            <w:gridSpan w:val="2"/>
            <w:tcBorders>
              <w:top w:val="double" w:sz="6" w:space="0" w:color="auto"/>
              <w:left w:val="double" w:sz="6" w:space="0" w:color="auto"/>
              <w:bottom w:val="double" w:sz="6" w:space="0" w:color="auto"/>
              <w:right w:val="double" w:sz="6" w:space="0" w:color="000000"/>
            </w:tcBorders>
            <w:shd w:val="clear" w:color="auto" w:fill="auto"/>
            <w:tcMar>
              <w:left w:w="58" w:type="dxa"/>
              <w:right w:w="58" w:type="dxa"/>
            </w:tcMar>
            <w:vAlign w:val="center"/>
            <w:hideMark/>
          </w:tcPr>
          <w:p w14:paraId="68AB53A2"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Average APE across all combinations</w:t>
            </w:r>
          </w:p>
        </w:tc>
        <w:tc>
          <w:tcPr>
            <w:tcW w:w="2342" w:type="dxa"/>
            <w:gridSpan w:val="2"/>
            <w:tcBorders>
              <w:top w:val="double" w:sz="6" w:space="0" w:color="auto"/>
              <w:left w:val="nil"/>
              <w:bottom w:val="double" w:sz="6" w:space="0" w:color="auto"/>
              <w:right w:val="double" w:sz="6" w:space="0" w:color="000000"/>
            </w:tcBorders>
            <w:shd w:val="clear" w:color="auto" w:fill="auto"/>
            <w:tcMar>
              <w:left w:w="58" w:type="dxa"/>
              <w:right w:w="58" w:type="dxa"/>
            </w:tcMar>
            <w:vAlign w:val="center"/>
            <w:hideMark/>
          </w:tcPr>
          <w:p w14:paraId="0FB46763"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23.285</w:t>
            </w:r>
          </w:p>
        </w:tc>
        <w:tc>
          <w:tcPr>
            <w:tcW w:w="2343" w:type="dxa"/>
            <w:gridSpan w:val="2"/>
            <w:tcBorders>
              <w:top w:val="double" w:sz="6" w:space="0" w:color="auto"/>
              <w:left w:val="nil"/>
              <w:bottom w:val="double" w:sz="6" w:space="0" w:color="auto"/>
              <w:right w:val="double" w:sz="6" w:space="0" w:color="000000"/>
            </w:tcBorders>
            <w:shd w:val="clear" w:color="auto" w:fill="auto"/>
            <w:tcMar>
              <w:left w:w="58" w:type="dxa"/>
              <w:right w:w="58" w:type="dxa"/>
            </w:tcMar>
            <w:vAlign w:val="center"/>
            <w:hideMark/>
          </w:tcPr>
          <w:p w14:paraId="16EF0C45" w14:textId="77777777" w:rsidR="00E654A2" w:rsidRPr="002813DB" w:rsidRDefault="00E654A2" w:rsidP="00F84C6A">
            <w:pPr>
              <w:spacing w:line="240" w:lineRule="auto"/>
              <w:jc w:val="center"/>
              <w:rPr>
                <w:rFonts w:eastAsia="Times New Roman" w:cs="Times New Roman"/>
                <w:color w:val="000000"/>
                <w:sz w:val="21"/>
                <w:szCs w:val="21"/>
              </w:rPr>
            </w:pPr>
            <w:r w:rsidRPr="002813DB">
              <w:rPr>
                <w:rFonts w:eastAsiaTheme="minorHAnsi" w:cs="Times New Roman"/>
                <w:color w:val="000000"/>
                <w:sz w:val="21"/>
                <w:szCs w:val="21"/>
              </w:rPr>
              <w:t>31.015</w:t>
            </w:r>
          </w:p>
        </w:tc>
      </w:tr>
    </w:tbl>
    <w:p w14:paraId="55BEEA5C" w14:textId="77777777" w:rsidR="00E654A2" w:rsidRPr="006A34AB" w:rsidRDefault="00E654A2" w:rsidP="00A35135">
      <w:pPr>
        <w:spacing w:before="60"/>
        <w:ind w:left="180"/>
        <w:rPr>
          <w:rFonts w:cs="Times New Roman"/>
          <w:sz w:val="20"/>
          <w:szCs w:val="20"/>
        </w:rPr>
      </w:pPr>
      <w:r w:rsidRPr="006A34AB">
        <w:rPr>
          <w:rFonts w:cs="Times New Roman"/>
          <w:sz w:val="20"/>
          <w:szCs w:val="20"/>
        </w:rPr>
        <w:t xml:space="preserve">*APE: Absolute Percentage Error </w:t>
      </w:r>
    </w:p>
    <w:p w14:paraId="4F046B48" w14:textId="5FE30AD2" w:rsidR="006003B5" w:rsidRDefault="006003B5">
      <w:pPr>
        <w:spacing w:after="200" w:line="276" w:lineRule="auto"/>
        <w:jc w:val="left"/>
        <w:rPr>
          <w:rFonts w:eastAsia="SimSun" w:cs="Times New Roman"/>
          <w:b/>
          <w:sz w:val="24"/>
        </w:rPr>
      </w:pPr>
    </w:p>
    <w:sectPr w:rsidR="006003B5" w:rsidSect="00A35135">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08B90" w14:textId="77777777" w:rsidR="001E6DA7" w:rsidRDefault="001E6DA7" w:rsidP="00495513">
      <w:pPr>
        <w:spacing w:line="240" w:lineRule="auto"/>
      </w:pPr>
      <w:r>
        <w:separator/>
      </w:r>
    </w:p>
  </w:endnote>
  <w:endnote w:type="continuationSeparator" w:id="0">
    <w:p w14:paraId="1E32B038" w14:textId="77777777" w:rsidR="001E6DA7" w:rsidRDefault="001E6DA7" w:rsidP="00495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8F1B" w14:textId="77777777" w:rsidR="00FC17D0" w:rsidRDefault="00FC17D0" w:rsidP="00D63A2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9D598" w14:textId="3B3FD995" w:rsidR="00FC17D0" w:rsidRDefault="00FC17D0" w:rsidP="00D63A20">
    <w:pPr>
      <w:pStyle w:val="Footer"/>
      <w:jc w:val="center"/>
    </w:pPr>
  </w:p>
  <w:p w14:paraId="060BA8ED" w14:textId="77777777" w:rsidR="00FC17D0" w:rsidRDefault="00FC17D0" w:rsidP="00D63A20">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3ED5A" w14:textId="77777777" w:rsidR="00FC17D0" w:rsidRDefault="00FC17D0" w:rsidP="00D63A20">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53740"/>
      <w:docPartObj>
        <w:docPartGallery w:val="Page Numbers (Bottom of Page)"/>
        <w:docPartUnique/>
      </w:docPartObj>
    </w:sdtPr>
    <w:sdtEndPr>
      <w:rPr>
        <w:sz w:val="24"/>
        <w:szCs w:val="24"/>
      </w:rPr>
    </w:sdtEndPr>
    <w:sdtContent>
      <w:p w14:paraId="40141E9D" w14:textId="5F951494" w:rsidR="00FC17D0" w:rsidRPr="00E52527" w:rsidRDefault="00FC17D0" w:rsidP="00D63A20">
        <w:pPr>
          <w:pStyle w:val="Footer"/>
          <w:jc w:val="center"/>
          <w:rPr>
            <w:sz w:val="24"/>
            <w:szCs w:val="24"/>
          </w:rPr>
        </w:pPr>
        <w:r w:rsidRPr="00E52527">
          <w:rPr>
            <w:sz w:val="24"/>
            <w:szCs w:val="24"/>
          </w:rPr>
          <w:fldChar w:fldCharType="begin"/>
        </w:r>
        <w:r w:rsidRPr="00E52527">
          <w:rPr>
            <w:sz w:val="24"/>
            <w:szCs w:val="24"/>
          </w:rPr>
          <w:instrText>PAGE   \* MERGEFORMAT</w:instrText>
        </w:r>
        <w:r w:rsidRPr="00E52527">
          <w:rPr>
            <w:sz w:val="24"/>
            <w:szCs w:val="24"/>
          </w:rPr>
          <w:fldChar w:fldCharType="separate"/>
        </w:r>
        <w:r w:rsidR="00426BD1" w:rsidRPr="00426BD1">
          <w:rPr>
            <w:noProof/>
            <w:sz w:val="24"/>
            <w:szCs w:val="24"/>
            <w:lang w:val="pt-BR"/>
          </w:rPr>
          <w:t>19</w:t>
        </w:r>
        <w:r w:rsidRPr="00E52527">
          <w:rPr>
            <w:sz w:val="24"/>
            <w:szCs w:val="24"/>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136657"/>
      <w:docPartObj>
        <w:docPartGallery w:val="Page Numbers (Bottom of Page)"/>
        <w:docPartUnique/>
      </w:docPartObj>
    </w:sdtPr>
    <w:sdtEndPr>
      <w:rPr>
        <w:sz w:val="24"/>
        <w:szCs w:val="24"/>
      </w:rPr>
    </w:sdtEndPr>
    <w:sdtContent>
      <w:p w14:paraId="753CFE35" w14:textId="77777777" w:rsidR="00A35135" w:rsidRPr="00E52527" w:rsidRDefault="00A35135" w:rsidP="00D63A20">
        <w:pPr>
          <w:pStyle w:val="Footer"/>
          <w:jc w:val="center"/>
          <w:rPr>
            <w:sz w:val="24"/>
            <w:szCs w:val="24"/>
          </w:rPr>
        </w:pPr>
        <w:r w:rsidRPr="00E52527">
          <w:rPr>
            <w:sz w:val="24"/>
            <w:szCs w:val="24"/>
          </w:rPr>
          <w:fldChar w:fldCharType="begin"/>
        </w:r>
        <w:r w:rsidRPr="00E52527">
          <w:rPr>
            <w:sz w:val="24"/>
            <w:szCs w:val="24"/>
          </w:rPr>
          <w:instrText>PAGE   \* MERGEFORMAT</w:instrText>
        </w:r>
        <w:r w:rsidRPr="00E52527">
          <w:rPr>
            <w:sz w:val="24"/>
            <w:szCs w:val="24"/>
          </w:rPr>
          <w:fldChar w:fldCharType="separate"/>
        </w:r>
        <w:r w:rsidR="00426BD1" w:rsidRPr="00426BD1">
          <w:rPr>
            <w:noProof/>
            <w:sz w:val="24"/>
            <w:szCs w:val="24"/>
            <w:lang w:val="pt-BR"/>
          </w:rPr>
          <w:t>37</w:t>
        </w:r>
        <w:r w:rsidRPr="00E52527">
          <w:rPr>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695242"/>
      <w:docPartObj>
        <w:docPartGallery w:val="Page Numbers (Bottom of Page)"/>
        <w:docPartUnique/>
      </w:docPartObj>
    </w:sdtPr>
    <w:sdtEndPr>
      <w:rPr>
        <w:sz w:val="24"/>
        <w:szCs w:val="24"/>
      </w:rPr>
    </w:sdtEndPr>
    <w:sdtContent>
      <w:p w14:paraId="248C47E2" w14:textId="77777777" w:rsidR="00A35135" w:rsidRPr="00E52527" w:rsidRDefault="00A35135" w:rsidP="00D63A20">
        <w:pPr>
          <w:pStyle w:val="Footer"/>
          <w:jc w:val="center"/>
          <w:rPr>
            <w:sz w:val="24"/>
            <w:szCs w:val="24"/>
          </w:rPr>
        </w:pPr>
        <w:r w:rsidRPr="00E52527">
          <w:rPr>
            <w:sz w:val="24"/>
            <w:szCs w:val="24"/>
          </w:rPr>
          <w:fldChar w:fldCharType="begin"/>
        </w:r>
        <w:r w:rsidRPr="00E52527">
          <w:rPr>
            <w:sz w:val="24"/>
            <w:szCs w:val="24"/>
          </w:rPr>
          <w:instrText>PAGE   \* MERGEFORMAT</w:instrText>
        </w:r>
        <w:r w:rsidRPr="00E52527">
          <w:rPr>
            <w:sz w:val="24"/>
            <w:szCs w:val="24"/>
          </w:rPr>
          <w:fldChar w:fldCharType="separate"/>
        </w:r>
        <w:r w:rsidR="00426BD1" w:rsidRPr="00426BD1">
          <w:rPr>
            <w:noProof/>
            <w:sz w:val="24"/>
            <w:szCs w:val="24"/>
            <w:lang w:val="pt-BR"/>
          </w:rPr>
          <w:t>38</w:t>
        </w:r>
        <w:r w:rsidRPr="00E52527">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734F8" w14:textId="77777777" w:rsidR="001E6DA7" w:rsidRDefault="001E6DA7" w:rsidP="00495513">
      <w:pPr>
        <w:spacing w:line="240" w:lineRule="auto"/>
      </w:pPr>
      <w:r>
        <w:separator/>
      </w:r>
    </w:p>
  </w:footnote>
  <w:footnote w:type="continuationSeparator" w:id="0">
    <w:p w14:paraId="435BDA48" w14:textId="77777777" w:rsidR="001E6DA7" w:rsidRDefault="001E6DA7" w:rsidP="00495513">
      <w:pPr>
        <w:spacing w:line="240" w:lineRule="auto"/>
      </w:pPr>
      <w:r>
        <w:continuationSeparator/>
      </w:r>
    </w:p>
  </w:footnote>
  <w:footnote w:id="1">
    <w:p w14:paraId="7C253595" w14:textId="680A8EAD" w:rsidR="00FC17D0" w:rsidRPr="007B5435" w:rsidRDefault="00FC17D0" w:rsidP="006A5F8F">
      <w:pPr>
        <w:pStyle w:val="FootnoteText"/>
        <w:rPr>
          <w:sz w:val="20"/>
          <w:szCs w:val="20"/>
        </w:rPr>
      </w:pPr>
      <w:r w:rsidRPr="007B5435">
        <w:rPr>
          <w:rStyle w:val="FootnoteReference"/>
          <w:sz w:val="20"/>
          <w:szCs w:val="20"/>
        </w:rPr>
        <w:footnoteRef/>
      </w:r>
      <w:r>
        <w:rPr>
          <w:sz w:val="20"/>
          <w:szCs w:val="20"/>
        </w:rPr>
        <w:t xml:space="preserve"> Similar</w:t>
      </w:r>
      <w:r w:rsidRPr="007B5435">
        <w:rPr>
          <w:sz w:val="20"/>
          <w:szCs w:val="20"/>
        </w:rPr>
        <w:t xml:space="preserve"> to </w:t>
      </w:r>
      <w:proofErr w:type="spellStart"/>
      <w:r w:rsidRPr="007B5435">
        <w:rPr>
          <w:sz w:val="20"/>
          <w:szCs w:val="20"/>
        </w:rPr>
        <w:t>Pawlak</w:t>
      </w:r>
      <w:proofErr w:type="spellEnd"/>
      <w:r w:rsidRPr="007B5435">
        <w:rPr>
          <w:sz w:val="20"/>
          <w:szCs w:val="20"/>
        </w:rPr>
        <w:t xml:space="preserve"> </w:t>
      </w:r>
      <w:r>
        <w:rPr>
          <w:sz w:val="20"/>
          <w:szCs w:val="20"/>
        </w:rPr>
        <w:t>et al. (2015), we consider tele-activities as</w:t>
      </w:r>
      <w:r w:rsidRPr="007B5435">
        <w:rPr>
          <w:sz w:val="20"/>
          <w:szCs w:val="20"/>
        </w:rPr>
        <w:t xml:space="preserve"> those activities that traditionally involve travel but can be conducted remotely by means of ICT (e.g.</w:t>
      </w:r>
      <w:r>
        <w:rPr>
          <w:sz w:val="20"/>
          <w:szCs w:val="20"/>
        </w:rPr>
        <w:t>,</w:t>
      </w:r>
      <w:r w:rsidRPr="007B5435">
        <w:rPr>
          <w:sz w:val="20"/>
          <w:szCs w:val="20"/>
        </w:rPr>
        <w:t xml:space="preserve"> telecommuting). On the other hand, virtual activities </w:t>
      </w:r>
      <w:r>
        <w:rPr>
          <w:sz w:val="20"/>
          <w:szCs w:val="20"/>
        </w:rPr>
        <w:t xml:space="preserve">encompass a broader range of </w:t>
      </w:r>
      <w:r w:rsidRPr="007B5435">
        <w:rPr>
          <w:sz w:val="20"/>
          <w:szCs w:val="20"/>
        </w:rPr>
        <w:t xml:space="preserve">activities </w:t>
      </w:r>
      <w:r>
        <w:rPr>
          <w:sz w:val="20"/>
          <w:szCs w:val="20"/>
        </w:rPr>
        <w:t xml:space="preserve">in the </w:t>
      </w:r>
      <w:r w:rsidRPr="007B5435">
        <w:rPr>
          <w:sz w:val="20"/>
          <w:szCs w:val="20"/>
        </w:rPr>
        <w:t>digital world</w:t>
      </w:r>
      <w:r>
        <w:rPr>
          <w:sz w:val="20"/>
          <w:szCs w:val="20"/>
        </w:rPr>
        <w:t xml:space="preserve">, including tele-activities but also other activities such as </w:t>
      </w:r>
      <w:r w:rsidRPr="007B5435">
        <w:rPr>
          <w:sz w:val="20"/>
          <w:szCs w:val="20"/>
        </w:rPr>
        <w:t xml:space="preserve">microblogging and social media use </w:t>
      </w:r>
      <w:r>
        <w:rPr>
          <w:sz w:val="20"/>
          <w:szCs w:val="20"/>
        </w:rPr>
        <w:t>(</w:t>
      </w:r>
      <w:r w:rsidRPr="007B5435">
        <w:rPr>
          <w:sz w:val="20"/>
          <w:szCs w:val="20"/>
        </w:rPr>
        <w:t>such as Twitter and Facebook)</w:t>
      </w:r>
      <w:r>
        <w:rPr>
          <w:sz w:val="20"/>
          <w:szCs w:val="20"/>
        </w:rPr>
        <w:t xml:space="preserve"> that have no corresponding physical location “twin”</w:t>
      </w:r>
      <w:r w:rsidRPr="007B5435">
        <w:rPr>
          <w:sz w:val="20"/>
          <w:szCs w:val="20"/>
        </w:rPr>
        <w:t xml:space="preserve">. </w:t>
      </w:r>
    </w:p>
  </w:footnote>
  <w:footnote w:id="2">
    <w:p w14:paraId="21AEFC12" w14:textId="0517D4C7" w:rsidR="00FC17D0" w:rsidRPr="00A83CB2" w:rsidRDefault="00FC17D0" w:rsidP="00535C5E">
      <w:pPr>
        <w:pStyle w:val="FootnoteText"/>
        <w:rPr>
          <w:sz w:val="20"/>
          <w:szCs w:val="20"/>
        </w:rPr>
      </w:pPr>
      <w:r w:rsidRPr="00A83CB2">
        <w:rPr>
          <w:rStyle w:val="FootnoteReference"/>
          <w:sz w:val="20"/>
          <w:szCs w:val="20"/>
        </w:rPr>
        <w:footnoteRef/>
      </w:r>
      <w:r w:rsidRPr="00A83CB2">
        <w:rPr>
          <w:sz w:val="20"/>
          <w:szCs w:val="20"/>
        </w:rPr>
        <w:t xml:space="preserve"> </w:t>
      </w:r>
      <w:r>
        <w:rPr>
          <w:sz w:val="20"/>
          <w:szCs w:val="20"/>
        </w:rPr>
        <w:t>Kenyon</w:t>
      </w:r>
      <w:r w:rsidRPr="00A83CB2">
        <w:rPr>
          <w:sz w:val="20"/>
          <w:szCs w:val="20"/>
        </w:rPr>
        <w:t xml:space="preserve"> uses the terms “vir</w:t>
      </w:r>
      <w:r>
        <w:rPr>
          <w:sz w:val="20"/>
          <w:szCs w:val="20"/>
        </w:rPr>
        <w:t>t</w:t>
      </w:r>
      <w:r w:rsidRPr="00A83CB2">
        <w:rPr>
          <w:sz w:val="20"/>
          <w:szCs w:val="20"/>
        </w:rPr>
        <w:t>ual mobility” and “virtual accessibility” interchangeably</w:t>
      </w:r>
      <w:r>
        <w:rPr>
          <w:sz w:val="20"/>
          <w:szCs w:val="20"/>
        </w:rPr>
        <w:t xml:space="preserve"> to refer to the same concept. </w:t>
      </w:r>
      <w:proofErr w:type="spellStart"/>
      <w:r>
        <w:rPr>
          <w:sz w:val="20"/>
          <w:szCs w:val="20"/>
        </w:rPr>
        <w:t>Matous</w:t>
      </w:r>
      <w:proofErr w:type="spellEnd"/>
      <w:r>
        <w:rPr>
          <w:sz w:val="20"/>
          <w:szCs w:val="20"/>
        </w:rPr>
        <w:t xml:space="preserve"> (2017) uses the term </w:t>
      </w:r>
      <w:r w:rsidRPr="00A83CB2">
        <w:rPr>
          <w:sz w:val="20"/>
          <w:szCs w:val="20"/>
        </w:rPr>
        <w:t>“vir</w:t>
      </w:r>
      <w:r>
        <w:rPr>
          <w:sz w:val="20"/>
          <w:szCs w:val="20"/>
        </w:rPr>
        <w:t>t</w:t>
      </w:r>
      <w:r w:rsidRPr="00A83CB2">
        <w:rPr>
          <w:sz w:val="20"/>
          <w:szCs w:val="20"/>
        </w:rPr>
        <w:t>ual mobility”</w:t>
      </w:r>
      <w:r>
        <w:rPr>
          <w:sz w:val="20"/>
          <w:szCs w:val="20"/>
        </w:rPr>
        <w:t xml:space="preserve"> with the same meaning as Kenyon, while </w:t>
      </w:r>
      <w:r w:rsidRPr="00277371">
        <w:rPr>
          <w:sz w:val="20"/>
          <w:szCs w:val="20"/>
        </w:rPr>
        <w:t>van Wee (2015) uses the term “ICT-based accessibility</w:t>
      </w:r>
      <w:r>
        <w:rPr>
          <w:sz w:val="20"/>
          <w:szCs w:val="20"/>
        </w:rPr>
        <w:t>.</w:t>
      </w:r>
      <w:r w:rsidRPr="00277371">
        <w:rPr>
          <w:sz w:val="20"/>
          <w:szCs w:val="20"/>
        </w:rPr>
        <w:t>”</w:t>
      </w:r>
    </w:p>
  </w:footnote>
  <w:footnote w:id="3">
    <w:p w14:paraId="5481542B" w14:textId="4A27548B" w:rsidR="00FC17D0" w:rsidRPr="009A69FC" w:rsidRDefault="00FC17D0">
      <w:pPr>
        <w:pStyle w:val="FootnoteText"/>
        <w:rPr>
          <w:sz w:val="20"/>
          <w:szCs w:val="20"/>
        </w:rPr>
      </w:pPr>
      <w:r w:rsidRPr="009A69FC">
        <w:rPr>
          <w:rStyle w:val="FootnoteReference"/>
          <w:sz w:val="20"/>
          <w:szCs w:val="20"/>
        </w:rPr>
        <w:footnoteRef/>
      </w:r>
      <w:r w:rsidRPr="009A69FC">
        <w:rPr>
          <w:sz w:val="20"/>
          <w:szCs w:val="20"/>
        </w:rPr>
        <w:t xml:space="preserve"> The ATE measures can be computed to reflect the effect of each VAG outcome on the multivariate combination of all the PAG outcomes at once. Further, it is possible to compute also the ATE effect for a multivariate state change of the VAG outcomes at once. But the number of multivariate combinations explode quickly. For a more intuitive presentation, we focus on ATE effects that represent univariate marginal effects of state changes in each VAG outcome variable on each univariate marginal PAG outcome.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88CDF" w14:textId="77777777" w:rsidR="00FC17D0" w:rsidRDefault="00FC17D0" w:rsidP="00D63A20">
    <w:pPr>
      <w:pStyle w:val="Header"/>
      <w:spacing w:before="0"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B3BA0" w14:textId="77777777" w:rsidR="00FC17D0" w:rsidRDefault="00FC17D0" w:rsidP="00D63A20">
    <w:pPr>
      <w:pStyle w:val="Header"/>
      <w:spacing w:before="0"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C50A6" w14:textId="77777777" w:rsidR="00A35135" w:rsidRDefault="00A35135" w:rsidP="00D63A20">
    <w:pPr>
      <w:pStyle w:val="Header"/>
      <w:spacing w:before="0" w:after="0"/>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AEF5D" w14:textId="77777777" w:rsidR="00807322" w:rsidRDefault="00807322" w:rsidP="00D63A20">
    <w:pPr>
      <w:pStyle w:val="Header"/>
      <w:spacing w:before="0"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AE5"/>
    <w:multiLevelType w:val="hybridMultilevel"/>
    <w:tmpl w:val="CC32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9468F"/>
    <w:multiLevelType w:val="hybridMultilevel"/>
    <w:tmpl w:val="0E72A43C"/>
    <w:lvl w:ilvl="0" w:tplc="5D8EA2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359"/>
    <w:multiLevelType w:val="hybridMultilevel"/>
    <w:tmpl w:val="FBDC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81EBE"/>
    <w:multiLevelType w:val="hybridMultilevel"/>
    <w:tmpl w:val="32F44964"/>
    <w:lvl w:ilvl="0" w:tplc="F3AE1E7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D4A21"/>
    <w:multiLevelType w:val="hybridMultilevel"/>
    <w:tmpl w:val="46BC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5181A"/>
    <w:multiLevelType w:val="hybridMultilevel"/>
    <w:tmpl w:val="BE009706"/>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15:restartNumberingAfterBreak="0">
    <w:nsid w:val="226546C2"/>
    <w:multiLevelType w:val="hybridMultilevel"/>
    <w:tmpl w:val="C7E8C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D5E54"/>
    <w:multiLevelType w:val="hybridMultilevel"/>
    <w:tmpl w:val="1B5E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F0228D"/>
    <w:multiLevelType w:val="hybridMultilevel"/>
    <w:tmpl w:val="4318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9213FC"/>
    <w:multiLevelType w:val="hybridMultilevel"/>
    <w:tmpl w:val="1D7C822A"/>
    <w:lvl w:ilvl="0" w:tplc="1C507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64F43"/>
    <w:multiLevelType w:val="multilevel"/>
    <w:tmpl w:val="1DD4D3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1572FF"/>
    <w:multiLevelType w:val="multilevel"/>
    <w:tmpl w:val="8D8A93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3B3C39"/>
    <w:multiLevelType w:val="hybridMultilevel"/>
    <w:tmpl w:val="6B5E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A35DF"/>
    <w:multiLevelType w:val="hybridMultilevel"/>
    <w:tmpl w:val="DE4EF5C2"/>
    <w:lvl w:ilvl="0" w:tplc="061C9D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424C4"/>
    <w:multiLevelType w:val="multilevel"/>
    <w:tmpl w:val="435EE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B2186C"/>
    <w:multiLevelType w:val="hybridMultilevel"/>
    <w:tmpl w:val="16F2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C2979"/>
    <w:multiLevelType w:val="multilevel"/>
    <w:tmpl w:val="7BA4E6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C5206C"/>
    <w:multiLevelType w:val="hybridMultilevel"/>
    <w:tmpl w:val="68BC5F8E"/>
    <w:lvl w:ilvl="0" w:tplc="CD9A4012">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5D61D4"/>
    <w:multiLevelType w:val="hybridMultilevel"/>
    <w:tmpl w:val="9208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C2002"/>
    <w:multiLevelType w:val="hybridMultilevel"/>
    <w:tmpl w:val="4EEAF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9911C1"/>
    <w:multiLevelType w:val="hybridMultilevel"/>
    <w:tmpl w:val="A29CA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8"/>
  </w:num>
  <w:num w:numId="3">
    <w:abstractNumId w:val="18"/>
  </w:num>
  <w:num w:numId="4">
    <w:abstractNumId w:val="1"/>
  </w:num>
  <w:num w:numId="5">
    <w:abstractNumId w:val="7"/>
  </w:num>
  <w:num w:numId="6">
    <w:abstractNumId w:val="4"/>
  </w:num>
  <w:num w:numId="7">
    <w:abstractNumId w:val="3"/>
  </w:num>
  <w:num w:numId="8">
    <w:abstractNumId w:val="6"/>
  </w:num>
  <w:num w:numId="9">
    <w:abstractNumId w:val="2"/>
  </w:num>
  <w:num w:numId="10">
    <w:abstractNumId w:val="12"/>
  </w:num>
  <w:num w:numId="11">
    <w:abstractNumId w:val="5"/>
  </w:num>
  <w:num w:numId="12">
    <w:abstractNumId w:val="0"/>
  </w:num>
  <w:num w:numId="13">
    <w:abstractNumId w:val="15"/>
  </w:num>
  <w:num w:numId="14">
    <w:abstractNumId w:val="14"/>
  </w:num>
  <w:num w:numId="15">
    <w:abstractNumId w:val="19"/>
  </w:num>
  <w:num w:numId="16">
    <w:abstractNumId w:val="11"/>
  </w:num>
  <w:num w:numId="17">
    <w:abstractNumId w:val="16"/>
  </w:num>
  <w:num w:numId="18">
    <w:abstractNumId w:val="9"/>
  </w:num>
  <w:num w:numId="19">
    <w:abstractNumId w:val="10"/>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08"/>
  <w:hyphenationZone w:val="425"/>
  <w:drawingGridHorizontalSpacing w:val="110"/>
  <w:drawingGridVerticalSpacing w:val="2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40"/>
    <w:rsid w:val="000001AF"/>
    <w:rsid w:val="00000267"/>
    <w:rsid w:val="0000051B"/>
    <w:rsid w:val="000009C7"/>
    <w:rsid w:val="00001570"/>
    <w:rsid w:val="00001936"/>
    <w:rsid w:val="00001D4E"/>
    <w:rsid w:val="00002171"/>
    <w:rsid w:val="000027D6"/>
    <w:rsid w:val="00002BD7"/>
    <w:rsid w:val="00002F91"/>
    <w:rsid w:val="00002FF6"/>
    <w:rsid w:val="000038EA"/>
    <w:rsid w:val="00003C09"/>
    <w:rsid w:val="00003F27"/>
    <w:rsid w:val="0000426B"/>
    <w:rsid w:val="000042EA"/>
    <w:rsid w:val="000058BD"/>
    <w:rsid w:val="00005A58"/>
    <w:rsid w:val="00005B5A"/>
    <w:rsid w:val="000061F7"/>
    <w:rsid w:val="0000632E"/>
    <w:rsid w:val="000068DD"/>
    <w:rsid w:val="00006FE9"/>
    <w:rsid w:val="000078EF"/>
    <w:rsid w:val="00010377"/>
    <w:rsid w:val="000105B3"/>
    <w:rsid w:val="00013ACE"/>
    <w:rsid w:val="000141DB"/>
    <w:rsid w:val="0001481F"/>
    <w:rsid w:val="00014FF0"/>
    <w:rsid w:val="00015627"/>
    <w:rsid w:val="00015F0D"/>
    <w:rsid w:val="00015FE9"/>
    <w:rsid w:val="00016B43"/>
    <w:rsid w:val="00016F6D"/>
    <w:rsid w:val="0001708D"/>
    <w:rsid w:val="00017275"/>
    <w:rsid w:val="000174FE"/>
    <w:rsid w:val="0001756C"/>
    <w:rsid w:val="000202BC"/>
    <w:rsid w:val="000208CA"/>
    <w:rsid w:val="00020A33"/>
    <w:rsid w:val="00020B7D"/>
    <w:rsid w:val="00020CFA"/>
    <w:rsid w:val="00020D7B"/>
    <w:rsid w:val="00020DB0"/>
    <w:rsid w:val="000219E9"/>
    <w:rsid w:val="00021CE7"/>
    <w:rsid w:val="000223C9"/>
    <w:rsid w:val="00022D25"/>
    <w:rsid w:val="00023181"/>
    <w:rsid w:val="0002393E"/>
    <w:rsid w:val="00023BA2"/>
    <w:rsid w:val="00023C18"/>
    <w:rsid w:val="000244CA"/>
    <w:rsid w:val="00024878"/>
    <w:rsid w:val="00024A80"/>
    <w:rsid w:val="00025195"/>
    <w:rsid w:val="000252B2"/>
    <w:rsid w:val="00026521"/>
    <w:rsid w:val="000271BF"/>
    <w:rsid w:val="00030C96"/>
    <w:rsid w:val="00031016"/>
    <w:rsid w:val="000329C1"/>
    <w:rsid w:val="00033768"/>
    <w:rsid w:val="00033EEF"/>
    <w:rsid w:val="000342EB"/>
    <w:rsid w:val="000347F7"/>
    <w:rsid w:val="0003500F"/>
    <w:rsid w:val="000351AB"/>
    <w:rsid w:val="0003632F"/>
    <w:rsid w:val="000365D2"/>
    <w:rsid w:val="000379E7"/>
    <w:rsid w:val="00040B0D"/>
    <w:rsid w:val="0004218F"/>
    <w:rsid w:val="000427B9"/>
    <w:rsid w:val="00043412"/>
    <w:rsid w:val="00044EF4"/>
    <w:rsid w:val="00045820"/>
    <w:rsid w:val="000467D5"/>
    <w:rsid w:val="000471E7"/>
    <w:rsid w:val="0004720B"/>
    <w:rsid w:val="0004789D"/>
    <w:rsid w:val="00047F9A"/>
    <w:rsid w:val="000509EF"/>
    <w:rsid w:val="00051003"/>
    <w:rsid w:val="00051D30"/>
    <w:rsid w:val="000520A3"/>
    <w:rsid w:val="00052D0D"/>
    <w:rsid w:val="000532D5"/>
    <w:rsid w:val="00053DBB"/>
    <w:rsid w:val="00053F33"/>
    <w:rsid w:val="000544E4"/>
    <w:rsid w:val="00054828"/>
    <w:rsid w:val="00055FF9"/>
    <w:rsid w:val="000565D3"/>
    <w:rsid w:val="00057723"/>
    <w:rsid w:val="00057FCB"/>
    <w:rsid w:val="00060A57"/>
    <w:rsid w:val="00060BC2"/>
    <w:rsid w:val="000613D6"/>
    <w:rsid w:val="000630EC"/>
    <w:rsid w:val="00063593"/>
    <w:rsid w:val="000635DF"/>
    <w:rsid w:val="00063CFD"/>
    <w:rsid w:val="00063E42"/>
    <w:rsid w:val="00064F02"/>
    <w:rsid w:val="00064F2F"/>
    <w:rsid w:val="0006535F"/>
    <w:rsid w:val="0006542B"/>
    <w:rsid w:val="00065665"/>
    <w:rsid w:val="00065B6E"/>
    <w:rsid w:val="00065F80"/>
    <w:rsid w:val="0006622F"/>
    <w:rsid w:val="00066295"/>
    <w:rsid w:val="0006642A"/>
    <w:rsid w:val="00066769"/>
    <w:rsid w:val="00066B7F"/>
    <w:rsid w:val="00066C63"/>
    <w:rsid w:val="0006762A"/>
    <w:rsid w:val="00070137"/>
    <w:rsid w:val="000703A6"/>
    <w:rsid w:val="00070E8C"/>
    <w:rsid w:val="0007182F"/>
    <w:rsid w:val="00071C9F"/>
    <w:rsid w:val="00071ED2"/>
    <w:rsid w:val="000724C5"/>
    <w:rsid w:val="00072E54"/>
    <w:rsid w:val="00073675"/>
    <w:rsid w:val="00073A29"/>
    <w:rsid w:val="00073EEC"/>
    <w:rsid w:val="00073FD8"/>
    <w:rsid w:val="00074024"/>
    <w:rsid w:val="00074127"/>
    <w:rsid w:val="00074586"/>
    <w:rsid w:val="0007509E"/>
    <w:rsid w:val="00076223"/>
    <w:rsid w:val="0007762E"/>
    <w:rsid w:val="0007768B"/>
    <w:rsid w:val="0007779E"/>
    <w:rsid w:val="00077959"/>
    <w:rsid w:val="00077C33"/>
    <w:rsid w:val="00077D6A"/>
    <w:rsid w:val="000804FC"/>
    <w:rsid w:val="000806D5"/>
    <w:rsid w:val="00080A7B"/>
    <w:rsid w:val="00080C45"/>
    <w:rsid w:val="00080F8C"/>
    <w:rsid w:val="000813A6"/>
    <w:rsid w:val="000816F2"/>
    <w:rsid w:val="000817D5"/>
    <w:rsid w:val="0008250F"/>
    <w:rsid w:val="00082637"/>
    <w:rsid w:val="00082801"/>
    <w:rsid w:val="000831A0"/>
    <w:rsid w:val="000836F3"/>
    <w:rsid w:val="000838FA"/>
    <w:rsid w:val="00083EB5"/>
    <w:rsid w:val="00084847"/>
    <w:rsid w:val="000853D7"/>
    <w:rsid w:val="00085800"/>
    <w:rsid w:val="00086954"/>
    <w:rsid w:val="00086973"/>
    <w:rsid w:val="000869B2"/>
    <w:rsid w:val="00087EEC"/>
    <w:rsid w:val="000902D2"/>
    <w:rsid w:val="00090A6E"/>
    <w:rsid w:val="00091512"/>
    <w:rsid w:val="00092120"/>
    <w:rsid w:val="00092361"/>
    <w:rsid w:val="00092A01"/>
    <w:rsid w:val="00093A46"/>
    <w:rsid w:val="00093F5E"/>
    <w:rsid w:val="00094773"/>
    <w:rsid w:val="000950B7"/>
    <w:rsid w:val="000951EA"/>
    <w:rsid w:val="00095439"/>
    <w:rsid w:val="000961EC"/>
    <w:rsid w:val="00096A12"/>
    <w:rsid w:val="00096E5A"/>
    <w:rsid w:val="000971EB"/>
    <w:rsid w:val="00097407"/>
    <w:rsid w:val="00097AFA"/>
    <w:rsid w:val="00097E96"/>
    <w:rsid w:val="000A00A2"/>
    <w:rsid w:val="000A00D7"/>
    <w:rsid w:val="000A03DF"/>
    <w:rsid w:val="000A0C8D"/>
    <w:rsid w:val="000A1645"/>
    <w:rsid w:val="000A2355"/>
    <w:rsid w:val="000A2E0B"/>
    <w:rsid w:val="000A40AA"/>
    <w:rsid w:val="000A437F"/>
    <w:rsid w:val="000A4476"/>
    <w:rsid w:val="000A448A"/>
    <w:rsid w:val="000A44A2"/>
    <w:rsid w:val="000A4C82"/>
    <w:rsid w:val="000A4DB3"/>
    <w:rsid w:val="000A4E70"/>
    <w:rsid w:val="000A5063"/>
    <w:rsid w:val="000A517B"/>
    <w:rsid w:val="000A55A1"/>
    <w:rsid w:val="000A58E7"/>
    <w:rsid w:val="000A5D05"/>
    <w:rsid w:val="000A7048"/>
    <w:rsid w:val="000A70E4"/>
    <w:rsid w:val="000A70F4"/>
    <w:rsid w:val="000A7130"/>
    <w:rsid w:val="000A7DFE"/>
    <w:rsid w:val="000A7F81"/>
    <w:rsid w:val="000B0034"/>
    <w:rsid w:val="000B019C"/>
    <w:rsid w:val="000B099A"/>
    <w:rsid w:val="000B10AF"/>
    <w:rsid w:val="000B16CE"/>
    <w:rsid w:val="000B1810"/>
    <w:rsid w:val="000B1D6A"/>
    <w:rsid w:val="000B2817"/>
    <w:rsid w:val="000B2AF6"/>
    <w:rsid w:val="000B2B90"/>
    <w:rsid w:val="000B2B9F"/>
    <w:rsid w:val="000B3183"/>
    <w:rsid w:val="000B3739"/>
    <w:rsid w:val="000B3C52"/>
    <w:rsid w:val="000B4237"/>
    <w:rsid w:val="000B468C"/>
    <w:rsid w:val="000B5413"/>
    <w:rsid w:val="000B61AB"/>
    <w:rsid w:val="000B6A1A"/>
    <w:rsid w:val="000B6AE1"/>
    <w:rsid w:val="000B6BBE"/>
    <w:rsid w:val="000B6CE4"/>
    <w:rsid w:val="000B6DE2"/>
    <w:rsid w:val="000B6EA0"/>
    <w:rsid w:val="000B74D8"/>
    <w:rsid w:val="000B76AA"/>
    <w:rsid w:val="000B7E2B"/>
    <w:rsid w:val="000C0169"/>
    <w:rsid w:val="000C0308"/>
    <w:rsid w:val="000C0F56"/>
    <w:rsid w:val="000C12F9"/>
    <w:rsid w:val="000C1303"/>
    <w:rsid w:val="000C163D"/>
    <w:rsid w:val="000C177C"/>
    <w:rsid w:val="000C1CB5"/>
    <w:rsid w:val="000C1F5A"/>
    <w:rsid w:val="000C26B1"/>
    <w:rsid w:val="000C30F0"/>
    <w:rsid w:val="000C3733"/>
    <w:rsid w:val="000C3761"/>
    <w:rsid w:val="000C3BF5"/>
    <w:rsid w:val="000C3F7D"/>
    <w:rsid w:val="000C41DF"/>
    <w:rsid w:val="000C440A"/>
    <w:rsid w:val="000C5A27"/>
    <w:rsid w:val="000C5E8A"/>
    <w:rsid w:val="000C6B5B"/>
    <w:rsid w:val="000C77DF"/>
    <w:rsid w:val="000D0136"/>
    <w:rsid w:val="000D04CF"/>
    <w:rsid w:val="000D0FE0"/>
    <w:rsid w:val="000D14ED"/>
    <w:rsid w:val="000D1EBD"/>
    <w:rsid w:val="000D2AFF"/>
    <w:rsid w:val="000D3972"/>
    <w:rsid w:val="000D3A8E"/>
    <w:rsid w:val="000D3E66"/>
    <w:rsid w:val="000D438E"/>
    <w:rsid w:val="000D458F"/>
    <w:rsid w:val="000D4FD8"/>
    <w:rsid w:val="000D5F31"/>
    <w:rsid w:val="000D68AD"/>
    <w:rsid w:val="000D6ACF"/>
    <w:rsid w:val="000E05C2"/>
    <w:rsid w:val="000E07DE"/>
    <w:rsid w:val="000E091F"/>
    <w:rsid w:val="000E19B2"/>
    <w:rsid w:val="000E277C"/>
    <w:rsid w:val="000E2C58"/>
    <w:rsid w:val="000E359A"/>
    <w:rsid w:val="000E3FF0"/>
    <w:rsid w:val="000E4B3A"/>
    <w:rsid w:val="000E4C28"/>
    <w:rsid w:val="000E4D2C"/>
    <w:rsid w:val="000E51F8"/>
    <w:rsid w:val="000E53D6"/>
    <w:rsid w:val="000E567A"/>
    <w:rsid w:val="000E5EB0"/>
    <w:rsid w:val="000E771C"/>
    <w:rsid w:val="000E7E36"/>
    <w:rsid w:val="000F02C1"/>
    <w:rsid w:val="000F0ADF"/>
    <w:rsid w:val="000F1983"/>
    <w:rsid w:val="000F2DDC"/>
    <w:rsid w:val="000F2FCA"/>
    <w:rsid w:val="000F3322"/>
    <w:rsid w:val="000F34D5"/>
    <w:rsid w:val="000F3559"/>
    <w:rsid w:val="000F4BCB"/>
    <w:rsid w:val="000F4D81"/>
    <w:rsid w:val="000F5353"/>
    <w:rsid w:val="000F6529"/>
    <w:rsid w:val="000F66B3"/>
    <w:rsid w:val="000F6ED1"/>
    <w:rsid w:val="000F7210"/>
    <w:rsid w:val="000F78DC"/>
    <w:rsid w:val="000F7CA1"/>
    <w:rsid w:val="000F7D50"/>
    <w:rsid w:val="0010012D"/>
    <w:rsid w:val="0010047F"/>
    <w:rsid w:val="0010079E"/>
    <w:rsid w:val="00100A06"/>
    <w:rsid w:val="00100D55"/>
    <w:rsid w:val="00100D90"/>
    <w:rsid w:val="00100E73"/>
    <w:rsid w:val="0010168F"/>
    <w:rsid w:val="0010178C"/>
    <w:rsid w:val="00101B61"/>
    <w:rsid w:val="00101B62"/>
    <w:rsid w:val="00101E35"/>
    <w:rsid w:val="00102594"/>
    <w:rsid w:val="001028DA"/>
    <w:rsid w:val="00103111"/>
    <w:rsid w:val="001033D9"/>
    <w:rsid w:val="001039C9"/>
    <w:rsid w:val="00103D4B"/>
    <w:rsid w:val="0010433B"/>
    <w:rsid w:val="00104472"/>
    <w:rsid w:val="0010474D"/>
    <w:rsid w:val="00104827"/>
    <w:rsid w:val="001049A1"/>
    <w:rsid w:val="00104B8D"/>
    <w:rsid w:val="00104E2F"/>
    <w:rsid w:val="00105010"/>
    <w:rsid w:val="001050E8"/>
    <w:rsid w:val="00106756"/>
    <w:rsid w:val="00106DD6"/>
    <w:rsid w:val="001077BD"/>
    <w:rsid w:val="00107B64"/>
    <w:rsid w:val="00107B96"/>
    <w:rsid w:val="001107CE"/>
    <w:rsid w:val="001109D7"/>
    <w:rsid w:val="00111330"/>
    <w:rsid w:val="00111749"/>
    <w:rsid w:val="00111A97"/>
    <w:rsid w:val="00111ADA"/>
    <w:rsid w:val="0011285B"/>
    <w:rsid w:val="00112E8E"/>
    <w:rsid w:val="001130D9"/>
    <w:rsid w:val="00113623"/>
    <w:rsid w:val="0011371F"/>
    <w:rsid w:val="001139AA"/>
    <w:rsid w:val="00113A4B"/>
    <w:rsid w:val="00114C84"/>
    <w:rsid w:val="00114EB6"/>
    <w:rsid w:val="0011528B"/>
    <w:rsid w:val="001155A5"/>
    <w:rsid w:val="00115934"/>
    <w:rsid w:val="0011637E"/>
    <w:rsid w:val="00116429"/>
    <w:rsid w:val="00116604"/>
    <w:rsid w:val="00116916"/>
    <w:rsid w:val="00116B38"/>
    <w:rsid w:val="00116B49"/>
    <w:rsid w:val="00117315"/>
    <w:rsid w:val="00120575"/>
    <w:rsid w:val="001205A5"/>
    <w:rsid w:val="0012076A"/>
    <w:rsid w:val="00120C01"/>
    <w:rsid w:val="00121D5B"/>
    <w:rsid w:val="0012288B"/>
    <w:rsid w:val="0012377E"/>
    <w:rsid w:val="001237BA"/>
    <w:rsid w:val="00123CBF"/>
    <w:rsid w:val="00123CC9"/>
    <w:rsid w:val="001241DF"/>
    <w:rsid w:val="00124242"/>
    <w:rsid w:val="00124422"/>
    <w:rsid w:val="00124906"/>
    <w:rsid w:val="00124C84"/>
    <w:rsid w:val="00125D24"/>
    <w:rsid w:val="00126B9E"/>
    <w:rsid w:val="00126C88"/>
    <w:rsid w:val="0012770E"/>
    <w:rsid w:val="00127768"/>
    <w:rsid w:val="00127783"/>
    <w:rsid w:val="00130A53"/>
    <w:rsid w:val="001316B0"/>
    <w:rsid w:val="001316E7"/>
    <w:rsid w:val="00131A66"/>
    <w:rsid w:val="00131B16"/>
    <w:rsid w:val="00131BD7"/>
    <w:rsid w:val="0013215F"/>
    <w:rsid w:val="001322CE"/>
    <w:rsid w:val="00132586"/>
    <w:rsid w:val="001327FE"/>
    <w:rsid w:val="00132EDD"/>
    <w:rsid w:val="00132FF9"/>
    <w:rsid w:val="00133736"/>
    <w:rsid w:val="00133C42"/>
    <w:rsid w:val="00133D90"/>
    <w:rsid w:val="00136675"/>
    <w:rsid w:val="001369E4"/>
    <w:rsid w:val="00136E4F"/>
    <w:rsid w:val="001370F6"/>
    <w:rsid w:val="001376AF"/>
    <w:rsid w:val="0013782D"/>
    <w:rsid w:val="00137BC2"/>
    <w:rsid w:val="00140594"/>
    <w:rsid w:val="00141350"/>
    <w:rsid w:val="001418F4"/>
    <w:rsid w:val="00141B39"/>
    <w:rsid w:val="00141B89"/>
    <w:rsid w:val="0014201C"/>
    <w:rsid w:val="00142D23"/>
    <w:rsid w:val="00142E13"/>
    <w:rsid w:val="00142F7A"/>
    <w:rsid w:val="001431C6"/>
    <w:rsid w:val="00143430"/>
    <w:rsid w:val="00143440"/>
    <w:rsid w:val="00144CB5"/>
    <w:rsid w:val="00145464"/>
    <w:rsid w:val="00145632"/>
    <w:rsid w:val="00146C28"/>
    <w:rsid w:val="001471EA"/>
    <w:rsid w:val="00147D05"/>
    <w:rsid w:val="001500C2"/>
    <w:rsid w:val="0015128B"/>
    <w:rsid w:val="0015171F"/>
    <w:rsid w:val="001517CF"/>
    <w:rsid w:val="00151A83"/>
    <w:rsid w:val="00151D65"/>
    <w:rsid w:val="00152160"/>
    <w:rsid w:val="00152201"/>
    <w:rsid w:val="00152313"/>
    <w:rsid w:val="0015231B"/>
    <w:rsid w:val="00152D05"/>
    <w:rsid w:val="001530E3"/>
    <w:rsid w:val="001532B8"/>
    <w:rsid w:val="00153887"/>
    <w:rsid w:val="0015390E"/>
    <w:rsid w:val="00153FEF"/>
    <w:rsid w:val="001540A3"/>
    <w:rsid w:val="00154674"/>
    <w:rsid w:val="001552AF"/>
    <w:rsid w:val="00155609"/>
    <w:rsid w:val="0015588D"/>
    <w:rsid w:val="00155D23"/>
    <w:rsid w:val="00156955"/>
    <w:rsid w:val="001573F4"/>
    <w:rsid w:val="00157736"/>
    <w:rsid w:val="00161A9E"/>
    <w:rsid w:val="0016268F"/>
    <w:rsid w:val="0016307A"/>
    <w:rsid w:val="00163E67"/>
    <w:rsid w:val="00164040"/>
    <w:rsid w:val="001651E3"/>
    <w:rsid w:val="001654CA"/>
    <w:rsid w:val="00165CE7"/>
    <w:rsid w:val="00165E27"/>
    <w:rsid w:val="00166B6D"/>
    <w:rsid w:val="00167156"/>
    <w:rsid w:val="001677BF"/>
    <w:rsid w:val="0017150E"/>
    <w:rsid w:val="0017192D"/>
    <w:rsid w:val="00172B67"/>
    <w:rsid w:val="00172E04"/>
    <w:rsid w:val="00172FE2"/>
    <w:rsid w:val="0017340A"/>
    <w:rsid w:val="00173950"/>
    <w:rsid w:val="00173B3D"/>
    <w:rsid w:val="00173D33"/>
    <w:rsid w:val="00173FFA"/>
    <w:rsid w:val="00174657"/>
    <w:rsid w:val="001752D5"/>
    <w:rsid w:val="00176470"/>
    <w:rsid w:val="001766BF"/>
    <w:rsid w:val="0017726D"/>
    <w:rsid w:val="00177309"/>
    <w:rsid w:val="00177657"/>
    <w:rsid w:val="00177934"/>
    <w:rsid w:val="00177AD3"/>
    <w:rsid w:val="00177F71"/>
    <w:rsid w:val="00180663"/>
    <w:rsid w:val="00180845"/>
    <w:rsid w:val="0018096F"/>
    <w:rsid w:val="00181CA6"/>
    <w:rsid w:val="00181D0E"/>
    <w:rsid w:val="00182C1E"/>
    <w:rsid w:val="00182E46"/>
    <w:rsid w:val="00183168"/>
    <w:rsid w:val="001837A2"/>
    <w:rsid w:val="00183F59"/>
    <w:rsid w:val="00185612"/>
    <w:rsid w:val="00185821"/>
    <w:rsid w:val="00185935"/>
    <w:rsid w:val="00186940"/>
    <w:rsid w:val="00186A20"/>
    <w:rsid w:val="00186BF4"/>
    <w:rsid w:val="00186D91"/>
    <w:rsid w:val="00186F3F"/>
    <w:rsid w:val="0018732C"/>
    <w:rsid w:val="001877F6"/>
    <w:rsid w:val="00187955"/>
    <w:rsid w:val="00187BBD"/>
    <w:rsid w:val="00190676"/>
    <w:rsid w:val="00190BEE"/>
    <w:rsid w:val="00190E38"/>
    <w:rsid w:val="00190E9A"/>
    <w:rsid w:val="0019189C"/>
    <w:rsid w:val="00192147"/>
    <w:rsid w:val="00192515"/>
    <w:rsid w:val="001927B2"/>
    <w:rsid w:val="001927B7"/>
    <w:rsid w:val="001930DC"/>
    <w:rsid w:val="0019319F"/>
    <w:rsid w:val="001935D2"/>
    <w:rsid w:val="0019374D"/>
    <w:rsid w:val="00193879"/>
    <w:rsid w:val="00193916"/>
    <w:rsid w:val="0019440F"/>
    <w:rsid w:val="00194A43"/>
    <w:rsid w:val="001956BB"/>
    <w:rsid w:val="00196251"/>
    <w:rsid w:val="00196FE5"/>
    <w:rsid w:val="0019756E"/>
    <w:rsid w:val="00197BB9"/>
    <w:rsid w:val="00197EF5"/>
    <w:rsid w:val="001A04D3"/>
    <w:rsid w:val="001A065D"/>
    <w:rsid w:val="001A09A8"/>
    <w:rsid w:val="001A0ADD"/>
    <w:rsid w:val="001A0E47"/>
    <w:rsid w:val="001A1531"/>
    <w:rsid w:val="001A2271"/>
    <w:rsid w:val="001A2690"/>
    <w:rsid w:val="001A28AE"/>
    <w:rsid w:val="001A3C8E"/>
    <w:rsid w:val="001A4048"/>
    <w:rsid w:val="001A40BA"/>
    <w:rsid w:val="001A40BE"/>
    <w:rsid w:val="001A4207"/>
    <w:rsid w:val="001A4377"/>
    <w:rsid w:val="001A4EFD"/>
    <w:rsid w:val="001A5722"/>
    <w:rsid w:val="001A615B"/>
    <w:rsid w:val="001A61F4"/>
    <w:rsid w:val="001A6457"/>
    <w:rsid w:val="001A6B80"/>
    <w:rsid w:val="001A72B6"/>
    <w:rsid w:val="001B02B0"/>
    <w:rsid w:val="001B0424"/>
    <w:rsid w:val="001B0BB6"/>
    <w:rsid w:val="001B0F04"/>
    <w:rsid w:val="001B1370"/>
    <w:rsid w:val="001B14A0"/>
    <w:rsid w:val="001B1597"/>
    <w:rsid w:val="001B16C6"/>
    <w:rsid w:val="001B1E06"/>
    <w:rsid w:val="001B2920"/>
    <w:rsid w:val="001B2DA3"/>
    <w:rsid w:val="001B2EAA"/>
    <w:rsid w:val="001B38E4"/>
    <w:rsid w:val="001B3B9C"/>
    <w:rsid w:val="001B3DAB"/>
    <w:rsid w:val="001B41E3"/>
    <w:rsid w:val="001B4C9B"/>
    <w:rsid w:val="001B4CC4"/>
    <w:rsid w:val="001B70E3"/>
    <w:rsid w:val="001B717A"/>
    <w:rsid w:val="001B72EC"/>
    <w:rsid w:val="001B7314"/>
    <w:rsid w:val="001B7440"/>
    <w:rsid w:val="001B751C"/>
    <w:rsid w:val="001B799B"/>
    <w:rsid w:val="001C029F"/>
    <w:rsid w:val="001C066C"/>
    <w:rsid w:val="001C1393"/>
    <w:rsid w:val="001C1A7E"/>
    <w:rsid w:val="001C2F40"/>
    <w:rsid w:val="001C2F63"/>
    <w:rsid w:val="001C3001"/>
    <w:rsid w:val="001C343D"/>
    <w:rsid w:val="001C34A6"/>
    <w:rsid w:val="001C362D"/>
    <w:rsid w:val="001C38BC"/>
    <w:rsid w:val="001C399D"/>
    <w:rsid w:val="001C3D9E"/>
    <w:rsid w:val="001C501C"/>
    <w:rsid w:val="001C521A"/>
    <w:rsid w:val="001C5C00"/>
    <w:rsid w:val="001C6340"/>
    <w:rsid w:val="001C6413"/>
    <w:rsid w:val="001C668A"/>
    <w:rsid w:val="001C736A"/>
    <w:rsid w:val="001C7A20"/>
    <w:rsid w:val="001C7D48"/>
    <w:rsid w:val="001D0107"/>
    <w:rsid w:val="001D0D52"/>
    <w:rsid w:val="001D1049"/>
    <w:rsid w:val="001D174A"/>
    <w:rsid w:val="001D1811"/>
    <w:rsid w:val="001D38F3"/>
    <w:rsid w:val="001D40CA"/>
    <w:rsid w:val="001D562E"/>
    <w:rsid w:val="001D5AE1"/>
    <w:rsid w:val="001D6C49"/>
    <w:rsid w:val="001D7221"/>
    <w:rsid w:val="001D7248"/>
    <w:rsid w:val="001D759E"/>
    <w:rsid w:val="001D7689"/>
    <w:rsid w:val="001D7D6B"/>
    <w:rsid w:val="001E0673"/>
    <w:rsid w:val="001E0F90"/>
    <w:rsid w:val="001E0FAE"/>
    <w:rsid w:val="001E0FAF"/>
    <w:rsid w:val="001E12D5"/>
    <w:rsid w:val="001E1503"/>
    <w:rsid w:val="001E1792"/>
    <w:rsid w:val="001E196D"/>
    <w:rsid w:val="001E1BD5"/>
    <w:rsid w:val="001E1E31"/>
    <w:rsid w:val="001E2A6A"/>
    <w:rsid w:val="001E2BF5"/>
    <w:rsid w:val="001E3085"/>
    <w:rsid w:val="001E3B0A"/>
    <w:rsid w:val="001E3BB9"/>
    <w:rsid w:val="001E3FED"/>
    <w:rsid w:val="001E40F1"/>
    <w:rsid w:val="001E43E6"/>
    <w:rsid w:val="001E4F92"/>
    <w:rsid w:val="001E4FC4"/>
    <w:rsid w:val="001E50DE"/>
    <w:rsid w:val="001E5310"/>
    <w:rsid w:val="001E5C68"/>
    <w:rsid w:val="001E5D39"/>
    <w:rsid w:val="001E616F"/>
    <w:rsid w:val="001E635A"/>
    <w:rsid w:val="001E689D"/>
    <w:rsid w:val="001E6DA7"/>
    <w:rsid w:val="001E6EC2"/>
    <w:rsid w:val="001E7787"/>
    <w:rsid w:val="001E7FED"/>
    <w:rsid w:val="001F022D"/>
    <w:rsid w:val="001F185F"/>
    <w:rsid w:val="001F1B52"/>
    <w:rsid w:val="001F1ED9"/>
    <w:rsid w:val="001F20FD"/>
    <w:rsid w:val="001F22FF"/>
    <w:rsid w:val="001F2C34"/>
    <w:rsid w:val="001F3849"/>
    <w:rsid w:val="001F38D6"/>
    <w:rsid w:val="001F39F0"/>
    <w:rsid w:val="001F3B3B"/>
    <w:rsid w:val="001F4F0F"/>
    <w:rsid w:val="001F6AD9"/>
    <w:rsid w:val="001F7617"/>
    <w:rsid w:val="001F7A21"/>
    <w:rsid w:val="001F7F0E"/>
    <w:rsid w:val="002002B7"/>
    <w:rsid w:val="002003F8"/>
    <w:rsid w:val="002004A8"/>
    <w:rsid w:val="0020179F"/>
    <w:rsid w:val="00201C50"/>
    <w:rsid w:val="00201EB8"/>
    <w:rsid w:val="002021D1"/>
    <w:rsid w:val="00202569"/>
    <w:rsid w:val="00202BAB"/>
    <w:rsid w:val="00202D1E"/>
    <w:rsid w:val="00202D55"/>
    <w:rsid w:val="00202E14"/>
    <w:rsid w:val="00202F80"/>
    <w:rsid w:val="00204930"/>
    <w:rsid w:val="002057DF"/>
    <w:rsid w:val="002063DB"/>
    <w:rsid w:val="0020689E"/>
    <w:rsid w:val="00207439"/>
    <w:rsid w:val="00207647"/>
    <w:rsid w:val="00207977"/>
    <w:rsid w:val="00207D8C"/>
    <w:rsid w:val="00207E5F"/>
    <w:rsid w:val="0021021C"/>
    <w:rsid w:val="0021042A"/>
    <w:rsid w:val="0021091B"/>
    <w:rsid w:val="00211329"/>
    <w:rsid w:val="002118CB"/>
    <w:rsid w:val="00211A56"/>
    <w:rsid w:val="00212E4C"/>
    <w:rsid w:val="00213158"/>
    <w:rsid w:val="00214378"/>
    <w:rsid w:val="0021466A"/>
    <w:rsid w:val="00215570"/>
    <w:rsid w:val="002158EA"/>
    <w:rsid w:val="00215B7C"/>
    <w:rsid w:val="002164DE"/>
    <w:rsid w:val="00217642"/>
    <w:rsid w:val="00217A43"/>
    <w:rsid w:val="00217BCD"/>
    <w:rsid w:val="002214B6"/>
    <w:rsid w:val="00221864"/>
    <w:rsid w:val="0022189A"/>
    <w:rsid w:val="00222067"/>
    <w:rsid w:val="00222087"/>
    <w:rsid w:val="002228AA"/>
    <w:rsid w:val="002228E9"/>
    <w:rsid w:val="00222AB1"/>
    <w:rsid w:val="0022347D"/>
    <w:rsid w:val="00223686"/>
    <w:rsid w:val="002237D5"/>
    <w:rsid w:val="0022383F"/>
    <w:rsid w:val="00223947"/>
    <w:rsid w:val="002255AA"/>
    <w:rsid w:val="0022592A"/>
    <w:rsid w:val="0022645A"/>
    <w:rsid w:val="00226ADC"/>
    <w:rsid w:val="002275FD"/>
    <w:rsid w:val="0022778E"/>
    <w:rsid w:val="00230FC5"/>
    <w:rsid w:val="00231C06"/>
    <w:rsid w:val="00232560"/>
    <w:rsid w:val="00232773"/>
    <w:rsid w:val="002338B6"/>
    <w:rsid w:val="002340BB"/>
    <w:rsid w:val="0023494A"/>
    <w:rsid w:val="00235E41"/>
    <w:rsid w:val="00236082"/>
    <w:rsid w:val="00236A22"/>
    <w:rsid w:val="002376EA"/>
    <w:rsid w:val="00237D9E"/>
    <w:rsid w:val="00240558"/>
    <w:rsid w:val="0024078A"/>
    <w:rsid w:val="00240951"/>
    <w:rsid w:val="0024119A"/>
    <w:rsid w:val="002415DA"/>
    <w:rsid w:val="00241B2D"/>
    <w:rsid w:val="002459E4"/>
    <w:rsid w:val="00246A6F"/>
    <w:rsid w:val="00247162"/>
    <w:rsid w:val="00247854"/>
    <w:rsid w:val="002506E5"/>
    <w:rsid w:val="00250B3E"/>
    <w:rsid w:val="0025129E"/>
    <w:rsid w:val="00251EDE"/>
    <w:rsid w:val="0025253F"/>
    <w:rsid w:val="00252DC1"/>
    <w:rsid w:val="002531A8"/>
    <w:rsid w:val="00254A3A"/>
    <w:rsid w:val="00254ADE"/>
    <w:rsid w:val="00254C09"/>
    <w:rsid w:val="00255FF7"/>
    <w:rsid w:val="002562A6"/>
    <w:rsid w:val="002563DE"/>
    <w:rsid w:val="002567F3"/>
    <w:rsid w:val="00256AF1"/>
    <w:rsid w:val="002574CD"/>
    <w:rsid w:val="002579BA"/>
    <w:rsid w:val="00257CC5"/>
    <w:rsid w:val="002606AC"/>
    <w:rsid w:val="00261999"/>
    <w:rsid w:val="00261E94"/>
    <w:rsid w:val="0026234B"/>
    <w:rsid w:val="0026252E"/>
    <w:rsid w:val="0026256E"/>
    <w:rsid w:val="00262A59"/>
    <w:rsid w:val="00262C7B"/>
    <w:rsid w:val="002639FD"/>
    <w:rsid w:val="00263EFC"/>
    <w:rsid w:val="00264A2B"/>
    <w:rsid w:val="002650ED"/>
    <w:rsid w:val="00265108"/>
    <w:rsid w:val="002663CC"/>
    <w:rsid w:val="002664F8"/>
    <w:rsid w:val="002668E9"/>
    <w:rsid w:val="00266EB4"/>
    <w:rsid w:val="00267029"/>
    <w:rsid w:val="00267517"/>
    <w:rsid w:val="002676AB"/>
    <w:rsid w:val="00267EE4"/>
    <w:rsid w:val="00267FA6"/>
    <w:rsid w:val="00270353"/>
    <w:rsid w:val="0027095E"/>
    <w:rsid w:val="002709CA"/>
    <w:rsid w:val="0027120D"/>
    <w:rsid w:val="00271488"/>
    <w:rsid w:val="00271B39"/>
    <w:rsid w:val="00272C7D"/>
    <w:rsid w:val="0027316A"/>
    <w:rsid w:val="00273230"/>
    <w:rsid w:val="00273915"/>
    <w:rsid w:val="00273F2C"/>
    <w:rsid w:val="00273F76"/>
    <w:rsid w:val="002742B4"/>
    <w:rsid w:val="002745DB"/>
    <w:rsid w:val="00274682"/>
    <w:rsid w:val="00275075"/>
    <w:rsid w:val="00276F96"/>
    <w:rsid w:val="00277371"/>
    <w:rsid w:val="00277605"/>
    <w:rsid w:val="00277A53"/>
    <w:rsid w:val="002810E0"/>
    <w:rsid w:val="002813DB"/>
    <w:rsid w:val="002816D3"/>
    <w:rsid w:val="00281AD4"/>
    <w:rsid w:val="00282182"/>
    <w:rsid w:val="00282354"/>
    <w:rsid w:val="002827DE"/>
    <w:rsid w:val="00282BA6"/>
    <w:rsid w:val="00282C44"/>
    <w:rsid w:val="00283438"/>
    <w:rsid w:val="002836D0"/>
    <w:rsid w:val="002836E2"/>
    <w:rsid w:val="002839FD"/>
    <w:rsid w:val="00284823"/>
    <w:rsid w:val="002849F4"/>
    <w:rsid w:val="00284C54"/>
    <w:rsid w:val="00284D18"/>
    <w:rsid w:val="00285549"/>
    <w:rsid w:val="00285CF8"/>
    <w:rsid w:val="00285E8D"/>
    <w:rsid w:val="0028613A"/>
    <w:rsid w:val="002863F2"/>
    <w:rsid w:val="0028666A"/>
    <w:rsid w:val="0028720E"/>
    <w:rsid w:val="00290644"/>
    <w:rsid w:val="002908D5"/>
    <w:rsid w:val="00290A22"/>
    <w:rsid w:val="00290F77"/>
    <w:rsid w:val="002935CE"/>
    <w:rsid w:val="002943CE"/>
    <w:rsid w:val="00294446"/>
    <w:rsid w:val="00294FC6"/>
    <w:rsid w:val="002954D9"/>
    <w:rsid w:val="00295A40"/>
    <w:rsid w:val="0029614B"/>
    <w:rsid w:val="002963F1"/>
    <w:rsid w:val="00296A30"/>
    <w:rsid w:val="00297708"/>
    <w:rsid w:val="002A0365"/>
    <w:rsid w:val="002A04D5"/>
    <w:rsid w:val="002A0586"/>
    <w:rsid w:val="002A0BE3"/>
    <w:rsid w:val="002A0D1E"/>
    <w:rsid w:val="002A1234"/>
    <w:rsid w:val="002A181F"/>
    <w:rsid w:val="002A1BD9"/>
    <w:rsid w:val="002A230F"/>
    <w:rsid w:val="002A32B6"/>
    <w:rsid w:val="002A465C"/>
    <w:rsid w:val="002A4D79"/>
    <w:rsid w:val="002A5320"/>
    <w:rsid w:val="002A6816"/>
    <w:rsid w:val="002A68ED"/>
    <w:rsid w:val="002A7780"/>
    <w:rsid w:val="002A7FF2"/>
    <w:rsid w:val="002B0038"/>
    <w:rsid w:val="002B07A5"/>
    <w:rsid w:val="002B1103"/>
    <w:rsid w:val="002B12E4"/>
    <w:rsid w:val="002B14A0"/>
    <w:rsid w:val="002B14AC"/>
    <w:rsid w:val="002B14DC"/>
    <w:rsid w:val="002B1656"/>
    <w:rsid w:val="002B1E8A"/>
    <w:rsid w:val="002B2612"/>
    <w:rsid w:val="002B3292"/>
    <w:rsid w:val="002B3FE6"/>
    <w:rsid w:val="002B47C7"/>
    <w:rsid w:val="002B5463"/>
    <w:rsid w:val="002B5C83"/>
    <w:rsid w:val="002B6067"/>
    <w:rsid w:val="002B627B"/>
    <w:rsid w:val="002B6C5D"/>
    <w:rsid w:val="002B6F11"/>
    <w:rsid w:val="002B7CBA"/>
    <w:rsid w:val="002C0CBE"/>
    <w:rsid w:val="002C1531"/>
    <w:rsid w:val="002C1B78"/>
    <w:rsid w:val="002C1D22"/>
    <w:rsid w:val="002C2019"/>
    <w:rsid w:val="002C2032"/>
    <w:rsid w:val="002C28DF"/>
    <w:rsid w:val="002C2A20"/>
    <w:rsid w:val="002C35CF"/>
    <w:rsid w:val="002C378F"/>
    <w:rsid w:val="002C42EA"/>
    <w:rsid w:val="002C4329"/>
    <w:rsid w:val="002C4A7A"/>
    <w:rsid w:val="002C5DE7"/>
    <w:rsid w:val="002C6390"/>
    <w:rsid w:val="002C6D1D"/>
    <w:rsid w:val="002C6D74"/>
    <w:rsid w:val="002C6EF0"/>
    <w:rsid w:val="002C73E0"/>
    <w:rsid w:val="002C7779"/>
    <w:rsid w:val="002D2A0D"/>
    <w:rsid w:val="002D2BD4"/>
    <w:rsid w:val="002D30D5"/>
    <w:rsid w:val="002D364E"/>
    <w:rsid w:val="002D45F0"/>
    <w:rsid w:val="002D461C"/>
    <w:rsid w:val="002D4A48"/>
    <w:rsid w:val="002D52EF"/>
    <w:rsid w:val="002D5F42"/>
    <w:rsid w:val="002D68CB"/>
    <w:rsid w:val="002D75F2"/>
    <w:rsid w:val="002D77DC"/>
    <w:rsid w:val="002D7D83"/>
    <w:rsid w:val="002E0ACE"/>
    <w:rsid w:val="002E16EE"/>
    <w:rsid w:val="002E1ADF"/>
    <w:rsid w:val="002E1DD9"/>
    <w:rsid w:val="002E269B"/>
    <w:rsid w:val="002E308F"/>
    <w:rsid w:val="002E331F"/>
    <w:rsid w:val="002E3CB8"/>
    <w:rsid w:val="002E495C"/>
    <w:rsid w:val="002E5032"/>
    <w:rsid w:val="002E5224"/>
    <w:rsid w:val="002E578D"/>
    <w:rsid w:val="002E57C8"/>
    <w:rsid w:val="002E57E0"/>
    <w:rsid w:val="002E610D"/>
    <w:rsid w:val="002E6318"/>
    <w:rsid w:val="002E68AF"/>
    <w:rsid w:val="002E6BD0"/>
    <w:rsid w:val="002E6DA2"/>
    <w:rsid w:val="002E6DE2"/>
    <w:rsid w:val="002E6E1C"/>
    <w:rsid w:val="002E6FB2"/>
    <w:rsid w:val="002E71A8"/>
    <w:rsid w:val="002E7CB4"/>
    <w:rsid w:val="002F2197"/>
    <w:rsid w:val="002F35BB"/>
    <w:rsid w:val="002F37D6"/>
    <w:rsid w:val="002F3DD7"/>
    <w:rsid w:val="002F486A"/>
    <w:rsid w:val="002F49DD"/>
    <w:rsid w:val="002F4A51"/>
    <w:rsid w:val="002F4DC9"/>
    <w:rsid w:val="002F4F31"/>
    <w:rsid w:val="002F542D"/>
    <w:rsid w:val="002F5CBB"/>
    <w:rsid w:val="002F5D65"/>
    <w:rsid w:val="002F6370"/>
    <w:rsid w:val="002F6413"/>
    <w:rsid w:val="003002E8"/>
    <w:rsid w:val="00300887"/>
    <w:rsid w:val="0030088C"/>
    <w:rsid w:val="00300B94"/>
    <w:rsid w:val="00301189"/>
    <w:rsid w:val="003020A7"/>
    <w:rsid w:val="00302108"/>
    <w:rsid w:val="0030374D"/>
    <w:rsid w:val="0030378D"/>
    <w:rsid w:val="003038F9"/>
    <w:rsid w:val="00304605"/>
    <w:rsid w:val="0030477E"/>
    <w:rsid w:val="0030489B"/>
    <w:rsid w:val="0030500F"/>
    <w:rsid w:val="0030614C"/>
    <w:rsid w:val="00306D4E"/>
    <w:rsid w:val="0030724D"/>
    <w:rsid w:val="00307273"/>
    <w:rsid w:val="0030744D"/>
    <w:rsid w:val="00307975"/>
    <w:rsid w:val="00307DFE"/>
    <w:rsid w:val="00307E33"/>
    <w:rsid w:val="00307E7A"/>
    <w:rsid w:val="00307F09"/>
    <w:rsid w:val="003105D8"/>
    <w:rsid w:val="00311357"/>
    <w:rsid w:val="00311B88"/>
    <w:rsid w:val="00312127"/>
    <w:rsid w:val="003124E3"/>
    <w:rsid w:val="00312A55"/>
    <w:rsid w:val="00312CE0"/>
    <w:rsid w:val="003132C7"/>
    <w:rsid w:val="003132EE"/>
    <w:rsid w:val="003133EE"/>
    <w:rsid w:val="003134E7"/>
    <w:rsid w:val="003135A8"/>
    <w:rsid w:val="003145C8"/>
    <w:rsid w:val="003154BE"/>
    <w:rsid w:val="00315854"/>
    <w:rsid w:val="00316146"/>
    <w:rsid w:val="00316289"/>
    <w:rsid w:val="00316D92"/>
    <w:rsid w:val="00316DC7"/>
    <w:rsid w:val="00316DEC"/>
    <w:rsid w:val="003179BF"/>
    <w:rsid w:val="003201E1"/>
    <w:rsid w:val="00320357"/>
    <w:rsid w:val="00320692"/>
    <w:rsid w:val="00320B04"/>
    <w:rsid w:val="00320D09"/>
    <w:rsid w:val="003211E3"/>
    <w:rsid w:val="003211E6"/>
    <w:rsid w:val="00322794"/>
    <w:rsid w:val="00322CBB"/>
    <w:rsid w:val="00322E60"/>
    <w:rsid w:val="0032306F"/>
    <w:rsid w:val="00323256"/>
    <w:rsid w:val="003234F6"/>
    <w:rsid w:val="00323547"/>
    <w:rsid w:val="0032488E"/>
    <w:rsid w:val="00324F77"/>
    <w:rsid w:val="0032514C"/>
    <w:rsid w:val="00325375"/>
    <w:rsid w:val="00325A30"/>
    <w:rsid w:val="00325EC2"/>
    <w:rsid w:val="003261A2"/>
    <w:rsid w:val="003265BE"/>
    <w:rsid w:val="00326888"/>
    <w:rsid w:val="00326CF6"/>
    <w:rsid w:val="00326EAC"/>
    <w:rsid w:val="00326F60"/>
    <w:rsid w:val="00326FC6"/>
    <w:rsid w:val="00330555"/>
    <w:rsid w:val="003308F4"/>
    <w:rsid w:val="00330C8B"/>
    <w:rsid w:val="003310B8"/>
    <w:rsid w:val="00331E08"/>
    <w:rsid w:val="00331FA1"/>
    <w:rsid w:val="0033225A"/>
    <w:rsid w:val="0033266F"/>
    <w:rsid w:val="0033387D"/>
    <w:rsid w:val="00333902"/>
    <w:rsid w:val="0033485A"/>
    <w:rsid w:val="00335100"/>
    <w:rsid w:val="00335680"/>
    <w:rsid w:val="00335A01"/>
    <w:rsid w:val="00335A4D"/>
    <w:rsid w:val="00335E83"/>
    <w:rsid w:val="003364F4"/>
    <w:rsid w:val="003365DF"/>
    <w:rsid w:val="00336699"/>
    <w:rsid w:val="00336A87"/>
    <w:rsid w:val="00336D38"/>
    <w:rsid w:val="0033738A"/>
    <w:rsid w:val="003375B7"/>
    <w:rsid w:val="00337609"/>
    <w:rsid w:val="00337E14"/>
    <w:rsid w:val="003407A8"/>
    <w:rsid w:val="00340B8B"/>
    <w:rsid w:val="003419E6"/>
    <w:rsid w:val="00341EAA"/>
    <w:rsid w:val="00342465"/>
    <w:rsid w:val="00343999"/>
    <w:rsid w:val="00343A30"/>
    <w:rsid w:val="0034436C"/>
    <w:rsid w:val="00344E36"/>
    <w:rsid w:val="003450DC"/>
    <w:rsid w:val="003458B8"/>
    <w:rsid w:val="00345A26"/>
    <w:rsid w:val="003466C8"/>
    <w:rsid w:val="00346F4D"/>
    <w:rsid w:val="003470BC"/>
    <w:rsid w:val="003473F5"/>
    <w:rsid w:val="003500A2"/>
    <w:rsid w:val="00350126"/>
    <w:rsid w:val="00350337"/>
    <w:rsid w:val="003507D9"/>
    <w:rsid w:val="00350C86"/>
    <w:rsid w:val="00350CF0"/>
    <w:rsid w:val="003518B7"/>
    <w:rsid w:val="00351998"/>
    <w:rsid w:val="003530AD"/>
    <w:rsid w:val="0035368C"/>
    <w:rsid w:val="003537F8"/>
    <w:rsid w:val="003544F7"/>
    <w:rsid w:val="003545E1"/>
    <w:rsid w:val="00354FD7"/>
    <w:rsid w:val="00355169"/>
    <w:rsid w:val="00355565"/>
    <w:rsid w:val="00355736"/>
    <w:rsid w:val="003559A7"/>
    <w:rsid w:val="00356061"/>
    <w:rsid w:val="0035631A"/>
    <w:rsid w:val="003564A9"/>
    <w:rsid w:val="00356638"/>
    <w:rsid w:val="00356B95"/>
    <w:rsid w:val="00356BCE"/>
    <w:rsid w:val="003573FF"/>
    <w:rsid w:val="00357B0C"/>
    <w:rsid w:val="00357E17"/>
    <w:rsid w:val="00357E7E"/>
    <w:rsid w:val="0036029F"/>
    <w:rsid w:val="00360892"/>
    <w:rsid w:val="00360AC5"/>
    <w:rsid w:val="00360DFD"/>
    <w:rsid w:val="00360F81"/>
    <w:rsid w:val="00361FAB"/>
    <w:rsid w:val="0036358D"/>
    <w:rsid w:val="00363648"/>
    <w:rsid w:val="00364987"/>
    <w:rsid w:val="00364DBA"/>
    <w:rsid w:val="003657E0"/>
    <w:rsid w:val="003658B2"/>
    <w:rsid w:val="003669B6"/>
    <w:rsid w:val="00366F06"/>
    <w:rsid w:val="003677A4"/>
    <w:rsid w:val="003679EC"/>
    <w:rsid w:val="00370946"/>
    <w:rsid w:val="00370CDE"/>
    <w:rsid w:val="00370FF4"/>
    <w:rsid w:val="0037152A"/>
    <w:rsid w:val="003717D4"/>
    <w:rsid w:val="00371A9A"/>
    <w:rsid w:val="0037242E"/>
    <w:rsid w:val="003728C2"/>
    <w:rsid w:val="00372929"/>
    <w:rsid w:val="003729EC"/>
    <w:rsid w:val="00372E4A"/>
    <w:rsid w:val="003733DC"/>
    <w:rsid w:val="00373556"/>
    <w:rsid w:val="0037438E"/>
    <w:rsid w:val="00374694"/>
    <w:rsid w:val="003746F2"/>
    <w:rsid w:val="0037550A"/>
    <w:rsid w:val="00375ECA"/>
    <w:rsid w:val="00376792"/>
    <w:rsid w:val="003769D1"/>
    <w:rsid w:val="00376AE1"/>
    <w:rsid w:val="00376C94"/>
    <w:rsid w:val="00377DBB"/>
    <w:rsid w:val="00377EDC"/>
    <w:rsid w:val="00381D6B"/>
    <w:rsid w:val="00381F17"/>
    <w:rsid w:val="003825B8"/>
    <w:rsid w:val="003842A9"/>
    <w:rsid w:val="003843CF"/>
    <w:rsid w:val="00384C13"/>
    <w:rsid w:val="00384CAE"/>
    <w:rsid w:val="003850F9"/>
    <w:rsid w:val="0038518E"/>
    <w:rsid w:val="00385D50"/>
    <w:rsid w:val="00386042"/>
    <w:rsid w:val="003863FE"/>
    <w:rsid w:val="003865B4"/>
    <w:rsid w:val="0038675A"/>
    <w:rsid w:val="0038765D"/>
    <w:rsid w:val="00387E64"/>
    <w:rsid w:val="003905AD"/>
    <w:rsid w:val="00390A6F"/>
    <w:rsid w:val="00392259"/>
    <w:rsid w:val="00392FD2"/>
    <w:rsid w:val="003930C5"/>
    <w:rsid w:val="003933FC"/>
    <w:rsid w:val="00393814"/>
    <w:rsid w:val="00393B5B"/>
    <w:rsid w:val="003942EC"/>
    <w:rsid w:val="0039431B"/>
    <w:rsid w:val="003945AA"/>
    <w:rsid w:val="00394741"/>
    <w:rsid w:val="003948D9"/>
    <w:rsid w:val="00394B50"/>
    <w:rsid w:val="00394BBD"/>
    <w:rsid w:val="00395057"/>
    <w:rsid w:val="003959FB"/>
    <w:rsid w:val="003964E9"/>
    <w:rsid w:val="0039799E"/>
    <w:rsid w:val="003A02FA"/>
    <w:rsid w:val="003A0A66"/>
    <w:rsid w:val="003A0CD7"/>
    <w:rsid w:val="003A0ED1"/>
    <w:rsid w:val="003A103C"/>
    <w:rsid w:val="003A12BD"/>
    <w:rsid w:val="003A150A"/>
    <w:rsid w:val="003A1A55"/>
    <w:rsid w:val="003A21E7"/>
    <w:rsid w:val="003A4904"/>
    <w:rsid w:val="003A564E"/>
    <w:rsid w:val="003A5849"/>
    <w:rsid w:val="003A6A91"/>
    <w:rsid w:val="003A6C5E"/>
    <w:rsid w:val="003A6D5B"/>
    <w:rsid w:val="003A721E"/>
    <w:rsid w:val="003A79C9"/>
    <w:rsid w:val="003B0533"/>
    <w:rsid w:val="003B0603"/>
    <w:rsid w:val="003B0694"/>
    <w:rsid w:val="003B2122"/>
    <w:rsid w:val="003B2F1D"/>
    <w:rsid w:val="003B330E"/>
    <w:rsid w:val="003B334B"/>
    <w:rsid w:val="003B39EF"/>
    <w:rsid w:val="003B3A0B"/>
    <w:rsid w:val="003B3BCB"/>
    <w:rsid w:val="003B42BC"/>
    <w:rsid w:val="003B48C7"/>
    <w:rsid w:val="003B4E4C"/>
    <w:rsid w:val="003B57D7"/>
    <w:rsid w:val="003B594A"/>
    <w:rsid w:val="003B5A5A"/>
    <w:rsid w:val="003B66DB"/>
    <w:rsid w:val="003B6910"/>
    <w:rsid w:val="003B7034"/>
    <w:rsid w:val="003B7479"/>
    <w:rsid w:val="003B7A17"/>
    <w:rsid w:val="003B7B0F"/>
    <w:rsid w:val="003C009E"/>
    <w:rsid w:val="003C041A"/>
    <w:rsid w:val="003C0BED"/>
    <w:rsid w:val="003C13EE"/>
    <w:rsid w:val="003C164D"/>
    <w:rsid w:val="003C16F1"/>
    <w:rsid w:val="003C1F30"/>
    <w:rsid w:val="003C1F92"/>
    <w:rsid w:val="003C2187"/>
    <w:rsid w:val="003C36BC"/>
    <w:rsid w:val="003C440D"/>
    <w:rsid w:val="003C462A"/>
    <w:rsid w:val="003C4BD7"/>
    <w:rsid w:val="003C5123"/>
    <w:rsid w:val="003C51C9"/>
    <w:rsid w:val="003C5B05"/>
    <w:rsid w:val="003C5DBD"/>
    <w:rsid w:val="003C629E"/>
    <w:rsid w:val="003C703B"/>
    <w:rsid w:val="003C7049"/>
    <w:rsid w:val="003C71EC"/>
    <w:rsid w:val="003C745E"/>
    <w:rsid w:val="003C7B8D"/>
    <w:rsid w:val="003D1356"/>
    <w:rsid w:val="003D135B"/>
    <w:rsid w:val="003D13EB"/>
    <w:rsid w:val="003D1712"/>
    <w:rsid w:val="003D1A60"/>
    <w:rsid w:val="003D236E"/>
    <w:rsid w:val="003D2EB7"/>
    <w:rsid w:val="003D330F"/>
    <w:rsid w:val="003D3730"/>
    <w:rsid w:val="003D3787"/>
    <w:rsid w:val="003D3E86"/>
    <w:rsid w:val="003D43B4"/>
    <w:rsid w:val="003D5DB1"/>
    <w:rsid w:val="003D666F"/>
    <w:rsid w:val="003D7622"/>
    <w:rsid w:val="003D78A7"/>
    <w:rsid w:val="003E0876"/>
    <w:rsid w:val="003E0B23"/>
    <w:rsid w:val="003E0B73"/>
    <w:rsid w:val="003E0C17"/>
    <w:rsid w:val="003E14FE"/>
    <w:rsid w:val="003E1C6B"/>
    <w:rsid w:val="003E22A6"/>
    <w:rsid w:val="003E2887"/>
    <w:rsid w:val="003E2897"/>
    <w:rsid w:val="003E2B1F"/>
    <w:rsid w:val="003E2C1D"/>
    <w:rsid w:val="003E3168"/>
    <w:rsid w:val="003E3310"/>
    <w:rsid w:val="003E3DDB"/>
    <w:rsid w:val="003E4074"/>
    <w:rsid w:val="003E4A7A"/>
    <w:rsid w:val="003E5C0A"/>
    <w:rsid w:val="003E5D91"/>
    <w:rsid w:val="003E5F36"/>
    <w:rsid w:val="003E7437"/>
    <w:rsid w:val="003E75B1"/>
    <w:rsid w:val="003E7C05"/>
    <w:rsid w:val="003F00EF"/>
    <w:rsid w:val="003F0143"/>
    <w:rsid w:val="003F025A"/>
    <w:rsid w:val="003F0984"/>
    <w:rsid w:val="003F0BB5"/>
    <w:rsid w:val="003F0DDD"/>
    <w:rsid w:val="003F0F40"/>
    <w:rsid w:val="003F1173"/>
    <w:rsid w:val="003F1598"/>
    <w:rsid w:val="003F2E69"/>
    <w:rsid w:val="003F3077"/>
    <w:rsid w:val="003F32E7"/>
    <w:rsid w:val="003F38B9"/>
    <w:rsid w:val="003F3FA5"/>
    <w:rsid w:val="003F41C8"/>
    <w:rsid w:val="003F4840"/>
    <w:rsid w:val="003F5CA5"/>
    <w:rsid w:val="003F6273"/>
    <w:rsid w:val="003F6B32"/>
    <w:rsid w:val="003F6CB1"/>
    <w:rsid w:val="00400044"/>
    <w:rsid w:val="00400132"/>
    <w:rsid w:val="00400830"/>
    <w:rsid w:val="00401521"/>
    <w:rsid w:val="00401605"/>
    <w:rsid w:val="00401B71"/>
    <w:rsid w:val="00402181"/>
    <w:rsid w:val="00403148"/>
    <w:rsid w:val="004033D3"/>
    <w:rsid w:val="00403C26"/>
    <w:rsid w:val="004048BC"/>
    <w:rsid w:val="0040521C"/>
    <w:rsid w:val="004054E2"/>
    <w:rsid w:val="0040568B"/>
    <w:rsid w:val="004061CE"/>
    <w:rsid w:val="00406539"/>
    <w:rsid w:val="0040675E"/>
    <w:rsid w:val="00406EF0"/>
    <w:rsid w:val="004113F9"/>
    <w:rsid w:val="004126D3"/>
    <w:rsid w:val="00412B4B"/>
    <w:rsid w:val="00412D87"/>
    <w:rsid w:val="00412DC7"/>
    <w:rsid w:val="00413223"/>
    <w:rsid w:val="004133E5"/>
    <w:rsid w:val="00413664"/>
    <w:rsid w:val="004139E6"/>
    <w:rsid w:val="00413B20"/>
    <w:rsid w:val="00413E13"/>
    <w:rsid w:val="0041407E"/>
    <w:rsid w:val="0041413F"/>
    <w:rsid w:val="00414716"/>
    <w:rsid w:val="00414DC7"/>
    <w:rsid w:val="00415178"/>
    <w:rsid w:val="00415263"/>
    <w:rsid w:val="00415F9A"/>
    <w:rsid w:val="00416B9C"/>
    <w:rsid w:val="00417272"/>
    <w:rsid w:val="00417B19"/>
    <w:rsid w:val="00417BAE"/>
    <w:rsid w:val="004203E2"/>
    <w:rsid w:val="0042158C"/>
    <w:rsid w:val="004219A2"/>
    <w:rsid w:val="00421A17"/>
    <w:rsid w:val="0042202C"/>
    <w:rsid w:val="00422095"/>
    <w:rsid w:val="00422B61"/>
    <w:rsid w:val="00422C5F"/>
    <w:rsid w:val="00422CBE"/>
    <w:rsid w:val="00423067"/>
    <w:rsid w:val="00423503"/>
    <w:rsid w:val="00423B15"/>
    <w:rsid w:val="00423C34"/>
    <w:rsid w:val="004243AE"/>
    <w:rsid w:val="00425E7A"/>
    <w:rsid w:val="00426487"/>
    <w:rsid w:val="004269EC"/>
    <w:rsid w:val="00426BD1"/>
    <w:rsid w:val="00426E57"/>
    <w:rsid w:val="00426EB2"/>
    <w:rsid w:val="00427E38"/>
    <w:rsid w:val="0043027C"/>
    <w:rsid w:val="004305BD"/>
    <w:rsid w:val="00430CB7"/>
    <w:rsid w:val="00430D83"/>
    <w:rsid w:val="0043106D"/>
    <w:rsid w:val="00431332"/>
    <w:rsid w:val="004323FD"/>
    <w:rsid w:val="00432C0E"/>
    <w:rsid w:val="00433589"/>
    <w:rsid w:val="00433CF6"/>
    <w:rsid w:val="00434104"/>
    <w:rsid w:val="004353FA"/>
    <w:rsid w:val="004355D0"/>
    <w:rsid w:val="004356A9"/>
    <w:rsid w:val="00435C4C"/>
    <w:rsid w:val="00435CD5"/>
    <w:rsid w:val="00435E7E"/>
    <w:rsid w:val="004366EA"/>
    <w:rsid w:val="00436CA5"/>
    <w:rsid w:val="00437338"/>
    <w:rsid w:val="004373EE"/>
    <w:rsid w:val="004376D2"/>
    <w:rsid w:val="004404C3"/>
    <w:rsid w:val="004407CA"/>
    <w:rsid w:val="00440D5E"/>
    <w:rsid w:val="00440EFB"/>
    <w:rsid w:val="004415A9"/>
    <w:rsid w:val="00442A6D"/>
    <w:rsid w:val="00442D2E"/>
    <w:rsid w:val="00443C96"/>
    <w:rsid w:val="004440C9"/>
    <w:rsid w:val="004442D8"/>
    <w:rsid w:val="004448D8"/>
    <w:rsid w:val="00444CBA"/>
    <w:rsid w:val="00446203"/>
    <w:rsid w:val="00446410"/>
    <w:rsid w:val="00446598"/>
    <w:rsid w:val="00447432"/>
    <w:rsid w:val="00447D3F"/>
    <w:rsid w:val="00447F26"/>
    <w:rsid w:val="00450760"/>
    <w:rsid w:val="004513CB"/>
    <w:rsid w:val="00451B56"/>
    <w:rsid w:val="004530A1"/>
    <w:rsid w:val="0045328E"/>
    <w:rsid w:val="004532B9"/>
    <w:rsid w:val="004536B0"/>
    <w:rsid w:val="00453778"/>
    <w:rsid w:val="00454285"/>
    <w:rsid w:val="00454508"/>
    <w:rsid w:val="00454862"/>
    <w:rsid w:val="0045496F"/>
    <w:rsid w:val="0045512F"/>
    <w:rsid w:val="004567C1"/>
    <w:rsid w:val="0045743C"/>
    <w:rsid w:val="00460DA2"/>
    <w:rsid w:val="00461836"/>
    <w:rsid w:val="00461FA0"/>
    <w:rsid w:val="0046206F"/>
    <w:rsid w:val="0046230F"/>
    <w:rsid w:val="004627B3"/>
    <w:rsid w:val="004631CE"/>
    <w:rsid w:val="00463B9C"/>
    <w:rsid w:val="00463F7A"/>
    <w:rsid w:val="00464383"/>
    <w:rsid w:val="004648BD"/>
    <w:rsid w:val="00464B06"/>
    <w:rsid w:val="00465864"/>
    <w:rsid w:val="00465BB1"/>
    <w:rsid w:val="0046691F"/>
    <w:rsid w:val="00467180"/>
    <w:rsid w:val="004675EE"/>
    <w:rsid w:val="00467F14"/>
    <w:rsid w:val="00470765"/>
    <w:rsid w:val="00470FA3"/>
    <w:rsid w:val="0047106A"/>
    <w:rsid w:val="004711BF"/>
    <w:rsid w:val="004717FA"/>
    <w:rsid w:val="00472F4B"/>
    <w:rsid w:val="00473A0B"/>
    <w:rsid w:val="00473D01"/>
    <w:rsid w:val="0047457F"/>
    <w:rsid w:val="0047463B"/>
    <w:rsid w:val="00475185"/>
    <w:rsid w:val="0047544A"/>
    <w:rsid w:val="00476822"/>
    <w:rsid w:val="00476C28"/>
    <w:rsid w:val="00476C2F"/>
    <w:rsid w:val="00477288"/>
    <w:rsid w:val="004776BB"/>
    <w:rsid w:val="00480666"/>
    <w:rsid w:val="00480A67"/>
    <w:rsid w:val="004813FB"/>
    <w:rsid w:val="00481A44"/>
    <w:rsid w:val="004821B4"/>
    <w:rsid w:val="004822A6"/>
    <w:rsid w:val="00482C61"/>
    <w:rsid w:val="004830B3"/>
    <w:rsid w:val="00483225"/>
    <w:rsid w:val="00483C02"/>
    <w:rsid w:val="00483DB0"/>
    <w:rsid w:val="004845B3"/>
    <w:rsid w:val="004855C4"/>
    <w:rsid w:val="004858DB"/>
    <w:rsid w:val="00486095"/>
    <w:rsid w:val="00486413"/>
    <w:rsid w:val="00486907"/>
    <w:rsid w:val="00487958"/>
    <w:rsid w:val="00490246"/>
    <w:rsid w:val="00490927"/>
    <w:rsid w:val="00490BB6"/>
    <w:rsid w:val="00490D0F"/>
    <w:rsid w:val="004914F0"/>
    <w:rsid w:val="004915D8"/>
    <w:rsid w:val="00491B91"/>
    <w:rsid w:val="00491EA1"/>
    <w:rsid w:val="004927FE"/>
    <w:rsid w:val="00492AEA"/>
    <w:rsid w:val="00493265"/>
    <w:rsid w:val="0049333A"/>
    <w:rsid w:val="0049444A"/>
    <w:rsid w:val="004950AB"/>
    <w:rsid w:val="00495513"/>
    <w:rsid w:val="004957D2"/>
    <w:rsid w:val="00496211"/>
    <w:rsid w:val="004962C1"/>
    <w:rsid w:val="004965A0"/>
    <w:rsid w:val="00496740"/>
    <w:rsid w:val="00496FA2"/>
    <w:rsid w:val="00497A32"/>
    <w:rsid w:val="00497A95"/>
    <w:rsid w:val="004A0527"/>
    <w:rsid w:val="004A0B4B"/>
    <w:rsid w:val="004A0BA4"/>
    <w:rsid w:val="004A0C6E"/>
    <w:rsid w:val="004A178C"/>
    <w:rsid w:val="004A19F9"/>
    <w:rsid w:val="004A1D8F"/>
    <w:rsid w:val="004A2100"/>
    <w:rsid w:val="004A262F"/>
    <w:rsid w:val="004A331A"/>
    <w:rsid w:val="004A3809"/>
    <w:rsid w:val="004A3B8C"/>
    <w:rsid w:val="004A3CAA"/>
    <w:rsid w:val="004A47A3"/>
    <w:rsid w:val="004A487E"/>
    <w:rsid w:val="004A4997"/>
    <w:rsid w:val="004A5711"/>
    <w:rsid w:val="004A5851"/>
    <w:rsid w:val="004A5D46"/>
    <w:rsid w:val="004A622E"/>
    <w:rsid w:val="004A64EB"/>
    <w:rsid w:val="004B03B2"/>
    <w:rsid w:val="004B0F9A"/>
    <w:rsid w:val="004B1989"/>
    <w:rsid w:val="004B19EE"/>
    <w:rsid w:val="004B1E68"/>
    <w:rsid w:val="004B29AB"/>
    <w:rsid w:val="004B2B8E"/>
    <w:rsid w:val="004B3540"/>
    <w:rsid w:val="004B35C0"/>
    <w:rsid w:val="004B39E7"/>
    <w:rsid w:val="004B3C5A"/>
    <w:rsid w:val="004B538B"/>
    <w:rsid w:val="004B5618"/>
    <w:rsid w:val="004B5798"/>
    <w:rsid w:val="004B6389"/>
    <w:rsid w:val="004B6576"/>
    <w:rsid w:val="004B6B47"/>
    <w:rsid w:val="004B7504"/>
    <w:rsid w:val="004B7803"/>
    <w:rsid w:val="004B7A70"/>
    <w:rsid w:val="004B7C82"/>
    <w:rsid w:val="004C0160"/>
    <w:rsid w:val="004C0BB0"/>
    <w:rsid w:val="004C127D"/>
    <w:rsid w:val="004C2876"/>
    <w:rsid w:val="004C2877"/>
    <w:rsid w:val="004C2C3E"/>
    <w:rsid w:val="004C2DB0"/>
    <w:rsid w:val="004C2DB8"/>
    <w:rsid w:val="004C345C"/>
    <w:rsid w:val="004C383E"/>
    <w:rsid w:val="004C3B46"/>
    <w:rsid w:val="004C43C2"/>
    <w:rsid w:val="004C48CA"/>
    <w:rsid w:val="004C4C0C"/>
    <w:rsid w:val="004C4EE0"/>
    <w:rsid w:val="004C5703"/>
    <w:rsid w:val="004C5DB3"/>
    <w:rsid w:val="004C6BA5"/>
    <w:rsid w:val="004C6BF0"/>
    <w:rsid w:val="004C6D21"/>
    <w:rsid w:val="004D032E"/>
    <w:rsid w:val="004D04A9"/>
    <w:rsid w:val="004D0B40"/>
    <w:rsid w:val="004D14A4"/>
    <w:rsid w:val="004D1701"/>
    <w:rsid w:val="004D2705"/>
    <w:rsid w:val="004D29EE"/>
    <w:rsid w:val="004D2EB6"/>
    <w:rsid w:val="004D39B1"/>
    <w:rsid w:val="004D49E5"/>
    <w:rsid w:val="004D5463"/>
    <w:rsid w:val="004D5DD9"/>
    <w:rsid w:val="004D6973"/>
    <w:rsid w:val="004D6B7F"/>
    <w:rsid w:val="004D6DA1"/>
    <w:rsid w:val="004D72FC"/>
    <w:rsid w:val="004D78A9"/>
    <w:rsid w:val="004D7B95"/>
    <w:rsid w:val="004E010D"/>
    <w:rsid w:val="004E0B06"/>
    <w:rsid w:val="004E1894"/>
    <w:rsid w:val="004E2C45"/>
    <w:rsid w:val="004E2FBA"/>
    <w:rsid w:val="004E3053"/>
    <w:rsid w:val="004E36BB"/>
    <w:rsid w:val="004E38CF"/>
    <w:rsid w:val="004E396F"/>
    <w:rsid w:val="004E43EA"/>
    <w:rsid w:val="004E4867"/>
    <w:rsid w:val="004E4BE4"/>
    <w:rsid w:val="004E5088"/>
    <w:rsid w:val="004E50CF"/>
    <w:rsid w:val="004E5AFE"/>
    <w:rsid w:val="004E5CDE"/>
    <w:rsid w:val="004E627B"/>
    <w:rsid w:val="004E6428"/>
    <w:rsid w:val="004E6566"/>
    <w:rsid w:val="004E70E3"/>
    <w:rsid w:val="004F01A8"/>
    <w:rsid w:val="004F07DE"/>
    <w:rsid w:val="004F1C2E"/>
    <w:rsid w:val="004F2464"/>
    <w:rsid w:val="004F2A25"/>
    <w:rsid w:val="004F36C1"/>
    <w:rsid w:val="004F4AF3"/>
    <w:rsid w:val="004F4D6A"/>
    <w:rsid w:val="004F4DF0"/>
    <w:rsid w:val="004F4E49"/>
    <w:rsid w:val="004F4F36"/>
    <w:rsid w:val="004F5B31"/>
    <w:rsid w:val="004F652F"/>
    <w:rsid w:val="004F69BD"/>
    <w:rsid w:val="004F6A90"/>
    <w:rsid w:val="004F79A3"/>
    <w:rsid w:val="004F7DE1"/>
    <w:rsid w:val="00500295"/>
    <w:rsid w:val="0050088F"/>
    <w:rsid w:val="00500B07"/>
    <w:rsid w:val="00500F94"/>
    <w:rsid w:val="0050107B"/>
    <w:rsid w:val="005011EB"/>
    <w:rsid w:val="005011F0"/>
    <w:rsid w:val="00501B9B"/>
    <w:rsid w:val="00501C26"/>
    <w:rsid w:val="00501C2C"/>
    <w:rsid w:val="0050246F"/>
    <w:rsid w:val="005028BB"/>
    <w:rsid w:val="00502DF8"/>
    <w:rsid w:val="0050307A"/>
    <w:rsid w:val="00503F86"/>
    <w:rsid w:val="0050431D"/>
    <w:rsid w:val="005045F3"/>
    <w:rsid w:val="00504D1C"/>
    <w:rsid w:val="00505133"/>
    <w:rsid w:val="00506D13"/>
    <w:rsid w:val="005079A3"/>
    <w:rsid w:val="005102B5"/>
    <w:rsid w:val="00510C02"/>
    <w:rsid w:val="00511CAE"/>
    <w:rsid w:val="005123F3"/>
    <w:rsid w:val="005125B4"/>
    <w:rsid w:val="0051276F"/>
    <w:rsid w:val="00512DA9"/>
    <w:rsid w:val="00513AB3"/>
    <w:rsid w:val="00513F4C"/>
    <w:rsid w:val="005149FF"/>
    <w:rsid w:val="00514D0D"/>
    <w:rsid w:val="005152BA"/>
    <w:rsid w:val="005157F9"/>
    <w:rsid w:val="0051622C"/>
    <w:rsid w:val="00516E18"/>
    <w:rsid w:val="00517AB6"/>
    <w:rsid w:val="005205C5"/>
    <w:rsid w:val="0052096D"/>
    <w:rsid w:val="0052127F"/>
    <w:rsid w:val="005228BA"/>
    <w:rsid w:val="00522B37"/>
    <w:rsid w:val="00523049"/>
    <w:rsid w:val="0052365D"/>
    <w:rsid w:val="0052399D"/>
    <w:rsid w:val="00523D30"/>
    <w:rsid w:val="0052444A"/>
    <w:rsid w:val="005251EA"/>
    <w:rsid w:val="0052630F"/>
    <w:rsid w:val="00526B56"/>
    <w:rsid w:val="00526D17"/>
    <w:rsid w:val="00530CA7"/>
    <w:rsid w:val="005312FA"/>
    <w:rsid w:val="005321FA"/>
    <w:rsid w:val="005325CC"/>
    <w:rsid w:val="005334B6"/>
    <w:rsid w:val="005338C0"/>
    <w:rsid w:val="005342D1"/>
    <w:rsid w:val="00534526"/>
    <w:rsid w:val="00534766"/>
    <w:rsid w:val="00534D49"/>
    <w:rsid w:val="005350F8"/>
    <w:rsid w:val="00535C5E"/>
    <w:rsid w:val="00536498"/>
    <w:rsid w:val="00536646"/>
    <w:rsid w:val="00536663"/>
    <w:rsid w:val="00536A83"/>
    <w:rsid w:val="00536CB0"/>
    <w:rsid w:val="00537BF5"/>
    <w:rsid w:val="00537FBE"/>
    <w:rsid w:val="0054076B"/>
    <w:rsid w:val="00540AB5"/>
    <w:rsid w:val="0054162B"/>
    <w:rsid w:val="0054181C"/>
    <w:rsid w:val="00541F2F"/>
    <w:rsid w:val="00542919"/>
    <w:rsid w:val="00542949"/>
    <w:rsid w:val="00542C01"/>
    <w:rsid w:val="00543722"/>
    <w:rsid w:val="005439FB"/>
    <w:rsid w:val="005446CC"/>
    <w:rsid w:val="005447D7"/>
    <w:rsid w:val="00544EFA"/>
    <w:rsid w:val="00545003"/>
    <w:rsid w:val="00545844"/>
    <w:rsid w:val="00545928"/>
    <w:rsid w:val="00545D12"/>
    <w:rsid w:val="00545E82"/>
    <w:rsid w:val="00545F59"/>
    <w:rsid w:val="00545FA2"/>
    <w:rsid w:val="00546BD3"/>
    <w:rsid w:val="00546EAB"/>
    <w:rsid w:val="00547278"/>
    <w:rsid w:val="005473FE"/>
    <w:rsid w:val="005474CD"/>
    <w:rsid w:val="005476D4"/>
    <w:rsid w:val="00547934"/>
    <w:rsid w:val="00550682"/>
    <w:rsid w:val="00551396"/>
    <w:rsid w:val="0055202B"/>
    <w:rsid w:val="00552076"/>
    <w:rsid w:val="0055254E"/>
    <w:rsid w:val="005526BA"/>
    <w:rsid w:val="00552B30"/>
    <w:rsid w:val="005530CE"/>
    <w:rsid w:val="00553521"/>
    <w:rsid w:val="0055358C"/>
    <w:rsid w:val="00554442"/>
    <w:rsid w:val="005544D7"/>
    <w:rsid w:val="00555246"/>
    <w:rsid w:val="00555843"/>
    <w:rsid w:val="00555A20"/>
    <w:rsid w:val="00555B64"/>
    <w:rsid w:val="005562ED"/>
    <w:rsid w:val="00556B83"/>
    <w:rsid w:val="00556D38"/>
    <w:rsid w:val="00556EFA"/>
    <w:rsid w:val="00557512"/>
    <w:rsid w:val="00557974"/>
    <w:rsid w:val="00557E33"/>
    <w:rsid w:val="00557F0F"/>
    <w:rsid w:val="00557FB4"/>
    <w:rsid w:val="005606F5"/>
    <w:rsid w:val="005608FA"/>
    <w:rsid w:val="00560951"/>
    <w:rsid w:val="00560B82"/>
    <w:rsid w:val="00560DEC"/>
    <w:rsid w:val="005610BF"/>
    <w:rsid w:val="00561544"/>
    <w:rsid w:val="00562161"/>
    <w:rsid w:val="0056269D"/>
    <w:rsid w:val="005626BD"/>
    <w:rsid w:val="00562C96"/>
    <w:rsid w:val="00563191"/>
    <w:rsid w:val="0056395C"/>
    <w:rsid w:val="00563CDC"/>
    <w:rsid w:val="00564455"/>
    <w:rsid w:val="005644A3"/>
    <w:rsid w:val="00564995"/>
    <w:rsid w:val="005668D1"/>
    <w:rsid w:val="00566BA6"/>
    <w:rsid w:val="00566F7B"/>
    <w:rsid w:val="005701A8"/>
    <w:rsid w:val="005705FB"/>
    <w:rsid w:val="00570C51"/>
    <w:rsid w:val="00570E5D"/>
    <w:rsid w:val="005714A6"/>
    <w:rsid w:val="00571DD3"/>
    <w:rsid w:val="00571DFD"/>
    <w:rsid w:val="00572F07"/>
    <w:rsid w:val="0057371A"/>
    <w:rsid w:val="00573877"/>
    <w:rsid w:val="00574B8E"/>
    <w:rsid w:val="00574F91"/>
    <w:rsid w:val="00575BB5"/>
    <w:rsid w:val="00575C0D"/>
    <w:rsid w:val="005760BB"/>
    <w:rsid w:val="005763AE"/>
    <w:rsid w:val="0057651E"/>
    <w:rsid w:val="00576BDD"/>
    <w:rsid w:val="00576D55"/>
    <w:rsid w:val="00577B4B"/>
    <w:rsid w:val="005818E5"/>
    <w:rsid w:val="00582045"/>
    <w:rsid w:val="00582A50"/>
    <w:rsid w:val="00582CF5"/>
    <w:rsid w:val="00582D19"/>
    <w:rsid w:val="00583284"/>
    <w:rsid w:val="0058374C"/>
    <w:rsid w:val="00583E2D"/>
    <w:rsid w:val="00583E58"/>
    <w:rsid w:val="0058411E"/>
    <w:rsid w:val="00584F91"/>
    <w:rsid w:val="00585570"/>
    <w:rsid w:val="00586AB3"/>
    <w:rsid w:val="00586CF2"/>
    <w:rsid w:val="00587320"/>
    <w:rsid w:val="0058780E"/>
    <w:rsid w:val="00590FAD"/>
    <w:rsid w:val="00591B31"/>
    <w:rsid w:val="00592500"/>
    <w:rsid w:val="00592F77"/>
    <w:rsid w:val="0059374F"/>
    <w:rsid w:val="00593AC1"/>
    <w:rsid w:val="00593C41"/>
    <w:rsid w:val="00594122"/>
    <w:rsid w:val="0059420D"/>
    <w:rsid w:val="005942FF"/>
    <w:rsid w:val="00594FB6"/>
    <w:rsid w:val="00596B66"/>
    <w:rsid w:val="00596E81"/>
    <w:rsid w:val="00596F20"/>
    <w:rsid w:val="00597C2A"/>
    <w:rsid w:val="005A0526"/>
    <w:rsid w:val="005A0682"/>
    <w:rsid w:val="005A0956"/>
    <w:rsid w:val="005A0BEF"/>
    <w:rsid w:val="005A173D"/>
    <w:rsid w:val="005A1D7F"/>
    <w:rsid w:val="005A3148"/>
    <w:rsid w:val="005A35A4"/>
    <w:rsid w:val="005A40BC"/>
    <w:rsid w:val="005A4C27"/>
    <w:rsid w:val="005A5FB4"/>
    <w:rsid w:val="005A6826"/>
    <w:rsid w:val="005A6B22"/>
    <w:rsid w:val="005A7705"/>
    <w:rsid w:val="005B036C"/>
    <w:rsid w:val="005B0D4B"/>
    <w:rsid w:val="005B0F64"/>
    <w:rsid w:val="005B12ED"/>
    <w:rsid w:val="005B1615"/>
    <w:rsid w:val="005B2857"/>
    <w:rsid w:val="005B31BF"/>
    <w:rsid w:val="005B3601"/>
    <w:rsid w:val="005B3C1D"/>
    <w:rsid w:val="005B4390"/>
    <w:rsid w:val="005B4418"/>
    <w:rsid w:val="005B44FE"/>
    <w:rsid w:val="005B4B1C"/>
    <w:rsid w:val="005B4C8D"/>
    <w:rsid w:val="005B4DD3"/>
    <w:rsid w:val="005B5226"/>
    <w:rsid w:val="005B582C"/>
    <w:rsid w:val="005B590E"/>
    <w:rsid w:val="005B59E1"/>
    <w:rsid w:val="005B6742"/>
    <w:rsid w:val="005B6D80"/>
    <w:rsid w:val="005B6F7F"/>
    <w:rsid w:val="005B7D27"/>
    <w:rsid w:val="005B7DA2"/>
    <w:rsid w:val="005B7DEB"/>
    <w:rsid w:val="005C0492"/>
    <w:rsid w:val="005C0B8E"/>
    <w:rsid w:val="005C16AE"/>
    <w:rsid w:val="005C1DD9"/>
    <w:rsid w:val="005C245F"/>
    <w:rsid w:val="005C2644"/>
    <w:rsid w:val="005C3720"/>
    <w:rsid w:val="005C3DDD"/>
    <w:rsid w:val="005C4C58"/>
    <w:rsid w:val="005C4D6F"/>
    <w:rsid w:val="005C51D9"/>
    <w:rsid w:val="005C52C3"/>
    <w:rsid w:val="005C549A"/>
    <w:rsid w:val="005C6A22"/>
    <w:rsid w:val="005C6A6C"/>
    <w:rsid w:val="005C729D"/>
    <w:rsid w:val="005C7FD7"/>
    <w:rsid w:val="005D00E6"/>
    <w:rsid w:val="005D1C21"/>
    <w:rsid w:val="005D1F97"/>
    <w:rsid w:val="005D2396"/>
    <w:rsid w:val="005D2651"/>
    <w:rsid w:val="005D2CE9"/>
    <w:rsid w:val="005D343F"/>
    <w:rsid w:val="005D4C61"/>
    <w:rsid w:val="005D4F33"/>
    <w:rsid w:val="005D6267"/>
    <w:rsid w:val="005D6C63"/>
    <w:rsid w:val="005D7177"/>
    <w:rsid w:val="005D7939"/>
    <w:rsid w:val="005D7C3F"/>
    <w:rsid w:val="005E02D0"/>
    <w:rsid w:val="005E03D4"/>
    <w:rsid w:val="005E0438"/>
    <w:rsid w:val="005E13E3"/>
    <w:rsid w:val="005E15E8"/>
    <w:rsid w:val="005E1B5D"/>
    <w:rsid w:val="005E205E"/>
    <w:rsid w:val="005E2470"/>
    <w:rsid w:val="005E2B7E"/>
    <w:rsid w:val="005E30D8"/>
    <w:rsid w:val="005E3143"/>
    <w:rsid w:val="005E347C"/>
    <w:rsid w:val="005E3C90"/>
    <w:rsid w:val="005E51F1"/>
    <w:rsid w:val="005E5C93"/>
    <w:rsid w:val="005E635C"/>
    <w:rsid w:val="005E64EF"/>
    <w:rsid w:val="005E66C2"/>
    <w:rsid w:val="005E68DB"/>
    <w:rsid w:val="005E7529"/>
    <w:rsid w:val="005E786F"/>
    <w:rsid w:val="005E7C90"/>
    <w:rsid w:val="005F0350"/>
    <w:rsid w:val="005F061D"/>
    <w:rsid w:val="005F13AB"/>
    <w:rsid w:val="005F211A"/>
    <w:rsid w:val="005F275E"/>
    <w:rsid w:val="005F2A29"/>
    <w:rsid w:val="005F5479"/>
    <w:rsid w:val="005F57B4"/>
    <w:rsid w:val="005F6333"/>
    <w:rsid w:val="005F6731"/>
    <w:rsid w:val="005F6C85"/>
    <w:rsid w:val="005F6DC9"/>
    <w:rsid w:val="005F7613"/>
    <w:rsid w:val="005F7635"/>
    <w:rsid w:val="005F78F2"/>
    <w:rsid w:val="005F7D96"/>
    <w:rsid w:val="006003B5"/>
    <w:rsid w:val="00600530"/>
    <w:rsid w:val="00600BC4"/>
    <w:rsid w:val="00600E24"/>
    <w:rsid w:val="00601CB7"/>
    <w:rsid w:val="006020E6"/>
    <w:rsid w:val="00602763"/>
    <w:rsid w:val="00602D96"/>
    <w:rsid w:val="0060478B"/>
    <w:rsid w:val="0060481F"/>
    <w:rsid w:val="00604BB4"/>
    <w:rsid w:val="00604E94"/>
    <w:rsid w:val="00604EAF"/>
    <w:rsid w:val="00605CD4"/>
    <w:rsid w:val="00606842"/>
    <w:rsid w:val="00610EFB"/>
    <w:rsid w:val="006123BE"/>
    <w:rsid w:val="00612464"/>
    <w:rsid w:val="00612DF9"/>
    <w:rsid w:val="00612FCB"/>
    <w:rsid w:val="00613315"/>
    <w:rsid w:val="00613CAD"/>
    <w:rsid w:val="00614266"/>
    <w:rsid w:val="00614CEB"/>
    <w:rsid w:val="006157B5"/>
    <w:rsid w:val="006168BB"/>
    <w:rsid w:val="00616F37"/>
    <w:rsid w:val="006207A0"/>
    <w:rsid w:val="00620A2C"/>
    <w:rsid w:val="00621268"/>
    <w:rsid w:val="0062131E"/>
    <w:rsid w:val="00621A2B"/>
    <w:rsid w:val="00621EB2"/>
    <w:rsid w:val="00622B64"/>
    <w:rsid w:val="006231C7"/>
    <w:rsid w:val="00623C95"/>
    <w:rsid w:val="00624305"/>
    <w:rsid w:val="006245EF"/>
    <w:rsid w:val="00624CBF"/>
    <w:rsid w:val="006252B3"/>
    <w:rsid w:val="00625427"/>
    <w:rsid w:val="00625586"/>
    <w:rsid w:val="006256CA"/>
    <w:rsid w:val="00625996"/>
    <w:rsid w:val="00625DBB"/>
    <w:rsid w:val="00626AB5"/>
    <w:rsid w:val="0062716B"/>
    <w:rsid w:val="006273C4"/>
    <w:rsid w:val="00627BC0"/>
    <w:rsid w:val="00627CBE"/>
    <w:rsid w:val="006313DF"/>
    <w:rsid w:val="006315E0"/>
    <w:rsid w:val="006316D9"/>
    <w:rsid w:val="00631FF8"/>
    <w:rsid w:val="00632272"/>
    <w:rsid w:val="006327F7"/>
    <w:rsid w:val="00632AC1"/>
    <w:rsid w:val="00632C6F"/>
    <w:rsid w:val="006339DB"/>
    <w:rsid w:val="006342F4"/>
    <w:rsid w:val="00634AE9"/>
    <w:rsid w:val="00635035"/>
    <w:rsid w:val="006358D8"/>
    <w:rsid w:val="00635B5E"/>
    <w:rsid w:val="00635E1D"/>
    <w:rsid w:val="006365E6"/>
    <w:rsid w:val="00636C26"/>
    <w:rsid w:val="006371CD"/>
    <w:rsid w:val="00637304"/>
    <w:rsid w:val="00637CB0"/>
    <w:rsid w:val="00640EAB"/>
    <w:rsid w:val="00641251"/>
    <w:rsid w:val="00641848"/>
    <w:rsid w:val="006427F1"/>
    <w:rsid w:val="00642B63"/>
    <w:rsid w:val="00642B91"/>
    <w:rsid w:val="00642C7A"/>
    <w:rsid w:val="00642CF1"/>
    <w:rsid w:val="0064311C"/>
    <w:rsid w:val="00643135"/>
    <w:rsid w:val="006431E1"/>
    <w:rsid w:val="00643B3F"/>
    <w:rsid w:val="00643CA9"/>
    <w:rsid w:val="00644315"/>
    <w:rsid w:val="00644E0A"/>
    <w:rsid w:val="00644FC9"/>
    <w:rsid w:val="00646398"/>
    <w:rsid w:val="006504EF"/>
    <w:rsid w:val="00650957"/>
    <w:rsid w:val="00650BA4"/>
    <w:rsid w:val="00650C53"/>
    <w:rsid w:val="00651DD5"/>
    <w:rsid w:val="006527AD"/>
    <w:rsid w:val="00652BED"/>
    <w:rsid w:val="0065369F"/>
    <w:rsid w:val="00653CE4"/>
    <w:rsid w:val="00653F73"/>
    <w:rsid w:val="00653F75"/>
    <w:rsid w:val="0065401C"/>
    <w:rsid w:val="0065418A"/>
    <w:rsid w:val="0065578D"/>
    <w:rsid w:val="00655B83"/>
    <w:rsid w:val="00656280"/>
    <w:rsid w:val="0065647C"/>
    <w:rsid w:val="00660BB8"/>
    <w:rsid w:val="006615A7"/>
    <w:rsid w:val="00661641"/>
    <w:rsid w:val="00661CFF"/>
    <w:rsid w:val="00662098"/>
    <w:rsid w:val="0066220C"/>
    <w:rsid w:val="006624D3"/>
    <w:rsid w:val="0066256A"/>
    <w:rsid w:val="006626EF"/>
    <w:rsid w:val="00662DB5"/>
    <w:rsid w:val="00664568"/>
    <w:rsid w:val="00665166"/>
    <w:rsid w:val="006657F4"/>
    <w:rsid w:val="006658C4"/>
    <w:rsid w:val="00665BC3"/>
    <w:rsid w:val="006664DE"/>
    <w:rsid w:val="0066657E"/>
    <w:rsid w:val="0066659C"/>
    <w:rsid w:val="0066744C"/>
    <w:rsid w:val="00667A58"/>
    <w:rsid w:val="00667D2E"/>
    <w:rsid w:val="00670599"/>
    <w:rsid w:val="00670DCE"/>
    <w:rsid w:val="00670E01"/>
    <w:rsid w:val="00670E81"/>
    <w:rsid w:val="00671ADA"/>
    <w:rsid w:val="00671B2B"/>
    <w:rsid w:val="006724E5"/>
    <w:rsid w:val="0067265F"/>
    <w:rsid w:val="006728D9"/>
    <w:rsid w:val="00672AB2"/>
    <w:rsid w:val="006734E9"/>
    <w:rsid w:val="00673DDE"/>
    <w:rsid w:val="00673F0C"/>
    <w:rsid w:val="00674E52"/>
    <w:rsid w:val="006756B2"/>
    <w:rsid w:val="00675844"/>
    <w:rsid w:val="006759BC"/>
    <w:rsid w:val="006759E7"/>
    <w:rsid w:val="00675CEB"/>
    <w:rsid w:val="00676931"/>
    <w:rsid w:val="00677917"/>
    <w:rsid w:val="00677E15"/>
    <w:rsid w:val="006803E7"/>
    <w:rsid w:val="006804F0"/>
    <w:rsid w:val="00680ADC"/>
    <w:rsid w:val="006814C3"/>
    <w:rsid w:val="006817AD"/>
    <w:rsid w:val="00681E8A"/>
    <w:rsid w:val="00683775"/>
    <w:rsid w:val="00683FAC"/>
    <w:rsid w:val="006849D2"/>
    <w:rsid w:val="00684E81"/>
    <w:rsid w:val="00685786"/>
    <w:rsid w:val="00685B30"/>
    <w:rsid w:val="006864BE"/>
    <w:rsid w:val="00686566"/>
    <w:rsid w:val="00686848"/>
    <w:rsid w:val="00686C94"/>
    <w:rsid w:val="006904BC"/>
    <w:rsid w:val="0069084E"/>
    <w:rsid w:val="00691B6C"/>
    <w:rsid w:val="0069286F"/>
    <w:rsid w:val="00692967"/>
    <w:rsid w:val="00692B51"/>
    <w:rsid w:val="006933B7"/>
    <w:rsid w:val="006935B8"/>
    <w:rsid w:val="00693A04"/>
    <w:rsid w:val="00693C78"/>
    <w:rsid w:val="00693C93"/>
    <w:rsid w:val="00694C1D"/>
    <w:rsid w:val="00694C34"/>
    <w:rsid w:val="00695001"/>
    <w:rsid w:val="0069594B"/>
    <w:rsid w:val="00695CA8"/>
    <w:rsid w:val="006969E7"/>
    <w:rsid w:val="00696A68"/>
    <w:rsid w:val="00696B36"/>
    <w:rsid w:val="00696DE8"/>
    <w:rsid w:val="006971FE"/>
    <w:rsid w:val="006A002B"/>
    <w:rsid w:val="006A01DB"/>
    <w:rsid w:val="006A031B"/>
    <w:rsid w:val="006A0897"/>
    <w:rsid w:val="006A0D07"/>
    <w:rsid w:val="006A1223"/>
    <w:rsid w:val="006A12B7"/>
    <w:rsid w:val="006A249F"/>
    <w:rsid w:val="006A258D"/>
    <w:rsid w:val="006A2FAA"/>
    <w:rsid w:val="006A320F"/>
    <w:rsid w:val="006A3602"/>
    <w:rsid w:val="006A3A78"/>
    <w:rsid w:val="006A3B61"/>
    <w:rsid w:val="006A4167"/>
    <w:rsid w:val="006A41A0"/>
    <w:rsid w:val="006A4CDE"/>
    <w:rsid w:val="006A52EA"/>
    <w:rsid w:val="006A53E3"/>
    <w:rsid w:val="006A5DFB"/>
    <w:rsid w:val="006A5F8F"/>
    <w:rsid w:val="006A63FC"/>
    <w:rsid w:val="006A69FE"/>
    <w:rsid w:val="006A731E"/>
    <w:rsid w:val="006A769C"/>
    <w:rsid w:val="006A77A2"/>
    <w:rsid w:val="006A7A34"/>
    <w:rsid w:val="006A7ACD"/>
    <w:rsid w:val="006A7B0D"/>
    <w:rsid w:val="006B0417"/>
    <w:rsid w:val="006B0841"/>
    <w:rsid w:val="006B08C4"/>
    <w:rsid w:val="006B0BFC"/>
    <w:rsid w:val="006B1999"/>
    <w:rsid w:val="006B1F22"/>
    <w:rsid w:val="006B208F"/>
    <w:rsid w:val="006B22E1"/>
    <w:rsid w:val="006B2C0A"/>
    <w:rsid w:val="006B35C4"/>
    <w:rsid w:val="006B440B"/>
    <w:rsid w:val="006B4723"/>
    <w:rsid w:val="006B4AF5"/>
    <w:rsid w:val="006B5582"/>
    <w:rsid w:val="006B5669"/>
    <w:rsid w:val="006B56CA"/>
    <w:rsid w:val="006B6161"/>
    <w:rsid w:val="006B6521"/>
    <w:rsid w:val="006B6C09"/>
    <w:rsid w:val="006B6F0A"/>
    <w:rsid w:val="006B735C"/>
    <w:rsid w:val="006C0251"/>
    <w:rsid w:val="006C125E"/>
    <w:rsid w:val="006C1A82"/>
    <w:rsid w:val="006C2129"/>
    <w:rsid w:val="006C2754"/>
    <w:rsid w:val="006C2952"/>
    <w:rsid w:val="006C2AEB"/>
    <w:rsid w:val="006C2EA8"/>
    <w:rsid w:val="006C3769"/>
    <w:rsid w:val="006C37D4"/>
    <w:rsid w:val="006C4157"/>
    <w:rsid w:val="006C4AB4"/>
    <w:rsid w:val="006C53F2"/>
    <w:rsid w:val="006C55C8"/>
    <w:rsid w:val="006C5945"/>
    <w:rsid w:val="006C646B"/>
    <w:rsid w:val="006C6F43"/>
    <w:rsid w:val="006C7469"/>
    <w:rsid w:val="006C7E75"/>
    <w:rsid w:val="006C7E78"/>
    <w:rsid w:val="006D0919"/>
    <w:rsid w:val="006D0ABA"/>
    <w:rsid w:val="006D0B49"/>
    <w:rsid w:val="006D2640"/>
    <w:rsid w:val="006D27A1"/>
    <w:rsid w:val="006D2C25"/>
    <w:rsid w:val="006D2C8A"/>
    <w:rsid w:val="006D3332"/>
    <w:rsid w:val="006D3499"/>
    <w:rsid w:val="006D3C25"/>
    <w:rsid w:val="006D3CA8"/>
    <w:rsid w:val="006D4651"/>
    <w:rsid w:val="006D48FA"/>
    <w:rsid w:val="006D5B0F"/>
    <w:rsid w:val="006D5C86"/>
    <w:rsid w:val="006D5FD1"/>
    <w:rsid w:val="006D6447"/>
    <w:rsid w:val="006D6908"/>
    <w:rsid w:val="006D6964"/>
    <w:rsid w:val="006D6A43"/>
    <w:rsid w:val="006D6A71"/>
    <w:rsid w:val="006D76C7"/>
    <w:rsid w:val="006D775F"/>
    <w:rsid w:val="006D78B3"/>
    <w:rsid w:val="006D7FE8"/>
    <w:rsid w:val="006E054C"/>
    <w:rsid w:val="006E19AE"/>
    <w:rsid w:val="006E23D4"/>
    <w:rsid w:val="006E2BC2"/>
    <w:rsid w:val="006E3383"/>
    <w:rsid w:val="006E3B03"/>
    <w:rsid w:val="006E4311"/>
    <w:rsid w:val="006E4771"/>
    <w:rsid w:val="006E4A5F"/>
    <w:rsid w:val="006E4C3D"/>
    <w:rsid w:val="006E4DEA"/>
    <w:rsid w:val="006E4F82"/>
    <w:rsid w:val="006E56CD"/>
    <w:rsid w:val="006E60A2"/>
    <w:rsid w:val="006E6181"/>
    <w:rsid w:val="006E6390"/>
    <w:rsid w:val="006E6855"/>
    <w:rsid w:val="006E6B63"/>
    <w:rsid w:val="006E6E38"/>
    <w:rsid w:val="006E7105"/>
    <w:rsid w:val="006E7136"/>
    <w:rsid w:val="006E76D0"/>
    <w:rsid w:val="006E77F8"/>
    <w:rsid w:val="006F156B"/>
    <w:rsid w:val="006F1DF7"/>
    <w:rsid w:val="006F2073"/>
    <w:rsid w:val="006F3665"/>
    <w:rsid w:val="006F36B1"/>
    <w:rsid w:val="006F3A25"/>
    <w:rsid w:val="006F3BAA"/>
    <w:rsid w:val="006F3C0D"/>
    <w:rsid w:val="006F3EF7"/>
    <w:rsid w:val="006F3FD0"/>
    <w:rsid w:val="006F41EA"/>
    <w:rsid w:val="006F5D41"/>
    <w:rsid w:val="006F6943"/>
    <w:rsid w:val="006F72D5"/>
    <w:rsid w:val="006F735A"/>
    <w:rsid w:val="006F7E99"/>
    <w:rsid w:val="00700DFF"/>
    <w:rsid w:val="00700F48"/>
    <w:rsid w:val="00702048"/>
    <w:rsid w:val="007022B9"/>
    <w:rsid w:val="007028B2"/>
    <w:rsid w:val="00702DB4"/>
    <w:rsid w:val="0070360E"/>
    <w:rsid w:val="00703BF5"/>
    <w:rsid w:val="00703CC4"/>
    <w:rsid w:val="00704257"/>
    <w:rsid w:val="0070446F"/>
    <w:rsid w:val="00705182"/>
    <w:rsid w:val="0070519B"/>
    <w:rsid w:val="00705DBD"/>
    <w:rsid w:val="00705FE4"/>
    <w:rsid w:val="007063E4"/>
    <w:rsid w:val="00706A4A"/>
    <w:rsid w:val="00706BF8"/>
    <w:rsid w:val="007071D6"/>
    <w:rsid w:val="0070780E"/>
    <w:rsid w:val="00710478"/>
    <w:rsid w:val="00711C37"/>
    <w:rsid w:val="00711E1F"/>
    <w:rsid w:val="007122CF"/>
    <w:rsid w:val="0071261C"/>
    <w:rsid w:val="007127E0"/>
    <w:rsid w:val="00712AA3"/>
    <w:rsid w:val="00712BB6"/>
    <w:rsid w:val="00712CFF"/>
    <w:rsid w:val="00712E4A"/>
    <w:rsid w:val="00713A4D"/>
    <w:rsid w:val="007141EA"/>
    <w:rsid w:val="0071485D"/>
    <w:rsid w:val="00715842"/>
    <w:rsid w:val="007163FC"/>
    <w:rsid w:val="007167EC"/>
    <w:rsid w:val="0071697B"/>
    <w:rsid w:val="007169F5"/>
    <w:rsid w:val="00716D2C"/>
    <w:rsid w:val="00716F9A"/>
    <w:rsid w:val="0071742F"/>
    <w:rsid w:val="0071778B"/>
    <w:rsid w:val="00717CC3"/>
    <w:rsid w:val="00717E09"/>
    <w:rsid w:val="007201A4"/>
    <w:rsid w:val="007202AD"/>
    <w:rsid w:val="0072055D"/>
    <w:rsid w:val="00721568"/>
    <w:rsid w:val="00722297"/>
    <w:rsid w:val="00722826"/>
    <w:rsid w:val="00722BCF"/>
    <w:rsid w:val="007236FC"/>
    <w:rsid w:val="00724495"/>
    <w:rsid w:val="007249F7"/>
    <w:rsid w:val="00725CCC"/>
    <w:rsid w:val="00726850"/>
    <w:rsid w:val="00726F62"/>
    <w:rsid w:val="007275D5"/>
    <w:rsid w:val="00727B5A"/>
    <w:rsid w:val="00727EBC"/>
    <w:rsid w:val="00730343"/>
    <w:rsid w:val="00730448"/>
    <w:rsid w:val="00730BF4"/>
    <w:rsid w:val="007313AD"/>
    <w:rsid w:val="007313E9"/>
    <w:rsid w:val="007322FB"/>
    <w:rsid w:val="0073249B"/>
    <w:rsid w:val="007326DA"/>
    <w:rsid w:val="00732B9D"/>
    <w:rsid w:val="00733149"/>
    <w:rsid w:val="00733441"/>
    <w:rsid w:val="00733828"/>
    <w:rsid w:val="007338CD"/>
    <w:rsid w:val="00733F91"/>
    <w:rsid w:val="00733FEA"/>
    <w:rsid w:val="007348C1"/>
    <w:rsid w:val="00735068"/>
    <w:rsid w:val="00735193"/>
    <w:rsid w:val="0073524C"/>
    <w:rsid w:val="007357D3"/>
    <w:rsid w:val="0073657F"/>
    <w:rsid w:val="00736679"/>
    <w:rsid w:val="00737196"/>
    <w:rsid w:val="00737210"/>
    <w:rsid w:val="00737440"/>
    <w:rsid w:val="00737B94"/>
    <w:rsid w:val="00737C78"/>
    <w:rsid w:val="007400AC"/>
    <w:rsid w:val="00740F5D"/>
    <w:rsid w:val="00741CEB"/>
    <w:rsid w:val="00741F5E"/>
    <w:rsid w:val="00742376"/>
    <w:rsid w:val="00742B23"/>
    <w:rsid w:val="0074305E"/>
    <w:rsid w:val="00743DFC"/>
    <w:rsid w:val="007441C8"/>
    <w:rsid w:val="0074497F"/>
    <w:rsid w:val="0074530E"/>
    <w:rsid w:val="007465BA"/>
    <w:rsid w:val="00746B13"/>
    <w:rsid w:val="0074783D"/>
    <w:rsid w:val="007479A6"/>
    <w:rsid w:val="00747DF6"/>
    <w:rsid w:val="00750545"/>
    <w:rsid w:val="00751415"/>
    <w:rsid w:val="007515B4"/>
    <w:rsid w:val="007516D4"/>
    <w:rsid w:val="00751803"/>
    <w:rsid w:val="00751917"/>
    <w:rsid w:val="00751C98"/>
    <w:rsid w:val="00751F1F"/>
    <w:rsid w:val="0075250B"/>
    <w:rsid w:val="00752C98"/>
    <w:rsid w:val="00752E58"/>
    <w:rsid w:val="00753142"/>
    <w:rsid w:val="007540E4"/>
    <w:rsid w:val="007541B9"/>
    <w:rsid w:val="007546A1"/>
    <w:rsid w:val="00754A28"/>
    <w:rsid w:val="007553AB"/>
    <w:rsid w:val="00755E1C"/>
    <w:rsid w:val="00756155"/>
    <w:rsid w:val="00757536"/>
    <w:rsid w:val="00760479"/>
    <w:rsid w:val="00760EF1"/>
    <w:rsid w:val="007615AB"/>
    <w:rsid w:val="007617A2"/>
    <w:rsid w:val="007623A2"/>
    <w:rsid w:val="00762839"/>
    <w:rsid w:val="00762E59"/>
    <w:rsid w:val="0076382F"/>
    <w:rsid w:val="00763A72"/>
    <w:rsid w:val="007641DC"/>
    <w:rsid w:val="00764458"/>
    <w:rsid w:val="00765014"/>
    <w:rsid w:val="00765076"/>
    <w:rsid w:val="00765510"/>
    <w:rsid w:val="00765859"/>
    <w:rsid w:val="007664A3"/>
    <w:rsid w:val="00766EE6"/>
    <w:rsid w:val="00766F05"/>
    <w:rsid w:val="00767679"/>
    <w:rsid w:val="0076775D"/>
    <w:rsid w:val="00767821"/>
    <w:rsid w:val="00770490"/>
    <w:rsid w:val="00770F36"/>
    <w:rsid w:val="00771BEA"/>
    <w:rsid w:val="00771F7D"/>
    <w:rsid w:val="007722EA"/>
    <w:rsid w:val="0077265E"/>
    <w:rsid w:val="00772945"/>
    <w:rsid w:val="00772F54"/>
    <w:rsid w:val="00773336"/>
    <w:rsid w:val="0077338B"/>
    <w:rsid w:val="00775232"/>
    <w:rsid w:val="007757DE"/>
    <w:rsid w:val="00776261"/>
    <w:rsid w:val="00776420"/>
    <w:rsid w:val="00777782"/>
    <w:rsid w:val="00777DD4"/>
    <w:rsid w:val="007803E9"/>
    <w:rsid w:val="0078044B"/>
    <w:rsid w:val="00780BEE"/>
    <w:rsid w:val="00781F6F"/>
    <w:rsid w:val="00782FDE"/>
    <w:rsid w:val="00783026"/>
    <w:rsid w:val="007834EE"/>
    <w:rsid w:val="00783690"/>
    <w:rsid w:val="007836BD"/>
    <w:rsid w:val="00783728"/>
    <w:rsid w:val="0078384D"/>
    <w:rsid w:val="00783AA5"/>
    <w:rsid w:val="007842E7"/>
    <w:rsid w:val="00784496"/>
    <w:rsid w:val="0078501C"/>
    <w:rsid w:val="007850B6"/>
    <w:rsid w:val="00785130"/>
    <w:rsid w:val="00785B63"/>
    <w:rsid w:val="00785D57"/>
    <w:rsid w:val="00785DCC"/>
    <w:rsid w:val="007863BE"/>
    <w:rsid w:val="00786CF5"/>
    <w:rsid w:val="0078742F"/>
    <w:rsid w:val="0078789F"/>
    <w:rsid w:val="00790669"/>
    <w:rsid w:val="00790DD9"/>
    <w:rsid w:val="00790F7F"/>
    <w:rsid w:val="007912AE"/>
    <w:rsid w:val="0079130E"/>
    <w:rsid w:val="00791BB7"/>
    <w:rsid w:val="007921CE"/>
    <w:rsid w:val="00792265"/>
    <w:rsid w:val="0079252D"/>
    <w:rsid w:val="007925AD"/>
    <w:rsid w:val="00792AE4"/>
    <w:rsid w:val="00792D42"/>
    <w:rsid w:val="00792F3E"/>
    <w:rsid w:val="00792FA6"/>
    <w:rsid w:val="00793285"/>
    <w:rsid w:val="00793641"/>
    <w:rsid w:val="00793D8E"/>
    <w:rsid w:val="00794222"/>
    <w:rsid w:val="007947F1"/>
    <w:rsid w:val="0079527F"/>
    <w:rsid w:val="007954A6"/>
    <w:rsid w:val="0079593B"/>
    <w:rsid w:val="0079641E"/>
    <w:rsid w:val="00796602"/>
    <w:rsid w:val="00796DD7"/>
    <w:rsid w:val="00796FB7"/>
    <w:rsid w:val="00796FCA"/>
    <w:rsid w:val="00797990"/>
    <w:rsid w:val="00797F4E"/>
    <w:rsid w:val="00797F5F"/>
    <w:rsid w:val="007A0387"/>
    <w:rsid w:val="007A13B2"/>
    <w:rsid w:val="007A15A3"/>
    <w:rsid w:val="007A1CC6"/>
    <w:rsid w:val="007A283C"/>
    <w:rsid w:val="007A38AC"/>
    <w:rsid w:val="007A40A1"/>
    <w:rsid w:val="007A5078"/>
    <w:rsid w:val="007A51D6"/>
    <w:rsid w:val="007A5233"/>
    <w:rsid w:val="007A53B1"/>
    <w:rsid w:val="007A5DEC"/>
    <w:rsid w:val="007A657C"/>
    <w:rsid w:val="007A6928"/>
    <w:rsid w:val="007A6AC7"/>
    <w:rsid w:val="007A6F6F"/>
    <w:rsid w:val="007A78D0"/>
    <w:rsid w:val="007B0394"/>
    <w:rsid w:val="007B068D"/>
    <w:rsid w:val="007B0716"/>
    <w:rsid w:val="007B0A9B"/>
    <w:rsid w:val="007B0C35"/>
    <w:rsid w:val="007B0C7D"/>
    <w:rsid w:val="007B15B4"/>
    <w:rsid w:val="007B17D4"/>
    <w:rsid w:val="007B1DD9"/>
    <w:rsid w:val="007B34E8"/>
    <w:rsid w:val="007B3E5E"/>
    <w:rsid w:val="007B49B0"/>
    <w:rsid w:val="007B5435"/>
    <w:rsid w:val="007B5615"/>
    <w:rsid w:val="007B60EA"/>
    <w:rsid w:val="007B68A5"/>
    <w:rsid w:val="007B752E"/>
    <w:rsid w:val="007B76E8"/>
    <w:rsid w:val="007C0271"/>
    <w:rsid w:val="007C0362"/>
    <w:rsid w:val="007C0CDF"/>
    <w:rsid w:val="007C0F20"/>
    <w:rsid w:val="007C12E5"/>
    <w:rsid w:val="007C1A4F"/>
    <w:rsid w:val="007C1B10"/>
    <w:rsid w:val="007C2268"/>
    <w:rsid w:val="007C2746"/>
    <w:rsid w:val="007C3107"/>
    <w:rsid w:val="007C3796"/>
    <w:rsid w:val="007C3A43"/>
    <w:rsid w:val="007C428B"/>
    <w:rsid w:val="007C42F0"/>
    <w:rsid w:val="007C4915"/>
    <w:rsid w:val="007C506E"/>
    <w:rsid w:val="007C52D4"/>
    <w:rsid w:val="007C54E7"/>
    <w:rsid w:val="007C54F0"/>
    <w:rsid w:val="007C69B2"/>
    <w:rsid w:val="007C6AB7"/>
    <w:rsid w:val="007C7313"/>
    <w:rsid w:val="007C7D64"/>
    <w:rsid w:val="007D0703"/>
    <w:rsid w:val="007D079E"/>
    <w:rsid w:val="007D0AAC"/>
    <w:rsid w:val="007D1320"/>
    <w:rsid w:val="007D1D78"/>
    <w:rsid w:val="007D3D62"/>
    <w:rsid w:val="007D3E6E"/>
    <w:rsid w:val="007D3F61"/>
    <w:rsid w:val="007D4922"/>
    <w:rsid w:val="007D493C"/>
    <w:rsid w:val="007D4AB9"/>
    <w:rsid w:val="007D4D06"/>
    <w:rsid w:val="007D4F07"/>
    <w:rsid w:val="007D522E"/>
    <w:rsid w:val="007D630B"/>
    <w:rsid w:val="007D66AD"/>
    <w:rsid w:val="007D685E"/>
    <w:rsid w:val="007D6EEE"/>
    <w:rsid w:val="007D73FC"/>
    <w:rsid w:val="007D78C6"/>
    <w:rsid w:val="007E00A0"/>
    <w:rsid w:val="007E016D"/>
    <w:rsid w:val="007E14C8"/>
    <w:rsid w:val="007E2A45"/>
    <w:rsid w:val="007E2BAC"/>
    <w:rsid w:val="007E2D84"/>
    <w:rsid w:val="007E3AE8"/>
    <w:rsid w:val="007E3DFD"/>
    <w:rsid w:val="007E4633"/>
    <w:rsid w:val="007E4AFA"/>
    <w:rsid w:val="007E5691"/>
    <w:rsid w:val="007E7074"/>
    <w:rsid w:val="007E73C3"/>
    <w:rsid w:val="007E756D"/>
    <w:rsid w:val="007E779D"/>
    <w:rsid w:val="007E7973"/>
    <w:rsid w:val="007E7D99"/>
    <w:rsid w:val="007F0273"/>
    <w:rsid w:val="007F07C7"/>
    <w:rsid w:val="007F087E"/>
    <w:rsid w:val="007F0DA9"/>
    <w:rsid w:val="007F1374"/>
    <w:rsid w:val="007F1845"/>
    <w:rsid w:val="007F251A"/>
    <w:rsid w:val="007F280A"/>
    <w:rsid w:val="007F28B7"/>
    <w:rsid w:val="007F2AD0"/>
    <w:rsid w:val="007F2CB8"/>
    <w:rsid w:val="007F3AB2"/>
    <w:rsid w:val="007F3BCA"/>
    <w:rsid w:val="007F41DD"/>
    <w:rsid w:val="007F4AF1"/>
    <w:rsid w:val="007F4BFD"/>
    <w:rsid w:val="007F73C3"/>
    <w:rsid w:val="007F7E10"/>
    <w:rsid w:val="008000E5"/>
    <w:rsid w:val="00800E11"/>
    <w:rsid w:val="00800ECE"/>
    <w:rsid w:val="00800F7E"/>
    <w:rsid w:val="008011D9"/>
    <w:rsid w:val="0080139F"/>
    <w:rsid w:val="008026B5"/>
    <w:rsid w:val="00805904"/>
    <w:rsid w:val="00805FA1"/>
    <w:rsid w:val="008060D4"/>
    <w:rsid w:val="00806537"/>
    <w:rsid w:val="008072FA"/>
    <w:rsid w:val="00807322"/>
    <w:rsid w:val="0080789F"/>
    <w:rsid w:val="00807F45"/>
    <w:rsid w:val="00807F5F"/>
    <w:rsid w:val="00810A27"/>
    <w:rsid w:val="00811098"/>
    <w:rsid w:val="00811FA8"/>
    <w:rsid w:val="008123EC"/>
    <w:rsid w:val="00812A68"/>
    <w:rsid w:val="008133B2"/>
    <w:rsid w:val="00814660"/>
    <w:rsid w:val="008147A3"/>
    <w:rsid w:val="00815945"/>
    <w:rsid w:val="00815C6E"/>
    <w:rsid w:val="00815ED7"/>
    <w:rsid w:val="00816DCD"/>
    <w:rsid w:val="00816F28"/>
    <w:rsid w:val="00816FCF"/>
    <w:rsid w:val="00817570"/>
    <w:rsid w:val="008177FA"/>
    <w:rsid w:val="00817EAB"/>
    <w:rsid w:val="0082010D"/>
    <w:rsid w:val="008212D2"/>
    <w:rsid w:val="0082145B"/>
    <w:rsid w:val="00821850"/>
    <w:rsid w:val="00821E31"/>
    <w:rsid w:val="0082246E"/>
    <w:rsid w:val="00822657"/>
    <w:rsid w:val="00822699"/>
    <w:rsid w:val="008226B9"/>
    <w:rsid w:val="00822D42"/>
    <w:rsid w:val="00822FD4"/>
    <w:rsid w:val="00823D4B"/>
    <w:rsid w:val="008249D8"/>
    <w:rsid w:val="00824B40"/>
    <w:rsid w:val="00824C77"/>
    <w:rsid w:val="008252E6"/>
    <w:rsid w:val="00825458"/>
    <w:rsid w:val="00825765"/>
    <w:rsid w:val="00825F5B"/>
    <w:rsid w:val="00826745"/>
    <w:rsid w:val="00826813"/>
    <w:rsid w:val="00826D68"/>
    <w:rsid w:val="0082776A"/>
    <w:rsid w:val="008278BD"/>
    <w:rsid w:val="00827A6C"/>
    <w:rsid w:val="00827E4F"/>
    <w:rsid w:val="0083093B"/>
    <w:rsid w:val="0083219E"/>
    <w:rsid w:val="00832AF1"/>
    <w:rsid w:val="008338B8"/>
    <w:rsid w:val="008347FC"/>
    <w:rsid w:val="0083506B"/>
    <w:rsid w:val="00835194"/>
    <w:rsid w:val="0083528C"/>
    <w:rsid w:val="00835DFC"/>
    <w:rsid w:val="008364DF"/>
    <w:rsid w:val="008365DD"/>
    <w:rsid w:val="008366D0"/>
    <w:rsid w:val="00836EAD"/>
    <w:rsid w:val="00837104"/>
    <w:rsid w:val="008373AB"/>
    <w:rsid w:val="008373BB"/>
    <w:rsid w:val="00837805"/>
    <w:rsid w:val="0084235F"/>
    <w:rsid w:val="008431F8"/>
    <w:rsid w:val="008440C4"/>
    <w:rsid w:val="00845F96"/>
    <w:rsid w:val="008460F3"/>
    <w:rsid w:val="008465E5"/>
    <w:rsid w:val="00846641"/>
    <w:rsid w:val="0084751F"/>
    <w:rsid w:val="00847A45"/>
    <w:rsid w:val="00847DEC"/>
    <w:rsid w:val="00847E59"/>
    <w:rsid w:val="00847F89"/>
    <w:rsid w:val="00847FFB"/>
    <w:rsid w:val="008505A6"/>
    <w:rsid w:val="0085155D"/>
    <w:rsid w:val="008520BD"/>
    <w:rsid w:val="008526AB"/>
    <w:rsid w:val="00852F01"/>
    <w:rsid w:val="00852F81"/>
    <w:rsid w:val="00853180"/>
    <w:rsid w:val="008532F8"/>
    <w:rsid w:val="00853471"/>
    <w:rsid w:val="008538DB"/>
    <w:rsid w:val="0085451D"/>
    <w:rsid w:val="00854E82"/>
    <w:rsid w:val="00855DCC"/>
    <w:rsid w:val="0085699D"/>
    <w:rsid w:val="00856A22"/>
    <w:rsid w:val="00857403"/>
    <w:rsid w:val="00857FA3"/>
    <w:rsid w:val="00860063"/>
    <w:rsid w:val="008609C5"/>
    <w:rsid w:val="00860BC9"/>
    <w:rsid w:val="00860DED"/>
    <w:rsid w:val="00860EFB"/>
    <w:rsid w:val="00861017"/>
    <w:rsid w:val="00862719"/>
    <w:rsid w:val="00862D33"/>
    <w:rsid w:val="00864A62"/>
    <w:rsid w:val="00864ADF"/>
    <w:rsid w:val="00864C73"/>
    <w:rsid w:val="00864D7E"/>
    <w:rsid w:val="00865420"/>
    <w:rsid w:val="008671D3"/>
    <w:rsid w:val="00867438"/>
    <w:rsid w:val="008676C9"/>
    <w:rsid w:val="0087026A"/>
    <w:rsid w:val="00870664"/>
    <w:rsid w:val="00870681"/>
    <w:rsid w:val="008706D1"/>
    <w:rsid w:val="00871A59"/>
    <w:rsid w:val="00871B97"/>
    <w:rsid w:val="008723A7"/>
    <w:rsid w:val="00872DBA"/>
    <w:rsid w:val="00872F07"/>
    <w:rsid w:val="00873050"/>
    <w:rsid w:val="00873CC9"/>
    <w:rsid w:val="00875F31"/>
    <w:rsid w:val="008764BF"/>
    <w:rsid w:val="008765E5"/>
    <w:rsid w:val="00876620"/>
    <w:rsid w:val="00876C74"/>
    <w:rsid w:val="008772DC"/>
    <w:rsid w:val="00877CF6"/>
    <w:rsid w:val="00877DF5"/>
    <w:rsid w:val="00880052"/>
    <w:rsid w:val="00880219"/>
    <w:rsid w:val="0088073B"/>
    <w:rsid w:val="00880D81"/>
    <w:rsid w:val="008810F4"/>
    <w:rsid w:val="00881C66"/>
    <w:rsid w:val="00881EC1"/>
    <w:rsid w:val="0088227E"/>
    <w:rsid w:val="008825CC"/>
    <w:rsid w:val="008826B2"/>
    <w:rsid w:val="00882A7B"/>
    <w:rsid w:val="00882F89"/>
    <w:rsid w:val="008830D0"/>
    <w:rsid w:val="00883B4F"/>
    <w:rsid w:val="00883F9B"/>
    <w:rsid w:val="00884D38"/>
    <w:rsid w:val="00884FBF"/>
    <w:rsid w:val="00885FC7"/>
    <w:rsid w:val="0088643A"/>
    <w:rsid w:val="00886DA3"/>
    <w:rsid w:val="0088789B"/>
    <w:rsid w:val="00887A8C"/>
    <w:rsid w:val="00887B6A"/>
    <w:rsid w:val="00887DBD"/>
    <w:rsid w:val="008900BA"/>
    <w:rsid w:val="00890157"/>
    <w:rsid w:val="0089083A"/>
    <w:rsid w:val="00890EA4"/>
    <w:rsid w:val="0089172E"/>
    <w:rsid w:val="00891B2F"/>
    <w:rsid w:val="00891E59"/>
    <w:rsid w:val="00892705"/>
    <w:rsid w:val="008927DC"/>
    <w:rsid w:val="00893384"/>
    <w:rsid w:val="0089378B"/>
    <w:rsid w:val="008937FA"/>
    <w:rsid w:val="00893A28"/>
    <w:rsid w:val="00893EE0"/>
    <w:rsid w:val="00894FCD"/>
    <w:rsid w:val="0089628E"/>
    <w:rsid w:val="00896D4A"/>
    <w:rsid w:val="008971A2"/>
    <w:rsid w:val="008976B0"/>
    <w:rsid w:val="00897AA7"/>
    <w:rsid w:val="00897FF6"/>
    <w:rsid w:val="008A0DDE"/>
    <w:rsid w:val="008A1426"/>
    <w:rsid w:val="008A147F"/>
    <w:rsid w:val="008A15DB"/>
    <w:rsid w:val="008A2BDD"/>
    <w:rsid w:val="008A2D00"/>
    <w:rsid w:val="008A2FF3"/>
    <w:rsid w:val="008A3621"/>
    <w:rsid w:val="008A3701"/>
    <w:rsid w:val="008A374A"/>
    <w:rsid w:val="008A3AC6"/>
    <w:rsid w:val="008A3B0B"/>
    <w:rsid w:val="008A3B61"/>
    <w:rsid w:val="008A4552"/>
    <w:rsid w:val="008A48D0"/>
    <w:rsid w:val="008A494E"/>
    <w:rsid w:val="008A4AA0"/>
    <w:rsid w:val="008A4EE3"/>
    <w:rsid w:val="008A61FE"/>
    <w:rsid w:val="008B05B3"/>
    <w:rsid w:val="008B1401"/>
    <w:rsid w:val="008B1970"/>
    <w:rsid w:val="008B1E96"/>
    <w:rsid w:val="008B1F6A"/>
    <w:rsid w:val="008B2B52"/>
    <w:rsid w:val="008B2CB3"/>
    <w:rsid w:val="008B2F7A"/>
    <w:rsid w:val="008B346E"/>
    <w:rsid w:val="008B4AD9"/>
    <w:rsid w:val="008B54C9"/>
    <w:rsid w:val="008B623A"/>
    <w:rsid w:val="008C0092"/>
    <w:rsid w:val="008C00EA"/>
    <w:rsid w:val="008C057F"/>
    <w:rsid w:val="008C0610"/>
    <w:rsid w:val="008C064B"/>
    <w:rsid w:val="008C0DEA"/>
    <w:rsid w:val="008C1AE3"/>
    <w:rsid w:val="008C1D8F"/>
    <w:rsid w:val="008C2103"/>
    <w:rsid w:val="008C333A"/>
    <w:rsid w:val="008C3B25"/>
    <w:rsid w:val="008C3D6B"/>
    <w:rsid w:val="008C3DB8"/>
    <w:rsid w:val="008C45E2"/>
    <w:rsid w:val="008C4688"/>
    <w:rsid w:val="008C4A91"/>
    <w:rsid w:val="008C4E31"/>
    <w:rsid w:val="008C5118"/>
    <w:rsid w:val="008C513B"/>
    <w:rsid w:val="008C531A"/>
    <w:rsid w:val="008C6062"/>
    <w:rsid w:val="008C6785"/>
    <w:rsid w:val="008C6A14"/>
    <w:rsid w:val="008C6B19"/>
    <w:rsid w:val="008C6EC1"/>
    <w:rsid w:val="008C7511"/>
    <w:rsid w:val="008C7614"/>
    <w:rsid w:val="008C7CBD"/>
    <w:rsid w:val="008D027E"/>
    <w:rsid w:val="008D078C"/>
    <w:rsid w:val="008D0D07"/>
    <w:rsid w:val="008D1084"/>
    <w:rsid w:val="008D1A62"/>
    <w:rsid w:val="008D203F"/>
    <w:rsid w:val="008D3590"/>
    <w:rsid w:val="008D3B43"/>
    <w:rsid w:val="008D3C6D"/>
    <w:rsid w:val="008D3F56"/>
    <w:rsid w:val="008D4B60"/>
    <w:rsid w:val="008D4CDC"/>
    <w:rsid w:val="008D4E1F"/>
    <w:rsid w:val="008D5B84"/>
    <w:rsid w:val="008D5C86"/>
    <w:rsid w:val="008D5CA6"/>
    <w:rsid w:val="008D5CE0"/>
    <w:rsid w:val="008D5E0C"/>
    <w:rsid w:val="008D625F"/>
    <w:rsid w:val="008D66F5"/>
    <w:rsid w:val="008D6B7B"/>
    <w:rsid w:val="008D6CA2"/>
    <w:rsid w:val="008D7109"/>
    <w:rsid w:val="008D71B1"/>
    <w:rsid w:val="008D7A08"/>
    <w:rsid w:val="008D7C02"/>
    <w:rsid w:val="008D7EE7"/>
    <w:rsid w:val="008E0C7E"/>
    <w:rsid w:val="008E1A32"/>
    <w:rsid w:val="008E2099"/>
    <w:rsid w:val="008E2D23"/>
    <w:rsid w:val="008E2F48"/>
    <w:rsid w:val="008E3090"/>
    <w:rsid w:val="008E341F"/>
    <w:rsid w:val="008E3C3D"/>
    <w:rsid w:val="008E3DDA"/>
    <w:rsid w:val="008E46E6"/>
    <w:rsid w:val="008E4A08"/>
    <w:rsid w:val="008E5084"/>
    <w:rsid w:val="008E5806"/>
    <w:rsid w:val="008E5F4C"/>
    <w:rsid w:val="008E6823"/>
    <w:rsid w:val="008E6B01"/>
    <w:rsid w:val="008E6DF8"/>
    <w:rsid w:val="008E79FE"/>
    <w:rsid w:val="008E79FF"/>
    <w:rsid w:val="008E7A0F"/>
    <w:rsid w:val="008F0186"/>
    <w:rsid w:val="008F05E1"/>
    <w:rsid w:val="008F150A"/>
    <w:rsid w:val="008F1639"/>
    <w:rsid w:val="008F24DD"/>
    <w:rsid w:val="008F2D48"/>
    <w:rsid w:val="008F2FD0"/>
    <w:rsid w:val="008F337F"/>
    <w:rsid w:val="008F4C9F"/>
    <w:rsid w:val="008F5B60"/>
    <w:rsid w:val="008F5FC8"/>
    <w:rsid w:val="008F6375"/>
    <w:rsid w:val="008F6584"/>
    <w:rsid w:val="008F6BEF"/>
    <w:rsid w:val="008F7175"/>
    <w:rsid w:val="008F7691"/>
    <w:rsid w:val="008F7E72"/>
    <w:rsid w:val="00900721"/>
    <w:rsid w:val="00900A89"/>
    <w:rsid w:val="00901756"/>
    <w:rsid w:val="00901DBC"/>
    <w:rsid w:val="00901F2F"/>
    <w:rsid w:val="009023E0"/>
    <w:rsid w:val="00902CA9"/>
    <w:rsid w:val="00902F59"/>
    <w:rsid w:val="009037E7"/>
    <w:rsid w:val="00903A00"/>
    <w:rsid w:val="00904DF7"/>
    <w:rsid w:val="00904E16"/>
    <w:rsid w:val="00905186"/>
    <w:rsid w:val="00905DDD"/>
    <w:rsid w:val="009063CF"/>
    <w:rsid w:val="009067DC"/>
    <w:rsid w:val="00907116"/>
    <w:rsid w:val="009076A7"/>
    <w:rsid w:val="00910A3F"/>
    <w:rsid w:val="00911065"/>
    <w:rsid w:val="009114B5"/>
    <w:rsid w:val="0091183C"/>
    <w:rsid w:val="0091200E"/>
    <w:rsid w:val="009124BE"/>
    <w:rsid w:val="00914C1F"/>
    <w:rsid w:val="00915468"/>
    <w:rsid w:val="00915AA0"/>
    <w:rsid w:val="0091607E"/>
    <w:rsid w:val="00916429"/>
    <w:rsid w:val="0091644E"/>
    <w:rsid w:val="00916D18"/>
    <w:rsid w:val="00916D73"/>
    <w:rsid w:val="00916EFC"/>
    <w:rsid w:val="009172F7"/>
    <w:rsid w:val="00917D35"/>
    <w:rsid w:val="00917F22"/>
    <w:rsid w:val="00917FA7"/>
    <w:rsid w:val="009200FB"/>
    <w:rsid w:val="00920148"/>
    <w:rsid w:val="0092049A"/>
    <w:rsid w:val="009206CA"/>
    <w:rsid w:val="00920B1C"/>
    <w:rsid w:val="00920C6C"/>
    <w:rsid w:val="00921BD4"/>
    <w:rsid w:val="00921FEA"/>
    <w:rsid w:val="00922221"/>
    <w:rsid w:val="00922540"/>
    <w:rsid w:val="00922DAE"/>
    <w:rsid w:val="009237C9"/>
    <w:rsid w:val="00923A1A"/>
    <w:rsid w:val="00923C2C"/>
    <w:rsid w:val="00923CCF"/>
    <w:rsid w:val="0092413A"/>
    <w:rsid w:val="00924FDA"/>
    <w:rsid w:val="009254A6"/>
    <w:rsid w:val="00925862"/>
    <w:rsid w:val="00925C46"/>
    <w:rsid w:val="00925E26"/>
    <w:rsid w:val="009266A9"/>
    <w:rsid w:val="00927076"/>
    <w:rsid w:val="00927119"/>
    <w:rsid w:val="009273FB"/>
    <w:rsid w:val="00927438"/>
    <w:rsid w:val="00927502"/>
    <w:rsid w:val="009278A4"/>
    <w:rsid w:val="009307C6"/>
    <w:rsid w:val="00930814"/>
    <w:rsid w:val="00930F98"/>
    <w:rsid w:val="0093182C"/>
    <w:rsid w:val="00931B6E"/>
    <w:rsid w:val="009323C2"/>
    <w:rsid w:val="009328B0"/>
    <w:rsid w:val="00932B21"/>
    <w:rsid w:val="00932D04"/>
    <w:rsid w:val="00933A38"/>
    <w:rsid w:val="0093471F"/>
    <w:rsid w:val="00934FFF"/>
    <w:rsid w:val="00935B81"/>
    <w:rsid w:val="00935C7B"/>
    <w:rsid w:val="00935E94"/>
    <w:rsid w:val="00935F7B"/>
    <w:rsid w:val="00935FF6"/>
    <w:rsid w:val="009362B6"/>
    <w:rsid w:val="0093742B"/>
    <w:rsid w:val="00937E4F"/>
    <w:rsid w:val="009405A3"/>
    <w:rsid w:val="0094095D"/>
    <w:rsid w:val="00940EEF"/>
    <w:rsid w:val="0094188E"/>
    <w:rsid w:val="00941932"/>
    <w:rsid w:val="00941F81"/>
    <w:rsid w:val="009439D4"/>
    <w:rsid w:val="00943C14"/>
    <w:rsid w:val="00945BDA"/>
    <w:rsid w:val="00945CFC"/>
    <w:rsid w:val="00945D20"/>
    <w:rsid w:val="009467BD"/>
    <w:rsid w:val="00946CE4"/>
    <w:rsid w:val="00946D50"/>
    <w:rsid w:val="009474C8"/>
    <w:rsid w:val="00947A12"/>
    <w:rsid w:val="00947C26"/>
    <w:rsid w:val="00947E24"/>
    <w:rsid w:val="0095006A"/>
    <w:rsid w:val="00950B91"/>
    <w:rsid w:val="00951A38"/>
    <w:rsid w:val="00952470"/>
    <w:rsid w:val="009534DE"/>
    <w:rsid w:val="0095581D"/>
    <w:rsid w:val="00956DCB"/>
    <w:rsid w:val="009570A3"/>
    <w:rsid w:val="00957128"/>
    <w:rsid w:val="00957641"/>
    <w:rsid w:val="00957DD0"/>
    <w:rsid w:val="00960F65"/>
    <w:rsid w:val="00961AF3"/>
    <w:rsid w:val="00961D08"/>
    <w:rsid w:val="00961E41"/>
    <w:rsid w:val="00961F89"/>
    <w:rsid w:val="009620FC"/>
    <w:rsid w:val="00962458"/>
    <w:rsid w:val="0096260C"/>
    <w:rsid w:val="00962EE2"/>
    <w:rsid w:val="009631B6"/>
    <w:rsid w:val="00963F3D"/>
    <w:rsid w:val="009641C3"/>
    <w:rsid w:val="009648BB"/>
    <w:rsid w:val="00964FFD"/>
    <w:rsid w:val="00965C75"/>
    <w:rsid w:val="0096682D"/>
    <w:rsid w:val="00966C51"/>
    <w:rsid w:val="00967496"/>
    <w:rsid w:val="00967858"/>
    <w:rsid w:val="00970490"/>
    <w:rsid w:val="009704E1"/>
    <w:rsid w:val="00970ED9"/>
    <w:rsid w:val="00971279"/>
    <w:rsid w:val="00971533"/>
    <w:rsid w:val="009716F4"/>
    <w:rsid w:val="00971788"/>
    <w:rsid w:val="009717FB"/>
    <w:rsid w:val="00971D54"/>
    <w:rsid w:val="009724CC"/>
    <w:rsid w:val="00972919"/>
    <w:rsid w:val="00972CCC"/>
    <w:rsid w:val="009730B4"/>
    <w:rsid w:val="009738F8"/>
    <w:rsid w:val="00973B19"/>
    <w:rsid w:val="00973FAA"/>
    <w:rsid w:val="00974366"/>
    <w:rsid w:val="00974BD1"/>
    <w:rsid w:val="009754CB"/>
    <w:rsid w:val="00975E80"/>
    <w:rsid w:val="009760B8"/>
    <w:rsid w:val="009769BC"/>
    <w:rsid w:val="00976DEF"/>
    <w:rsid w:val="00977F44"/>
    <w:rsid w:val="00980984"/>
    <w:rsid w:val="009809E1"/>
    <w:rsid w:val="00980C53"/>
    <w:rsid w:val="009817B1"/>
    <w:rsid w:val="00981DAC"/>
    <w:rsid w:val="0098245C"/>
    <w:rsid w:val="00983713"/>
    <w:rsid w:val="00983735"/>
    <w:rsid w:val="0098396F"/>
    <w:rsid w:val="00983A3A"/>
    <w:rsid w:val="00983CE3"/>
    <w:rsid w:val="009842EF"/>
    <w:rsid w:val="0098463B"/>
    <w:rsid w:val="00984782"/>
    <w:rsid w:val="00984F6E"/>
    <w:rsid w:val="009851F9"/>
    <w:rsid w:val="00986162"/>
    <w:rsid w:val="009861BA"/>
    <w:rsid w:val="0098727B"/>
    <w:rsid w:val="00987D43"/>
    <w:rsid w:val="00990538"/>
    <w:rsid w:val="00990A4D"/>
    <w:rsid w:val="00991778"/>
    <w:rsid w:val="00991A37"/>
    <w:rsid w:val="0099222C"/>
    <w:rsid w:val="0099297C"/>
    <w:rsid w:val="00992FE9"/>
    <w:rsid w:val="00993476"/>
    <w:rsid w:val="00993A4F"/>
    <w:rsid w:val="00993A75"/>
    <w:rsid w:val="009951D2"/>
    <w:rsid w:val="00995782"/>
    <w:rsid w:val="0099662C"/>
    <w:rsid w:val="009969E3"/>
    <w:rsid w:val="009978E7"/>
    <w:rsid w:val="009979D7"/>
    <w:rsid w:val="009A176D"/>
    <w:rsid w:val="009A1808"/>
    <w:rsid w:val="009A282A"/>
    <w:rsid w:val="009A3E97"/>
    <w:rsid w:val="009A3F78"/>
    <w:rsid w:val="009A4235"/>
    <w:rsid w:val="009A50D2"/>
    <w:rsid w:val="009A52DA"/>
    <w:rsid w:val="009A54F6"/>
    <w:rsid w:val="009A6882"/>
    <w:rsid w:val="009A69FC"/>
    <w:rsid w:val="009A6B51"/>
    <w:rsid w:val="009A6F41"/>
    <w:rsid w:val="009B13DF"/>
    <w:rsid w:val="009B1767"/>
    <w:rsid w:val="009B1F77"/>
    <w:rsid w:val="009B3720"/>
    <w:rsid w:val="009B3F54"/>
    <w:rsid w:val="009B40E2"/>
    <w:rsid w:val="009B565B"/>
    <w:rsid w:val="009B687C"/>
    <w:rsid w:val="009B68CA"/>
    <w:rsid w:val="009B70C7"/>
    <w:rsid w:val="009B720F"/>
    <w:rsid w:val="009B72E5"/>
    <w:rsid w:val="009B7F36"/>
    <w:rsid w:val="009C01AA"/>
    <w:rsid w:val="009C1562"/>
    <w:rsid w:val="009C1DBF"/>
    <w:rsid w:val="009C2165"/>
    <w:rsid w:val="009C2307"/>
    <w:rsid w:val="009C28A3"/>
    <w:rsid w:val="009C3117"/>
    <w:rsid w:val="009C3C87"/>
    <w:rsid w:val="009C4C50"/>
    <w:rsid w:val="009C5960"/>
    <w:rsid w:val="009C5BC9"/>
    <w:rsid w:val="009C5C17"/>
    <w:rsid w:val="009C67FA"/>
    <w:rsid w:val="009C68AA"/>
    <w:rsid w:val="009C77AF"/>
    <w:rsid w:val="009C7FB4"/>
    <w:rsid w:val="009D00E3"/>
    <w:rsid w:val="009D01E3"/>
    <w:rsid w:val="009D10AA"/>
    <w:rsid w:val="009D13FE"/>
    <w:rsid w:val="009D1555"/>
    <w:rsid w:val="009D1887"/>
    <w:rsid w:val="009D1888"/>
    <w:rsid w:val="009D1EA5"/>
    <w:rsid w:val="009D2200"/>
    <w:rsid w:val="009D2234"/>
    <w:rsid w:val="009D348D"/>
    <w:rsid w:val="009D3FE2"/>
    <w:rsid w:val="009D4D05"/>
    <w:rsid w:val="009D6235"/>
    <w:rsid w:val="009D6442"/>
    <w:rsid w:val="009D6FAA"/>
    <w:rsid w:val="009D7DBD"/>
    <w:rsid w:val="009D7E39"/>
    <w:rsid w:val="009E0C95"/>
    <w:rsid w:val="009E0FD3"/>
    <w:rsid w:val="009E14C3"/>
    <w:rsid w:val="009E1720"/>
    <w:rsid w:val="009E19FF"/>
    <w:rsid w:val="009E32FE"/>
    <w:rsid w:val="009E4109"/>
    <w:rsid w:val="009E4D9F"/>
    <w:rsid w:val="009E50C0"/>
    <w:rsid w:val="009E5411"/>
    <w:rsid w:val="009E598A"/>
    <w:rsid w:val="009E602A"/>
    <w:rsid w:val="009E6BE3"/>
    <w:rsid w:val="009E6E61"/>
    <w:rsid w:val="009E6F88"/>
    <w:rsid w:val="009E73B3"/>
    <w:rsid w:val="009E7A45"/>
    <w:rsid w:val="009E7C36"/>
    <w:rsid w:val="009F03F5"/>
    <w:rsid w:val="009F2125"/>
    <w:rsid w:val="009F28DE"/>
    <w:rsid w:val="009F3030"/>
    <w:rsid w:val="009F3A5E"/>
    <w:rsid w:val="009F3C46"/>
    <w:rsid w:val="009F3FF8"/>
    <w:rsid w:val="009F4C7A"/>
    <w:rsid w:val="009F4E21"/>
    <w:rsid w:val="009F5C92"/>
    <w:rsid w:val="009F66A7"/>
    <w:rsid w:val="009F6D32"/>
    <w:rsid w:val="009F6ECD"/>
    <w:rsid w:val="009F702E"/>
    <w:rsid w:val="009F7083"/>
    <w:rsid w:val="00A002FB"/>
    <w:rsid w:val="00A00A63"/>
    <w:rsid w:val="00A00A69"/>
    <w:rsid w:val="00A00D52"/>
    <w:rsid w:val="00A014F1"/>
    <w:rsid w:val="00A027A9"/>
    <w:rsid w:val="00A0365A"/>
    <w:rsid w:val="00A03C90"/>
    <w:rsid w:val="00A05B84"/>
    <w:rsid w:val="00A05BD3"/>
    <w:rsid w:val="00A05C33"/>
    <w:rsid w:val="00A06A98"/>
    <w:rsid w:val="00A06AB6"/>
    <w:rsid w:val="00A06DB3"/>
    <w:rsid w:val="00A070B2"/>
    <w:rsid w:val="00A07646"/>
    <w:rsid w:val="00A07905"/>
    <w:rsid w:val="00A10B8B"/>
    <w:rsid w:val="00A10DA3"/>
    <w:rsid w:val="00A1103A"/>
    <w:rsid w:val="00A11130"/>
    <w:rsid w:val="00A12077"/>
    <w:rsid w:val="00A12115"/>
    <w:rsid w:val="00A12F45"/>
    <w:rsid w:val="00A13D2D"/>
    <w:rsid w:val="00A13DA1"/>
    <w:rsid w:val="00A141D7"/>
    <w:rsid w:val="00A1442C"/>
    <w:rsid w:val="00A14CD4"/>
    <w:rsid w:val="00A14E77"/>
    <w:rsid w:val="00A152DF"/>
    <w:rsid w:val="00A15441"/>
    <w:rsid w:val="00A15633"/>
    <w:rsid w:val="00A160C0"/>
    <w:rsid w:val="00A16609"/>
    <w:rsid w:val="00A17B0F"/>
    <w:rsid w:val="00A17B33"/>
    <w:rsid w:val="00A20378"/>
    <w:rsid w:val="00A20BD8"/>
    <w:rsid w:val="00A20C4A"/>
    <w:rsid w:val="00A2256C"/>
    <w:rsid w:val="00A2280F"/>
    <w:rsid w:val="00A23026"/>
    <w:rsid w:val="00A23852"/>
    <w:rsid w:val="00A23998"/>
    <w:rsid w:val="00A24827"/>
    <w:rsid w:val="00A24C07"/>
    <w:rsid w:val="00A24E49"/>
    <w:rsid w:val="00A25152"/>
    <w:rsid w:val="00A25AF6"/>
    <w:rsid w:val="00A25E80"/>
    <w:rsid w:val="00A25F2E"/>
    <w:rsid w:val="00A26226"/>
    <w:rsid w:val="00A2668E"/>
    <w:rsid w:val="00A26A78"/>
    <w:rsid w:val="00A26B4C"/>
    <w:rsid w:val="00A26E75"/>
    <w:rsid w:val="00A2741B"/>
    <w:rsid w:val="00A30143"/>
    <w:rsid w:val="00A307E1"/>
    <w:rsid w:val="00A313AD"/>
    <w:rsid w:val="00A31551"/>
    <w:rsid w:val="00A31B4A"/>
    <w:rsid w:val="00A31B98"/>
    <w:rsid w:val="00A31DDF"/>
    <w:rsid w:val="00A32272"/>
    <w:rsid w:val="00A32AEC"/>
    <w:rsid w:val="00A32DF5"/>
    <w:rsid w:val="00A332B6"/>
    <w:rsid w:val="00A3348E"/>
    <w:rsid w:val="00A34119"/>
    <w:rsid w:val="00A346BA"/>
    <w:rsid w:val="00A34B1D"/>
    <w:rsid w:val="00A34C89"/>
    <w:rsid w:val="00A34DA4"/>
    <w:rsid w:val="00A35135"/>
    <w:rsid w:val="00A354D5"/>
    <w:rsid w:val="00A356CB"/>
    <w:rsid w:val="00A36BB4"/>
    <w:rsid w:val="00A375A4"/>
    <w:rsid w:val="00A375C9"/>
    <w:rsid w:val="00A37702"/>
    <w:rsid w:val="00A37E2A"/>
    <w:rsid w:val="00A40938"/>
    <w:rsid w:val="00A41408"/>
    <w:rsid w:val="00A41C7B"/>
    <w:rsid w:val="00A41E19"/>
    <w:rsid w:val="00A423DF"/>
    <w:rsid w:val="00A42873"/>
    <w:rsid w:val="00A42B00"/>
    <w:rsid w:val="00A43A19"/>
    <w:rsid w:val="00A4423A"/>
    <w:rsid w:val="00A45404"/>
    <w:rsid w:val="00A455CE"/>
    <w:rsid w:val="00A45B62"/>
    <w:rsid w:val="00A45FEC"/>
    <w:rsid w:val="00A4600B"/>
    <w:rsid w:val="00A469F4"/>
    <w:rsid w:val="00A473C5"/>
    <w:rsid w:val="00A47B96"/>
    <w:rsid w:val="00A51558"/>
    <w:rsid w:val="00A51631"/>
    <w:rsid w:val="00A51F1A"/>
    <w:rsid w:val="00A524B0"/>
    <w:rsid w:val="00A52B88"/>
    <w:rsid w:val="00A52CAB"/>
    <w:rsid w:val="00A53A32"/>
    <w:rsid w:val="00A53A47"/>
    <w:rsid w:val="00A53E67"/>
    <w:rsid w:val="00A54097"/>
    <w:rsid w:val="00A54156"/>
    <w:rsid w:val="00A545DC"/>
    <w:rsid w:val="00A54724"/>
    <w:rsid w:val="00A547ED"/>
    <w:rsid w:val="00A5481F"/>
    <w:rsid w:val="00A54C2A"/>
    <w:rsid w:val="00A54F03"/>
    <w:rsid w:val="00A552AB"/>
    <w:rsid w:val="00A55689"/>
    <w:rsid w:val="00A55807"/>
    <w:rsid w:val="00A558D5"/>
    <w:rsid w:val="00A5609F"/>
    <w:rsid w:val="00A5669F"/>
    <w:rsid w:val="00A56B8E"/>
    <w:rsid w:val="00A56DAD"/>
    <w:rsid w:val="00A572BD"/>
    <w:rsid w:val="00A579D4"/>
    <w:rsid w:val="00A57DAF"/>
    <w:rsid w:val="00A609FE"/>
    <w:rsid w:val="00A60A95"/>
    <w:rsid w:val="00A60F50"/>
    <w:rsid w:val="00A6137B"/>
    <w:rsid w:val="00A613C2"/>
    <w:rsid w:val="00A61526"/>
    <w:rsid w:val="00A625C2"/>
    <w:rsid w:val="00A62B5E"/>
    <w:rsid w:val="00A62F94"/>
    <w:rsid w:val="00A633AE"/>
    <w:rsid w:val="00A63A99"/>
    <w:rsid w:val="00A63BDB"/>
    <w:rsid w:val="00A63C39"/>
    <w:rsid w:val="00A63CBA"/>
    <w:rsid w:val="00A63DC1"/>
    <w:rsid w:val="00A64ABD"/>
    <w:rsid w:val="00A65689"/>
    <w:rsid w:val="00A65DE2"/>
    <w:rsid w:val="00A65F6E"/>
    <w:rsid w:val="00A66359"/>
    <w:rsid w:val="00A6677D"/>
    <w:rsid w:val="00A66804"/>
    <w:rsid w:val="00A66BBD"/>
    <w:rsid w:val="00A6726E"/>
    <w:rsid w:val="00A67837"/>
    <w:rsid w:val="00A67B8D"/>
    <w:rsid w:val="00A67F0D"/>
    <w:rsid w:val="00A71A75"/>
    <w:rsid w:val="00A71A93"/>
    <w:rsid w:val="00A71AB7"/>
    <w:rsid w:val="00A71CE8"/>
    <w:rsid w:val="00A7359C"/>
    <w:rsid w:val="00A73AF5"/>
    <w:rsid w:val="00A7413D"/>
    <w:rsid w:val="00A7416F"/>
    <w:rsid w:val="00A74578"/>
    <w:rsid w:val="00A7465E"/>
    <w:rsid w:val="00A74711"/>
    <w:rsid w:val="00A74F5A"/>
    <w:rsid w:val="00A75327"/>
    <w:rsid w:val="00A753CD"/>
    <w:rsid w:val="00A75A30"/>
    <w:rsid w:val="00A75A67"/>
    <w:rsid w:val="00A75B12"/>
    <w:rsid w:val="00A75B64"/>
    <w:rsid w:val="00A76582"/>
    <w:rsid w:val="00A76BE8"/>
    <w:rsid w:val="00A76DE1"/>
    <w:rsid w:val="00A77258"/>
    <w:rsid w:val="00A77B6A"/>
    <w:rsid w:val="00A77C19"/>
    <w:rsid w:val="00A800B6"/>
    <w:rsid w:val="00A800C8"/>
    <w:rsid w:val="00A80F97"/>
    <w:rsid w:val="00A82D05"/>
    <w:rsid w:val="00A82D81"/>
    <w:rsid w:val="00A83CB2"/>
    <w:rsid w:val="00A83D2F"/>
    <w:rsid w:val="00A83F30"/>
    <w:rsid w:val="00A84899"/>
    <w:rsid w:val="00A86CBA"/>
    <w:rsid w:val="00A86E67"/>
    <w:rsid w:val="00A8727E"/>
    <w:rsid w:val="00A874F5"/>
    <w:rsid w:val="00A875D8"/>
    <w:rsid w:val="00A87A08"/>
    <w:rsid w:val="00A87C18"/>
    <w:rsid w:val="00A87FA9"/>
    <w:rsid w:val="00A9037A"/>
    <w:rsid w:val="00A906A9"/>
    <w:rsid w:val="00A90BC3"/>
    <w:rsid w:val="00A90D5C"/>
    <w:rsid w:val="00A91D67"/>
    <w:rsid w:val="00A91F34"/>
    <w:rsid w:val="00A92439"/>
    <w:rsid w:val="00A93AB0"/>
    <w:rsid w:val="00A93EFB"/>
    <w:rsid w:val="00A94424"/>
    <w:rsid w:val="00A94EF0"/>
    <w:rsid w:val="00A9749F"/>
    <w:rsid w:val="00A9774F"/>
    <w:rsid w:val="00A979F9"/>
    <w:rsid w:val="00A97E66"/>
    <w:rsid w:val="00A97EE2"/>
    <w:rsid w:val="00AA01C6"/>
    <w:rsid w:val="00AA04C5"/>
    <w:rsid w:val="00AA0B3E"/>
    <w:rsid w:val="00AA0E5E"/>
    <w:rsid w:val="00AA0E7A"/>
    <w:rsid w:val="00AA0F21"/>
    <w:rsid w:val="00AA15AF"/>
    <w:rsid w:val="00AA176F"/>
    <w:rsid w:val="00AA194D"/>
    <w:rsid w:val="00AA1BB7"/>
    <w:rsid w:val="00AA1CA3"/>
    <w:rsid w:val="00AA22CA"/>
    <w:rsid w:val="00AA2F26"/>
    <w:rsid w:val="00AA31AD"/>
    <w:rsid w:val="00AA3339"/>
    <w:rsid w:val="00AA37C7"/>
    <w:rsid w:val="00AA4279"/>
    <w:rsid w:val="00AA463F"/>
    <w:rsid w:val="00AA4BE6"/>
    <w:rsid w:val="00AA4C12"/>
    <w:rsid w:val="00AA5736"/>
    <w:rsid w:val="00AA5C99"/>
    <w:rsid w:val="00AA5CF4"/>
    <w:rsid w:val="00AA5FAF"/>
    <w:rsid w:val="00AA5FD9"/>
    <w:rsid w:val="00AA6361"/>
    <w:rsid w:val="00AA640F"/>
    <w:rsid w:val="00AA6565"/>
    <w:rsid w:val="00AA68F6"/>
    <w:rsid w:val="00AA6ECF"/>
    <w:rsid w:val="00AA7591"/>
    <w:rsid w:val="00AA79DB"/>
    <w:rsid w:val="00AB0116"/>
    <w:rsid w:val="00AB0B66"/>
    <w:rsid w:val="00AB0D16"/>
    <w:rsid w:val="00AB20DD"/>
    <w:rsid w:val="00AB258A"/>
    <w:rsid w:val="00AB2F91"/>
    <w:rsid w:val="00AB3A58"/>
    <w:rsid w:val="00AB4484"/>
    <w:rsid w:val="00AB4542"/>
    <w:rsid w:val="00AB46D9"/>
    <w:rsid w:val="00AB4F4E"/>
    <w:rsid w:val="00AB4F76"/>
    <w:rsid w:val="00AB4F81"/>
    <w:rsid w:val="00AB51F4"/>
    <w:rsid w:val="00AB5519"/>
    <w:rsid w:val="00AB6546"/>
    <w:rsid w:val="00AB6616"/>
    <w:rsid w:val="00AB6A9A"/>
    <w:rsid w:val="00AB6E59"/>
    <w:rsid w:val="00AC051A"/>
    <w:rsid w:val="00AC0712"/>
    <w:rsid w:val="00AC0D8F"/>
    <w:rsid w:val="00AC14B2"/>
    <w:rsid w:val="00AC16F6"/>
    <w:rsid w:val="00AC2466"/>
    <w:rsid w:val="00AC251E"/>
    <w:rsid w:val="00AC28CD"/>
    <w:rsid w:val="00AC2A9B"/>
    <w:rsid w:val="00AC2AE6"/>
    <w:rsid w:val="00AC3623"/>
    <w:rsid w:val="00AC3C60"/>
    <w:rsid w:val="00AC3E15"/>
    <w:rsid w:val="00AC5359"/>
    <w:rsid w:val="00AC59A4"/>
    <w:rsid w:val="00AC6988"/>
    <w:rsid w:val="00AC738D"/>
    <w:rsid w:val="00AC7AD2"/>
    <w:rsid w:val="00AD0BD1"/>
    <w:rsid w:val="00AD0DC9"/>
    <w:rsid w:val="00AD11AB"/>
    <w:rsid w:val="00AD1395"/>
    <w:rsid w:val="00AD172B"/>
    <w:rsid w:val="00AD1B0C"/>
    <w:rsid w:val="00AD2733"/>
    <w:rsid w:val="00AD3097"/>
    <w:rsid w:val="00AD33E9"/>
    <w:rsid w:val="00AD3848"/>
    <w:rsid w:val="00AD3923"/>
    <w:rsid w:val="00AD407D"/>
    <w:rsid w:val="00AD41E2"/>
    <w:rsid w:val="00AD4A35"/>
    <w:rsid w:val="00AD6839"/>
    <w:rsid w:val="00AD72EC"/>
    <w:rsid w:val="00AD72FF"/>
    <w:rsid w:val="00AD79A3"/>
    <w:rsid w:val="00AE00CA"/>
    <w:rsid w:val="00AE02F3"/>
    <w:rsid w:val="00AE0BB2"/>
    <w:rsid w:val="00AE0CAA"/>
    <w:rsid w:val="00AE1A31"/>
    <w:rsid w:val="00AE29FF"/>
    <w:rsid w:val="00AE2FF9"/>
    <w:rsid w:val="00AE35A7"/>
    <w:rsid w:val="00AE3E2B"/>
    <w:rsid w:val="00AE50BC"/>
    <w:rsid w:val="00AE52A3"/>
    <w:rsid w:val="00AE64B2"/>
    <w:rsid w:val="00AE66BA"/>
    <w:rsid w:val="00AE69CD"/>
    <w:rsid w:val="00AE7422"/>
    <w:rsid w:val="00AE745A"/>
    <w:rsid w:val="00AE7510"/>
    <w:rsid w:val="00AE7732"/>
    <w:rsid w:val="00AE791B"/>
    <w:rsid w:val="00AF0893"/>
    <w:rsid w:val="00AF09FF"/>
    <w:rsid w:val="00AF136C"/>
    <w:rsid w:val="00AF1375"/>
    <w:rsid w:val="00AF148C"/>
    <w:rsid w:val="00AF15CC"/>
    <w:rsid w:val="00AF1A11"/>
    <w:rsid w:val="00AF209D"/>
    <w:rsid w:val="00AF2B29"/>
    <w:rsid w:val="00AF3992"/>
    <w:rsid w:val="00AF4093"/>
    <w:rsid w:val="00AF471C"/>
    <w:rsid w:val="00AF48EC"/>
    <w:rsid w:val="00AF4D4D"/>
    <w:rsid w:val="00AF4E42"/>
    <w:rsid w:val="00AF52D2"/>
    <w:rsid w:val="00AF5A7C"/>
    <w:rsid w:val="00AF6C78"/>
    <w:rsid w:val="00AF71BC"/>
    <w:rsid w:val="00AF75EB"/>
    <w:rsid w:val="00B0083E"/>
    <w:rsid w:val="00B0092D"/>
    <w:rsid w:val="00B00D82"/>
    <w:rsid w:val="00B01D53"/>
    <w:rsid w:val="00B024A2"/>
    <w:rsid w:val="00B03711"/>
    <w:rsid w:val="00B03B6C"/>
    <w:rsid w:val="00B048EC"/>
    <w:rsid w:val="00B05241"/>
    <w:rsid w:val="00B05E59"/>
    <w:rsid w:val="00B065FB"/>
    <w:rsid w:val="00B0789E"/>
    <w:rsid w:val="00B07C3B"/>
    <w:rsid w:val="00B07D96"/>
    <w:rsid w:val="00B10A65"/>
    <w:rsid w:val="00B1182C"/>
    <w:rsid w:val="00B11CB0"/>
    <w:rsid w:val="00B13119"/>
    <w:rsid w:val="00B1323B"/>
    <w:rsid w:val="00B13323"/>
    <w:rsid w:val="00B133CB"/>
    <w:rsid w:val="00B133E7"/>
    <w:rsid w:val="00B13422"/>
    <w:rsid w:val="00B13759"/>
    <w:rsid w:val="00B13F61"/>
    <w:rsid w:val="00B145E7"/>
    <w:rsid w:val="00B15C29"/>
    <w:rsid w:val="00B165E3"/>
    <w:rsid w:val="00B16760"/>
    <w:rsid w:val="00B16833"/>
    <w:rsid w:val="00B17044"/>
    <w:rsid w:val="00B171AF"/>
    <w:rsid w:val="00B176D6"/>
    <w:rsid w:val="00B17F38"/>
    <w:rsid w:val="00B17F3E"/>
    <w:rsid w:val="00B203CD"/>
    <w:rsid w:val="00B20478"/>
    <w:rsid w:val="00B207A4"/>
    <w:rsid w:val="00B20CE0"/>
    <w:rsid w:val="00B21087"/>
    <w:rsid w:val="00B21475"/>
    <w:rsid w:val="00B219AB"/>
    <w:rsid w:val="00B21B6B"/>
    <w:rsid w:val="00B21DF3"/>
    <w:rsid w:val="00B22D12"/>
    <w:rsid w:val="00B24158"/>
    <w:rsid w:val="00B242D6"/>
    <w:rsid w:val="00B257DB"/>
    <w:rsid w:val="00B26907"/>
    <w:rsid w:val="00B270C6"/>
    <w:rsid w:val="00B27220"/>
    <w:rsid w:val="00B2738F"/>
    <w:rsid w:val="00B27690"/>
    <w:rsid w:val="00B2791B"/>
    <w:rsid w:val="00B3087D"/>
    <w:rsid w:val="00B30AAE"/>
    <w:rsid w:val="00B30CAC"/>
    <w:rsid w:val="00B32225"/>
    <w:rsid w:val="00B323B0"/>
    <w:rsid w:val="00B32BDC"/>
    <w:rsid w:val="00B32C09"/>
    <w:rsid w:val="00B32C32"/>
    <w:rsid w:val="00B32F5C"/>
    <w:rsid w:val="00B33085"/>
    <w:rsid w:val="00B33336"/>
    <w:rsid w:val="00B33B7E"/>
    <w:rsid w:val="00B33E7E"/>
    <w:rsid w:val="00B34E92"/>
    <w:rsid w:val="00B34EC2"/>
    <w:rsid w:val="00B353F8"/>
    <w:rsid w:val="00B35B78"/>
    <w:rsid w:val="00B3724D"/>
    <w:rsid w:val="00B374C6"/>
    <w:rsid w:val="00B374E3"/>
    <w:rsid w:val="00B37517"/>
    <w:rsid w:val="00B3779D"/>
    <w:rsid w:val="00B405F3"/>
    <w:rsid w:val="00B40AF2"/>
    <w:rsid w:val="00B40B2C"/>
    <w:rsid w:val="00B40D14"/>
    <w:rsid w:val="00B40D81"/>
    <w:rsid w:val="00B410A7"/>
    <w:rsid w:val="00B410DD"/>
    <w:rsid w:val="00B41463"/>
    <w:rsid w:val="00B41B6B"/>
    <w:rsid w:val="00B41CD2"/>
    <w:rsid w:val="00B41E22"/>
    <w:rsid w:val="00B4210A"/>
    <w:rsid w:val="00B42111"/>
    <w:rsid w:val="00B42406"/>
    <w:rsid w:val="00B432EF"/>
    <w:rsid w:val="00B438B6"/>
    <w:rsid w:val="00B438EA"/>
    <w:rsid w:val="00B43C06"/>
    <w:rsid w:val="00B43E96"/>
    <w:rsid w:val="00B444BA"/>
    <w:rsid w:val="00B44691"/>
    <w:rsid w:val="00B449C5"/>
    <w:rsid w:val="00B44AA1"/>
    <w:rsid w:val="00B44CFB"/>
    <w:rsid w:val="00B453FD"/>
    <w:rsid w:val="00B45B1D"/>
    <w:rsid w:val="00B45D45"/>
    <w:rsid w:val="00B45D64"/>
    <w:rsid w:val="00B46C28"/>
    <w:rsid w:val="00B46F1A"/>
    <w:rsid w:val="00B47814"/>
    <w:rsid w:val="00B5006D"/>
    <w:rsid w:val="00B5068D"/>
    <w:rsid w:val="00B50EEF"/>
    <w:rsid w:val="00B51471"/>
    <w:rsid w:val="00B525A8"/>
    <w:rsid w:val="00B52D64"/>
    <w:rsid w:val="00B540BD"/>
    <w:rsid w:val="00B5429A"/>
    <w:rsid w:val="00B5484B"/>
    <w:rsid w:val="00B54C50"/>
    <w:rsid w:val="00B54C52"/>
    <w:rsid w:val="00B552F5"/>
    <w:rsid w:val="00B554EE"/>
    <w:rsid w:val="00B55655"/>
    <w:rsid w:val="00B55D14"/>
    <w:rsid w:val="00B569FD"/>
    <w:rsid w:val="00B56EF7"/>
    <w:rsid w:val="00B5767D"/>
    <w:rsid w:val="00B600C5"/>
    <w:rsid w:val="00B604C0"/>
    <w:rsid w:val="00B61842"/>
    <w:rsid w:val="00B61FC1"/>
    <w:rsid w:val="00B623D6"/>
    <w:rsid w:val="00B63111"/>
    <w:rsid w:val="00B635FF"/>
    <w:rsid w:val="00B63B9F"/>
    <w:rsid w:val="00B64288"/>
    <w:rsid w:val="00B644B3"/>
    <w:rsid w:val="00B646A9"/>
    <w:rsid w:val="00B64A55"/>
    <w:rsid w:val="00B64B0D"/>
    <w:rsid w:val="00B64FAC"/>
    <w:rsid w:val="00B653C7"/>
    <w:rsid w:val="00B65481"/>
    <w:rsid w:val="00B65F62"/>
    <w:rsid w:val="00B66797"/>
    <w:rsid w:val="00B6711F"/>
    <w:rsid w:val="00B67DB4"/>
    <w:rsid w:val="00B70FEF"/>
    <w:rsid w:val="00B7190A"/>
    <w:rsid w:val="00B71F78"/>
    <w:rsid w:val="00B72BD4"/>
    <w:rsid w:val="00B72C10"/>
    <w:rsid w:val="00B7309D"/>
    <w:rsid w:val="00B7438D"/>
    <w:rsid w:val="00B7558D"/>
    <w:rsid w:val="00B75687"/>
    <w:rsid w:val="00B7616F"/>
    <w:rsid w:val="00B76310"/>
    <w:rsid w:val="00B764D1"/>
    <w:rsid w:val="00B76A64"/>
    <w:rsid w:val="00B77AB2"/>
    <w:rsid w:val="00B77B09"/>
    <w:rsid w:val="00B77EAF"/>
    <w:rsid w:val="00B8055D"/>
    <w:rsid w:val="00B80B1A"/>
    <w:rsid w:val="00B80EA5"/>
    <w:rsid w:val="00B80F66"/>
    <w:rsid w:val="00B81496"/>
    <w:rsid w:val="00B81FD6"/>
    <w:rsid w:val="00B82264"/>
    <w:rsid w:val="00B82539"/>
    <w:rsid w:val="00B826C1"/>
    <w:rsid w:val="00B833EC"/>
    <w:rsid w:val="00B83768"/>
    <w:rsid w:val="00B842CA"/>
    <w:rsid w:val="00B845CF"/>
    <w:rsid w:val="00B848B6"/>
    <w:rsid w:val="00B855B1"/>
    <w:rsid w:val="00B855EC"/>
    <w:rsid w:val="00B86102"/>
    <w:rsid w:val="00B86899"/>
    <w:rsid w:val="00B86A24"/>
    <w:rsid w:val="00B86A72"/>
    <w:rsid w:val="00B86FD7"/>
    <w:rsid w:val="00B87B06"/>
    <w:rsid w:val="00B87D12"/>
    <w:rsid w:val="00B87ED5"/>
    <w:rsid w:val="00B87EE3"/>
    <w:rsid w:val="00B90FA9"/>
    <w:rsid w:val="00B90FEA"/>
    <w:rsid w:val="00B915B9"/>
    <w:rsid w:val="00B9161E"/>
    <w:rsid w:val="00B9167C"/>
    <w:rsid w:val="00B92D7E"/>
    <w:rsid w:val="00B94770"/>
    <w:rsid w:val="00B94B25"/>
    <w:rsid w:val="00B94B81"/>
    <w:rsid w:val="00B950A8"/>
    <w:rsid w:val="00B952D5"/>
    <w:rsid w:val="00B95798"/>
    <w:rsid w:val="00B95817"/>
    <w:rsid w:val="00B95D2A"/>
    <w:rsid w:val="00B95DB7"/>
    <w:rsid w:val="00B96424"/>
    <w:rsid w:val="00B96CE0"/>
    <w:rsid w:val="00B97A62"/>
    <w:rsid w:val="00BA0F89"/>
    <w:rsid w:val="00BA1494"/>
    <w:rsid w:val="00BA16C5"/>
    <w:rsid w:val="00BA1E89"/>
    <w:rsid w:val="00BA1FF0"/>
    <w:rsid w:val="00BA28B5"/>
    <w:rsid w:val="00BA2BA4"/>
    <w:rsid w:val="00BA32A6"/>
    <w:rsid w:val="00BA4ACB"/>
    <w:rsid w:val="00BA5D94"/>
    <w:rsid w:val="00BA60D8"/>
    <w:rsid w:val="00BA64CC"/>
    <w:rsid w:val="00BA6F98"/>
    <w:rsid w:val="00BA78B8"/>
    <w:rsid w:val="00BB02CF"/>
    <w:rsid w:val="00BB08D0"/>
    <w:rsid w:val="00BB0919"/>
    <w:rsid w:val="00BB0B24"/>
    <w:rsid w:val="00BB0FDA"/>
    <w:rsid w:val="00BB15F0"/>
    <w:rsid w:val="00BB23AE"/>
    <w:rsid w:val="00BB2E0A"/>
    <w:rsid w:val="00BB44F4"/>
    <w:rsid w:val="00BB52BD"/>
    <w:rsid w:val="00BB6115"/>
    <w:rsid w:val="00BB6448"/>
    <w:rsid w:val="00BB6954"/>
    <w:rsid w:val="00BB6E8B"/>
    <w:rsid w:val="00BB708D"/>
    <w:rsid w:val="00BB728F"/>
    <w:rsid w:val="00BB7571"/>
    <w:rsid w:val="00BB7BDE"/>
    <w:rsid w:val="00BB7DB8"/>
    <w:rsid w:val="00BC1176"/>
    <w:rsid w:val="00BC1359"/>
    <w:rsid w:val="00BC154A"/>
    <w:rsid w:val="00BC1615"/>
    <w:rsid w:val="00BC1AC9"/>
    <w:rsid w:val="00BC22CB"/>
    <w:rsid w:val="00BC246F"/>
    <w:rsid w:val="00BC306D"/>
    <w:rsid w:val="00BC482A"/>
    <w:rsid w:val="00BC4B00"/>
    <w:rsid w:val="00BC4C8D"/>
    <w:rsid w:val="00BC4EFA"/>
    <w:rsid w:val="00BC53A5"/>
    <w:rsid w:val="00BC5402"/>
    <w:rsid w:val="00BC54B6"/>
    <w:rsid w:val="00BC5735"/>
    <w:rsid w:val="00BC58B0"/>
    <w:rsid w:val="00BC5B16"/>
    <w:rsid w:val="00BC5C00"/>
    <w:rsid w:val="00BC5CB7"/>
    <w:rsid w:val="00BC62D0"/>
    <w:rsid w:val="00BC644B"/>
    <w:rsid w:val="00BC711D"/>
    <w:rsid w:val="00BC76EF"/>
    <w:rsid w:val="00BC7D1C"/>
    <w:rsid w:val="00BC7F9B"/>
    <w:rsid w:val="00BD0321"/>
    <w:rsid w:val="00BD0653"/>
    <w:rsid w:val="00BD16D9"/>
    <w:rsid w:val="00BD19E1"/>
    <w:rsid w:val="00BD1A59"/>
    <w:rsid w:val="00BD1A93"/>
    <w:rsid w:val="00BD1D76"/>
    <w:rsid w:val="00BD1F11"/>
    <w:rsid w:val="00BD2B2E"/>
    <w:rsid w:val="00BD32DD"/>
    <w:rsid w:val="00BD354F"/>
    <w:rsid w:val="00BD4186"/>
    <w:rsid w:val="00BD45BA"/>
    <w:rsid w:val="00BD4D2C"/>
    <w:rsid w:val="00BD570B"/>
    <w:rsid w:val="00BD57F8"/>
    <w:rsid w:val="00BD5844"/>
    <w:rsid w:val="00BD620A"/>
    <w:rsid w:val="00BD66DD"/>
    <w:rsid w:val="00BD6D7B"/>
    <w:rsid w:val="00BD6FD8"/>
    <w:rsid w:val="00BD757C"/>
    <w:rsid w:val="00BE09D1"/>
    <w:rsid w:val="00BE0C82"/>
    <w:rsid w:val="00BE0DAE"/>
    <w:rsid w:val="00BE118B"/>
    <w:rsid w:val="00BE146A"/>
    <w:rsid w:val="00BE2D1F"/>
    <w:rsid w:val="00BE34A1"/>
    <w:rsid w:val="00BE34AB"/>
    <w:rsid w:val="00BE3E9B"/>
    <w:rsid w:val="00BE4114"/>
    <w:rsid w:val="00BE577B"/>
    <w:rsid w:val="00BE5A7C"/>
    <w:rsid w:val="00BE6707"/>
    <w:rsid w:val="00BE6B9F"/>
    <w:rsid w:val="00BE7446"/>
    <w:rsid w:val="00BE750D"/>
    <w:rsid w:val="00BF0298"/>
    <w:rsid w:val="00BF0AD4"/>
    <w:rsid w:val="00BF0B74"/>
    <w:rsid w:val="00BF12E5"/>
    <w:rsid w:val="00BF223A"/>
    <w:rsid w:val="00BF275E"/>
    <w:rsid w:val="00BF3DAD"/>
    <w:rsid w:val="00BF4195"/>
    <w:rsid w:val="00BF4B78"/>
    <w:rsid w:val="00BF4E7C"/>
    <w:rsid w:val="00BF50D3"/>
    <w:rsid w:val="00BF6878"/>
    <w:rsid w:val="00BF6C91"/>
    <w:rsid w:val="00BF6F4E"/>
    <w:rsid w:val="00BF7C9B"/>
    <w:rsid w:val="00BF7D3C"/>
    <w:rsid w:val="00C002DC"/>
    <w:rsid w:val="00C00679"/>
    <w:rsid w:val="00C00957"/>
    <w:rsid w:val="00C00A2A"/>
    <w:rsid w:val="00C00A8B"/>
    <w:rsid w:val="00C010C9"/>
    <w:rsid w:val="00C014E6"/>
    <w:rsid w:val="00C01970"/>
    <w:rsid w:val="00C01C04"/>
    <w:rsid w:val="00C01C76"/>
    <w:rsid w:val="00C01CF3"/>
    <w:rsid w:val="00C0265B"/>
    <w:rsid w:val="00C03015"/>
    <w:rsid w:val="00C0315D"/>
    <w:rsid w:val="00C03535"/>
    <w:rsid w:val="00C03559"/>
    <w:rsid w:val="00C035EC"/>
    <w:rsid w:val="00C039A7"/>
    <w:rsid w:val="00C03FC1"/>
    <w:rsid w:val="00C04057"/>
    <w:rsid w:val="00C04E34"/>
    <w:rsid w:val="00C04E4A"/>
    <w:rsid w:val="00C05957"/>
    <w:rsid w:val="00C05B5C"/>
    <w:rsid w:val="00C06087"/>
    <w:rsid w:val="00C06F93"/>
    <w:rsid w:val="00C0723F"/>
    <w:rsid w:val="00C078E8"/>
    <w:rsid w:val="00C107B3"/>
    <w:rsid w:val="00C10D27"/>
    <w:rsid w:val="00C10FE6"/>
    <w:rsid w:val="00C1105C"/>
    <w:rsid w:val="00C12095"/>
    <w:rsid w:val="00C125CF"/>
    <w:rsid w:val="00C1321F"/>
    <w:rsid w:val="00C14741"/>
    <w:rsid w:val="00C14CD0"/>
    <w:rsid w:val="00C14EF0"/>
    <w:rsid w:val="00C1529C"/>
    <w:rsid w:val="00C15795"/>
    <w:rsid w:val="00C159AF"/>
    <w:rsid w:val="00C15CE2"/>
    <w:rsid w:val="00C15E9D"/>
    <w:rsid w:val="00C16237"/>
    <w:rsid w:val="00C1670C"/>
    <w:rsid w:val="00C16D98"/>
    <w:rsid w:val="00C20456"/>
    <w:rsid w:val="00C20A66"/>
    <w:rsid w:val="00C20BA8"/>
    <w:rsid w:val="00C20CE4"/>
    <w:rsid w:val="00C20FF2"/>
    <w:rsid w:val="00C2123F"/>
    <w:rsid w:val="00C217E7"/>
    <w:rsid w:val="00C21B08"/>
    <w:rsid w:val="00C220FF"/>
    <w:rsid w:val="00C22385"/>
    <w:rsid w:val="00C22A77"/>
    <w:rsid w:val="00C22C5B"/>
    <w:rsid w:val="00C22F1D"/>
    <w:rsid w:val="00C23B27"/>
    <w:rsid w:val="00C25410"/>
    <w:rsid w:val="00C25843"/>
    <w:rsid w:val="00C25A1B"/>
    <w:rsid w:val="00C25CC0"/>
    <w:rsid w:val="00C26893"/>
    <w:rsid w:val="00C26894"/>
    <w:rsid w:val="00C26EDD"/>
    <w:rsid w:val="00C27275"/>
    <w:rsid w:val="00C274A9"/>
    <w:rsid w:val="00C30EA8"/>
    <w:rsid w:val="00C31012"/>
    <w:rsid w:val="00C31AC9"/>
    <w:rsid w:val="00C31B5D"/>
    <w:rsid w:val="00C31DFD"/>
    <w:rsid w:val="00C32036"/>
    <w:rsid w:val="00C3217C"/>
    <w:rsid w:val="00C32335"/>
    <w:rsid w:val="00C323B6"/>
    <w:rsid w:val="00C3382F"/>
    <w:rsid w:val="00C34024"/>
    <w:rsid w:val="00C345DD"/>
    <w:rsid w:val="00C347C6"/>
    <w:rsid w:val="00C35711"/>
    <w:rsid w:val="00C35B8A"/>
    <w:rsid w:val="00C36DF4"/>
    <w:rsid w:val="00C40DB2"/>
    <w:rsid w:val="00C426EF"/>
    <w:rsid w:val="00C4371B"/>
    <w:rsid w:val="00C44461"/>
    <w:rsid w:val="00C44480"/>
    <w:rsid w:val="00C4464C"/>
    <w:rsid w:val="00C44776"/>
    <w:rsid w:val="00C448CA"/>
    <w:rsid w:val="00C449CC"/>
    <w:rsid w:val="00C45016"/>
    <w:rsid w:val="00C45250"/>
    <w:rsid w:val="00C4559A"/>
    <w:rsid w:val="00C456C4"/>
    <w:rsid w:val="00C457F8"/>
    <w:rsid w:val="00C45B5A"/>
    <w:rsid w:val="00C50332"/>
    <w:rsid w:val="00C50F13"/>
    <w:rsid w:val="00C52774"/>
    <w:rsid w:val="00C5290D"/>
    <w:rsid w:val="00C52B86"/>
    <w:rsid w:val="00C52D71"/>
    <w:rsid w:val="00C52E00"/>
    <w:rsid w:val="00C52EBD"/>
    <w:rsid w:val="00C53016"/>
    <w:rsid w:val="00C53063"/>
    <w:rsid w:val="00C539C9"/>
    <w:rsid w:val="00C53E1D"/>
    <w:rsid w:val="00C54130"/>
    <w:rsid w:val="00C54A4D"/>
    <w:rsid w:val="00C54AAD"/>
    <w:rsid w:val="00C54CDB"/>
    <w:rsid w:val="00C556A5"/>
    <w:rsid w:val="00C556F2"/>
    <w:rsid w:val="00C55BDB"/>
    <w:rsid w:val="00C55F78"/>
    <w:rsid w:val="00C56370"/>
    <w:rsid w:val="00C56E3B"/>
    <w:rsid w:val="00C57E9A"/>
    <w:rsid w:val="00C60221"/>
    <w:rsid w:val="00C6100C"/>
    <w:rsid w:val="00C63F97"/>
    <w:rsid w:val="00C64623"/>
    <w:rsid w:val="00C6561B"/>
    <w:rsid w:val="00C65985"/>
    <w:rsid w:val="00C65A4B"/>
    <w:rsid w:val="00C65AA9"/>
    <w:rsid w:val="00C65AAA"/>
    <w:rsid w:val="00C6659F"/>
    <w:rsid w:val="00C66BF4"/>
    <w:rsid w:val="00C66D87"/>
    <w:rsid w:val="00C67363"/>
    <w:rsid w:val="00C67483"/>
    <w:rsid w:val="00C7030B"/>
    <w:rsid w:val="00C7032F"/>
    <w:rsid w:val="00C70389"/>
    <w:rsid w:val="00C708E8"/>
    <w:rsid w:val="00C7121B"/>
    <w:rsid w:val="00C71282"/>
    <w:rsid w:val="00C71AC4"/>
    <w:rsid w:val="00C72B60"/>
    <w:rsid w:val="00C72EC9"/>
    <w:rsid w:val="00C74182"/>
    <w:rsid w:val="00C74496"/>
    <w:rsid w:val="00C750C6"/>
    <w:rsid w:val="00C75240"/>
    <w:rsid w:val="00C75467"/>
    <w:rsid w:val="00C766F2"/>
    <w:rsid w:val="00C76E2D"/>
    <w:rsid w:val="00C76E33"/>
    <w:rsid w:val="00C77159"/>
    <w:rsid w:val="00C7789B"/>
    <w:rsid w:val="00C77D7E"/>
    <w:rsid w:val="00C8093C"/>
    <w:rsid w:val="00C80A2F"/>
    <w:rsid w:val="00C811B3"/>
    <w:rsid w:val="00C8138B"/>
    <w:rsid w:val="00C813EF"/>
    <w:rsid w:val="00C81E6F"/>
    <w:rsid w:val="00C82235"/>
    <w:rsid w:val="00C82461"/>
    <w:rsid w:val="00C832AC"/>
    <w:rsid w:val="00C83725"/>
    <w:rsid w:val="00C841CA"/>
    <w:rsid w:val="00C85880"/>
    <w:rsid w:val="00C8596B"/>
    <w:rsid w:val="00C85FD5"/>
    <w:rsid w:val="00C860D6"/>
    <w:rsid w:val="00C863C0"/>
    <w:rsid w:val="00C86BF3"/>
    <w:rsid w:val="00C877DA"/>
    <w:rsid w:val="00C878CD"/>
    <w:rsid w:val="00C87FB9"/>
    <w:rsid w:val="00C905B1"/>
    <w:rsid w:val="00C905D8"/>
    <w:rsid w:val="00C905FC"/>
    <w:rsid w:val="00C9070F"/>
    <w:rsid w:val="00C91A69"/>
    <w:rsid w:val="00C91CD9"/>
    <w:rsid w:val="00C91F27"/>
    <w:rsid w:val="00C925EF"/>
    <w:rsid w:val="00C934FA"/>
    <w:rsid w:val="00C9496F"/>
    <w:rsid w:val="00C95060"/>
    <w:rsid w:val="00C9596D"/>
    <w:rsid w:val="00C959D1"/>
    <w:rsid w:val="00C9608F"/>
    <w:rsid w:val="00C968C4"/>
    <w:rsid w:val="00C96AC1"/>
    <w:rsid w:val="00C96B41"/>
    <w:rsid w:val="00C96DE6"/>
    <w:rsid w:val="00C97B66"/>
    <w:rsid w:val="00C97C07"/>
    <w:rsid w:val="00C97C4B"/>
    <w:rsid w:val="00C97CAA"/>
    <w:rsid w:val="00CA0FF4"/>
    <w:rsid w:val="00CA17C3"/>
    <w:rsid w:val="00CA26A1"/>
    <w:rsid w:val="00CA2EA5"/>
    <w:rsid w:val="00CA325C"/>
    <w:rsid w:val="00CA393A"/>
    <w:rsid w:val="00CA3F59"/>
    <w:rsid w:val="00CA44C3"/>
    <w:rsid w:val="00CA4EA5"/>
    <w:rsid w:val="00CA54DB"/>
    <w:rsid w:val="00CA55F2"/>
    <w:rsid w:val="00CA5701"/>
    <w:rsid w:val="00CA5B6E"/>
    <w:rsid w:val="00CA5FCF"/>
    <w:rsid w:val="00CA659B"/>
    <w:rsid w:val="00CA6944"/>
    <w:rsid w:val="00CA7936"/>
    <w:rsid w:val="00CA7AC3"/>
    <w:rsid w:val="00CA7AEE"/>
    <w:rsid w:val="00CA7C80"/>
    <w:rsid w:val="00CA7E10"/>
    <w:rsid w:val="00CA7F85"/>
    <w:rsid w:val="00CA7FD9"/>
    <w:rsid w:val="00CB0956"/>
    <w:rsid w:val="00CB0D7D"/>
    <w:rsid w:val="00CB109C"/>
    <w:rsid w:val="00CB1A64"/>
    <w:rsid w:val="00CB1C3E"/>
    <w:rsid w:val="00CB1FA2"/>
    <w:rsid w:val="00CB44AC"/>
    <w:rsid w:val="00CB4846"/>
    <w:rsid w:val="00CB5143"/>
    <w:rsid w:val="00CB6867"/>
    <w:rsid w:val="00CB6D8D"/>
    <w:rsid w:val="00CB7077"/>
    <w:rsid w:val="00CB708F"/>
    <w:rsid w:val="00CC00C4"/>
    <w:rsid w:val="00CC12A1"/>
    <w:rsid w:val="00CC1515"/>
    <w:rsid w:val="00CC160F"/>
    <w:rsid w:val="00CC173A"/>
    <w:rsid w:val="00CC17B7"/>
    <w:rsid w:val="00CC1CFB"/>
    <w:rsid w:val="00CC220C"/>
    <w:rsid w:val="00CC286F"/>
    <w:rsid w:val="00CC2AF2"/>
    <w:rsid w:val="00CC2B25"/>
    <w:rsid w:val="00CC2E3B"/>
    <w:rsid w:val="00CC2FBC"/>
    <w:rsid w:val="00CC3A31"/>
    <w:rsid w:val="00CC4849"/>
    <w:rsid w:val="00CC4F2A"/>
    <w:rsid w:val="00CC516B"/>
    <w:rsid w:val="00CC5661"/>
    <w:rsid w:val="00CC60D4"/>
    <w:rsid w:val="00CC63FB"/>
    <w:rsid w:val="00CC71BE"/>
    <w:rsid w:val="00CC71F1"/>
    <w:rsid w:val="00CC72F2"/>
    <w:rsid w:val="00CC7363"/>
    <w:rsid w:val="00CC7417"/>
    <w:rsid w:val="00CC7A60"/>
    <w:rsid w:val="00CD0454"/>
    <w:rsid w:val="00CD094B"/>
    <w:rsid w:val="00CD1259"/>
    <w:rsid w:val="00CD18FE"/>
    <w:rsid w:val="00CD324E"/>
    <w:rsid w:val="00CD3282"/>
    <w:rsid w:val="00CD47C5"/>
    <w:rsid w:val="00CD5BE8"/>
    <w:rsid w:val="00CD5E16"/>
    <w:rsid w:val="00CD5E53"/>
    <w:rsid w:val="00CD68D2"/>
    <w:rsid w:val="00CD6CA8"/>
    <w:rsid w:val="00CD75B2"/>
    <w:rsid w:val="00CD7A40"/>
    <w:rsid w:val="00CE0571"/>
    <w:rsid w:val="00CE07A0"/>
    <w:rsid w:val="00CE080E"/>
    <w:rsid w:val="00CE0C36"/>
    <w:rsid w:val="00CE0C6F"/>
    <w:rsid w:val="00CE0D04"/>
    <w:rsid w:val="00CE1174"/>
    <w:rsid w:val="00CE1242"/>
    <w:rsid w:val="00CE16B3"/>
    <w:rsid w:val="00CE2D4B"/>
    <w:rsid w:val="00CE32A1"/>
    <w:rsid w:val="00CE350E"/>
    <w:rsid w:val="00CE401D"/>
    <w:rsid w:val="00CE46E5"/>
    <w:rsid w:val="00CE479F"/>
    <w:rsid w:val="00CE4BAB"/>
    <w:rsid w:val="00CE4D6F"/>
    <w:rsid w:val="00CE523B"/>
    <w:rsid w:val="00CE523E"/>
    <w:rsid w:val="00CE58CE"/>
    <w:rsid w:val="00CE66E4"/>
    <w:rsid w:val="00CE6C09"/>
    <w:rsid w:val="00CE704C"/>
    <w:rsid w:val="00CE7152"/>
    <w:rsid w:val="00CE739E"/>
    <w:rsid w:val="00CE7502"/>
    <w:rsid w:val="00CE78C3"/>
    <w:rsid w:val="00CE7F3A"/>
    <w:rsid w:val="00CF041A"/>
    <w:rsid w:val="00CF0806"/>
    <w:rsid w:val="00CF0B63"/>
    <w:rsid w:val="00CF0E96"/>
    <w:rsid w:val="00CF1265"/>
    <w:rsid w:val="00CF17D9"/>
    <w:rsid w:val="00CF1A4E"/>
    <w:rsid w:val="00CF1C18"/>
    <w:rsid w:val="00CF251E"/>
    <w:rsid w:val="00CF28F4"/>
    <w:rsid w:val="00CF2B7A"/>
    <w:rsid w:val="00CF2BE4"/>
    <w:rsid w:val="00CF3034"/>
    <w:rsid w:val="00CF3422"/>
    <w:rsid w:val="00CF3447"/>
    <w:rsid w:val="00CF3876"/>
    <w:rsid w:val="00CF3E12"/>
    <w:rsid w:val="00CF3F2D"/>
    <w:rsid w:val="00CF441E"/>
    <w:rsid w:val="00CF4825"/>
    <w:rsid w:val="00CF48DF"/>
    <w:rsid w:val="00CF4936"/>
    <w:rsid w:val="00CF4A16"/>
    <w:rsid w:val="00CF574A"/>
    <w:rsid w:val="00CF590B"/>
    <w:rsid w:val="00CF5DCF"/>
    <w:rsid w:val="00CF5F87"/>
    <w:rsid w:val="00CF66D8"/>
    <w:rsid w:val="00CF7145"/>
    <w:rsid w:val="00CF75FA"/>
    <w:rsid w:val="00CF7844"/>
    <w:rsid w:val="00CF78C3"/>
    <w:rsid w:val="00CF7CFC"/>
    <w:rsid w:val="00D0031C"/>
    <w:rsid w:val="00D00565"/>
    <w:rsid w:val="00D00928"/>
    <w:rsid w:val="00D019AD"/>
    <w:rsid w:val="00D020EB"/>
    <w:rsid w:val="00D02231"/>
    <w:rsid w:val="00D02464"/>
    <w:rsid w:val="00D02638"/>
    <w:rsid w:val="00D029D4"/>
    <w:rsid w:val="00D036E4"/>
    <w:rsid w:val="00D03BEA"/>
    <w:rsid w:val="00D03C28"/>
    <w:rsid w:val="00D03EAD"/>
    <w:rsid w:val="00D03F22"/>
    <w:rsid w:val="00D0400B"/>
    <w:rsid w:val="00D0406E"/>
    <w:rsid w:val="00D04339"/>
    <w:rsid w:val="00D048D5"/>
    <w:rsid w:val="00D04A87"/>
    <w:rsid w:val="00D0503E"/>
    <w:rsid w:val="00D05047"/>
    <w:rsid w:val="00D052D1"/>
    <w:rsid w:val="00D055D9"/>
    <w:rsid w:val="00D056E5"/>
    <w:rsid w:val="00D0582C"/>
    <w:rsid w:val="00D05CE0"/>
    <w:rsid w:val="00D0652C"/>
    <w:rsid w:val="00D06F0A"/>
    <w:rsid w:val="00D074A3"/>
    <w:rsid w:val="00D103C4"/>
    <w:rsid w:val="00D103C6"/>
    <w:rsid w:val="00D10A4D"/>
    <w:rsid w:val="00D10A5D"/>
    <w:rsid w:val="00D11094"/>
    <w:rsid w:val="00D119F0"/>
    <w:rsid w:val="00D123F9"/>
    <w:rsid w:val="00D12606"/>
    <w:rsid w:val="00D134B3"/>
    <w:rsid w:val="00D13F15"/>
    <w:rsid w:val="00D13F6C"/>
    <w:rsid w:val="00D143FF"/>
    <w:rsid w:val="00D152AE"/>
    <w:rsid w:val="00D15E3B"/>
    <w:rsid w:val="00D15F76"/>
    <w:rsid w:val="00D163A9"/>
    <w:rsid w:val="00D16C63"/>
    <w:rsid w:val="00D17557"/>
    <w:rsid w:val="00D17639"/>
    <w:rsid w:val="00D17E73"/>
    <w:rsid w:val="00D17F9C"/>
    <w:rsid w:val="00D20488"/>
    <w:rsid w:val="00D20523"/>
    <w:rsid w:val="00D208F3"/>
    <w:rsid w:val="00D20CB6"/>
    <w:rsid w:val="00D21DA5"/>
    <w:rsid w:val="00D2206D"/>
    <w:rsid w:val="00D23289"/>
    <w:rsid w:val="00D24458"/>
    <w:rsid w:val="00D2461B"/>
    <w:rsid w:val="00D2524C"/>
    <w:rsid w:val="00D255F0"/>
    <w:rsid w:val="00D26D58"/>
    <w:rsid w:val="00D275B3"/>
    <w:rsid w:val="00D279AD"/>
    <w:rsid w:val="00D27F0D"/>
    <w:rsid w:val="00D30566"/>
    <w:rsid w:val="00D305C9"/>
    <w:rsid w:val="00D3062E"/>
    <w:rsid w:val="00D3083E"/>
    <w:rsid w:val="00D313FB"/>
    <w:rsid w:val="00D314E1"/>
    <w:rsid w:val="00D314F6"/>
    <w:rsid w:val="00D31AAA"/>
    <w:rsid w:val="00D321F7"/>
    <w:rsid w:val="00D325C8"/>
    <w:rsid w:val="00D332F2"/>
    <w:rsid w:val="00D333D0"/>
    <w:rsid w:val="00D33462"/>
    <w:rsid w:val="00D336A2"/>
    <w:rsid w:val="00D341D1"/>
    <w:rsid w:val="00D34439"/>
    <w:rsid w:val="00D34E66"/>
    <w:rsid w:val="00D35BFD"/>
    <w:rsid w:val="00D3654A"/>
    <w:rsid w:val="00D36B26"/>
    <w:rsid w:val="00D36CCA"/>
    <w:rsid w:val="00D36E90"/>
    <w:rsid w:val="00D36EF1"/>
    <w:rsid w:val="00D371C2"/>
    <w:rsid w:val="00D37D05"/>
    <w:rsid w:val="00D40294"/>
    <w:rsid w:val="00D40349"/>
    <w:rsid w:val="00D405E5"/>
    <w:rsid w:val="00D40A97"/>
    <w:rsid w:val="00D40EFB"/>
    <w:rsid w:val="00D416D0"/>
    <w:rsid w:val="00D41996"/>
    <w:rsid w:val="00D41E71"/>
    <w:rsid w:val="00D42249"/>
    <w:rsid w:val="00D4300E"/>
    <w:rsid w:val="00D43976"/>
    <w:rsid w:val="00D43A07"/>
    <w:rsid w:val="00D43A95"/>
    <w:rsid w:val="00D43C5E"/>
    <w:rsid w:val="00D44092"/>
    <w:rsid w:val="00D44234"/>
    <w:rsid w:val="00D444B6"/>
    <w:rsid w:val="00D44E0E"/>
    <w:rsid w:val="00D450A3"/>
    <w:rsid w:val="00D4526C"/>
    <w:rsid w:val="00D45733"/>
    <w:rsid w:val="00D4589B"/>
    <w:rsid w:val="00D458B9"/>
    <w:rsid w:val="00D46D30"/>
    <w:rsid w:val="00D47B78"/>
    <w:rsid w:val="00D47DA6"/>
    <w:rsid w:val="00D502D1"/>
    <w:rsid w:val="00D5240E"/>
    <w:rsid w:val="00D5270E"/>
    <w:rsid w:val="00D5277C"/>
    <w:rsid w:val="00D530BB"/>
    <w:rsid w:val="00D536F4"/>
    <w:rsid w:val="00D53A7B"/>
    <w:rsid w:val="00D53B67"/>
    <w:rsid w:val="00D541A3"/>
    <w:rsid w:val="00D545AC"/>
    <w:rsid w:val="00D5496C"/>
    <w:rsid w:val="00D5504A"/>
    <w:rsid w:val="00D56F40"/>
    <w:rsid w:val="00D5707A"/>
    <w:rsid w:val="00D57554"/>
    <w:rsid w:val="00D57715"/>
    <w:rsid w:val="00D57888"/>
    <w:rsid w:val="00D607AD"/>
    <w:rsid w:val="00D60AF3"/>
    <w:rsid w:val="00D60CE8"/>
    <w:rsid w:val="00D6201D"/>
    <w:rsid w:val="00D62085"/>
    <w:rsid w:val="00D6218E"/>
    <w:rsid w:val="00D62637"/>
    <w:rsid w:val="00D63035"/>
    <w:rsid w:val="00D63087"/>
    <w:rsid w:val="00D63A20"/>
    <w:rsid w:val="00D640E4"/>
    <w:rsid w:val="00D64D60"/>
    <w:rsid w:val="00D64EC7"/>
    <w:rsid w:val="00D65C31"/>
    <w:rsid w:val="00D6606C"/>
    <w:rsid w:val="00D66DC9"/>
    <w:rsid w:val="00D67EB7"/>
    <w:rsid w:val="00D702A6"/>
    <w:rsid w:val="00D706DA"/>
    <w:rsid w:val="00D70891"/>
    <w:rsid w:val="00D711AF"/>
    <w:rsid w:val="00D716A8"/>
    <w:rsid w:val="00D719DF"/>
    <w:rsid w:val="00D72464"/>
    <w:rsid w:val="00D7251C"/>
    <w:rsid w:val="00D727BE"/>
    <w:rsid w:val="00D72CF3"/>
    <w:rsid w:val="00D73602"/>
    <w:rsid w:val="00D739A9"/>
    <w:rsid w:val="00D73A22"/>
    <w:rsid w:val="00D73B12"/>
    <w:rsid w:val="00D74398"/>
    <w:rsid w:val="00D74EB8"/>
    <w:rsid w:val="00D75547"/>
    <w:rsid w:val="00D75A84"/>
    <w:rsid w:val="00D75B6F"/>
    <w:rsid w:val="00D76407"/>
    <w:rsid w:val="00D769B7"/>
    <w:rsid w:val="00D76B3E"/>
    <w:rsid w:val="00D777A1"/>
    <w:rsid w:val="00D77954"/>
    <w:rsid w:val="00D810C8"/>
    <w:rsid w:val="00D817CA"/>
    <w:rsid w:val="00D817FA"/>
    <w:rsid w:val="00D8222E"/>
    <w:rsid w:val="00D839A8"/>
    <w:rsid w:val="00D83AA5"/>
    <w:rsid w:val="00D83EA2"/>
    <w:rsid w:val="00D8402D"/>
    <w:rsid w:val="00D84171"/>
    <w:rsid w:val="00D85773"/>
    <w:rsid w:val="00D860E9"/>
    <w:rsid w:val="00D86245"/>
    <w:rsid w:val="00D86B3C"/>
    <w:rsid w:val="00D87262"/>
    <w:rsid w:val="00D87DA1"/>
    <w:rsid w:val="00D90208"/>
    <w:rsid w:val="00D9047D"/>
    <w:rsid w:val="00D90763"/>
    <w:rsid w:val="00D908A3"/>
    <w:rsid w:val="00D909C2"/>
    <w:rsid w:val="00D90FD2"/>
    <w:rsid w:val="00D91186"/>
    <w:rsid w:val="00D91670"/>
    <w:rsid w:val="00D91A45"/>
    <w:rsid w:val="00D91C82"/>
    <w:rsid w:val="00D91CF6"/>
    <w:rsid w:val="00D924AE"/>
    <w:rsid w:val="00D92AA7"/>
    <w:rsid w:val="00D92C54"/>
    <w:rsid w:val="00D92F11"/>
    <w:rsid w:val="00D931D1"/>
    <w:rsid w:val="00D93342"/>
    <w:rsid w:val="00D93884"/>
    <w:rsid w:val="00D93CD3"/>
    <w:rsid w:val="00D95938"/>
    <w:rsid w:val="00D95986"/>
    <w:rsid w:val="00D95FD9"/>
    <w:rsid w:val="00D95FF1"/>
    <w:rsid w:val="00D96104"/>
    <w:rsid w:val="00D9613B"/>
    <w:rsid w:val="00D96823"/>
    <w:rsid w:val="00D96B11"/>
    <w:rsid w:val="00D96C2C"/>
    <w:rsid w:val="00D96D88"/>
    <w:rsid w:val="00D9738D"/>
    <w:rsid w:val="00D97674"/>
    <w:rsid w:val="00D97D04"/>
    <w:rsid w:val="00DA1514"/>
    <w:rsid w:val="00DA1C69"/>
    <w:rsid w:val="00DA1E1D"/>
    <w:rsid w:val="00DA1EC1"/>
    <w:rsid w:val="00DA2A59"/>
    <w:rsid w:val="00DA3994"/>
    <w:rsid w:val="00DA4267"/>
    <w:rsid w:val="00DA467C"/>
    <w:rsid w:val="00DA4CEF"/>
    <w:rsid w:val="00DA5400"/>
    <w:rsid w:val="00DA5637"/>
    <w:rsid w:val="00DA5988"/>
    <w:rsid w:val="00DA5FD0"/>
    <w:rsid w:val="00DA609B"/>
    <w:rsid w:val="00DA68A8"/>
    <w:rsid w:val="00DA6CD8"/>
    <w:rsid w:val="00DB040D"/>
    <w:rsid w:val="00DB0637"/>
    <w:rsid w:val="00DB09F8"/>
    <w:rsid w:val="00DB11BD"/>
    <w:rsid w:val="00DB194A"/>
    <w:rsid w:val="00DB1E01"/>
    <w:rsid w:val="00DB2094"/>
    <w:rsid w:val="00DB2308"/>
    <w:rsid w:val="00DB2632"/>
    <w:rsid w:val="00DB2C56"/>
    <w:rsid w:val="00DB30FD"/>
    <w:rsid w:val="00DB315C"/>
    <w:rsid w:val="00DB367B"/>
    <w:rsid w:val="00DB3E72"/>
    <w:rsid w:val="00DB4020"/>
    <w:rsid w:val="00DB405D"/>
    <w:rsid w:val="00DB4B82"/>
    <w:rsid w:val="00DB4C4C"/>
    <w:rsid w:val="00DB5831"/>
    <w:rsid w:val="00DB5B98"/>
    <w:rsid w:val="00DB5BF8"/>
    <w:rsid w:val="00DB5D2E"/>
    <w:rsid w:val="00DB6FE2"/>
    <w:rsid w:val="00DB7333"/>
    <w:rsid w:val="00DB769F"/>
    <w:rsid w:val="00DC0029"/>
    <w:rsid w:val="00DC05B4"/>
    <w:rsid w:val="00DC0B3A"/>
    <w:rsid w:val="00DC1BBE"/>
    <w:rsid w:val="00DC1EE9"/>
    <w:rsid w:val="00DC1FC1"/>
    <w:rsid w:val="00DC21F7"/>
    <w:rsid w:val="00DC2605"/>
    <w:rsid w:val="00DC33EC"/>
    <w:rsid w:val="00DC3879"/>
    <w:rsid w:val="00DC3D3F"/>
    <w:rsid w:val="00DC480D"/>
    <w:rsid w:val="00DC498F"/>
    <w:rsid w:val="00DC5410"/>
    <w:rsid w:val="00DC6510"/>
    <w:rsid w:val="00DC6732"/>
    <w:rsid w:val="00DC6A52"/>
    <w:rsid w:val="00DC6BE1"/>
    <w:rsid w:val="00DD09B5"/>
    <w:rsid w:val="00DD1278"/>
    <w:rsid w:val="00DD1325"/>
    <w:rsid w:val="00DD1368"/>
    <w:rsid w:val="00DD164B"/>
    <w:rsid w:val="00DD1AD7"/>
    <w:rsid w:val="00DD2663"/>
    <w:rsid w:val="00DD2824"/>
    <w:rsid w:val="00DD2E34"/>
    <w:rsid w:val="00DD32A1"/>
    <w:rsid w:val="00DD3760"/>
    <w:rsid w:val="00DD397F"/>
    <w:rsid w:val="00DD4E8B"/>
    <w:rsid w:val="00DD5E2C"/>
    <w:rsid w:val="00DD67E0"/>
    <w:rsid w:val="00DD6AC4"/>
    <w:rsid w:val="00DD6E35"/>
    <w:rsid w:val="00DD7F22"/>
    <w:rsid w:val="00DE0521"/>
    <w:rsid w:val="00DE0A5D"/>
    <w:rsid w:val="00DE0EAE"/>
    <w:rsid w:val="00DE14E5"/>
    <w:rsid w:val="00DE173E"/>
    <w:rsid w:val="00DE1A3D"/>
    <w:rsid w:val="00DE2957"/>
    <w:rsid w:val="00DE2C66"/>
    <w:rsid w:val="00DE3178"/>
    <w:rsid w:val="00DE3D8C"/>
    <w:rsid w:val="00DE4C6A"/>
    <w:rsid w:val="00DE53AB"/>
    <w:rsid w:val="00DE5DE8"/>
    <w:rsid w:val="00DE6684"/>
    <w:rsid w:val="00DE69AB"/>
    <w:rsid w:val="00DE7376"/>
    <w:rsid w:val="00DE7650"/>
    <w:rsid w:val="00DE7985"/>
    <w:rsid w:val="00DF00E2"/>
    <w:rsid w:val="00DF02A6"/>
    <w:rsid w:val="00DF1073"/>
    <w:rsid w:val="00DF12CD"/>
    <w:rsid w:val="00DF199E"/>
    <w:rsid w:val="00DF1C10"/>
    <w:rsid w:val="00DF2292"/>
    <w:rsid w:val="00DF22F2"/>
    <w:rsid w:val="00DF2828"/>
    <w:rsid w:val="00DF2F0F"/>
    <w:rsid w:val="00DF3199"/>
    <w:rsid w:val="00DF323B"/>
    <w:rsid w:val="00DF330B"/>
    <w:rsid w:val="00DF33AF"/>
    <w:rsid w:val="00DF3C14"/>
    <w:rsid w:val="00DF3DD0"/>
    <w:rsid w:val="00DF48C9"/>
    <w:rsid w:val="00DF4F1C"/>
    <w:rsid w:val="00DF58F5"/>
    <w:rsid w:val="00DF5CA7"/>
    <w:rsid w:val="00DF707D"/>
    <w:rsid w:val="00DF7456"/>
    <w:rsid w:val="00DF78B2"/>
    <w:rsid w:val="00DF7983"/>
    <w:rsid w:val="00DF7E5E"/>
    <w:rsid w:val="00E00254"/>
    <w:rsid w:val="00E003ED"/>
    <w:rsid w:val="00E004FC"/>
    <w:rsid w:val="00E00D21"/>
    <w:rsid w:val="00E01A09"/>
    <w:rsid w:val="00E01A9E"/>
    <w:rsid w:val="00E01E32"/>
    <w:rsid w:val="00E02205"/>
    <w:rsid w:val="00E024F1"/>
    <w:rsid w:val="00E02AD7"/>
    <w:rsid w:val="00E02DC5"/>
    <w:rsid w:val="00E03929"/>
    <w:rsid w:val="00E0398E"/>
    <w:rsid w:val="00E03E07"/>
    <w:rsid w:val="00E03E7F"/>
    <w:rsid w:val="00E040A2"/>
    <w:rsid w:val="00E042C2"/>
    <w:rsid w:val="00E04669"/>
    <w:rsid w:val="00E04687"/>
    <w:rsid w:val="00E046E9"/>
    <w:rsid w:val="00E04A61"/>
    <w:rsid w:val="00E0525E"/>
    <w:rsid w:val="00E0551D"/>
    <w:rsid w:val="00E0562C"/>
    <w:rsid w:val="00E0584D"/>
    <w:rsid w:val="00E05945"/>
    <w:rsid w:val="00E06423"/>
    <w:rsid w:val="00E06A55"/>
    <w:rsid w:val="00E06BE6"/>
    <w:rsid w:val="00E06CA9"/>
    <w:rsid w:val="00E10004"/>
    <w:rsid w:val="00E11609"/>
    <w:rsid w:val="00E11977"/>
    <w:rsid w:val="00E12071"/>
    <w:rsid w:val="00E1225D"/>
    <w:rsid w:val="00E125B8"/>
    <w:rsid w:val="00E146C6"/>
    <w:rsid w:val="00E148B0"/>
    <w:rsid w:val="00E15113"/>
    <w:rsid w:val="00E15AFA"/>
    <w:rsid w:val="00E15EB8"/>
    <w:rsid w:val="00E16D93"/>
    <w:rsid w:val="00E17670"/>
    <w:rsid w:val="00E17785"/>
    <w:rsid w:val="00E17CFF"/>
    <w:rsid w:val="00E20305"/>
    <w:rsid w:val="00E207EA"/>
    <w:rsid w:val="00E224A3"/>
    <w:rsid w:val="00E228C5"/>
    <w:rsid w:val="00E22A77"/>
    <w:rsid w:val="00E22B66"/>
    <w:rsid w:val="00E22BF7"/>
    <w:rsid w:val="00E23972"/>
    <w:rsid w:val="00E239AF"/>
    <w:rsid w:val="00E248C5"/>
    <w:rsid w:val="00E24AA9"/>
    <w:rsid w:val="00E256D8"/>
    <w:rsid w:val="00E25744"/>
    <w:rsid w:val="00E26D38"/>
    <w:rsid w:val="00E271B8"/>
    <w:rsid w:val="00E2720F"/>
    <w:rsid w:val="00E272DD"/>
    <w:rsid w:val="00E2730B"/>
    <w:rsid w:val="00E2733D"/>
    <w:rsid w:val="00E2796B"/>
    <w:rsid w:val="00E27DF5"/>
    <w:rsid w:val="00E301B9"/>
    <w:rsid w:val="00E30A3E"/>
    <w:rsid w:val="00E30EB4"/>
    <w:rsid w:val="00E31946"/>
    <w:rsid w:val="00E31C0C"/>
    <w:rsid w:val="00E31D05"/>
    <w:rsid w:val="00E322AE"/>
    <w:rsid w:val="00E32C49"/>
    <w:rsid w:val="00E3330C"/>
    <w:rsid w:val="00E33B5E"/>
    <w:rsid w:val="00E342D6"/>
    <w:rsid w:val="00E3438E"/>
    <w:rsid w:val="00E34ADB"/>
    <w:rsid w:val="00E36482"/>
    <w:rsid w:val="00E36F93"/>
    <w:rsid w:val="00E37037"/>
    <w:rsid w:val="00E37BC1"/>
    <w:rsid w:val="00E40032"/>
    <w:rsid w:val="00E40740"/>
    <w:rsid w:val="00E4090A"/>
    <w:rsid w:val="00E41817"/>
    <w:rsid w:val="00E42625"/>
    <w:rsid w:val="00E42EDD"/>
    <w:rsid w:val="00E43DBB"/>
    <w:rsid w:val="00E43FA9"/>
    <w:rsid w:val="00E441A1"/>
    <w:rsid w:val="00E453DF"/>
    <w:rsid w:val="00E45844"/>
    <w:rsid w:val="00E45B77"/>
    <w:rsid w:val="00E45C93"/>
    <w:rsid w:val="00E45D6A"/>
    <w:rsid w:val="00E47157"/>
    <w:rsid w:val="00E47AFB"/>
    <w:rsid w:val="00E47E3A"/>
    <w:rsid w:val="00E50604"/>
    <w:rsid w:val="00E5062A"/>
    <w:rsid w:val="00E515EE"/>
    <w:rsid w:val="00E5188C"/>
    <w:rsid w:val="00E51B33"/>
    <w:rsid w:val="00E51CF9"/>
    <w:rsid w:val="00E52166"/>
    <w:rsid w:val="00E5241C"/>
    <w:rsid w:val="00E52527"/>
    <w:rsid w:val="00E5253C"/>
    <w:rsid w:val="00E527E1"/>
    <w:rsid w:val="00E53A65"/>
    <w:rsid w:val="00E54806"/>
    <w:rsid w:val="00E54E56"/>
    <w:rsid w:val="00E55236"/>
    <w:rsid w:val="00E55244"/>
    <w:rsid w:val="00E55498"/>
    <w:rsid w:val="00E5573D"/>
    <w:rsid w:val="00E55A95"/>
    <w:rsid w:val="00E5627E"/>
    <w:rsid w:val="00E5717E"/>
    <w:rsid w:val="00E57C32"/>
    <w:rsid w:val="00E606B6"/>
    <w:rsid w:val="00E607D4"/>
    <w:rsid w:val="00E610E1"/>
    <w:rsid w:val="00E61996"/>
    <w:rsid w:val="00E62C71"/>
    <w:rsid w:val="00E62D19"/>
    <w:rsid w:val="00E63169"/>
    <w:rsid w:val="00E63226"/>
    <w:rsid w:val="00E632E8"/>
    <w:rsid w:val="00E63D71"/>
    <w:rsid w:val="00E643F3"/>
    <w:rsid w:val="00E64642"/>
    <w:rsid w:val="00E65444"/>
    <w:rsid w:val="00E654A2"/>
    <w:rsid w:val="00E65F51"/>
    <w:rsid w:val="00E662B3"/>
    <w:rsid w:val="00E66690"/>
    <w:rsid w:val="00E672D0"/>
    <w:rsid w:val="00E67919"/>
    <w:rsid w:val="00E7005D"/>
    <w:rsid w:val="00E70496"/>
    <w:rsid w:val="00E710E2"/>
    <w:rsid w:val="00E7137C"/>
    <w:rsid w:val="00E71570"/>
    <w:rsid w:val="00E718E6"/>
    <w:rsid w:val="00E71D7F"/>
    <w:rsid w:val="00E725E4"/>
    <w:rsid w:val="00E736A2"/>
    <w:rsid w:val="00E7442C"/>
    <w:rsid w:val="00E749D6"/>
    <w:rsid w:val="00E75796"/>
    <w:rsid w:val="00E75D95"/>
    <w:rsid w:val="00E7623E"/>
    <w:rsid w:val="00E76972"/>
    <w:rsid w:val="00E76DA0"/>
    <w:rsid w:val="00E778C9"/>
    <w:rsid w:val="00E77C69"/>
    <w:rsid w:val="00E77D31"/>
    <w:rsid w:val="00E77E55"/>
    <w:rsid w:val="00E81163"/>
    <w:rsid w:val="00E81516"/>
    <w:rsid w:val="00E818AD"/>
    <w:rsid w:val="00E81B50"/>
    <w:rsid w:val="00E81C4F"/>
    <w:rsid w:val="00E81E73"/>
    <w:rsid w:val="00E824D7"/>
    <w:rsid w:val="00E8275A"/>
    <w:rsid w:val="00E83CE0"/>
    <w:rsid w:val="00E83DA6"/>
    <w:rsid w:val="00E84165"/>
    <w:rsid w:val="00E8428F"/>
    <w:rsid w:val="00E84392"/>
    <w:rsid w:val="00E84CBA"/>
    <w:rsid w:val="00E84DCF"/>
    <w:rsid w:val="00E858AD"/>
    <w:rsid w:val="00E85E77"/>
    <w:rsid w:val="00E85F12"/>
    <w:rsid w:val="00E864DE"/>
    <w:rsid w:val="00E8693E"/>
    <w:rsid w:val="00E8696E"/>
    <w:rsid w:val="00E86A86"/>
    <w:rsid w:val="00E86EB3"/>
    <w:rsid w:val="00E87574"/>
    <w:rsid w:val="00E87E5C"/>
    <w:rsid w:val="00E9041C"/>
    <w:rsid w:val="00E91820"/>
    <w:rsid w:val="00E9195C"/>
    <w:rsid w:val="00E92AC7"/>
    <w:rsid w:val="00E92D94"/>
    <w:rsid w:val="00E92E12"/>
    <w:rsid w:val="00E9351C"/>
    <w:rsid w:val="00E93740"/>
    <w:rsid w:val="00E93900"/>
    <w:rsid w:val="00E9481D"/>
    <w:rsid w:val="00E94B1D"/>
    <w:rsid w:val="00E9621D"/>
    <w:rsid w:val="00E970AE"/>
    <w:rsid w:val="00E97A8C"/>
    <w:rsid w:val="00EA0825"/>
    <w:rsid w:val="00EA0DE1"/>
    <w:rsid w:val="00EA10C4"/>
    <w:rsid w:val="00EA11B8"/>
    <w:rsid w:val="00EA11ED"/>
    <w:rsid w:val="00EA1BAE"/>
    <w:rsid w:val="00EA1F3C"/>
    <w:rsid w:val="00EA3D46"/>
    <w:rsid w:val="00EA6008"/>
    <w:rsid w:val="00EA62A4"/>
    <w:rsid w:val="00EA66D7"/>
    <w:rsid w:val="00EA71FF"/>
    <w:rsid w:val="00EA72A4"/>
    <w:rsid w:val="00EB0E24"/>
    <w:rsid w:val="00EB15AB"/>
    <w:rsid w:val="00EB17F8"/>
    <w:rsid w:val="00EB19E7"/>
    <w:rsid w:val="00EB2884"/>
    <w:rsid w:val="00EB2B13"/>
    <w:rsid w:val="00EB3660"/>
    <w:rsid w:val="00EB36DD"/>
    <w:rsid w:val="00EB3E99"/>
    <w:rsid w:val="00EB47E6"/>
    <w:rsid w:val="00EB4953"/>
    <w:rsid w:val="00EB4A75"/>
    <w:rsid w:val="00EB4CFC"/>
    <w:rsid w:val="00EB56AE"/>
    <w:rsid w:val="00EB575F"/>
    <w:rsid w:val="00EB5962"/>
    <w:rsid w:val="00EB5966"/>
    <w:rsid w:val="00EB5A35"/>
    <w:rsid w:val="00EB5BB6"/>
    <w:rsid w:val="00EB5D19"/>
    <w:rsid w:val="00EB6429"/>
    <w:rsid w:val="00EB64A0"/>
    <w:rsid w:val="00EB6E45"/>
    <w:rsid w:val="00EB6F47"/>
    <w:rsid w:val="00EB7AC7"/>
    <w:rsid w:val="00EB7DAC"/>
    <w:rsid w:val="00EC06E2"/>
    <w:rsid w:val="00EC0A53"/>
    <w:rsid w:val="00EC0CBB"/>
    <w:rsid w:val="00EC149B"/>
    <w:rsid w:val="00EC193D"/>
    <w:rsid w:val="00EC2B96"/>
    <w:rsid w:val="00EC308E"/>
    <w:rsid w:val="00EC32D3"/>
    <w:rsid w:val="00EC36D0"/>
    <w:rsid w:val="00EC3C82"/>
    <w:rsid w:val="00EC3F62"/>
    <w:rsid w:val="00EC45F0"/>
    <w:rsid w:val="00EC490B"/>
    <w:rsid w:val="00EC5DE6"/>
    <w:rsid w:val="00EC64C6"/>
    <w:rsid w:val="00EC66F7"/>
    <w:rsid w:val="00EC75EE"/>
    <w:rsid w:val="00EC7E54"/>
    <w:rsid w:val="00ED00F2"/>
    <w:rsid w:val="00ED02CF"/>
    <w:rsid w:val="00ED1885"/>
    <w:rsid w:val="00ED1C35"/>
    <w:rsid w:val="00ED1D88"/>
    <w:rsid w:val="00ED25D0"/>
    <w:rsid w:val="00ED26AE"/>
    <w:rsid w:val="00ED4865"/>
    <w:rsid w:val="00ED49CE"/>
    <w:rsid w:val="00ED505E"/>
    <w:rsid w:val="00ED5C69"/>
    <w:rsid w:val="00ED6583"/>
    <w:rsid w:val="00ED6A06"/>
    <w:rsid w:val="00ED6FA0"/>
    <w:rsid w:val="00ED6FE5"/>
    <w:rsid w:val="00ED767A"/>
    <w:rsid w:val="00EE047F"/>
    <w:rsid w:val="00EE0A00"/>
    <w:rsid w:val="00EE0D14"/>
    <w:rsid w:val="00EE11A0"/>
    <w:rsid w:val="00EE1BE1"/>
    <w:rsid w:val="00EE24E3"/>
    <w:rsid w:val="00EE2879"/>
    <w:rsid w:val="00EE29D8"/>
    <w:rsid w:val="00EE305B"/>
    <w:rsid w:val="00EE37A0"/>
    <w:rsid w:val="00EE440F"/>
    <w:rsid w:val="00EE4ED3"/>
    <w:rsid w:val="00EE4F74"/>
    <w:rsid w:val="00EE52A0"/>
    <w:rsid w:val="00EE5E7D"/>
    <w:rsid w:val="00EE6265"/>
    <w:rsid w:val="00EE6727"/>
    <w:rsid w:val="00EE677B"/>
    <w:rsid w:val="00EE6949"/>
    <w:rsid w:val="00EE708A"/>
    <w:rsid w:val="00EF04CE"/>
    <w:rsid w:val="00EF0648"/>
    <w:rsid w:val="00EF07BC"/>
    <w:rsid w:val="00EF08E2"/>
    <w:rsid w:val="00EF09A9"/>
    <w:rsid w:val="00EF124F"/>
    <w:rsid w:val="00EF14B1"/>
    <w:rsid w:val="00EF1741"/>
    <w:rsid w:val="00EF22C9"/>
    <w:rsid w:val="00EF237B"/>
    <w:rsid w:val="00EF24ED"/>
    <w:rsid w:val="00EF2D72"/>
    <w:rsid w:val="00EF3A8A"/>
    <w:rsid w:val="00EF3A9A"/>
    <w:rsid w:val="00EF3AAB"/>
    <w:rsid w:val="00EF431E"/>
    <w:rsid w:val="00EF460C"/>
    <w:rsid w:val="00EF4D20"/>
    <w:rsid w:val="00EF5759"/>
    <w:rsid w:val="00EF5A5E"/>
    <w:rsid w:val="00EF61F9"/>
    <w:rsid w:val="00EF7594"/>
    <w:rsid w:val="00F002F2"/>
    <w:rsid w:val="00F008CD"/>
    <w:rsid w:val="00F008FC"/>
    <w:rsid w:val="00F0110F"/>
    <w:rsid w:val="00F0139A"/>
    <w:rsid w:val="00F022EA"/>
    <w:rsid w:val="00F02646"/>
    <w:rsid w:val="00F02A33"/>
    <w:rsid w:val="00F03049"/>
    <w:rsid w:val="00F03610"/>
    <w:rsid w:val="00F037F3"/>
    <w:rsid w:val="00F0458C"/>
    <w:rsid w:val="00F04E52"/>
    <w:rsid w:val="00F050A2"/>
    <w:rsid w:val="00F059AB"/>
    <w:rsid w:val="00F059B5"/>
    <w:rsid w:val="00F059ED"/>
    <w:rsid w:val="00F0689F"/>
    <w:rsid w:val="00F06931"/>
    <w:rsid w:val="00F06A8E"/>
    <w:rsid w:val="00F06DF0"/>
    <w:rsid w:val="00F07AB8"/>
    <w:rsid w:val="00F10658"/>
    <w:rsid w:val="00F10C07"/>
    <w:rsid w:val="00F11394"/>
    <w:rsid w:val="00F11916"/>
    <w:rsid w:val="00F11FA9"/>
    <w:rsid w:val="00F123AC"/>
    <w:rsid w:val="00F12801"/>
    <w:rsid w:val="00F12834"/>
    <w:rsid w:val="00F12FEB"/>
    <w:rsid w:val="00F13127"/>
    <w:rsid w:val="00F1329E"/>
    <w:rsid w:val="00F133AF"/>
    <w:rsid w:val="00F135B1"/>
    <w:rsid w:val="00F13850"/>
    <w:rsid w:val="00F13F3D"/>
    <w:rsid w:val="00F144DC"/>
    <w:rsid w:val="00F14C20"/>
    <w:rsid w:val="00F151EF"/>
    <w:rsid w:val="00F1562F"/>
    <w:rsid w:val="00F15681"/>
    <w:rsid w:val="00F17A88"/>
    <w:rsid w:val="00F201D2"/>
    <w:rsid w:val="00F20478"/>
    <w:rsid w:val="00F205BA"/>
    <w:rsid w:val="00F217AD"/>
    <w:rsid w:val="00F220F4"/>
    <w:rsid w:val="00F22520"/>
    <w:rsid w:val="00F228A6"/>
    <w:rsid w:val="00F22EDB"/>
    <w:rsid w:val="00F230AD"/>
    <w:rsid w:val="00F235F7"/>
    <w:rsid w:val="00F23CEA"/>
    <w:rsid w:val="00F254E1"/>
    <w:rsid w:val="00F25652"/>
    <w:rsid w:val="00F258CD"/>
    <w:rsid w:val="00F25AA8"/>
    <w:rsid w:val="00F25FB0"/>
    <w:rsid w:val="00F26295"/>
    <w:rsid w:val="00F267F1"/>
    <w:rsid w:val="00F26A63"/>
    <w:rsid w:val="00F274BC"/>
    <w:rsid w:val="00F30610"/>
    <w:rsid w:val="00F30AFB"/>
    <w:rsid w:val="00F30DAA"/>
    <w:rsid w:val="00F30E32"/>
    <w:rsid w:val="00F30F58"/>
    <w:rsid w:val="00F318F7"/>
    <w:rsid w:val="00F321B2"/>
    <w:rsid w:val="00F32844"/>
    <w:rsid w:val="00F32DA6"/>
    <w:rsid w:val="00F330B9"/>
    <w:rsid w:val="00F3316E"/>
    <w:rsid w:val="00F335FC"/>
    <w:rsid w:val="00F33DE0"/>
    <w:rsid w:val="00F346FB"/>
    <w:rsid w:val="00F349F1"/>
    <w:rsid w:val="00F35E48"/>
    <w:rsid w:val="00F3620A"/>
    <w:rsid w:val="00F3723B"/>
    <w:rsid w:val="00F37A1A"/>
    <w:rsid w:val="00F4017C"/>
    <w:rsid w:val="00F412F7"/>
    <w:rsid w:val="00F41AE8"/>
    <w:rsid w:val="00F426BA"/>
    <w:rsid w:val="00F42C6A"/>
    <w:rsid w:val="00F43869"/>
    <w:rsid w:val="00F44955"/>
    <w:rsid w:val="00F45CBA"/>
    <w:rsid w:val="00F45F12"/>
    <w:rsid w:val="00F466CF"/>
    <w:rsid w:val="00F469C6"/>
    <w:rsid w:val="00F46F0A"/>
    <w:rsid w:val="00F46FDC"/>
    <w:rsid w:val="00F47583"/>
    <w:rsid w:val="00F4794E"/>
    <w:rsid w:val="00F501C2"/>
    <w:rsid w:val="00F5046A"/>
    <w:rsid w:val="00F50565"/>
    <w:rsid w:val="00F508B4"/>
    <w:rsid w:val="00F5162B"/>
    <w:rsid w:val="00F51A65"/>
    <w:rsid w:val="00F52AC0"/>
    <w:rsid w:val="00F53683"/>
    <w:rsid w:val="00F5409F"/>
    <w:rsid w:val="00F54199"/>
    <w:rsid w:val="00F54620"/>
    <w:rsid w:val="00F54C06"/>
    <w:rsid w:val="00F553EB"/>
    <w:rsid w:val="00F557F6"/>
    <w:rsid w:val="00F55B96"/>
    <w:rsid w:val="00F55DCC"/>
    <w:rsid w:val="00F56E18"/>
    <w:rsid w:val="00F572CA"/>
    <w:rsid w:val="00F606ED"/>
    <w:rsid w:val="00F6103A"/>
    <w:rsid w:val="00F61AF5"/>
    <w:rsid w:val="00F61BC8"/>
    <w:rsid w:val="00F61EEA"/>
    <w:rsid w:val="00F62461"/>
    <w:rsid w:val="00F626D4"/>
    <w:rsid w:val="00F62B0A"/>
    <w:rsid w:val="00F6326D"/>
    <w:rsid w:val="00F6391D"/>
    <w:rsid w:val="00F649D6"/>
    <w:rsid w:val="00F64B2D"/>
    <w:rsid w:val="00F64F90"/>
    <w:rsid w:val="00F652CB"/>
    <w:rsid w:val="00F65547"/>
    <w:rsid w:val="00F65A96"/>
    <w:rsid w:val="00F65BB2"/>
    <w:rsid w:val="00F666AA"/>
    <w:rsid w:val="00F66D7F"/>
    <w:rsid w:val="00F67879"/>
    <w:rsid w:val="00F67CDE"/>
    <w:rsid w:val="00F7011D"/>
    <w:rsid w:val="00F701F1"/>
    <w:rsid w:val="00F709DC"/>
    <w:rsid w:val="00F70C00"/>
    <w:rsid w:val="00F712FF"/>
    <w:rsid w:val="00F713EC"/>
    <w:rsid w:val="00F71D1B"/>
    <w:rsid w:val="00F71D6F"/>
    <w:rsid w:val="00F71E31"/>
    <w:rsid w:val="00F72168"/>
    <w:rsid w:val="00F721AA"/>
    <w:rsid w:val="00F72260"/>
    <w:rsid w:val="00F72957"/>
    <w:rsid w:val="00F73125"/>
    <w:rsid w:val="00F732A2"/>
    <w:rsid w:val="00F732EC"/>
    <w:rsid w:val="00F7363B"/>
    <w:rsid w:val="00F73C96"/>
    <w:rsid w:val="00F74DCD"/>
    <w:rsid w:val="00F77740"/>
    <w:rsid w:val="00F801F3"/>
    <w:rsid w:val="00F80B81"/>
    <w:rsid w:val="00F83048"/>
    <w:rsid w:val="00F83E7F"/>
    <w:rsid w:val="00F84C6A"/>
    <w:rsid w:val="00F8505B"/>
    <w:rsid w:val="00F8535B"/>
    <w:rsid w:val="00F85997"/>
    <w:rsid w:val="00F85FF9"/>
    <w:rsid w:val="00F8607B"/>
    <w:rsid w:val="00F86121"/>
    <w:rsid w:val="00F8618E"/>
    <w:rsid w:val="00F861C5"/>
    <w:rsid w:val="00F863CC"/>
    <w:rsid w:val="00F8643A"/>
    <w:rsid w:val="00F866B1"/>
    <w:rsid w:val="00F86C67"/>
    <w:rsid w:val="00F86E62"/>
    <w:rsid w:val="00F86EC9"/>
    <w:rsid w:val="00F8772B"/>
    <w:rsid w:val="00F878A9"/>
    <w:rsid w:val="00F87EFF"/>
    <w:rsid w:val="00F87FD2"/>
    <w:rsid w:val="00F90465"/>
    <w:rsid w:val="00F90630"/>
    <w:rsid w:val="00F92781"/>
    <w:rsid w:val="00F9285C"/>
    <w:rsid w:val="00F93011"/>
    <w:rsid w:val="00F930D3"/>
    <w:rsid w:val="00F9341E"/>
    <w:rsid w:val="00F9344F"/>
    <w:rsid w:val="00F93852"/>
    <w:rsid w:val="00F940EA"/>
    <w:rsid w:val="00F941A4"/>
    <w:rsid w:val="00F942AE"/>
    <w:rsid w:val="00F942E9"/>
    <w:rsid w:val="00F9541E"/>
    <w:rsid w:val="00F955CE"/>
    <w:rsid w:val="00F9602B"/>
    <w:rsid w:val="00F961E0"/>
    <w:rsid w:val="00F968DB"/>
    <w:rsid w:val="00F96CC5"/>
    <w:rsid w:val="00F97150"/>
    <w:rsid w:val="00F978EB"/>
    <w:rsid w:val="00FA03AF"/>
    <w:rsid w:val="00FA0A29"/>
    <w:rsid w:val="00FA0F10"/>
    <w:rsid w:val="00FA1791"/>
    <w:rsid w:val="00FA1F8E"/>
    <w:rsid w:val="00FA2138"/>
    <w:rsid w:val="00FA2321"/>
    <w:rsid w:val="00FA2C98"/>
    <w:rsid w:val="00FA4A21"/>
    <w:rsid w:val="00FA4DA3"/>
    <w:rsid w:val="00FA56BA"/>
    <w:rsid w:val="00FA6808"/>
    <w:rsid w:val="00FA6E91"/>
    <w:rsid w:val="00FA7223"/>
    <w:rsid w:val="00FA7C00"/>
    <w:rsid w:val="00FB0B41"/>
    <w:rsid w:val="00FB0DE3"/>
    <w:rsid w:val="00FB1A65"/>
    <w:rsid w:val="00FB1B64"/>
    <w:rsid w:val="00FB1B70"/>
    <w:rsid w:val="00FB1C5D"/>
    <w:rsid w:val="00FB1EEB"/>
    <w:rsid w:val="00FB1F8F"/>
    <w:rsid w:val="00FB249A"/>
    <w:rsid w:val="00FB3022"/>
    <w:rsid w:val="00FB35AC"/>
    <w:rsid w:val="00FB3EBF"/>
    <w:rsid w:val="00FB4540"/>
    <w:rsid w:val="00FB4E1E"/>
    <w:rsid w:val="00FB5851"/>
    <w:rsid w:val="00FB5E3E"/>
    <w:rsid w:val="00FB6078"/>
    <w:rsid w:val="00FB66B8"/>
    <w:rsid w:val="00FB6A59"/>
    <w:rsid w:val="00FB6DFC"/>
    <w:rsid w:val="00FB701E"/>
    <w:rsid w:val="00FB7BD9"/>
    <w:rsid w:val="00FC02EA"/>
    <w:rsid w:val="00FC076B"/>
    <w:rsid w:val="00FC1609"/>
    <w:rsid w:val="00FC17D0"/>
    <w:rsid w:val="00FC17D2"/>
    <w:rsid w:val="00FC185B"/>
    <w:rsid w:val="00FC19A3"/>
    <w:rsid w:val="00FC26FE"/>
    <w:rsid w:val="00FC2768"/>
    <w:rsid w:val="00FC2EDE"/>
    <w:rsid w:val="00FC2EE3"/>
    <w:rsid w:val="00FC2F22"/>
    <w:rsid w:val="00FC304B"/>
    <w:rsid w:val="00FC30E2"/>
    <w:rsid w:val="00FC31C0"/>
    <w:rsid w:val="00FC47AD"/>
    <w:rsid w:val="00FC530B"/>
    <w:rsid w:val="00FC571E"/>
    <w:rsid w:val="00FC5B04"/>
    <w:rsid w:val="00FC600A"/>
    <w:rsid w:val="00FC60C9"/>
    <w:rsid w:val="00FC64D7"/>
    <w:rsid w:val="00FC6B41"/>
    <w:rsid w:val="00FC71D0"/>
    <w:rsid w:val="00FC7A5D"/>
    <w:rsid w:val="00FC7FFB"/>
    <w:rsid w:val="00FD025D"/>
    <w:rsid w:val="00FD1F32"/>
    <w:rsid w:val="00FD20F8"/>
    <w:rsid w:val="00FD2AC0"/>
    <w:rsid w:val="00FD2E47"/>
    <w:rsid w:val="00FD4155"/>
    <w:rsid w:val="00FD476E"/>
    <w:rsid w:val="00FD47FF"/>
    <w:rsid w:val="00FD4ACA"/>
    <w:rsid w:val="00FD4B14"/>
    <w:rsid w:val="00FD4BE2"/>
    <w:rsid w:val="00FD5085"/>
    <w:rsid w:val="00FD570E"/>
    <w:rsid w:val="00FD65E8"/>
    <w:rsid w:val="00FD6FA6"/>
    <w:rsid w:val="00FD6FC1"/>
    <w:rsid w:val="00FD795A"/>
    <w:rsid w:val="00FD7B8E"/>
    <w:rsid w:val="00FE068F"/>
    <w:rsid w:val="00FE10A7"/>
    <w:rsid w:val="00FE1208"/>
    <w:rsid w:val="00FE1503"/>
    <w:rsid w:val="00FE19F9"/>
    <w:rsid w:val="00FE1DB4"/>
    <w:rsid w:val="00FE2897"/>
    <w:rsid w:val="00FE2A95"/>
    <w:rsid w:val="00FE2CA9"/>
    <w:rsid w:val="00FE2D05"/>
    <w:rsid w:val="00FE3038"/>
    <w:rsid w:val="00FE3B4B"/>
    <w:rsid w:val="00FE3FF1"/>
    <w:rsid w:val="00FE40A7"/>
    <w:rsid w:val="00FE41F3"/>
    <w:rsid w:val="00FE4C06"/>
    <w:rsid w:val="00FE521D"/>
    <w:rsid w:val="00FE54A6"/>
    <w:rsid w:val="00FE5700"/>
    <w:rsid w:val="00FE5782"/>
    <w:rsid w:val="00FE5A40"/>
    <w:rsid w:val="00FE5B58"/>
    <w:rsid w:val="00FE624C"/>
    <w:rsid w:val="00FE707E"/>
    <w:rsid w:val="00FE72F3"/>
    <w:rsid w:val="00FE7330"/>
    <w:rsid w:val="00FE78DD"/>
    <w:rsid w:val="00FF2BB5"/>
    <w:rsid w:val="00FF2D14"/>
    <w:rsid w:val="00FF32C7"/>
    <w:rsid w:val="00FF397A"/>
    <w:rsid w:val="00FF4339"/>
    <w:rsid w:val="00FF4425"/>
    <w:rsid w:val="00FF4668"/>
    <w:rsid w:val="00FF4F25"/>
    <w:rsid w:val="00FF5455"/>
    <w:rsid w:val="00FF5C86"/>
    <w:rsid w:val="00FF6362"/>
    <w:rsid w:val="00FF67BF"/>
    <w:rsid w:val="00FF6BDB"/>
    <w:rsid w:val="00FF787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E50934"/>
  <w15:docId w15:val="{ED4371EC-B033-4E1E-9E93-53E1414A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DFD"/>
    <w:pPr>
      <w:spacing w:after="0" w:line="360" w:lineRule="auto"/>
      <w:jc w:val="both"/>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94FCD"/>
  </w:style>
  <w:style w:type="paragraph" w:styleId="BalloonText">
    <w:name w:val="Balloon Text"/>
    <w:basedOn w:val="Normal"/>
    <w:link w:val="BalloonTextChar"/>
    <w:uiPriority w:val="99"/>
    <w:semiHidden/>
    <w:unhideWhenUsed/>
    <w:rsid w:val="0022645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45A"/>
    <w:rPr>
      <w:rFonts w:ascii="Tahoma" w:hAnsi="Tahoma" w:cs="Tahoma"/>
      <w:sz w:val="16"/>
      <w:szCs w:val="16"/>
      <w:lang w:val="en-US"/>
    </w:rPr>
  </w:style>
  <w:style w:type="paragraph" w:styleId="ListParagraph">
    <w:name w:val="List Paragraph"/>
    <w:basedOn w:val="Normal"/>
    <w:uiPriority w:val="34"/>
    <w:qFormat/>
    <w:rsid w:val="00E01E32"/>
    <w:pPr>
      <w:ind w:left="720"/>
      <w:contextualSpacing/>
    </w:pPr>
  </w:style>
  <w:style w:type="paragraph" w:styleId="Caption">
    <w:name w:val="caption"/>
    <w:basedOn w:val="Normal"/>
    <w:next w:val="Normal"/>
    <w:uiPriority w:val="35"/>
    <w:unhideWhenUsed/>
    <w:qFormat/>
    <w:rsid w:val="00E00D21"/>
    <w:pPr>
      <w:spacing w:line="240" w:lineRule="auto"/>
    </w:pPr>
    <w:rPr>
      <w:i/>
      <w:iCs/>
      <w:color w:val="1F497D" w:themeColor="text2"/>
      <w:sz w:val="18"/>
      <w:szCs w:val="18"/>
      <w:lang w:eastAsia="zh-CN"/>
    </w:rPr>
  </w:style>
  <w:style w:type="character" w:styleId="CommentReference">
    <w:name w:val="annotation reference"/>
    <w:basedOn w:val="DefaultParagraphFont"/>
    <w:uiPriority w:val="99"/>
    <w:semiHidden/>
    <w:unhideWhenUsed/>
    <w:rsid w:val="00E00D21"/>
    <w:rPr>
      <w:sz w:val="16"/>
      <w:szCs w:val="16"/>
    </w:rPr>
  </w:style>
  <w:style w:type="paragraph" w:styleId="CommentText">
    <w:name w:val="annotation text"/>
    <w:basedOn w:val="Normal"/>
    <w:link w:val="CommentTextChar"/>
    <w:uiPriority w:val="99"/>
    <w:unhideWhenUsed/>
    <w:rsid w:val="00E00D21"/>
    <w:pPr>
      <w:spacing w:line="240" w:lineRule="auto"/>
    </w:pPr>
    <w:rPr>
      <w:sz w:val="20"/>
      <w:szCs w:val="20"/>
      <w:lang w:eastAsia="zh-CN"/>
    </w:rPr>
  </w:style>
  <w:style w:type="character" w:customStyle="1" w:styleId="CommentTextChar">
    <w:name w:val="Comment Text Char"/>
    <w:basedOn w:val="DefaultParagraphFont"/>
    <w:link w:val="CommentText"/>
    <w:uiPriority w:val="99"/>
    <w:rsid w:val="00E00D21"/>
    <w:rPr>
      <w:rFonts w:eastAsiaTheme="minorEastAsia"/>
      <w:sz w:val="20"/>
      <w:szCs w:val="20"/>
      <w:lang w:val="en-US" w:eastAsia="zh-CN"/>
    </w:rPr>
  </w:style>
  <w:style w:type="paragraph" w:customStyle="1" w:styleId="p1">
    <w:name w:val="p1"/>
    <w:basedOn w:val="Normal"/>
    <w:rsid w:val="00E00D21"/>
    <w:pPr>
      <w:spacing w:line="240" w:lineRule="auto"/>
    </w:pPr>
    <w:rPr>
      <w:rFonts w:ascii="Helvetica" w:hAnsi="Helvetica" w:cs="Times New Roman"/>
      <w:sz w:val="17"/>
      <w:szCs w:val="17"/>
      <w:lang w:eastAsia="zh-CN"/>
    </w:rPr>
  </w:style>
  <w:style w:type="paragraph" w:styleId="FootnoteText">
    <w:name w:val="footnote text"/>
    <w:basedOn w:val="Normal"/>
    <w:link w:val="FootnoteTextChar"/>
    <w:uiPriority w:val="99"/>
    <w:unhideWhenUsed/>
    <w:rsid w:val="00495513"/>
    <w:pPr>
      <w:spacing w:line="240" w:lineRule="auto"/>
    </w:pPr>
    <w:rPr>
      <w:sz w:val="24"/>
      <w:szCs w:val="24"/>
      <w:lang w:eastAsia="zh-CN"/>
    </w:rPr>
  </w:style>
  <w:style w:type="character" w:customStyle="1" w:styleId="FootnoteTextChar">
    <w:name w:val="Footnote Text Char"/>
    <w:basedOn w:val="DefaultParagraphFont"/>
    <w:link w:val="FootnoteText"/>
    <w:uiPriority w:val="99"/>
    <w:rsid w:val="00495513"/>
    <w:rPr>
      <w:rFonts w:eastAsiaTheme="minorEastAsia"/>
      <w:sz w:val="24"/>
      <w:szCs w:val="24"/>
      <w:lang w:val="en-US" w:eastAsia="zh-CN"/>
    </w:rPr>
  </w:style>
  <w:style w:type="character" w:styleId="FootnoteReference">
    <w:name w:val="footnote reference"/>
    <w:basedOn w:val="DefaultParagraphFont"/>
    <w:uiPriority w:val="99"/>
    <w:unhideWhenUsed/>
    <w:rsid w:val="00495513"/>
    <w:rPr>
      <w:vertAlign w:val="superscript"/>
    </w:rPr>
  </w:style>
  <w:style w:type="table" w:styleId="TableGrid">
    <w:name w:val="Table Grid"/>
    <w:basedOn w:val="TableNormal"/>
    <w:uiPriority w:val="59"/>
    <w:rsid w:val="00495513"/>
    <w:pPr>
      <w:spacing w:after="0" w:line="240" w:lineRule="auto"/>
    </w:pPr>
    <w:rPr>
      <w:sz w:val="24"/>
      <w:szCs w:val="24"/>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273C4"/>
    <w:pPr>
      <w:spacing w:after="200"/>
    </w:pPr>
    <w:rPr>
      <w:b/>
      <w:bCs/>
      <w:lang w:eastAsia="en-US"/>
    </w:rPr>
  </w:style>
  <w:style w:type="character" w:customStyle="1" w:styleId="CommentSubjectChar">
    <w:name w:val="Comment Subject Char"/>
    <w:basedOn w:val="CommentTextChar"/>
    <w:link w:val="CommentSubject"/>
    <w:uiPriority w:val="99"/>
    <w:semiHidden/>
    <w:rsid w:val="006273C4"/>
    <w:rPr>
      <w:rFonts w:eastAsiaTheme="minorEastAsia"/>
      <w:b/>
      <w:bCs/>
      <w:sz w:val="20"/>
      <w:szCs w:val="20"/>
      <w:lang w:val="en-US" w:eastAsia="zh-CN"/>
    </w:rPr>
  </w:style>
  <w:style w:type="character" w:styleId="Hyperlink">
    <w:name w:val="Hyperlink"/>
    <w:basedOn w:val="DefaultParagraphFont"/>
    <w:uiPriority w:val="99"/>
    <w:unhideWhenUsed/>
    <w:rsid w:val="009254A6"/>
    <w:rPr>
      <w:color w:val="0000FF" w:themeColor="hyperlink"/>
      <w:u w:val="single"/>
    </w:rPr>
  </w:style>
  <w:style w:type="paragraph" w:styleId="NoSpacing">
    <w:name w:val="No Spacing"/>
    <w:uiPriority w:val="1"/>
    <w:qFormat/>
    <w:rsid w:val="00174657"/>
    <w:pPr>
      <w:spacing w:after="0" w:line="240" w:lineRule="auto"/>
      <w:jc w:val="both"/>
    </w:pPr>
    <w:rPr>
      <w:rFonts w:ascii="Times New Roman" w:hAnsi="Times New Roman"/>
      <w:sz w:val="20"/>
      <w:szCs w:val="24"/>
      <w:lang w:val="en-US" w:eastAsia="zh-CN"/>
    </w:rPr>
  </w:style>
  <w:style w:type="paragraph" w:styleId="Bibliography">
    <w:name w:val="Bibliography"/>
    <w:basedOn w:val="Normal"/>
    <w:next w:val="Normal"/>
    <w:uiPriority w:val="37"/>
    <w:unhideWhenUsed/>
    <w:rsid w:val="008B54C9"/>
    <w:pPr>
      <w:spacing w:before="120" w:after="120"/>
      <w:ind w:firstLine="432"/>
    </w:pPr>
    <w:rPr>
      <w:rFonts w:cs="Times New Roman"/>
      <w:color w:val="000000" w:themeColor="text1"/>
      <w:sz w:val="24"/>
      <w:szCs w:val="24"/>
      <w:lang w:eastAsia="zh-CN"/>
    </w:rPr>
  </w:style>
  <w:style w:type="paragraph" w:styleId="Header">
    <w:name w:val="header"/>
    <w:basedOn w:val="Normal"/>
    <w:link w:val="HeaderChar"/>
    <w:uiPriority w:val="99"/>
    <w:unhideWhenUsed/>
    <w:rsid w:val="008B54C9"/>
    <w:pPr>
      <w:tabs>
        <w:tab w:val="center" w:pos="4680"/>
        <w:tab w:val="right" w:pos="9360"/>
      </w:tabs>
      <w:spacing w:before="120" w:after="120" w:line="240" w:lineRule="auto"/>
      <w:ind w:firstLine="432"/>
    </w:pPr>
    <w:rPr>
      <w:rFonts w:cs="Times New Roman"/>
      <w:color w:val="000000" w:themeColor="text1"/>
      <w:sz w:val="24"/>
      <w:szCs w:val="24"/>
      <w:lang w:eastAsia="zh-CN"/>
    </w:rPr>
  </w:style>
  <w:style w:type="character" w:customStyle="1" w:styleId="HeaderChar">
    <w:name w:val="Header Char"/>
    <w:basedOn w:val="DefaultParagraphFont"/>
    <w:link w:val="Header"/>
    <w:uiPriority w:val="99"/>
    <w:rsid w:val="008B54C9"/>
    <w:rPr>
      <w:rFonts w:ascii="Times New Roman" w:hAnsi="Times New Roman" w:cs="Times New Roman"/>
      <w:color w:val="000000" w:themeColor="text1"/>
      <w:sz w:val="24"/>
      <w:szCs w:val="24"/>
      <w:lang w:val="en-US" w:eastAsia="zh-CN"/>
    </w:rPr>
  </w:style>
  <w:style w:type="paragraph" w:styleId="Footer">
    <w:name w:val="footer"/>
    <w:basedOn w:val="Normal"/>
    <w:link w:val="FooterChar"/>
    <w:uiPriority w:val="99"/>
    <w:unhideWhenUsed/>
    <w:rsid w:val="0022347D"/>
    <w:pPr>
      <w:tabs>
        <w:tab w:val="center" w:pos="4252"/>
        <w:tab w:val="right" w:pos="8504"/>
      </w:tabs>
      <w:spacing w:line="240" w:lineRule="auto"/>
    </w:pPr>
  </w:style>
  <w:style w:type="character" w:customStyle="1" w:styleId="FooterChar">
    <w:name w:val="Footer Char"/>
    <w:basedOn w:val="DefaultParagraphFont"/>
    <w:link w:val="Footer"/>
    <w:uiPriority w:val="99"/>
    <w:rsid w:val="0022347D"/>
    <w:rPr>
      <w:rFonts w:ascii="Times New Roman" w:hAnsi="Times New Roman"/>
      <w:lang w:val="en-US"/>
    </w:rPr>
  </w:style>
  <w:style w:type="paragraph" w:styleId="Revision">
    <w:name w:val="Revision"/>
    <w:hidden/>
    <w:uiPriority w:val="99"/>
    <w:semiHidden/>
    <w:rsid w:val="004356A9"/>
    <w:pPr>
      <w:spacing w:after="0" w:line="240" w:lineRule="auto"/>
    </w:pPr>
    <w:rPr>
      <w:rFonts w:ascii="Times New Roman" w:hAnsi="Times New Roman"/>
      <w:lang w:val="en-US"/>
    </w:rPr>
  </w:style>
  <w:style w:type="paragraph" w:styleId="DocumentMap">
    <w:name w:val="Document Map"/>
    <w:basedOn w:val="Normal"/>
    <w:link w:val="DocumentMapChar"/>
    <w:uiPriority w:val="99"/>
    <w:semiHidden/>
    <w:unhideWhenUsed/>
    <w:rsid w:val="00232560"/>
    <w:pPr>
      <w:spacing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232560"/>
    <w:rPr>
      <w:rFonts w:ascii="Times New Roman" w:hAnsi="Times New Roman" w:cs="Times New Roman"/>
      <w:sz w:val="24"/>
      <w:szCs w:val="24"/>
      <w:lang w:val="en-US"/>
    </w:rPr>
  </w:style>
  <w:style w:type="character" w:styleId="FollowedHyperlink">
    <w:name w:val="FollowedHyperlink"/>
    <w:basedOn w:val="DefaultParagraphFont"/>
    <w:uiPriority w:val="99"/>
    <w:semiHidden/>
    <w:unhideWhenUsed/>
    <w:rsid w:val="007A78D0"/>
    <w:rPr>
      <w:color w:val="800080" w:themeColor="followedHyperlink"/>
      <w:u w:val="single"/>
    </w:rPr>
  </w:style>
  <w:style w:type="character" w:customStyle="1" w:styleId="articlecitationpages">
    <w:name w:val="articlecitation_pages"/>
    <w:basedOn w:val="DefaultParagraphFont"/>
    <w:rsid w:val="00D06F0A"/>
  </w:style>
  <w:style w:type="table" w:customStyle="1" w:styleId="TableGrid1">
    <w:name w:val="Table Grid1"/>
    <w:basedOn w:val="TableNormal"/>
    <w:next w:val="TableGrid"/>
    <w:uiPriority w:val="39"/>
    <w:rsid w:val="00F059ED"/>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0193">
      <w:bodyDiv w:val="1"/>
      <w:marLeft w:val="0"/>
      <w:marRight w:val="0"/>
      <w:marTop w:val="0"/>
      <w:marBottom w:val="0"/>
      <w:divBdr>
        <w:top w:val="none" w:sz="0" w:space="0" w:color="auto"/>
        <w:left w:val="none" w:sz="0" w:space="0" w:color="auto"/>
        <w:bottom w:val="none" w:sz="0" w:space="0" w:color="auto"/>
        <w:right w:val="none" w:sz="0" w:space="0" w:color="auto"/>
      </w:divBdr>
    </w:div>
    <w:div w:id="365839073">
      <w:bodyDiv w:val="1"/>
      <w:marLeft w:val="0"/>
      <w:marRight w:val="0"/>
      <w:marTop w:val="0"/>
      <w:marBottom w:val="0"/>
      <w:divBdr>
        <w:top w:val="none" w:sz="0" w:space="0" w:color="auto"/>
        <w:left w:val="none" w:sz="0" w:space="0" w:color="auto"/>
        <w:bottom w:val="none" w:sz="0" w:space="0" w:color="auto"/>
        <w:right w:val="none" w:sz="0" w:space="0" w:color="auto"/>
      </w:divBdr>
    </w:div>
    <w:div w:id="474416306">
      <w:bodyDiv w:val="1"/>
      <w:marLeft w:val="0"/>
      <w:marRight w:val="0"/>
      <w:marTop w:val="0"/>
      <w:marBottom w:val="0"/>
      <w:divBdr>
        <w:top w:val="none" w:sz="0" w:space="0" w:color="auto"/>
        <w:left w:val="none" w:sz="0" w:space="0" w:color="auto"/>
        <w:bottom w:val="none" w:sz="0" w:space="0" w:color="auto"/>
        <w:right w:val="none" w:sz="0" w:space="0" w:color="auto"/>
      </w:divBdr>
    </w:div>
    <w:div w:id="541094430">
      <w:bodyDiv w:val="1"/>
      <w:marLeft w:val="0"/>
      <w:marRight w:val="0"/>
      <w:marTop w:val="0"/>
      <w:marBottom w:val="0"/>
      <w:divBdr>
        <w:top w:val="none" w:sz="0" w:space="0" w:color="auto"/>
        <w:left w:val="none" w:sz="0" w:space="0" w:color="auto"/>
        <w:bottom w:val="none" w:sz="0" w:space="0" w:color="auto"/>
        <w:right w:val="none" w:sz="0" w:space="0" w:color="auto"/>
      </w:divBdr>
    </w:div>
    <w:div w:id="637340565">
      <w:bodyDiv w:val="1"/>
      <w:marLeft w:val="0"/>
      <w:marRight w:val="0"/>
      <w:marTop w:val="0"/>
      <w:marBottom w:val="0"/>
      <w:divBdr>
        <w:top w:val="none" w:sz="0" w:space="0" w:color="auto"/>
        <w:left w:val="none" w:sz="0" w:space="0" w:color="auto"/>
        <w:bottom w:val="none" w:sz="0" w:space="0" w:color="auto"/>
        <w:right w:val="none" w:sz="0" w:space="0" w:color="auto"/>
      </w:divBdr>
    </w:div>
    <w:div w:id="654340397">
      <w:bodyDiv w:val="1"/>
      <w:marLeft w:val="0"/>
      <w:marRight w:val="0"/>
      <w:marTop w:val="0"/>
      <w:marBottom w:val="0"/>
      <w:divBdr>
        <w:top w:val="none" w:sz="0" w:space="0" w:color="auto"/>
        <w:left w:val="none" w:sz="0" w:space="0" w:color="auto"/>
        <w:bottom w:val="none" w:sz="0" w:space="0" w:color="auto"/>
        <w:right w:val="none" w:sz="0" w:space="0" w:color="auto"/>
      </w:divBdr>
    </w:div>
    <w:div w:id="865219997">
      <w:bodyDiv w:val="1"/>
      <w:marLeft w:val="0"/>
      <w:marRight w:val="0"/>
      <w:marTop w:val="0"/>
      <w:marBottom w:val="0"/>
      <w:divBdr>
        <w:top w:val="none" w:sz="0" w:space="0" w:color="auto"/>
        <w:left w:val="none" w:sz="0" w:space="0" w:color="auto"/>
        <w:bottom w:val="none" w:sz="0" w:space="0" w:color="auto"/>
        <w:right w:val="none" w:sz="0" w:space="0" w:color="auto"/>
      </w:divBdr>
    </w:div>
    <w:div w:id="1242527976">
      <w:bodyDiv w:val="1"/>
      <w:marLeft w:val="0"/>
      <w:marRight w:val="0"/>
      <w:marTop w:val="0"/>
      <w:marBottom w:val="0"/>
      <w:divBdr>
        <w:top w:val="none" w:sz="0" w:space="0" w:color="auto"/>
        <w:left w:val="none" w:sz="0" w:space="0" w:color="auto"/>
        <w:bottom w:val="none" w:sz="0" w:space="0" w:color="auto"/>
        <w:right w:val="none" w:sz="0" w:space="0" w:color="auto"/>
      </w:divBdr>
      <w:divsChild>
        <w:div w:id="371226109">
          <w:marLeft w:val="0"/>
          <w:marRight w:val="0"/>
          <w:marTop w:val="0"/>
          <w:marBottom w:val="0"/>
          <w:divBdr>
            <w:top w:val="none" w:sz="0" w:space="0" w:color="auto"/>
            <w:left w:val="none" w:sz="0" w:space="0" w:color="auto"/>
            <w:bottom w:val="none" w:sz="0" w:space="0" w:color="auto"/>
            <w:right w:val="none" w:sz="0" w:space="0" w:color="auto"/>
          </w:divBdr>
        </w:div>
        <w:div w:id="50202440">
          <w:marLeft w:val="0"/>
          <w:marRight w:val="0"/>
          <w:marTop w:val="0"/>
          <w:marBottom w:val="0"/>
          <w:divBdr>
            <w:top w:val="none" w:sz="0" w:space="0" w:color="auto"/>
            <w:left w:val="none" w:sz="0" w:space="0" w:color="auto"/>
            <w:bottom w:val="none" w:sz="0" w:space="0" w:color="auto"/>
            <w:right w:val="none" w:sz="0" w:space="0" w:color="auto"/>
          </w:divBdr>
        </w:div>
        <w:div w:id="1378316915">
          <w:marLeft w:val="0"/>
          <w:marRight w:val="0"/>
          <w:marTop w:val="0"/>
          <w:marBottom w:val="0"/>
          <w:divBdr>
            <w:top w:val="none" w:sz="0" w:space="0" w:color="auto"/>
            <w:left w:val="none" w:sz="0" w:space="0" w:color="auto"/>
            <w:bottom w:val="none" w:sz="0" w:space="0" w:color="auto"/>
            <w:right w:val="none" w:sz="0" w:space="0" w:color="auto"/>
          </w:divBdr>
        </w:div>
      </w:divsChild>
    </w:div>
    <w:div w:id="1266887654">
      <w:bodyDiv w:val="1"/>
      <w:marLeft w:val="0"/>
      <w:marRight w:val="0"/>
      <w:marTop w:val="0"/>
      <w:marBottom w:val="0"/>
      <w:divBdr>
        <w:top w:val="none" w:sz="0" w:space="0" w:color="auto"/>
        <w:left w:val="none" w:sz="0" w:space="0" w:color="auto"/>
        <w:bottom w:val="none" w:sz="0" w:space="0" w:color="auto"/>
        <w:right w:val="none" w:sz="0" w:space="0" w:color="auto"/>
      </w:divBdr>
    </w:div>
    <w:div w:id="1351645346">
      <w:bodyDiv w:val="1"/>
      <w:marLeft w:val="0"/>
      <w:marRight w:val="0"/>
      <w:marTop w:val="0"/>
      <w:marBottom w:val="0"/>
      <w:divBdr>
        <w:top w:val="none" w:sz="0" w:space="0" w:color="auto"/>
        <w:left w:val="none" w:sz="0" w:space="0" w:color="auto"/>
        <w:bottom w:val="none" w:sz="0" w:space="0" w:color="auto"/>
        <w:right w:val="none" w:sz="0" w:space="0" w:color="auto"/>
      </w:divBdr>
    </w:div>
    <w:div w:id="1379889163">
      <w:bodyDiv w:val="1"/>
      <w:marLeft w:val="0"/>
      <w:marRight w:val="0"/>
      <w:marTop w:val="0"/>
      <w:marBottom w:val="0"/>
      <w:divBdr>
        <w:top w:val="none" w:sz="0" w:space="0" w:color="auto"/>
        <w:left w:val="none" w:sz="0" w:space="0" w:color="auto"/>
        <w:bottom w:val="none" w:sz="0" w:space="0" w:color="auto"/>
        <w:right w:val="none" w:sz="0" w:space="0" w:color="auto"/>
      </w:divBdr>
    </w:div>
    <w:div w:id="1385981748">
      <w:bodyDiv w:val="1"/>
      <w:marLeft w:val="0"/>
      <w:marRight w:val="0"/>
      <w:marTop w:val="0"/>
      <w:marBottom w:val="0"/>
      <w:divBdr>
        <w:top w:val="none" w:sz="0" w:space="0" w:color="auto"/>
        <w:left w:val="none" w:sz="0" w:space="0" w:color="auto"/>
        <w:bottom w:val="none" w:sz="0" w:space="0" w:color="auto"/>
        <w:right w:val="none" w:sz="0" w:space="0" w:color="auto"/>
      </w:divBdr>
    </w:div>
    <w:div w:id="1461413828">
      <w:bodyDiv w:val="1"/>
      <w:marLeft w:val="0"/>
      <w:marRight w:val="0"/>
      <w:marTop w:val="0"/>
      <w:marBottom w:val="0"/>
      <w:divBdr>
        <w:top w:val="none" w:sz="0" w:space="0" w:color="auto"/>
        <w:left w:val="none" w:sz="0" w:space="0" w:color="auto"/>
        <w:bottom w:val="none" w:sz="0" w:space="0" w:color="auto"/>
        <w:right w:val="none" w:sz="0" w:space="0" w:color="auto"/>
      </w:divBdr>
    </w:div>
    <w:div w:id="1585455326">
      <w:bodyDiv w:val="1"/>
      <w:marLeft w:val="0"/>
      <w:marRight w:val="0"/>
      <w:marTop w:val="0"/>
      <w:marBottom w:val="0"/>
      <w:divBdr>
        <w:top w:val="none" w:sz="0" w:space="0" w:color="auto"/>
        <w:left w:val="none" w:sz="0" w:space="0" w:color="auto"/>
        <w:bottom w:val="none" w:sz="0" w:space="0" w:color="auto"/>
        <w:right w:val="none" w:sz="0" w:space="0" w:color="auto"/>
      </w:divBdr>
    </w:div>
    <w:div w:id="1665890192">
      <w:bodyDiv w:val="1"/>
      <w:marLeft w:val="0"/>
      <w:marRight w:val="0"/>
      <w:marTop w:val="0"/>
      <w:marBottom w:val="0"/>
      <w:divBdr>
        <w:top w:val="none" w:sz="0" w:space="0" w:color="auto"/>
        <w:left w:val="none" w:sz="0" w:space="0" w:color="auto"/>
        <w:bottom w:val="none" w:sz="0" w:space="0" w:color="auto"/>
        <w:right w:val="none" w:sz="0" w:space="0" w:color="auto"/>
      </w:divBdr>
    </w:div>
    <w:div w:id="1796437298">
      <w:bodyDiv w:val="1"/>
      <w:marLeft w:val="0"/>
      <w:marRight w:val="0"/>
      <w:marTop w:val="0"/>
      <w:marBottom w:val="0"/>
      <w:divBdr>
        <w:top w:val="none" w:sz="0" w:space="0" w:color="auto"/>
        <w:left w:val="none" w:sz="0" w:space="0" w:color="auto"/>
        <w:bottom w:val="none" w:sz="0" w:space="0" w:color="auto"/>
        <w:right w:val="none" w:sz="0" w:space="0" w:color="auto"/>
      </w:divBdr>
    </w:div>
    <w:div w:id="1862426082">
      <w:bodyDiv w:val="1"/>
      <w:marLeft w:val="0"/>
      <w:marRight w:val="0"/>
      <w:marTop w:val="0"/>
      <w:marBottom w:val="0"/>
      <w:divBdr>
        <w:top w:val="none" w:sz="0" w:space="0" w:color="auto"/>
        <w:left w:val="none" w:sz="0" w:space="0" w:color="auto"/>
        <w:bottom w:val="none" w:sz="0" w:space="0" w:color="auto"/>
        <w:right w:val="none" w:sz="0" w:space="0" w:color="auto"/>
      </w:divBdr>
    </w:div>
    <w:div w:id="1954818702">
      <w:bodyDiv w:val="1"/>
      <w:marLeft w:val="0"/>
      <w:marRight w:val="0"/>
      <w:marTop w:val="0"/>
      <w:marBottom w:val="0"/>
      <w:divBdr>
        <w:top w:val="none" w:sz="0" w:space="0" w:color="auto"/>
        <w:left w:val="none" w:sz="0" w:space="0" w:color="auto"/>
        <w:bottom w:val="none" w:sz="0" w:space="0" w:color="auto"/>
        <w:right w:val="none" w:sz="0" w:space="0" w:color="auto"/>
      </w:divBdr>
    </w:div>
    <w:div w:id="21133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ieri@utexas.edu" TargetMode="External"/><Relationship Id="rId13" Type="http://schemas.openxmlformats.org/officeDocument/2006/relationships/header" Target="header2.xml"/><Relationship Id="rId18" Type="http://schemas.openxmlformats.org/officeDocument/2006/relationships/hyperlink" Target="https://www.ons.gov.uk/employmentandlabourmarket/peopleinwork/employmentandemployeetypes/articles/womeninthelabourmarket/2013-09-25"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tatista.com/statistics/429292/frequency-of-cooking-meals-for-yourself-in-the-united-kingdom-uk/"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caee.utexas.edu/prof/bhat/ABSTRACTS/Accessibility/OnlineSupplement.pdf" TargetMode="External"/><Relationship Id="rId20" Type="http://schemas.openxmlformats.org/officeDocument/2006/relationships/hyperlink" Target="https://www.ons.gov.uk/employmentandlabourmarket/peopleinwork/employmentandemployeetypes/datasets/employmentbyoccupationemp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caee.utexas.edu/prof/bhat/ABSTRACTS/Accessibility/OnlineSupplement.pd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statista.com/statistics/276076/online-purchasing-penetration-in-great-britain-by-gender/" TargetMode="External"/><Relationship Id="rId4" Type="http://schemas.openxmlformats.org/officeDocument/2006/relationships/settings" Target="settings.xml"/><Relationship Id="rId9" Type="http://schemas.openxmlformats.org/officeDocument/2006/relationships/hyperlink" Target="mailto:bhat@mail.utexas.edu" TargetMode="External"/><Relationship Id="rId14" Type="http://schemas.openxmlformats.org/officeDocument/2006/relationships/footer" Target="footer3.xm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7E32C-49DA-433F-A983-6A23E43FD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15797</Words>
  <Characters>90049</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Patrícia Lavieri</dc:creator>
  <cp:lastModifiedBy>Macias, Lisa J</cp:lastModifiedBy>
  <cp:revision>4</cp:revision>
  <cp:lastPrinted>2018-10-10T18:59:00Z</cp:lastPrinted>
  <dcterms:created xsi:type="dcterms:W3CDTF">2018-06-14T21:48:00Z</dcterms:created>
  <dcterms:modified xsi:type="dcterms:W3CDTF">2018-10-10T19:00:00Z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http://www.zotero.org/styles/elsevier-harvard</vt:lpwstr>
  </property>
  <property fmtid="{D5CDD505-2E9C-101B-9397-08002B2CF9AE}" pid="7" name="Mendeley Recent Style Name 2_1">
    <vt:lpwstr>Elsevier - Harvard (with titles)</vt:lpwstr>
  </property>
  <property fmtid="{D5CDD505-2E9C-101B-9397-08002B2CF9AE}" pid="8" name="Mendeley Recent Style Id 3_1">
    <vt:lpwstr>http://www.zotero.org/styles/elsevier-harvard-without-titles</vt:lpwstr>
  </property>
  <property fmtid="{D5CDD505-2E9C-101B-9397-08002B2CF9AE}" pid="9" name="Mendeley Recent Style Name 3_1">
    <vt:lpwstr>Elsevier - Harvard (without titles)</vt:lpwstr>
  </property>
  <property fmtid="{D5CDD505-2E9C-101B-9397-08002B2CF9AE}" pid="10" name="Mendeley Recent Style Id 4_1">
    <vt:lpwstr>http://www.zotero.org/styles/elsevier-harvard2</vt:lpwstr>
  </property>
  <property fmtid="{D5CDD505-2E9C-101B-9397-08002B2CF9AE}" pid="11" name="Mendeley Recent Style Name 4_1">
    <vt:lpwstr>Elsevier - Harvard 2</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